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EBCCA" w14:textId="7ED09905" w:rsidR="00FC0370" w:rsidRPr="00FA360A" w:rsidRDefault="001D57B9" w:rsidP="002F5224">
      <w:pPr>
        <w:pStyle w:val="NormalWeb"/>
        <w:jc w:val="center"/>
        <w:rPr>
          <w:rFonts w:ascii="Arial" w:hAnsi="Arial" w:cs="Arial"/>
          <w:b/>
          <w:bCs/>
          <w:lang w:val="en-AU"/>
        </w:rPr>
      </w:pPr>
      <w:r w:rsidRPr="00FA360A">
        <w:rPr>
          <w:rFonts w:ascii="Arial" w:hAnsi="Arial" w:cs="Arial"/>
          <w:b/>
          <w:bCs/>
          <w:lang w:val="en-AU"/>
        </w:rPr>
        <w:t xml:space="preserve">Comment submitted </w:t>
      </w:r>
      <w:r w:rsidR="00D50840" w:rsidRPr="00FA360A">
        <w:rPr>
          <w:rFonts w:ascii="Arial" w:hAnsi="Arial" w:cs="Arial"/>
          <w:b/>
          <w:bCs/>
          <w:lang w:val="en-AU"/>
        </w:rPr>
        <w:t xml:space="preserve">on </w:t>
      </w:r>
      <w:r w:rsidR="00FC0370" w:rsidRPr="00FA360A">
        <w:rPr>
          <w:rFonts w:ascii="Arial" w:hAnsi="Arial" w:cs="Arial"/>
          <w:b/>
          <w:bCs/>
          <w:lang w:val="en-AU"/>
        </w:rPr>
        <w:t xml:space="preserve">the </w:t>
      </w:r>
      <w:r w:rsidR="00615CC9" w:rsidRPr="00FA360A">
        <w:rPr>
          <w:rFonts w:ascii="Arial" w:hAnsi="Arial" w:cs="Arial"/>
          <w:b/>
          <w:bCs/>
          <w:lang w:val="en-AU"/>
        </w:rPr>
        <w:t xml:space="preserve">Draft </w:t>
      </w:r>
      <w:r w:rsidR="00FC0370" w:rsidRPr="00FA360A">
        <w:rPr>
          <w:rFonts w:ascii="Arial" w:hAnsi="Arial" w:cs="Arial"/>
          <w:b/>
          <w:bCs/>
          <w:lang w:val="en-AU"/>
        </w:rPr>
        <w:t xml:space="preserve">General Comment </w:t>
      </w:r>
      <w:r w:rsidR="00763850" w:rsidRPr="00FA360A">
        <w:rPr>
          <w:rFonts w:ascii="Arial" w:hAnsi="Arial" w:cs="Arial"/>
          <w:b/>
          <w:bCs/>
          <w:lang w:val="en-AU"/>
        </w:rPr>
        <w:t xml:space="preserve">No. 25 </w:t>
      </w:r>
      <w:r w:rsidR="00FC0370" w:rsidRPr="00FA360A">
        <w:rPr>
          <w:rFonts w:ascii="Arial" w:hAnsi="Arial" w:cs="Arial"/>
          <w:b/>
          <w:bCs/>
          <w:lang w:val="en-AU"/>
        </w:rPr>
        <w:t xml:space="preserve">on </w:t>
      </w:r>
      <w:r w:rsidR="00850316" w:rsidRPr="00FA360A">
        <w:rPr>
          <w:rFonts w:ascii="Arial" w:hAnsi="Arial" w:cs="Arial"/>
          <w:b/>
          <w:bCs/>
          <w:lang w:val="en-AU"/>
        </w:rPr>
        <w:t>C</w:t>
      </w:r>
      <w:r w:rsidR="00FC0370" w:rsidRPr="00FA360A">
        <w:rPr>
          <w:rFonts w:ascii="Arial" w:hAnsi="Arial" w:cs="Arial"/>
          <w:b/>
          <w:bCs/>
          <w:lang w:val="en-AU"/>
        </w:rPr>
        <w:t xml:space="preserve">hildren’s </w:t>
      </w:r>
      <w:r w:rsidR="00850316" w:rsidRPr="00FA360A">
        <w:rPr>
          <w:rFonts w:ascii="Arial" w:hAnsi="Arial" w:cs="Arial"/>
          <w:b/>
          <w:bCs/>
          <w:lang w:val="en-AU"/>
        </w:rPr>
        <w:t>R</w:t>
      </w:r>
      <w:r w:rsidR="00FC0370" w:rsidRPr="00FA360A">
        <w:rPr>
          <w:rFonts w:ascii="Arial" w:hAnsi="Arial" w:cs="Arial"/>
          <w:b/>
          <w:bCs/>
          <w:lang w:val="en-AU"/>
        </w:rPr>
        <w:t xml:space="preserve">ights </w:t>
      </w:r>
      <w:r w:rsidR="00850316" w:rsidRPr="00FA360A">
        <w:rPr>
          <w:rFonts w:ascii="Arial" w:hAnsi="Arial" w:cs="Arial"/>
          <w:b/>
          <w:bCs/>
          <w:lang w:val="en-AU"/>
        </w:rPr>
        <w:t xml:space="preserve">in relation to the digital environment of the UN </w:t>
      </w:r>
      <w:r w:rsidR="00330755" w:rsidRPr="00FA360A">
        <w:rPr>
          <w:rFonts w:ascii="Arial" w:hAnsi="Arial" w:cs="Arial"/>
          <w:b/>
          <w:bCs/>
          <w:lang w:val="en-AU"/>
        </w:rPr>
        <w:t>Committee</w:t>
      </w:r>
      <w:r w:rsidR="00850316" w:rsidRPr="00FA360A">
        <w:rPr>
          <w:rFonts w:ascii="Arial" w:hAnsi="Arial" w:cs="Arial"/>
          <w:b/>
          <w:bCs/>
          <w:lang w:val="en-AU"/>
        </w:rPr>
        <w:t xml:space="preserve"> on the </w:t>
      </w:r>
      <w:r w:rsidR="00EB410A" w:rsidRPr="00FA360A">
        <w:rPr>
          <w:rFonts w:ascii="Arial" w:hAnsi="Arial" w:cs="Arial"/>
          <w:b/>
          <w:bCs/>
          <w:lang w:val="en-AU"/>
        </w:rPr>
        <w:t>Rights of the Child</w:t>
      </w:r>
    </w:p>
    <w:p w14:paraId="42C21400" w14:textId="7FA645C2" w:rsidR="00D642F5" w:rsidRPr="00FA360A" w:rsidRDefault="00D642F5" w:rsidP="00FD1015">
      <w:pPr>
        <w:pStyle w:val="NormalWeb"/>
        <w:jc w:val="center"/>
        <w:rPr>
          <w:rFonts w:ascii="Arial" w:hAnsi="Arial" w:cs="Arial"/>
          <w:lang w:val="en-AU"/>
        </w:rPr>
      </w:pPr>
      <w:r w:rsidRPr="00FA360A">
        <w:rPr>
          <w:rFonts w:ascii="Arial" w:hAnsi="Arial" w:cs="Arial"/>
          <w:lang w:val="en-AU"/>
        </w:rPr>
        <w:t>Hélène Bruderer</w:t>
      </w:r>
      <w:r w:rsidR="0011125D" w:rsidRPr="00FA360A">
        <w:rPr>
          <w:rFonts w:ascii="Arial" w:hAnsi="Arial" w:cs="Arial"/>
          <w:lang w:val="en-AU"/>
        </w:rPr>
        <w:t xml:space="preserve">/ Ana Andrijevic </w:t>
      </w:r>
    </w:p>
    <w:p w14:paraId="042B6A92" w14:textId="28CF15BE" w:rsidR="00EB410A" w:rsidRPr="00FA360A" w:rsidRDefault="00EB410A" w:rsidP="00FD1015">
      <w:pPr>
        <w:pStyle w:val="NormalWeb"/>
        <w:jc w:val="center"/>
        <w:rPr>
          <w:rFonts w:ascii="Arial" w:hAnsi="Arial" w:cs="Arial"/>
          <w:lang w:val="en-AU"/>
        </w:rPr>
      </w:pPr>
      <w:r w:rsidRPr="00FA360A">
        <w:rPr>
          <w:rFonts w:ascii="Arial" w:hAnsi="Arial" w:cs="Arial"/>
          <w:lang w:val="en-AU"/>
        </w:rPr>
        <w:t>Legal Researcher</w:t>
      </w:r>
      <w:r w:rsidR="0011125D" w:rsidRPr="00FA360A">
        <w:rPr>
          <w:rFonts w:ascii="Arial" w:hAnsi="Arial" w:cs="Arial"/>
          <w:lang w:val="en-AU"/>
        </w:rPr>
        <w:t>s</w:t>
      </w:r>
      <w:r w:rsidRPr="00FA360A">
        <w:rPr>
          <w:rFonts w:ascii="Arial" w:hAnsi="Arial" w:cs="Arial"/>
          <w:lang w:val="en-AU"/>
        </w:rPr>
        <w:t xml:space="preserve"> at the Digital Law </w:t>
      </w:r>
      <w:proofErr w:type="spellStart"/>
      <w:r w:rsidRPr="00FA360A">
        <w:rPr>
          <w:rFonts w:ascii="Arial" w:hAnsi="Arial" w:cs="Arial"/>
          <w:lang w:val="en-AU"/>
        </w:rPr>
        <w:t>Center</w:t>
      </w:r>
      <w:proofErr w:type="spellEnd"/>
    </w:p>
    <w:p w14:paraId="3297F07E" w14:textId="6CD68E6E" w:rsidR="00EB410A" w:rsidRPr="00FA360A" w:rsidRDefault="00B13434" w:rsidP="00FD1015">
      <w:pPr>
        <w:pStyle w:val="NormalWeb"/>
        <w:jc w:val="center"/>
        <w:rPr>
          <w:rFonts w:ascii="Arial" w:hAnsi="Arial" w:cs="Arial"/>
          <w:lang w:val="en-AU"/>
        </w:rPr>
      </w:pPr>
      <w:r w:rsidRPr="00FA360A">
        <w:rPr>
          <w:rFonts w:ascii="Arial" w:hAnsi="Arial" w:cs="Arial"/>
          <w:lang w:val="en-AU"/>
        </w:rPr>
        <w:t xml:space="preserve">of the </w:t>
      </w:r>
      <w:r w:rsidR="00EB410A" w:rsidRPr="00FA360A">
        <w:rPr>
          <w:rFonts w:ascii="Arial" w:hAnsi="Arial" w:cs="Arial"/>
          <w:lang w:val="en-AU"/>
        </w:rPr>
        <w:t>University of Geneva</w:t>
      </w:r>
    </w:p>
    <w:p w14:paraId="705C33E6" w14:textId="238B4B21" w:rsidR="00565A26" w:rsidRDefault="00EB410A" w:rsidP="002F5224">
      <w:pPr>
        <w:pStyle w:val="NormalWeb"/>
        <w:jc w:val="center"/>
        <w:rPr>
          <w:rFonts w:ascii="Arial" w:hAnsi="Arial" w:cs="Arial"/>
          <w:lang w:val="en-AU"/>
        </w:rPr>
      </w:pPr>
      <w:r w:rsidRPr="00FA360A">
        <w:rPr>
          <w:rFonts w:ascii="Arial" w:hAnsi="Arial" w:cs="Arial"/>
          <w:lang w:val="en-AU"/>
        </w:rPr>
        <w:t xml:space="preserve">On </w:t>
      </w:r>
      <w:r w:rsidR="00565A26">
        <w:rPr>
          <w:rFonts w:ascii="Arial" w:hAnsi="Arial" w:cs="Arial"/>
          <w:lang w:val="en-AU"/>
        </w:rPr>
        <w:t>November 14,</w:t>
      </w:r>
      <w:r w:rsidR="00EE1AEF" w:rsidRPr="00FA360A">
        <w:rPr>
          <w:rFonts w:ascii="Arial" w:hAnsi="Arial" w:cs="Arial"/>
          <w:lang w:val="en-AU"/>
        </w:rPr>
        <w:t xml:space="preserve"> 2020</w:t>
      </w:r>
    </w:p>
    <w:p w14:paraId="31CE03A3" w14:textId="77777777" w:rsidR="002F5224" w:rsidRPr="00FA360A" w:rsidRDefault="002F5224" w:rsidP="002F5224">
      <w:pPr>
        <w:pStyle w:val="NormalWeb"/>
        <w:jc w:val="center"/>
        <w:rPr>
          <w:rFonts w:ascii="Arial" w:hAnsi="Arial" w:cs="Arial"/>
          <w:lang w:val="en-AU"/>
        </w:rPr>
      </w:pPr>
    </w:p>
    <w:p w14:paraId="44ECFF28" w14:textId="1673C18F" w:rsidR="009B3A22" w:rsidRPr="00545D5F" w:rsidRDefault="009B3A22" w:rsidP="009B3A22">
      <w:pPr>
        <w:pStyle w:val="NormalWeb"/>
        <w:numPr>
          <w:ilvl w:val="0"/>
          <w:numId w:val="10"/>
        </w:numPr>
        <w:rPr>
          <w:rFonts w:ascii="Arial" w:hAnsi="Arial" w:cs="Arial"/>
          <w:b/>
          <w:bCs/>
          <w:lang w:val="en-AU"/>
        </w:rPr>
      </w:pPr>
      <w:r w:rsidRPr="00545D5F">
        <w:rPr>
          <w:rFonts w:ascii="Arial" w:hAnsi="Arial" w:cs="Arial"/>
          <w:b/>
          <w:bCs/>
          <w:lang w:val="en-AU"/>
        </w:rPr>
        <w:t xml:space="preserve">General Comments </w:t>
      </w:r>
    </w:p>
    <w:p w14:paraId="52CCAF54" w14:textId="4B5024D4" w:rsidR="00FA360A" w:rsidRPr="00545D5F" w:rsidRDefault="00524C23" w:rsidP="00565A26">
      <w:pPr>
        <w:pStyle w:val="NormalWeb"/>
        <w:ind w:firstLine="708"/>
        <w:jc w:val="both"/>
        <w:rPr>
          <w:rFonts w:ascii="Arial" w:hAnsi="Arial" w:cs="Arial"/>
          <w:lang w:val="en-AU"/>
        </w:rPr>
      </w:pPr>
      <w:r w:rsidRPr="00545D5F">
        <w:rPr>
          <w:rFonts w:ascii="Arial" w:hAnsi="Arial" w:cs="Arial"/>
          <w:lang w:val="en-AU"/>
        </w:rPr>
        <w:t>We warmly welcome</w:t>
      </w:r>
      <w:r w:rsidR="00A41308" w:rsidRPr="00545D5F">
        <w:rPr>
          <w:rFonts w:ascii="Arial" w:hAnsi="Arial" w:cs="Arial"/>
          <w:lang w:val="en-AU"/>
        </w:rPr>
        <w:t xml:space="preserve"> t</w:t>
      </w:r>
      <w:r w:rsidR="00330755" w:rsidRPr="00545D5F">
        <w:rPr>
          <w:rFonts w:ascii="Arial" w:hAnsi="Arial" w:cs="Arial"/>
          <w:lang w:val="en-AU"/>
        </w:rPr>
        <w:t>he Draft General Comment No. 25 on Children’s Rights in relation to the digital environment of August 13, 2020 of the UN Committee on the Rights of the Child</w:t>
      </w:r>
      <w:r w:rsidR="00A41308" w:rsidRPr="00545D5F">
        <w:rPr>
          <w:rFonts w:ascii="Arial" w:hAnsi="Arial" w:cs="Arial"/>
          <w:lang w:val="en-AU"/>
        </w:rPr>
        <w:t xml:space="preserve"> (hereinafter “</w:t>
      </w:r>
      <w:r w:rsidR="00A41308" w:rsidRPr="00545D5F">
        <w:rPr>
          <w:rFonts w:ascii="Arial" w:hAnsi="Arial" w:cs="Arial"/>
          <w:b/>
          <w:bCs/>
          <w:lang w:val="en-AU"/>
        </w:rPr>
        <w:t>DGC</w:t>
      </w:r>
      <w:r w:rsidR="00E875AB" w:rsidRPr="00545D5F">
        <w:rPr>
          <w:rFonts w:ascii="Arial" w:hAnsi="Arial" w:cs="Arial"/>
          <w:b/>
          <w:bCs/>
          <w:lang w:val="en-AU"/>
        </w:rPr>
        <w:t xml:space="preserve"> No. 25</w:t>
      </w:r>
      <w:r w:rsidR="00E875AB" w:rsidRPr="00545D5F">
        <w:rPr>
          <w:rFonts w:ascii="Arial" w:hAnsi="Arial" w:cs="Arial"/>
          <w:lang w:val="en-AU"/>
        </w:rPr>
        <w:t xml:space="preserve">”) </w:t>
      </w:r>
      <w:r w:rsidRPr="00545D5F">
        <w:rPr>
          <w:rFonts w:ascii="Arial" w:hAnsi="Arial" w:cs="Arial"/>
          <w:lang w:val="en-AU"/>
        </w:rPr>
        <w:t xml:space="preserve">which </w:t>
      </w:r>
      <w:r w:rsidR="00E875AB" w:rsidRPr="00545D5F">
        <w:rPr>
          <w:rFonts w:ascii="Arial" w:hAnsi="Arial" w:cs="Arial"/>
          <w:lang w:val="en-AU"/>
        </w:rPr>
        <w:t xml:space="preserve">provides a comprehensive commentary on </w:t>
      </w:r>
      <w:r w:rsidR="00B47333" w:rsidRPr="00545D5F">
        <w:rPr>
          <w:rFonts w:ascii="Arial" w:hAnsi="Arial" w:cs="Arial"/>
          <w:lang w:val="en-AU"/>
        </w:rPr>
        <w:t>the way</w:t>
      </w:r>
      <w:r w:rsidR="00E875AB" w:rsidRPr="00545D5F">
        <w:rPr>
          <w:rFonts w:ascii="Arial" w:hAnsi="Arial" w:cs="Arial"/>
          <w:lang w:val="en-AU"/>
        </w:rPr>
        <w:t xml:space="preserve"> the Convention on the Rights of the Child </w:t>
      </w:r>
      <w:r w:rsidR="00B47333" w:rsidRPr="00545D5F">
        <w:rPr>
          <w:rFonts w:ascii="Arial" w:hAnsi="Arial" w:cs="Arial"/>
          <w:lang w:val="en-AU"/>
        </w:rPr>
        <w:t>has to be interpreted in light of the digital environment.</w:t>
      </w:r>
      <w:r w:rsidR="00565A26" w:rsidRPr="00545D5F">
        <w:rPr>
          <w:rFonts w:ascii="Arial" w:hAnsi="Arial" w:cs="Arial"/>
          <w:lang w:val="en-AU"/>
        </w:rPr>
        <w:t xml:space="preserve"> </w:t>
      </w:r>
      <w:r w:rsidR="00B47333" w:rsidRPr="00545D5F">
        <w:rPr>
          <w:rFonts w:ascii="Arial" w:hAnsi="Arial" w:cs="Arial"/>
          <w:lang w:val="en-AU"/>
        </w:rPr>
        <w:t xml:space="preserve">That being said, in our </w:t>
      </w:r>
      <w:r w:rsidR="00086A5F" w:rsidRPr="00545D5F">
        <w:rPr>
          <w:rFonts w:ascii="Arial" w:hAnsi="Arial" w:cs="Arial"/>
          <w:lang w:val="en-AU"/>
        </w:rPr>
        <w:t>opinion</w:t>
      </w:r>
      <w:r w:rsidR="00B47333" w:rsidRPr="00545D5F">
        <w:rPr>
          <w:rFonts w:ascii="Arial" w:hAnsi="Arial" w:cs="Arial"/>
          <w:lang w:val="en-AU"/>
        </w:rPr>
        <w:t xml:space="preserve">, the DGC No. 25 </w:t>
      </w:r>
      <w:r w:rsidR="006E0604" w:rsidRPr="00545D5F">
        <w:rPr>
          <w:rFonts w:ascii="Arial" w:hAnsi="Arial" w:cs="Arial"/>
          <w:lang w:val="en-AU"/>
        </w:rPr>
        <w:t xml:space="preserve">may </w:t>
      </w:r>
      <w:r w:rsidR="00CC6BFA" w:rsidRPr="00545D5F">
        <w:rPr>
          <w:rFonts w:ascii="Arial" w:hAnsi="Arial" w:cs="Arial"/>
          <w:lang w:val="en-AU"/>
        </w:rPr>
        <w:t xml:space="preserve">address and recognise </w:t>
      </w:r>
      <w:r w:rsidR="001B1843" w:rsidRPr="00545D5F">
        <w:rPr>
          <w:rFonts w:ascii="Arial" w:hAnsi="Arial" w:cs="Arial"/>
          <w:lang w:val="en-AU"/>
        </w:rPr>
        <w:t>additional</w:t>
      </w:r>
      <w:r w:rsidR="00B47333" w:rsidRPr="00545D5F">
        <w:rPr>
          <w:rFonts w:ascii="Arial" w:hAnsi="Arial" w:cs="Arial"/>
          <w:lang w:val="en-AU"/>
        </w:rPr>
        <w:t xml:space="preserve"> threat</w:t>
      </w:r>
      <w:r w:rsidR="00F004BD" w:rsidRPr="00545D5F">
        <w:rPr>
          <w:rFonts w:ascii="Arial" w:hAnsi="Arial" w:cs="Arial"/>
          <w:lang w:val="en-AU"/>
        </w:rPr>
        <w:t xml:space="preserve">s in relation </w:t>
      </w:r>
      <w:r w:rsidR="001521A1" w:rsidRPr="00545D5F">
        <w:rPr>
          <w:rFonts w:ascii="Arial" w:hAnsi="Arial" w:cs="Arial"/>
          <w:lang w:val="en-AU"/>
        </w:rPr>
        <w:t>to</w:t>
      </w:r>
      <w:r w:rsidR="00A667DB" w:rsidRPr="00545D5F">
        <w:rPr>
          <w:rFonts w:ascii="Arial" w:hAnsi="Arial" w:cs="Arial"/>
          <w:lang w:val="en-AU"/>
        </w:rPr>
        <w:t xml:space="preserve"> </w:t>
      </w:r>
      <w:r w:rsidR="00F004BD" w:rsidRPr="00545D5F">
        <w:rPr>
          <w:rFonts w:ascii="Arial" w:hAnsi="Arial" w:cs="Arial"/>
          <w:lang w:val="en-AU"/>
        </w:rPr>
        <w:t>the video gaming industry</w:t>
      </w:r>
      <w:r w:rsidR="00CC6BFA" w:rsidRPr="00545D5F">
        <w:rPr>
          <w:rFonts w:ascii="Arial" w:hAnsi="Arial" w:cs="Arial"/>
          <w:lang w:val="en-AU"/>
        </w:rPr>
        <w:t>, notably in relation to microtransaction</w:t>
      </w:r>
      <w:r w:rsidR="001521A1" w:rsidRPr="00545D5F">
        <w:rPr>
          <w:rFonts w:ascii="Arial" w:hAnsi="Arial" w:cs="Arial"/>
          <w:lang w:val="en-AU"/>
        </w:rPr>
        <w:t>s</w:t>
      </w:r>
      <w:r w:rsidR="00CC6BFA" w:rsidRPr="00545D5F">
        <w:rPr>
          <w:rFonts w:ascii="Arial" w:hAnsi="Arial" w:cs="Arial"/>
          <w:lang w:val="en-AU"/>
        </w:rPr>
        <w:t>.</w:t>
      </w:r>
      <w:r w:rsidR="00506355" w:rsidRPr="00545D5F">
        <w:rPr>
          <w:rFonts w:ascii="Arial" w:hAnsi="Arial" w:cs="Arial"/>
          <w:lang w:val="en-AU"/>
        </w:rPr>
        <w:t xml:space="preserve"> </w:t>
      </w:r>
      <w:r w:rsidR="00FA360A" w:rsidRPr="00545D5F">
        <w:rPr>
          <w:rFonts w:ascii="Arial" w:hAnsi="Arial" w:cs="Arial"/>
          <w:lang w:val="en-US"/>
        </w:rPr>
        <w:t>Online microtransactions are the purchase of virtual goods by players within an online video game</w:t>
      </w:r>
      <w:r w:rsidR="00FA360A" w:rsidRPr="00545D5F">
        <w:rPr>
          <w:rStyle w:val="Appelnotedebasdep"/>
          <w:rFonts w:ascii="Arial" w:hAnsi="Arial" w:cs="Arial"/>
          <w:sz w:val="24"/>
          <w:lang w:val="en-AU"/>
        </w:rPr>
        <w:footnoteReference w:id="1"/>
      </w:r>
      <w:r w:rsidR="00FA360A" w:rsidRPr="00545D5F">
        <w:rPr>
          <w:rFonts w:ascii="Arial" w:hAnsi="Arial" w:cs="Arial"/>
          <w:lang w:val="en-AU"/>
        </w:rPr>
        <w:t>.</w:t>
      </w:r>
      <w:r w:rsidR="00FA360A" w:rsidRPr="00545D5F">
        <w:rPr>
          <w:rFonts w:ascii="Arial" w:hAnsi="Arial" w:cs="Arial"/>
          <w:lang w:val="en-US"/>
        </w:rPr>
        <w:t xml:space="preserve"> They allow players to acquire digital items such as armors, weapons, in-game currency, and other virtual goods</w:t>
      </w:r>
      <w:r w:rsidR="006C223A" w:rsidRPr="00545D5F">
        <w:rPr>
          <w:rStyle w:val="Appelnotedebasdep"/>
          <w:rFonts w:ascii="Arial" w:hAnsi="Arial" w:cs="Arial"/>
          <w:sz w:val="24"/>
          <w:lang w:val="en-AU"/>
        </w:rPr>
        <w:footnoteReference w:id="2"/>
      </w:r>
      <w:r w:rsidR="002F5224" w:rsidRPr="00545D5F">
        <w:rPr>
          <w:rFonts w:ascii="Arial" w:hAnsi="Arial" w:cs="Arial"/>
          <w:lang w:val="en-US"/>
        </w:rPr>
        <w:t>.</w:t>
      </w:r>
    </w:p>
    <w:p w14:paraId="30B98AE0" w14:textId="1C9DC60E" w:rsidR="00CA162E" w:rsidRPr="00545D5F" w:rsidRDefault="00FA360A" w:rsidP="00FA360A">
      <w:pPr>
        <w:pStyle w:val="NormalWeb"/>
        <w:ind w:firstLine="708"/>
        <w:jc w:val="both"/>
        <w:rPr>
          <w:rFonts w:ascii="Arial" w:hAnsi="Arial" w:cs="Arial"/>
          <w:lang w:val="en-US"/>
        </w:rPr>
      </w:pPr>
      <w:r w:rsidRPr="00545D5F">
        <w:rPr>
          <w:rFonts w:ascii="Arial" w:hAnsi="Arial" w:cs="Arial"/>
          <w:lang w:val="en-US"/>
        </w:rPr>
        <w:t xml:space="preserve">These microtransactions represent a tremendous financial windfall for video game </w:t>
      </w:r>
      <w:r w:rsidR="00030778" w:rsidRPr="00545D5F">
        <w:rPr>
          <w:rFonts w:ascii="Arial" w:hAnsi="Arial" w:cs="Arial"/>
          <w:lang w:val="en-US"/>
        </w:rPr>
        <w:t>publishers and</w:t>
      </w:r>
      <w:r w:rsidRPr="00545D5F">
        <w:rPr>
          <w:rFonts w:ascii="Arial" w:hAnsi="Arial" w:cs="Arial"/>
          <w:lang w:val="en-US"/>
        </w:rPr>
        <w:t xml:space="preserve"> are an increasingly important part of their business models</w:t>
      </w:r>
      <w:r w:rsidR="0004141B" w:rsidRPr="00545D5F">
        <w:rPr>
          <w:rStyle w:val="Appelnotedebasdep"/>
          <w:rFonts w:ascii="Arial" w:hAnsi="Arial" w:cs="Arial"/>
          <w:sz w:val="24"/>
          <w:lang w:val="en-AU"/>
        </w:rPr>
        <w:footnoteReference w:id="3"/>
      </w:r>
      <w:r w:rsidR="002F5224" w:rsidRPr="00545D5F">
        <w:rPr>
          <w:rFonts w:ascii="Arial" w:hAnsi="Arial" w:cs="Arial"/>
          <w:lang w:val="en-US"/>
        </w:rPr>
        <w:t>.</w:t>
      </w:r>
      <w:r w:rsidR="00AF6D99" w:rsidRPr="00545D5F">
        <w:rPr>
          <w:rFonts w:ascii="Arial" w:hAnsi="Arial" w:cs="Arial"/>
          <w:lang w:val="en-US"/>
        </w:rPr>
        <w:t xml:space="preserve"> </w:t>
      </w:r>
      <w:r w:rsidR="00CA162E" w:rsidRPr="00545D5F">
        <w:rPr>
          <w:rFonts w:ascii="Arial" w:hAnsi="Arial" w:cs="Arial"/>
          <w:lang w:val="en-US"/>
        </w:rPr>
        <w:t>Indeed,</w:t>
      </w:r>
      <w:r w:rsidR="00181543" w:rsidRPr="00545D5F">
        <w:rPr>
          <w:rFonts w:ascii="Arial" w:hAnsi="Arial" w:cs="Arial"/>
          <w:lang w:val="en-US"/>
        </w:rPr>
        <w:t xml:space="preserve"> in 2018, the Interactive Software Federation of Europe (ISFE) estimated 34% of turnover resulting from in-app purchases and paid apps, including loot boxes</w:t>
      </w:r>
      <w:r w:rsidR="0013078B" w:rsidRPr="00545D5F">
        <w:rPr>
          <w:rStyle w:val="Appelnotedebasdep"/>
          <w:rFonts w:ascii="Arial" w:hAnsi="Arial" w:cs="Arial"/>
          <w:sz w:val="24"/>
          <w:lang w:val="en-AU"/>
        </w:rPr>
        <w:footnoteReference w:id="4"/>
      </w:r>
      <w:r w:rsidR="00181543" w:rsidRPr="00545D5F">
        <w:rPr>
          <w:rFonts w:ascii="Arial" w:hAnsi="Arial" w:cs="Arial"/>
          <w:lang w:val="en-US"/>
        </w:rPr>
        <w:t>.</w:t>
      </w:r>
    </w:p>
    <w:p w14:paraId="4D7E8935" w14:textId="1E7CAEA5" w:rsidR="002F5224" w:rsidRPr="00545D5F" w:rsidRDefault="00037BBF" w:rsidP="002F5224">
      <w:pPr>
        <w:pStyle w:val="NormalWeb"/>
        <w:ind w:firstLine="708"/>
        <w:jc w:val="both"/>
        <w:rPr>
          <w:rFonts w:ascii="Arial" w:hAnsi="Arial" w:cs="Arial"/>
          <w:lang w:val="en-US"/>
        </w:rPr>
      </w:pPr>
      <w:r w:rsidRPr="00545D5F">
        <w:rPr>
          <w:rFonts w:ascii="Arial" w:hAnsi="Arial" w:cs="Arial"/>
          <w:lang w:val="en-US"/>
        </w:rPr>
        <w:t>Among</w:t>
      </w:r>
      <w:r w:rsidR="00547AD4" w:rsidRPr="00545D5F">
        <w:rPr>
          <w:rFonts w:ascii="Arial" w:hAnsi="Arial" w:cs="Arial"/>
          <w:lang w:val="en-US"/>
        </w:rPr>
        <w:t>st</w:t>
      </w:r>
      <w:r w:rsidRPr="00545D5F">
        <w:rPr>
          <w:rFonts w:ascii="Arial" w:hAnsi="Arial" w:cs="Arial"/>
          <w:lang w:val="en-US"/>
        </w:rPr>
        <w:t xml:space="preserve"> the different examples of microtransactions, we can mention l</w:t>
      </w:r>
      <w:r w:rsidR="00FA360A" w:rsidRPr="00545D5F">
        <w:rPr>
          <w:rFonts w:ascii="Arial" w:hAnsi="Arial" w:cs="Arial"/>
          <w:lang w:val="en-US"/>
        </w:rPr>
        <w:t>oot boxes</w:t>
      </w:r>
      <w:r w:rsidRPr="00545D5F">
        <w:rPr>
          <w:rFonts w:ascii="Arial" w:hAnsi="Arial" w:cs="Arial"/>
          <w:lang w:val="en-US"/>
        </w:rPr>
        <w:t xml:space="preserve"> which</w:t>
      </w:r>
      <w:r w:rsidR="00FA360A" w:rsidRPr="00545D5F">
        <w:rPr>
          <w:rFonts w:ascii="Arial" w:hAnsi="Arial" w:cs="Arial"/>
          <w:lang w:val="en-US"/>
        </w:rPr>
        <w:t xml:space="preserve"> can be defined as a virtual </w:t>
      </w:r>
      <w:r w:rsidR="00565A26" w:rsidRPr="00545D5F">
        <w:rPr>
          <w:rFonts w:ascii="Arial" w:hAnsi="Arial" w:cs="Arial"/>
          <w:lang w:val="en-US"/>
        </w:rPr>
        <w:t>“</w:t>
      </w:r>
      <w:r w:rsidR="00FA360A" w:rsidRPr="00545D5F">
        <w:rPr>
          <w:rFonts w:ascii="Arial" w:hAnsi="Arial" w:cs="Arial"/>
          <w:lang w:val="en-US"/>
        </w:rPr>
        <w:t>mystery box</w:t>
      </w:r>
      <w:r w:rsidR="00565A26" w:rsidRPr="00545D5F">
        <w:rPr>
          <w:rFonts w:ascii="Arial" w:hAnsi="Arial" w:cs="Arial"/>
          <w:lang w:val="en-US"/>
        </w:rPr>
        <w:t>”</w:t>
      </w:r>
      <w:r w:rsidR="00FA360A" w:rsidRPr="00545D5F">
        <w:rPr>
          <w:rFonts w:ascii="Arial" w:hAnsi="Arial" w:cs="Arial"/>
          <w:lang w:val="en-US"/>
        </w:rPr>
        <w:t xml:space="preserve"> containing a random item which a player purchases with real money</w:t>
      </w:r>
      <w:r w:rsidR="0004141B" w:rsidRPr="00545D5F">
        <w:rPr>
          <w:rFonts w:ascii="Arial" w:eastAsia="Book Antiqua" w:hAnsi="Arial" w:cs="Arial"/>
          <w:vertAlign w:val="superscript"/>
        </w:rPr>
        <w:footnoteReference w:id="5"/>
      </w:r>
      <w:r w:rsidR="00BF333D" w:rsidRPr="00545D5F">
        <w:rPr>
          <w:rFonts w:ascii="Arial" w:eastAsia="Book Antiqua" w:hAnsi="Arial" w:cs="Arial"/>
          <w:lang w:val="en-US"/>
        </w:rPr>
        <w:t>, so the player</w:t>
      </w:r>
      <w:r w:rsidR="00783189" w:rsidRPr="00545D5F">
        <w:rPr>
          <w:rFonts w:ascii="Arial" w:eastAsia="Book Antiqua" w:hAnsi="Arial" w:cs="Arial"/>
          <w:lang w:val="en-US"/>
        </w:rPr>
        <w:t>s do not know what they will get before opening</w:t>
      </w:r>
      <w:r w:rsidR="00565A26" w:rsidRPr="00545D5F">
        <w:rPr>
          <w:rFonts w:ascii="Arial" w:eastAsia="Book Antiqua" w:hAnsi="Arial" w:cs="Arial"/>
          <w:lang w:val="en-US"/>
        </w:rPr>
        <w:t xml:space="preserve"> them</w:t>
      </w:r>
      <w:r w:rsidR="00783189" w:rsidRPr="00545D5F">
        <w:rPr>
          <w:rFonts w:ascii="Arial" w:eastAsia="Book Antiqua" w:hAnsi="Arial" w:cs="Arial"/>
          <w:vertAlign w:val="superscript"/>
        </w:rPr>
        <w:footnoteReference w:id="6"/>
      </w:r>
      <w:r w:rsidR="002F5224" w:rsidRPr="00545D5F">
        <w:rPr>
          <w:rFonts w:ascii="Arial" w:hAnsi="Arial" w:cs="Arial"/>
          <w:lang w:val="en-US"/>
        </w:rPr>
        <w:t>.</w:t>
      </w:r>
      <w:r w:rsidR="00450DBD" w:rsidRPr="00545D5F">
        <w:rPr>
          <w:rFonts w:ascii="Arial" w:hAnsi="Arial" w:cs="Arial"/>
          <w:lang w:val="en-US"/>
        </w:rPr>
        <w:t>These items</w:t>
      </w:r>
      <w:r w:rsidR="0024564A" w:rsidRPr="00545D5F">
        <w:rPr>
          <w:rFonts w:ascii="Arial" w:hAnsi="Arial" w:cs="Arial"/>
          <w:lang w:val="en-US"/>
        </w:rPr>
        <w:t xml:space="preserve">, which aim is to keep games </w:t>
      </w:r>
      <w:r w:rsidR="00565A26" w:rsidRPr="00545D5F">
        <w:rPr>
          <w:rFonts w:ascii="Arial" w:hAnsi="Arial" w:cs="Arial"/>
          <w:lang w:val="en-US"/>
        </w:rPr>
        <w:t>interesting for gamers</w:t>
      </w:r>
      <w:r w:rsidR="00667BC6" w:rsidRPr="00545D5F">
        <w:rPr>
          <w:rFonts w:ascii="Arial" w:hAnsi="Arial" w:cs="Arial"/>
          <w:lang w:val="en-US"/>
        </w:rPr>
        <w:t xml:space="preserve"> through variety and novelty</w:t>
      </w:r>
      <w:r w:rsidR="0024564A" w:rsidRPr="00545D5F">
        <w:rPr>
          <w:rFonts w:ascii="Arial" w:hAnsi="Arial" w:cs="Arial"/>
          <w:lang w:val="en-US"/>
        </w:rPr>
        <w:t>,</w:t>
      </w:r>
      <w:r w:rsidR="00450DBD" w:rsidRPr="00545D5F">
        <w:rPr>
          <w:rFonts w:ascii="Arial" w:hAnsi="Arial" w:cs="Arial"/>
          <w:lang w:val="en-US"/>
        </w:rPr>
        <w:t xml:space="preserve"> can be either </w:t>
      </w:r>
      <w:r w:rsidR="00F50CCD" w:rsidRPr="00545D5F">
        <w:rPr>
          <w:rFonts w:ascii="Arial" w:hAnsi="Arial" w:cs="Arial"/>
          <w:lang w:val="en-US"/>
        </w:rPr>
        <w:t xml:space="preserve">cosmetic for game customization (e.g. skins </w:t>
      </w:r>
      <w:r w:rsidR="00F50CCD" w:rsidRPr="00545D5F">
        <w:rPr>
          <w:rFonts w:ascii="Arial" w:hAnsi="Arial" w:cs="Arial"/>
          <w:lang w:val="en-US"/>
        </w:rPr>
        <w:lastRenderedPageBreak/>
        <w:t xml:space="preserve">and new looks for the player’s avatar) or </w:t>
      </w:r>
      <w:r w:rsidR="00D61DD8" w:rsidRPr="00545D5F">
        <w:rPr>
          <w:rFonts w:ascii="Arial" w:hAnsi="Arial" w:cs="Arial"/>
          <w:lang w:val="en-US"/>
        </w:rPr>
        <w:t>items</w:t>
      </w:r>
      <w:r w:rsidR="00F50CCD" w:rsidRPr="00545D5F">
        <w:rPr>
          <w:rFonts w:ascii="Arial" w:hAnsi="Arial" w:cs="Arial"/>
          <w:lang w:val="en-US"/>
        </w:rPr>
        <w:t xml:space="preserve"> affecting gameplay (e.g. tools, weapons, levels</w:t>
      </w:r>
      <w:r w:rsidR="00EB12CD" w:rsidRPr="00545D5F">
        <w:rPr>
          <w:rFonts w:ascii="Arial" w:hAnsi="Arial" w:cs="Arial"/>
          <w:lang w:val="en-US"/>
        </w:rPr>
        <w:t>, maps, in-game currency etc.</w:t>
      </w:r>
      <w:r w:rsidR="00F50CCD" w:rsidRPr="00545D5F">
        <w:rPr>
          <w:rFonts w:ascii="Arial" w:hAnsi="Arial" w:cs="Arial"/>
          <w:lang w:val="en-US"/>
        </w:rPr>
        <w:t>)</w:t>
      </w:r>
      <w:r w:rsidR="00D61DD8" w:rsidRPr="00545D5F">
        <w:rPr>
          <w:rStyle w:val="Appelnotedebasdep"/>
          <w:rFonts w:ascii="Arial" w:hAnsi="Arial" w:cs="Arial"/>
          <w:sz w:val="24"/>
          <w:lang w:val="en-AU"/>
        </w:rPr>
        <w:footnoteReference w:id="7"/>
      </w:r>
      <w:r w:rsidR="002F5224" w:rsidRPr="00545D5F">
        <w:rPr>
          <w:rFonts w:ascii="Arial" w:hAnsi="Arial" w:cs="Arial"/>
          <w:lang w:val="en-US"/>
        </w:rPr>
        <w:t xml:space="preserve">. </w:t>
      </w:r>
    </w:p>
    <w:p w14:paraId="341A229E" w14:textId="67B19E20" w:rsidR="0024564A" w:rsidRPr="00545D5F" w:rsidRDefault="00FA360A" w:rsidP="002F5224">
      <w:pPr>
        <w:pStyle w:val="NormalWeb"/>
        <w:ind w:firstLine="708"/>
        <w:jc w:val="both"/>
        <w:rPr>
          <w:rFonts w:ascii="Arial" w:hAnsi="Arial" w:cs="Arial"/>
          <w:lang w:val="en-US"/>
        </w:rPr>
      </w:pPr>
      <w:r w:rsidRPr="00545D5F">
        <w:rPr>
          <w:rFonts w:ascii="Arial" w:hAnsi="Arial" w:cs="Arial"/>
          <w:lang w:val="en-US"/>
        </w:rPr>
        <w:t>As such, loot boxes are similar to the mystery sticker packs or cards (e.g. with football or baseball players) which one can purchase at a newsstand, with one key difference: contrary to the tangible world in which the seller of the sticker/card pack has no means of knowing exactly which cards are missing from a buyer’s collection, video game publishers gather a substantial amount of data about their players and are therefore able to manipulate the mystery content’s drop odds (</w:t>
      </w:r>
      <w:r w:rsidRPr="00545D5F">
        <w:rPr>
          <w:rFonts w:ascii="Arial" w:hAnsi="Arial" w:cs="Arial"/>
          <w:i/>
          <w:iCs/>
          <w:lang w:val="en-US"/>
        </w:rPr>
        <w:t>i.e.</w:t>
      </w:r>
      <w:r w:rsidRPr="00545D5F">
        <w:rPr>
          <w:rFonts w:ascii="Arial" w:hAnsi="Arial" w:cs="Arial"/>
          <w:lang w:val="en-US"/>
        </w:rPr>
        <w:t xml:space="preserve"> favoring the drop of some common digital items</w:t>
      </w:r>
      <w:r w:rsidR="00450DBD" w:rsidRPr="00545D5F">
        <w:rPr>
          <w:rFonts w:ascii="Arial" w:hAnsi="Arial" w:cs="Arial"/>
          <w:lang w:val="en-US"/>
        </w:rPr>
        <w:t xml:space="preserve"> such as </w:t>
      </w:r>
      <w:r w:rsidRPr="00545D5F">
        <w:rPr>
          <w:rFonts w:ascii="Arial" w:hAnsi="Arial" w:cs="Arial"/>
          <w:lang w:val="en-US"/>
        </w:rPr>
        <w:t>weapons, armors etc.</w:t>
      </w:r>
      <w:r w:rsidR="00450DBD" w:rsidRPr="00545D5F">
        <w:rPr>
          <w:rFonts w:ascii="Arial" w:hAnsi="Arial" w:cs="Arial"/>
          <w:lang w:val="en-US"/>
        </w:rPr>
        <w:t>,</w:t>
      </w:r>
      <w:r w:rsidRPr="00545D5F">
        <w:rPr>
          <w:rFonts w:ascii="Arial" w:hAnsi="Arial" w:cs="Arial"/>
          <w:lang w:val="en-US"/>
        </w:rPr>
        <w:t xml:space="preserve"> rather than the rare ones). </w:t>
      </w:r>
    </w:p>
    <w:p w14:paraId="672B5E6C" w14:textId="7C712E65" w:rsidR="00E23033" w:rsidRPr="00545D5F" w:rsidRDefault="00E23033" w:rsidP="00FA360A">
      <w:pPr>
        <w:pStyle w:val="NormalWeb"/>
        <w:ind w:firstLine="708"/>
        <w:jc w:val="both"/>
        <w:rPr>
          <w:rFonts w:ascii="Arial" w:hAnsi="Arial" w:cs="Arial"/>
          <w:lang w:val="en-US"/>
        </w:rPr>
      </w:pPr>
      <w:r w:rsidRPr="00545D5F">
        <w:rPr>
          <w:rFonts w:ascii="Arial" w:hAnsi="Arial" w:cs="Arial"/>
          <w:lang w:val="en-US"/>
        </w:rPr>
        <w:t>In this context, there are in our opinion different issues</w:t>
      </w:r>
      <w:r w:rsidR="00037BBF" w:rsidRPr="00545D5F">
        <w:rPr>
          <w:rFonts w:ascii="Arial" w:hAnsi="Arial" w:cs="Arial"/>
          <w:lang w:val="en-US"/>
        </w:rPr>
        <w:t xml:space="preserve"> at stake</w:t>
      </w:r>
      <w:r w:rsidRPr="00545D5F">
        <w:rPr>
          <w:rFonts w:ascii="Arial" w:hAnsi="Arial" w:cs="Arial"/>
          <w:lang w:val="en-US"/>
        </w:rPr>
        <w:t xml:space="preserve"> that need to be addressed </w:t>
      </w:r>
      <w:r w:rsidR="00F7443A" w:rsidRPr="00545D5F">
        <w:rPr>
          <w:rFonts w:ascii="Arial" w:hAnsi="Arial" w:cs="Arial"/>
          <w:lang w:val="en-US"/>
        </w:rPr>
        <w:t xml:space="preserve">including </w:t>
      </w:r>
      <w:r w:rsidR="00780462" w:rsidRPr="00545D5F">
        <w:rPr>
          <w:rFonts w:ascii="Arial" w:hAnsi="Arial" w:cs="Arial"/>
          <w:lang w:val="en-US"/>
        </w:rPr>
        <w:t>the</w:t>
      </w:r>
      <w:r w:rsidR="00037BBF" w:rsidRPr="00545D5F">
        <w:rPr>
          <w:rFonts w:ascii="Arial" w:hAnsi="Arial" w:cs="Arial"/>
          <w:lang w:val="en-US"/>
        </w:rPr>
        <w:t xml:space="preserve"> </w:t>
      </w:r>
      <w:r w:rsidRPr="00545D5F">
        <w:rPr>
          <w:rFonts w:ascii="Arial" w:hAnsi="Arial" w:cs="Arial"/>
          <w:lang w:val="en-US"/>
        </w:rPr>
        <w:t>lack of transparency</w:t>
      </w:r>
      <w:r w:rsidR="0041441F" w:rsidRPr="00545D5F">
        <w:rPr>
          <w:rFonts w:ascii="Arial" w:hAnsi="Arial" w:cs="Arial"/>
          <w:lang w:val="en-US"/>
        </w:rPr>
        <w:t xml:space="preserve"> regarding the algorithms used in the gaming industry</w:t>
      </w:r>
      <w:r w:rsidR="00780462" w:rsidRPr="00545D5F">
        <w:rPr>
          <w:rFonts w:ascii="Arial" w:hAnsi="Arial" w:cs="Arial"/>
          <w:lang w:val="en-US"/>
        </w:rPr>
        <w:t>,</w:t>
      </w:r>
      <w:r w:rsidRPr="00545D5F">
        <w:rPr>
          <w:rFonts w:ascii="Arial" w:hAnsi="Arial" w:cs="Arial"/>
          <w:lang w:val="en-US"/>
        </w:rPr>
        <w:t xml:space="preserve"> </w:t>
      </w:r>
      <w:r w:rsidR="00B77A70" w:rsidRPr="00545D5F">
        <w:rPr>
          <w:rFonts w:ascii="Arial" w:hAnsi="Arial" w:cs="Arial"/>
          <w:lang w:val="en-US"/>
        </w:rPr>
        <w:t xml:space="preserve">the data collection process and </w:t>
      </w:r>
      <w:r w:rsidR="00780462" w:rsidRPr="00545D5F">
        <w:rPr>
          <w:rFonts w:ascii="Arial" w:hAnsi="Arial" w:cs="Arial"/>
          <w:lang w:val="en-US"/>
        </w:rPr>
        <w:t>the</w:t>
      </w:r>
      <w:r w:rsidR="00B77A70" w:rsidRPr="00545D5F">
        <w:rPr>
          <w:rFonts w:ascii="Arial" w:hAnsi="Arial" w:cs="Arial"/>
          <w:lang w:val="en-US"/>
        </w:rPr>
        <w:t xml:space="preserve"> risk of depend</w:t>
      </w:r>
      <w:r w:rsidR="00041DC4" w:rsidRPr="00545D5F">
        <w:rPr>
          <w:rFonts w:ascii="Arial" w:hAnsi="Arial" w:cs="Arial"/>
          <w:lang w:val="en-US"/>
        </w:rPr>
        <w:t xml:space="preserve">ency similar to </w:t>
      </w:r>
      <w:r w:rsidR="0041441F" w:rsidRPr="00545D5F">
        <w:rPr>
          <w:rFonts w:ascii="Arial" w:hAnsi="Arial" w:cs="Arial"/>
          <w:lang w:val="en-US"/>
        </w:rPr>
        <w:t>gambling.</w:t>
      </w:r>
      <w:r w:rsidR="00041DC4" w:rsidRPr="00545D5F">
        <w:rPr>
          <w:rFonts w:ascii="Arial" w:hAnsi="Arial" w:cs="Arial"/>
          <w:lang w:val="en-US"/>
        </w:rPr>
        <w:t xml:space="preserve"> </w:t>
      </w:r>
    </w:p>
    <w:p w14:paraId="49577D24" w14:textId="46389574" w:rsidR="007C5BC2" w:rsidRPr="00545D5F" w:rsidRDefault="00D905A3" w:rsidP="007C5BC2">
      <w:pPr>
        <w:pStyle w:val="NormalWeb"/>
        <w:ind w:firstLine="708"/>
        <w:jc w:val="both"/>
        <w:rPr>
          <w:rFonts w:ascii="Arial" w:eastAsia="Book Antiqua" w:hAnsi="Arial" w:cs="Arial"/>
          <w:vertAlign w:val="superscript"/>
          <w:lang w:val="en-US"/>
        </w:rPr>
      </w:pPr>
      <w:r w:rsidRPr="00545D5F">
        <w:rPr>
          <w:rFonts w:ascii="Arial" w:hAnsi="Arial" w:cs="Arial"/>
          <w:lang w:val="en-US"/>
        </w:rPr>
        <w:t>Indeed, s</w:t>
      </w:r>
      <w:r w:rsidR="00FA360A" w:rsidRPr="00545D5F">
        <w:rPr>
          <w:rFonts w:ascii="Arial" w:hAnsi="Arial" w:cs="Arial"/>
          <w:lang w:val="en-US"/>
        </w:rPr>
        <w:t>ome concerns have recently arisen regarding the video game industry’s lack of transparency regarding its algorithms</w:t>
      </w:r>
      <w:r w:rsidR="007B692F" w:rsidRPr="00545D5F">
        <w:rPr>
          <w:rFonts w:ascii="Arial" w:hAnsi="Arial" w:cs="Arial"/>
          <w:lang w:val="en-US"/>
        </w:rPr>
        <w:t xml:space="preserve"> (for instance </w:t>
      </w:r>
      <w:r w:rsidR="003D1D32" w:rsidRPr="00545D5F">
        <w:rPr>
          <w:rFonts w:ascii="Arial" w:hAnsi="Arial" w:cs="Arial"/>
          <w:lang w:val="en-US"/>
        </w:rPr>
        <w:t>some patents were registered in the US aiming at encouraging player to spend more money</w:t>
      </w:r>
      <w:r w:rsidR="003D1D32" w:rsidRPr="00545D5F">
        <w:rPr>
          <w:rFonts w:ascii="Arial" w:eastAsia="Book Antiqua" w:hAnsi="Arial" w:cs="Arial"/>
          <w:vertAlign w:val="superscript"/>
        </w:rPr>
        <w:footnoteReference w:id="8"/>
      </w:r>
      <w:r w:rsidR="003D1D32" w:rsidRPr="00545D5F">
        <w:rPr>
          <w:rFonts w:ascii="Arial" w:hAnsi="Arial" w:cs="Arial"/>
          <w:lang w:val="en-US"/>
        </w:rPr>
        <w:t>)</w:t>
      </w:r>
      <w:r w:rsidR="003D1D32" w:rsidRPr="00545D5F">
        <w:rPr>
          <w:rFonts w:ascii="Arial" w:eastAsia="Book Antiqua" w:hAnsi="Arial" w:cs="Arial"/>
          <w:vertAlign w:val="superscript"/>
        </w:rPr>
        <w:footnoteReference w:id="9"/>
      </w:r>
      <w:r w:rsidR="003D1D32" w:rsidRPr="00545D5F">
        <w:rPr>
          <w:rFonts w:ascii="Arial" w:eastAsia="Book Antiqua" w:hAnsi="Arial" w:cs="Arial"/>
          <w:color w:val="000000"/>
          <w:lang w:val="en-US"/>
        </w:rPr>
        <w:t>.</w:t>
      </w:r>
      <w:r w:rsidR="003D1D32" w:rsidRPr="00545D5F">
        <w:rPr>
          <w:rFonts w:ascii="Arial" w:eastAsia="Book Antiqua" w:hAnsi="Arial" w:cs="Arial"/>
          <w:lang w:val="en-US"/>
        </w:rPr>
        <w:t xml:space="preserve"> Thus, some designated these practices as </w:t>
      </w:r>
      <w:r w:rsidR="0013078B">
        <w:rPr>
          <w:rFonts w:ascii="Arial" w:eastAsia="Book Antiqua" w:hAnsi="Arial" w:cs="Arial"/>
          <w:lang w:val="en-US"/>
        </w:rPr>
        <w:t>“</w:t>
      </w:r>
      <w:r w:rsidR="003D1D32" w:rsidRPr="0013078B">
        <w:rPr>
          <w:rFonts w:ascii="Arial" w:eastAsia="Book Antiqua" w:hAnsi="Arial" w:cs="Arial"/>
          <w:i/>
          <w:iCs/>
          <w:lang w:val="en-US"/>
        </w:rPr>
        <w:t>predatory monetarization schemes</w:t>
      </w:r>
      <w:r w:rsidR="0013078B">
        <w:rPr>
          <w:rFonts w:ascii="Arial" w:eastAsia="Book Antiqua" w:hAnsi="Arial" w:cs="Arial"/>
          <w:lang w:val="en-US"/>
        </w:rPr>
        <w:t>”</w:t>
      </w:r>
      <w:r w:rsidR="003D1D32" w:rsidRPr="00545D5F">
        <w:rPr>
          <w:rFonts w:ascii="Arial" w:eastAsia="Book Antiqua" w:hAnsi="Arial" w:cs="Arial"/>
          <w:vertAlign w:val="superscript"/>
        </w:rPr>
        <w:footnoteReference w:id="10"/>
      </w:r>
      <w:r w:rsidR="0071690F">
        <w:rPr>
          <w:rFonts w:ascii="Arial" w:eastAsia="Book Antiqua" w:hAnsi="Arial" w:cs="Arial"/>
          <w:lang w:val="en-US"/>
        </w:rPr>
        <w:t>.</w:t>
      </w:r>
      <w:r w:rsidR="00F91BC9" w:rsidRPr="00545D5F">
        <w:rPr>
          <w:rFonts w:ascii="Arial" w:eastAsia="Book Antiqua" w:hAnsi="Arial" w:cs="Arial"/>
          <w:lang w:val="en-US"/>
        </w:rPr>
        <w:t xml:space="preserve"> </w:t>
      </w:r>
      <w:r w:rsidR="00FC54B3" w:rsidRPr="00545D5F">
        <w:rPr>
          <w:rFonts w:ascii="Arial" w:eastAsia="Book Antiqua" w:hAnsi="Arial" w:cs="Arial"/>
          <w:lang w:val="en-US"/>
        </w:rPr>
        <w:t>In a report dated 2019, a Committee of the British Parliament acknowledged that the video game industry has put in place scientifically proven mechanisms to create repetitive habits even if they are reluctant to admit it</w:t>
      </w:r>
      <w:r w:rsidR="00FC54B3" w:rsidRPr="00545D5F">
        <w:rPr>
          <w:rFonts w:ascii="Arial" w:eastAsia="Book Antiqua" w:hAnsi="Arial" w:cs="Arial"/>
          <w:vertAlign w:val="superscript"/>
        </w:rPr>
        <w:footnoteReference w:id="11"/>
      </w:r>
      <w:r w:rsidR="002F5224" w:rsidRPr="00545D5F">
        <w:rPr>
          <w:rFonts w:ascii="Arial" w:eastAsia="Book Antiqua" w:hAnsi="Arial" w:cs="Arial"/>
          <w:lang w:val="en-US"/>
        </w:rPr>
        <w:t>.</w:t>
      </w:r>
      <w:r w:rsidR="0071690F">
        <w:rPr>
          <w:rFonts w:ascii="Arial" w:eastAsia="Book Antiqua" w:hAnsi="Arial" w:cs="Arial"/>
          <w:lang w:val="en-US"/>
        </w:rPr>
        <w:t xml:space="preserve"> </w:t>
      </w:r>
      <w:r w:rsidR="007C5BC2" w:rsidRPr="00545D5F">
        <w:rPr>
          <w:rFonts w:ascii="Arial" w:eastAsia="Book Antiqua" w:hAnsi="Arial" w:cs="Arial"/>
          <w:lang w:val="en-US"/>
        </w:rPr>
        <w:t xml:space="preserve">In this respective, </w:t>
      </w:r>
      <w:r w:rsidR="007C5BC2" w:rsidRPr="00545D5F">
        <w:rPr>
          <w:rFonts w:ascii="Arial" w:hAnsi="Arial" w:cs="Arial"/>
          <w:lang w:val="en-AU"/>
        </w:rPr>
        <w:t>the European Parliament stated that “</w:t>
      </w:r>
      <w:r w:rsidR="007C5BC2" w:rsidRPr="00545D5F">
        <w:rPr>
          <w:rFonts w:ascii="Arial" w:hAnsi="Arial" w:cs="Arial"/>
          <w:i/>
          <w:iCs/>
          <w:lang w:val="en-AU"/>
        </w:rPr>
        <w:t xml:space="preserve">loot boxes could lead to excessive screen </w:t>
      </w:r>
      <w:r w:rsidR="00547AD4" w:rsidRPr="00545D5F">
        <w:rPr>
          <w:rFonts w:ascii="Arial" w:hAnsi="Arial" w:cs="Arial"/>
          <w:i/>
          <w:iCs/>
          <w:lang w:val="en-AU"/>
        </w:rPr>
        <w:t>times and</w:t>
      </w:r>
      <w:r w:rsidR="007C5BC2" w:rsidRPr="00545D5F">
        <w:rPr>
          <w:rFonts w:ascii="Arial" w:hAnsi="Arial" w:cs="Arial"/>
          <w:i/>
          <w:iCs/>
          <w:lang w:val="en-AU"/>
        </w:rPr>
        <w:t xml:space="preserve"> trigger broader psychological and financial consequences if players and parents do not control their own or their children’s play habits and spending</w:t>
      </w:r>
      <w:r w:rsidR="007C5BC2" w:rsidRPr="00545D5F">
        <w:rPr>
          <w:rFonts w:ascii="Arial" w:hAnsi="Arial" w:cs="Arial"/>
          <w:lang w:val="en-AU"/>
        </w:rPr>
        <w:t>”</w:t>
      </w:r>
      <w:r w:rsidR="007C5BC2" w:rsidRPr="00545D5F">
        <w:rPr>
          <w:rFonts w:ascii="Arial" w:eastAsia="Book Antiqua" w:hAnsi="Arial" w:cs="Arial"/>
          <w:vertAlign w:val="superscript"/>
        </w:rPr>
        <w:footnoteReference w:id="12"/>
      </w:r>
      <w:r w:rsidR="002F5224" w:rsidRPr="00545D5F">
        <w:rPr>
          <w:rFonts w:ascii="Arial" w:hAnsi="Arial" w:cs="Arial"/>
          <w:lang w:val="en-AU"/>
        </w:rPr>
        <w:t xml:space="preserve">. </w:t>
      </w:r>
    </w:p>
    <w:p w14:paraId="42D7D836" w14:textId="77777777" w:rsidR="00451119" w:rsidRPr="00545D5F" w:rsidRDefault="00451119" w:rsidP="00755A95">
      <w:pPr>
        <w:pStyle w:val="NormalWeb"/>
        <w:jc w:val="both"/>
        <w:rPr>
          <w:rFonts w:ascii="Arial" w:eastAsia="Book Antiqua" w:hAnsi="Arial" w:cs="Arial"/>
          <w:lang w:val="en-US"/>
        </w:rPr>
      </w:pPr>
    </w:p>
    <w:p w14:paraId="05CEBF55" w14:textId="780EEA27" w:rsidR="00204B54" w:rsidRPr="00545D5F" w:rsidRDefault="00451119" w:rsidP="00547AD4">
      <w:pPr>
        <w:pStyle w:val="NormalWeb"/>
        <w:ind w:firstLine="708"/>
        <w:jc w:val="both"/>
        <w:rPr>
          <w:rFonts w:ascii="Arial" w:eastAsia="Book Antiqua" w:hAnsi="Arial" w:cs="Arial"/>
          <w:lang w:val="en-US"/>
        </w:rPr>
      </w:pPr>
      <w:r w:rsidRPr="00545D5F">
        <w:rPr>
          <w:rFonts w:ascii="Arial" w:eastAsia="Book Antiqua" w:hAnsi="Arial" w:cs="Arial"/>
          <w:lang w:val="en-US"/>
        </w:rPr>
        <w:t>T</w:t>
      </w:r>
      <w:r w:rsidR="00FC54B3" w:rsidRPr="00545D5F">
        <w:rPr>
          <w:rFonts w:ascii="Arial" w:eastAsia="Book Antiqua" w:hAnsi="Arial" w:cs="Arial"/>
          <w:lang w:val="en-US"/>
        </w:rPr>
        <w:t>he video game industry is data driven and intensively exploits the data of their users ("</w:t>
      </w:r>
      <w:r w:rsidR="00FC54B3" w:rsidRPr="0013078B">
        <w:rPr>
          <w:rFonts w:ascii="Arial" w:eastAsia="Book Antiqua" w:hAnsi="Arial" w:cs="Arial"/>
          <w:i/>
          <w:iCs/>
          <w:lang w:val="en-US"/>
        </w:rPr>
        <w:t>data driven industry</w:t>
      </w:r>
      <w:r w:rsidR="00FC54B3" w:rsidRPr="00545D5F">
        <w:rPr>
          <w:rFonts w:ascii="Arial" w:eastAsia="Book Antiqua" w:hAnsi="Arial" w:cs="Arial"/>
          <w:lang w:val="en-US"/>
        </w:rPr>
        <w:t>") and deliberately uses information asymmetry</w:t>
      </w:r>
      <w:r w:rsidR="00FC54B3" w:rsidRPr="00545D5F">
        <w:rPr>
          <w:rFonts w:ascii="Arial" w:eastAsia="Book Antiqua" w:hAnsi="Arial" w:cs="Arial"/>
          <w:vertAlign w:val="superscript"/>
        </w:rPr>
        <w:footnoteReference w:id="13"/>
      </w:r>
      <w:r w:rsidR="00FC54B3" w:rsidRPr="00545D5F">
        <w:rPr>
          <w:rFonts w:ascii="Arial" w:eastAsia="Book Antiqua" w:hAnsi="Arial" w:cs="Arial"/>
          <w:lang w:val="en-US"/>
        </w:rPr>
        <w:t xml:space="preserve">. </w:t>
      </w:r>
      <w:r w:rsidR="00107DE1" w:rsidRPr="00545D5F">
        <w:rPr>
          <w:rFonts w:ascii="Arial" w:eastAsia="Book Antiqua" w:hAnsi="Arial" w:cs="Arial"/>
          <w:lang w:val="en-US"/>
        </w:rPr>
        <w:t xml:space="preserve">The lack of transparency also </w:t>
      </w:r>
      <w:r w:rsidR="000A350A" w:rsidRPr="00545D5F">
        <w:rPr>
          <w:rFonts w:ascii="Arial" w:eastAsia="Book Antiqua" w:hAnsi="Arial" w:cs="Arial"/>
          <w:lang w:val="en-US"/>
        </w:rPr>
        <w:t>raises important legal issues with respect to the data collection process</w:t>
      </w:r>
      <w:r w:rsidR="00107DE1" w:rsidRPr="00545D5F">
        <w:rPr>
          <w:rFonts w:ascii="Arial" w:eastAsia="Book Antiqua" w:hAnsi="Arial" w:cs="Arial"/>
          <w:lang w:val="en-US"/>
        </w:rPr>
        <w:t xml:space="preserve"> as expressed by the Swiss Federal Council in 2019</w:t>
      </w:r>
      <w:r w:rsidR="00107DE1" w:rsidRPr="00545D5F">
        <w:rPr>
          <w:rFonts w:ascii="Arial" w:eastAsia="Book Antiqua" w:hAnsi="Arial" w:cs="Arial"/>
          <w:vertAlign w:val="superscript"/>
        </w:rPr>
        <w:footnoteReference w:id="14"/>
      </w:r>
      <w:r w:rsidR="00547AD4" w:rsidRPr="00545D5F">
        <w:rPr>
          <w:rFonts w:ascii="Arial" w:eastAsia="Book Antiqua" w:hAnsi="Arial" w:cs="Arial"/>
          <w:lang w:val="en-US"/>
        </w:rPr>
        <w:t>.</w:t>
      </w:r>
    </w:p>
    <w:p w14:paraId="6C4ECAD3" w14:textId="0D02F566" w:rsidR="00F55B5B" w:rsidRPr="0013078B" w:rsidRDefault="0062684F" w:rsidP="00F55B5B">
      <w:pPr>
        <w:pStyle w:val="NormalWeb"/>
        <w:ind w:firstLine="708"/>
        <w:jc w:val="both"/>
        <w:rPr>
          <w:rFonts w:ascii="Arial" w:hAnsi="Arial" w:cs="Arial"/>
          <w:lang w:val="en-US"/>
        </w:rPr>
      </w:pPr>
      <w:r w:rsidRPr="00545D5F">
        <w:rPr>
          <w:rFonts w:ascii="Arial" w:hAnsi="Arial" w:cs="Arial"/>
          <w:lang w:val="en-AU"/>
        </w:rPr>
        <w:t xml:space="preserve">Finally, </w:t>
      </w:r>
      <w:r w:rsidR="00F55B5B" w:rsidRPr="00545D5F">
        <w:rPr>
          <w:rFonts w:ascii="Arial" w:hAnsi="Arial" w:cs="Arial"/>
          <w:lang w:val="en-US"/>
        </w:rPr>
        <w:t>some studies have shown that loot boxes may trigger the same dependency systems as gambling</w:t>
      </w:r>
      <w:r w:rsidR="00F55B5B" w:rsidRPr="00545D5F">
        <w:rPr>
          <w:rStyle w:val="Appelnotedebasdep"/>
          <w:rFonts w:ascii="Arial" w:hAnsi="Arial" w:cs="Arial"/>
          <w:sz w:val="24"/>
          <w:lang w:val="en-AU"/>
        </w:rPr>
        <w:footnoteReference w:id="15"/>
      </w:r>
      <w:r w:rsidR="00F55B5B" w:rsidRPr="00545D5F">
        <w:rPr>
          <w:rFonts w:ascii="Arial" w:hAnsi="Arial" w:cs="Arial"/>
          <w:lang w:val="en-AU"/>
        </w:rPr>
        <w:t xml:space="preserve"> </w:t>
      </w:r>
      <w:r w:rsidR="00F55B5B" w:rsidRPr="00545D5F">
        <w:rPr>
          <w:rFonts w:ascii="Arial" w:hAnsi="Arial" w:cs="Arial"/>
          <w:lang w:val="en-US"/>
        </w:rPr>
        <w:t>and may be particularly detrimental to children who could be more vulnerable to problematic game designs since they have a reduced ability to exert self-control and more difficulties in understanding valuation and probabilities in games</w:t>
      </w:r>
      <w:r w:rsidR="00F55B5B" w:rsidRPr="0013078B">
        <w:rPr>
          <w:rStyle w:val="Appelnotedebasdep"/>
          <w:rFonts w:ascii="Arial" w:hAnsi="Arial" w:cs="Arial"/>
          <w:sz w:val="24"/>
          <w:lang w:val="en-US"/>
        </w:rPr>
        <w:footnoteReference w:id="16"/>
      </w:r>
      <w:r w:rsidR="00F55B5B" w:rsidRPr="00545D5F">
        <w:rPr>
          <w:rFonts w:ascii="Arial" w:hAnsi="Arial" w:cs="Arial"/>
          <w:lang w:val="en-US"/>
        </w:rPr>
        <w:t>. The European Parliament underlined that some look boxes are surrounded by game designs which could have adverse psychological and financial consequences similar to the addictive designs of conditioning known from slot machines</w:t>
      </w:r>
      <w:r w:rsidR="00F55B5B" w:rsidRPr="0013078B">
        <w:rPr>
          <w:rStyle w:val="Appelnotedebasdep"/>
          <w:rFonts w:ascii="Arial" w:hAnsi="Arial" w:cs="Arial"/>
          <w:sz w:val="24"/>
          <w:lang w:val="en-US"/>
        </w:rPr>
        <w:footnoteReference w:id="17"/>
      </w:r>
      <w:r w:rsidR="00F55B5B" w:rsidRPr="00545D5F">
        <w:rPr>
          <w:rFonts w:ascii="Arial" w:hAnsi="Arial" w:cs="Arial"/>
          <w:lang w:val="en-US"/>
        </w:rPr>
        <w:t xml:space="preserve">. </w:t>
      </w:r>
    </w:p>
    <w:p w14:paraId="4A2D69DC" w14:textId="06499041" w:rsidR="0008732C" w:rsidRPr="00545D5F" w:rsidRDefault="00F55B5B" w:rsidP="00631C84">
      <w:pPr>
        <w:pStyle w:val="NormalWeb"/>
        <w:ind w:firstLine="708"/>
        <w:jc w:val="both"/>
        <w:rPr>
          <w:rFonts w:ascii="Arial" w:hAnsi="Arial" w:cs="Arial"/>
          <w:lang w:val="en-US"/>
        </w:rPr>
      </w:pPr>
      <w:r w:rsidRPr="00545D5F">
        <w:rPr>
          <w:rFonts w:ascii="Arial" w:hAnsi="Arial" w:cs="Arial"/>
          <w:lang w:val="en-AU"/>
        </w:rPr>
        <w:t>T</w:t>
      </w:r>
      <w:r w:rsidR="003D1D32" w:rsidRPr="00545D5F">
        <w:rPr>
          <w:rFonts w:ascii="Arial" w:hAnsi="Arial" w:cs="Arial"/>
          <w:lang w:val="en-AU"/>
        </w:rPr>
        <w:t>hese gaming mechanisms were recognized by the Children’s Commissioner of England stated in a reported dated in 2019, that the monetisation of gaming brought children closer to gambling</w:t>
      </w:r>
      <w:r w:rsidR="003D1D32" w:rsidRPr="00545D5F">
        <w:rPr>
          <w:rStyle w:val="Appelnotedebasdep"/>
          <w:rFonts w:ascii="Arial" w:hAnsi="Arial" w:cs="Arial"/>
          <w:sz w:val="24"/>
          <w:lang w:val="en-AU"/>
        </w:rPr>
        <w:footnoteReference w:id="18"/>
      </w:r>
      <w:r w:rsidR="003D1D32" w:rsidRPr="00545D5F">
        <w:rPr>
          <w:rFonts w:ascii="Arial" w:hAnsi="Arial" w:cs="Arial"/>
          <w:lang w:val="en-AU"/>
        </w:rPr>
        <w:t>. In this respect, the Commission called for the limitation of the role of money in online games for children (for instance, limitation of spending etc.)</w:t>
      </w:r>
      <w:r w:rsidR="003D1D32" w:rsidRPr="00545D5F">
        <w:rPr>
          <w:rStyle w:val="Appelnotedebasdep"/>
          <w:rFonts w:ascii="Arial" w:hAnsi="Arial" w:cs="Arial"/>
          <w:sz w:val="24"/>
          <w:lang w:val="en-AU"/>
        </w:rPr>
        <w:footnoteReference w:id="19"/>
      </w:r>
      <w:r w:rsidR="003D1D32" w:rsidRPr="00545D5F">
        <w:rPr>
          <w:rFonts w:ascii="Arial" w:hAnsi="Arial" w:cs="Arial"/>
          <w:lang w:val="en-AU"/>
        </w:rPr>
        <w:t>.</w:t>
      </w:r>
      <w:r w:rsidR="004E01D7" w:rsidRPr="00545D5F">
        <w:rPr>
          <w:rFonts w:ascii="Arial" w:hAnsi="Arial" w:cs="Arial"/>
          <w:lang w:val="en-AU"/>
        </w:rPr>
        <w:t xml:space="preserve"> </w:t>
      </w:r>
      <w:r w:rsidR="00DF4568" w:rsidRPr="00545D5F">
        <w:rPr>
          <w:rFonts w:ascii="Arial" w:hAnsi="Arial" w:cs="Arial"/>
          <w:lang w:val="en-AU"/>
        </w:rPr>
        <w:t>In addition, t</w:t>
      </w:r>
      <w:r w:rsidR="00912683" w:rsidRPr="00545D5F">
        <w:rPr>
          <w:rFonts w:ascii="Arial" w:hAnsi="Arial" w:cs="Arial"/>
          <w:lang w:val="en-AU"/>
        </w:rPr>
        <w:t xml:space="preserve">he director of </w:t>
      </w:r>
      <w:r w:rsidR="004E01D7" w:rsidRPr="00545D5F">
        <w:rPr>
          <w:rFonts w:ascii="Arial" w:hAnsi="Arial" w:cs="Arial"/>
          <w:lang w:val="en-AU"/>
        </w:rPr>
        <w:t>The</w:t>
      </w:r>
      <w:r w:rsidR="00202B35" w:rsidRPr="00545D5F">
        <w:rPr>
          <w:rFonts w:ascii="Arial" w:hAnsi="Arial" w:cs="Arial"/>
          <w:lang w:val="en-AU"/>
        </w:rPr>
        <w:t xml:space="preserve"> United Kingdom</w:t>
      </w:r>
      <w:r w:rsidR="004E01D7" w:rsidRPr="00545D5F">
        <w:rPr>
          <w:rFonts w:ascii="Arial" w:hAnsi="Arial" w:cs="Arial"/>
          <w:lang w:val="en-AU"/>
        </w:rPr>
        <w:t xml:space="preserve"> National Health Service (NHS)</w:t>
      </w:r>
      <w:r w:rsidR="00912683" w:rsidRPr="00545D5F">
        <w:rPr>
          <w:rFonts w:ascii="Arial" w:hAnsi="Arial" w:cs="Arial"/>
          <w:lang w:val="en-AU"/>
        </w:rPr>
        <w:t>, Claire Murdoch,</w:t>
      </w:r>
      <w:r w:rsidR="004E01D7" w:rsidRPr="00545D5F">
        <w:rPr>
          <w:rFonts w:ascii="Arial" w:hAnsi="Arial" w:cs="Arial"/>
          <w:lang w:val="en-AU"/>
        </w:rPr>
        <w:t xml:space="preserve"> </w:t>
      </w:r>
      <w:r w:rsidR="00202B35" w:rsidRPr="00545D5F">
        <w:rPr>
          <w:rFonts w:ascii="Arial" w:hAnsi="Arial" w:cs="Arial"/>
          <w:lang w:val="en-AU"/>
        </w:rPr>
        <w:t>underlined that loot boxes are “</w:t>
      </w:r>
      <w:r w:rsidR="00202B35" w:rsidRPr="00545D5F">
        <w:rPr>
          <w:rFonts w:ascii="Arial" w:hAnsi="Arial" w:cs="Arial"/>
          <w:i/>
          <w:iCs/>
          <w:lang w:val="en-AU"/>
        </w:rPr>
        <w:t>setting kids up for addiction</w:t>
      </w:r>
      <w:r w:rsidR="00F202F6" w:rsidRPr="00545D5F">
        <w:rPr>
          <w:rFonts w:ascii="Arial" w:hAnsi="Arial" w:cs="Arial"/>
          <w:lang w:val="en-AU"/>
        </w:rPr>
        <w:t>” by building gambling tasks into their games</w:t>
      </w:r>
      <w:r w:rsidR="006D66DF" w:rsidRPr="00545D5F">
        <w:rPr>
          <w:rFonts w:ascii="Arial" w:hAnsi="Arial" w:cs="Arial"/>
          <w:lang w:val="en-AU"/>
        </w:rPr>
        <w:t xml:space="preserve"> and </w:t>
      </w:r>
      <w:r w:rsidR="00EC5F2A" w:rsidRPr="00545D5F">
        <w:rPr>
          <w:rFonts w:ascii="Arial" w:hAnsi="Arial" w:cs="Arial"/>
          <w:lang w:val="en-AU"/>
        </w:rPr>
        <w:t>has called on gaming companies to ban sales of games with loot boxes</w:t>
      </w:r>
      <w:r w:rsidR="00F202F6" w:rsidRPr="00545D5F">
        <w:rPr>
          <w:rStyle w:val="Appelnotedebasdep"/>
          <w:rFonts w:ascii="Arial" w:hAnsi="Arial" w:cs="Arial"/>
          <w:sz w:val="24"/>
          <w:lang w:val="en-AU"/>
        </w:rPr>
        <w:footnoteReference w:id="20"/>
      </w:r>
      <w:r w:rsidR="002F5224" w:rsidRPr="00545D5F">
        <w:rPr>
          <w:rFonts w:ascii="Arial" w:hAnsi="Arial" w:cs="Arial"/>
          <w:lang w:val="en-AU"/>
        </w:rPr>
        <w:t>.</w:t>
      </w:r>
      <w:r w:rsidR="0071690F">
        <w:rPr>
          <w:rFonts w:ascii="Arial" w:hAnsi="Arial" w:cs="Arial"/>
          <w:lang w:val="en-AU"/>
        </w:rPr>
        <w:t xml:space="preserve"> </w:t>
      </w:r>
      <w:r w:rsidR="00F03B87" w:rsidRPr="00545D5F">
        <w:rPr>
          <w:rFonts w:ascii="Arial" w:hAnsi="Arial" w:cs="Arial"/>
          <w:lang w:val="en-AU"/>
        </w:rPr>
        <w:t xml:space="preserve">UNICEF </w:t>
      </w:r>
      <w:r w:rsidR="009A3A2E" w:rsidRPr="00545D5F">
        <w:rPr>
          <w:rFonts w:ascii="Arial" w:hAnsi="Arial" w:cs="Arial"/>
          <w:lang w:val="en-AU"/>
        </w:rPr>
        <w:t>has also categorized gambling as a potential harm to children in</w:t>
      </w:r>
      <w:r w:rsidR="003C3563" w:rsidRPr="00545D5F">
        <w:rPr>
          <w:rFonts w:ascii="Arial" w:hAnsi="Arial" w:cs="Arial"/>
          <w:lang w:val="en-AU"/>
        </w:rPr>
        <w:t xml:space="preserve"> the</w:t>
      </w:r>
      <w:r w:rsidR="009A3A2E" w:rsidRPr="00545D5F">
        <w:rPr>
          <w:rFonts w:ascii="Arial" w:hAnsi="Arial" w:cs="Arial"/>
          <w:lang w:val="en-AU"/>
        </w:rPr>
        <w:t xml:space="preserve"> broader context of commercial exploitatio</w:t>
      </w:r>
      <w:r w:rsidR="00A35915" w:rsidRPr="00545D5F">
        <w:rPr>
          <w:rFonts w:ascii="Arial" w:hAnsi="Arial" w:cs="Arial"/>
          <w:lang w:val="en-AU"/>
        </w:rPr>
        <w:t>n</w:t>
      </w:r>
      <w:r w:rsidR="000B198C" w:rsidRPr="00545D5F">
        <w:rPr>
          <w:rStyle w:val="Appelnotedebasdep"/>
          <w:rFonts w:ascii="Arial" w:hAnsi="Arial" w:cs="Arial"/>
          <w:sz w:val="24"/>
          <w:lang w:val="en-AU"/>
        </w:rPr>
        <w:footnoteReference w:id="21"/>
      </w:r>
      <w:r w:rsidR="002F5224" w:rsidRPr="00545D5F">
        <w:rPr>
          <w:rFonts w:ascii="Arial" w:hAnsi="Arial" w:cs="Arial"/>
          <w:lang w:val="en-AU"/>
        </w:rPr>
        <w:t>.</w:t>
      </w:r>
      <w:r w:rsidR="0071690F">
        <w:rPr>
          <w:rFonts w:ascii="Arial" w:hAnsi="Arial" w:cs="Arial"/>
          <w:lang w:val="en-AU"/>
        </w:rPr>
        <w:t xml:space="preserve"> </w:t>
      </w:r>
      <w:r w:rsidR="00547AD4" w:rsidRPr="00545D5F">
        <w:rPr>
          <w:rFonts w:ascii="Arial" w:hAnsi="Arial" w:cs="Arial"/>
          <w:lang w:val="en-AU"/>
        </w:rPr>
        <w:t xml:space="preserve">It is worth mentioning that under </w:t>
      </w:r>
      <w:r w:rsidR="0008732C" w:rsidRPr="00545D5F">
        <w:rPr>
          <w:rFonts w:ascii="Arial" w:hAnsi="Arial" w:cs="Arial"/>
          <w:lang w:val="en-AU"/>
        </w:rPr>
        <w:t xml:space="preserve">some jurisdictions, those </w:t>
      </w:r>
      <w:r w:rsidR="003723F7" w:rsidRPr="00545D5F">
        <w:rPr>
          <w:rFonts w:ascii="Arial" w:hAnsi="Arial" w:cs="Arial"/>
          <w:lang w:val="en-AU"/>
        </w:rPr>
        <w:t>l</w:t>
      </w:r>
      <w:r w:rsidR="0008732C" w:rsidRPr="00545D5F">
        <w:rPr>
          <w:rFonts w:ascii="Arial" w:hAnsi="Arial" w:cs="Arial"/>
          <w:lang w:val="en-AU"/>
        </w:rPr>
        <w:t>oot</w:t>
      </w:r>
      <w:r w:rsidR="00034768" w:rsidRPr="00545D5F">
        <w:rPr>
          <w:rFonts w:ascii="Arial" w:hAnsi="Arial" w:cs="Arial"/>
          <w:lang w:val="en-AU"/>
        </w:rPr>
        <w:t xml:space="preserve"> </w:t>
      </w:r>
      <w:r w:rsidR="0008732C" w:rsidRPr="00545D5F">
        <w:rPr>
          <w:rFonts w:ascii="Arial" w:hAnsi="Arial" w:cs="Arial"/>
          <w:lang w:val="en-AU"/>
        </w:rPr>
        <w:t>boxes are already regulated as gambling, such is the case in Belgium</w:t>
      </w:r>
      <w:r w:rsidR="00A35915" w:rsidRPr="00545D5F">
        <w:rPr>
          <w:rStyle w:val="Appelnotedebasdep"/>
          <w:rFonts w:ascii="Arial" w:hAnsi="Arial" w:cs="Arial"/>
          <w:sz w:val="24"/>
          <w:lang w:val="en-AU"/>
        </w:rPr>
        <w:footnoteReference w:id="22"/>
      </w:r>
      <w:r w:rsidR="00A35915" w:rsidRPr="00545D5F">
        <w:rPr>
          <w:rFonts w:ascii="Arial" w:hAnsi="Arial" w:cs="Arial"/>
          <w:lang w:val="en-AU"/>
        </w:rPr>
        <w:t xml:space="preserve"> </w:t>
      </w:r>
      <w:r w:rsidR="0008732C" w:rsidRPr="00545D5F">
        <w:rPr>
          <w:rFonts w:ascii="Arial" w:hAnsi="Arial" w:cs="Arial"/>
          <w:lang w:val="en-AU"/>
        </w:rPr>
        <w:t xml:space="preserve">or in some </w:t>
      </w:r>
      <w:r w:rsidR="00A35915" w:rsidRPr="00545D5F">
        <w:rPr>
          <w:rFonts w:ascii="Arial" w:hAnsi="Arial" w:cs="Arial"/>
          <w:lang w:val="en-AU"/>
        </w:rPr>
        <w:t>S</w:t>
      </w:r>
      <w:r w:rsidR="0008732C" w:rsidRPr="00545D5F">
        <w:rPr>
          <w:rFonts w:ascii="Arial" w:hAnsi="Arial" w:cs="Arial"/>
          <w:lang w:val="en-AU"/>
        </w:rPr>
        <w:t xml:space="preserve">tates </w:t>
      </w:r>
      <w:r w:rsidR="00A35915" w:rsidRPr="00545D5F">
        <w:rPr>
          <w:rFonts w:ascii="Arial" w:hAnsi="Arial" w:cs="Arial"/>
          <w:lang w:val="en-AU"/>
        </w:rPr>
        <w:t xml:space="preserve">of </w:t>
      </w:r>
      <w:r w:rsidR="0008732C" w:rsidRPr="00545D5F">
        <w:rPr>
          <w:rFonts w:ascii="Arial" w:hAnsi="Arial" w:cs="Arial"/>
          <w:lang w:val="en-AU"/>
        </w:rPr>
        <w:t>the United States</w:t>
      </w:r>
      <w:r w:rsidR="00631C84" w:rsidRPr="00545D5F">
        <w:rPr>
          <w:rStyle w:val="Appelnotedebasdep"/>
          <w:rFonts w:ascii="Arial" w:hAnsi="Arial" w:cs="Arial"/>
          <w:sz w:val="24"/>
          <w:lang w:val="en-AU"/>
        </w:rPr>
        <w:footnoteReference w:id="23"/>
      </w:r>
      <w:r w:rsidR="0008732C" w:rsidRPr="00545D5F">
        <w:rPr>
          <w:rFonts w:ascii="Arial" w:hAnsi="Arial" w:cs="Arial"/>
          <w:lang w:val="en-AU"/>
        </w:rPr>
        <w:t xml:space="preserve">. </w:t>
      </w:r>
      <w:r w:rsidR="0008732C" w:rsidRPr="00545D5F">
        <w:rPr>
          <w:rFonts w:ascii="Arial" w:hAnsi="Arial" w:cs="Arial"/>
          <w:lang w:val="en-US"/>
        </w:rPr>
        <w:t xml:space="preserve">Thus, as such, </w:t>
      </w:r>
      <w:r w:rsidR="0008732C" w:rsidRPr="00545D5F">
        <w:rPr>
          <w:rFonts w:ascii="Arial" w:hAnsi="Arial" w:cs="Arial"/>
          <w:lang w:val="en-US"/>
        </w:rPr>
        <w:lastRenderedPageBreak/>
        <w:t xml:space="preserve">those </w:t>
      </w:r>
      <w:r w:rsidR="003723F7" w:rsidRPr="00545D5F">
        <w:rPr>
          <w:rFonts w:ascii="Arial" w:hAnsi="Arial" w:cs="Arial"/>
          <w:lang w:val="en-US"/>
        </w:rPr>
        <w:t>l</w:t>
      </w:r>
      <w:r w:rsidR="0008732C" w:rsidRPr="00545D5F">
        <w:rPr>
          <w:rFonts w:ascii="Arial" w:hAnsi="Arial" w:cs="Arial"/>
          <w:lang w:val="en-US"/>
        </w:rPr>
        <w:t>oot</w:t>
      </w:r>
      <w:r w:rsidR="00034768" w:rsidRPr="00545D5F">
        <w:rPr>
          <w:rFonts w:ascii="Arial" w:hAnsi="Arial" w:cs="Arial"/>
          <w:lang w:val="en-US"/>
        </w:rPr>
        <w:t xml:space="preserve"> </w:t>
      </w:r>
      <w:r w:rsidR="0008732C" w:rsidRPr="00545D5F">
        <w:rPr>
          <w:rFonts w:ascii="Arial" w:hAnsi="Arial" w:cs="Arial"/>
          <w:lang w:val="en-US"/>
        </w:rPr>
        <w:t>boxes should not be accessible for children</w:t>
      </w:r>
      <w:r w:rsidR="002237DE" w:rsidRPr="00545D5F">
        <w:rPr>
          <w:rFonts w:ascii="Arial" w:hAnsi="Arial" w:cs="Arial"/>
          <w:lang w:val="en-US"/>
        </w:rPr>
        <w:t xml:space="preserve"> provided that they fall within this regulation</w:t>
      </w:r>
      <w:r w:rsidR="0008732C" w:rsidRPr="00545D5F">
        <w:rPr>
          <w:rFonts w:ascii="Arial" w:hAnsi="Arial" w:cs="Arial"/>
          <w:lang w:val="en-US"/>
        </w:rPr>
        <w:t xml:space="preserve">. Nonetheless, the legal framework is still </w:t>
      </w:r>
      <w:r w:rsidR="00631C84" w:rsidRPr="00545D5F">
        <w:rPr>
          <w:rFonts w:ascii="Arial" w:hAnsi="Arial" w:cs="Arial"/>
          <w:lang w:val="en-US"/>
        </w:rPr>
        <w:t>scattered</w:t>
      </w:r>
      <w:r w:rsidR="00631C84" w:rsidRPr="00545D5F">
        <w:rPr>
          <w:rStyle w:val="Appelnotedebasdep"/>
          <w:rFonts w:ascii="Arial" w:hAnsi="Arial" w:cs="Arial"/>
          <w:sz w:val="24"/>
          <w:lang w:val="en-AU"/>
        </w:rPr>
        <w:footnoteReference w:id="24"/>
      </w:r>
      <w:r w:rsidR="00631C84" w:rsidRPr="00545D5F">
        <w:rPr>
          <w:rStyle w:val="Appelnotedebasdep"/>
          <w:rFonts w:ascii="Arial" w:hAnsi="Arial" w:cs="Arial"/>
          <w:sz w:val="24"/>
          <w:lang w:val="en-AU"/>
        </w:rPr>
        <w:t xml:space="preserve"> </w:t>
      </w:r>
      <w:r w:rsidR="0008732C" w:rsidRPr="00545D5F">
        <w:rPr>
          <w:rFonts w:ascii="Arial" w:hAnsi="Arial" w:cs="Arial"/>
          <w:lang w:val="en-US"/>
        </w:rPr>
        <w:t>a</w:t>
      </w:r>
      <w:r w:rsidR="002237DE" w:rsidRPr="00545D5F">
        <w:rPr>
          <w:rFonts w:ascii="Arial" w:hAnsi="Arial" w:cs="Arial"/>
          <w:lang w:val="en-US"/>
        </w:rPr>
        <w:t xml:space="preserve">lthough there are </w:t>
      </w:r>
      <w:r w:rsidR="0008732C" w:rsidRPr="00545D5F">
        <w:rPr>
          <w:rFonts w:ascii="Arial" w:hAnsi="Arial" w:cs="Arial"/>
          <w:lang w:val="en-US"/>
        </w:rPr>
        <w:t xml:space="preserve">some </w:t>
      </w:r>
      <w:r w:rsidR="00631C84" w:rsidRPr="00545D5F">
        <w:rPr>
          <w:rFonts w:ascii="Arial" w:hAnsi="Arial" w:cs="Arial"/>
          <w:lang w:val="en-US"/>
        </w:rPr>
        <w:t>encouraging</w:t>
      </w:r>
      <w:r w:rsidR="0008732C" w:rsidRPr="00545D5F">
        <w:rPr>
          <w:rFonts w:ascii="Arial" w:hAnsi="Arial" w:cs="Arial"/>
          <w:lang w:val="en-US"/>
        </w:rPr>
        <w:t xml:space="preserve"> </w:t>
      </w:r>
      <w:r w:rsidR="00631C84" w:rsidRPr="00545D5F">
        <w:rPr>
          <w:rFonts w:ascii="Arial" w:hAnsi="Arial" w:cs="Arial"/>
          <w:lang w:val="en-US"/>
        </w:rPr>
        <w:t>legislative</w:t>
      </w:r>
      <w:r w:rsidR="001F36EC" w:rsidRPr="00545D5F">
        <w:rPr>
          <w:rFonts w:ascii="Arial" w:hAnsi="Arial" w:cs="Arial"/>
          <w:lang w:val="en-US"/>
        </w:rPr>
        <w:t xml:space="preserve"> discussions </w:t>
      </w:r>
      <w:r w:rsidR="002237DE" w:rsidRPr="00545D5F">
        <w:rPr>
          <w:rFonts w:ascii="Arial" w:hAnsi="Arial" w:cs="Arial"/>
          <w:lang w:val="en-US"/>
        </w:rPr>
        <w:t xml:space="preserve">such as for example </w:t>
      </w:r>
      <w:r w:rsidR="00631C84" w:rsidRPr="00545D5F">
        <w:rPr>
          <w:rFonts w:ascii="Arial" w:hAnsi="Arial" w:cs="Arial"/>
          <w:lang w:val="en-US"/>
        </w:rPr>
        <w:t>in the United States</w:t>
      </w:r>
      <w:r w:rsidR="00631C84" w:rsidRPr="00545D5F">
        <w:rPr>
          <w:rStyle w:val="Appelnotedebasdep"/>
          <w:rFonts w:ascii="Arial" w:hAnsi="Arial" w:cs="Arial"/>
          <w:sz w:val="24"/>
          <w:lang w:val="en-AU"/>
        </w:rPr>
        <w:footnoteReference w:id="25"/>
      </w:r>
      <w:r w:rsidR="002F5224" w:rsidRPr="00545D5F">
        <w:rPr>
          <w:rFonts w:ascii="Arial" w:hAnsi="Arial" w:cs="Arial"/>
          <w:lang w:val="en-US"/>
        </w:rPr>
        <w:t>.</w:t>
      </w:r>
      <w:r w:rsidR="008C198A" w:rsidRPr="00545D5F">
        <w:rPr>
          <w:rFonts w:ascii="Arial" w:hAnsi="Arial" w:cs="Arial"/>
          <w:lang w:val="en-US"/>
        </w:rPr>
        <w:t xml:space="preserve"> </w:t>
      </w:r>
      <w:r w:rsidR="00034768" w:rsidRPr="00545D5F">
        <w:rPr>
          <w:rFonts w:ascii="Arial" w:hAnsi="Arial" w:cs="Arial"/>
          <w:lang w:val="en-US"/>
        </w:rPr>
        <w:t>In addition</w:t>
      </w:r>
      <w:r w:rsidR="00A0601A" w:rsidRPr="00545D5F">
        <w:rPr>
          <w:rFonts w:ascii="Arial" w:hAnsi="Arial" w:cs="Arial"/>
          <w:lang w:val="en-US"/>
        </w:rPr>
        <w:t xml:space="preserve">, some platforms, such as Google Play and Apple’s App store </w:t>
      </w:r>
      <w:r w:rsidR="00034768" w:rsidRPr="00545D5F">
        <w:rPr>
          <w:rFonts w:ascii="Arial" w:hAnsi="Arial" w:cs="Arial"/>
          <w:lang w:val="en-US"/>
        </w:rPr>
        <w:t>now require that games containing loot boxes display the probabilities of winning different items</w:t>
      </w:r>
      <w:r w:rsidR="00034768" w:rsidRPr="0013078B">
        <w:rPr>
          <w:rStyle w:val="Appelnotedebasdep"/>
          <w:rFonts w:ascii="Arial" w:hAnsi="Arial" w:cs="Arial"/>
          <w:sz w:val="24"/>
          <w:lang w:val="en-US"/>
        </w:rPr>
        <w:footnoteReference w:id="26"/>
      </w:r>
      <w:r w:rsidR="00545D5F" w:rsidRPr="00545D5F">
        <w:rPr>
          <w:rFonts w:ascii="Arial" w:hAnsi="Arial" w:cs="Arial"/>
          <w:lang w:val="en-US"/>
        </w:rPr>
        <w:t>.</w:t>
      </w:r>
      <w:r w:rsidR="00034768" w:rsidRPr="00545D5F">
        <w:rPr>
          <w:rFonts w:ascii="Arial" w:hAnsi="Arial" w:cs="Arial"/>
          <w:lang w:val="en-US"/>
        </w:rPr>
        <w:t xml:space="preserve"> </w:t>
      </w:r>
    </w:p>
    <w:p w14:paraId="6C5DDBD2" w14:textId="4C723956" w:rsidR="002F5224" w:rsidRPr="00545D5F" w:rsidRDefault="008D269B" w:rsidP="00547AD4">
      <w:pPr>
        <w:pStyle w:val="NormalWeb"/>
        <w:ind w:firstLine="708"/>
        <w:jc w:val="both"/>
        <w:rPr>
          <w:rFonts w:ascii="Arial" w:hAnsi="Arial" w:cs="Arial"/>
          <w:lang w:val="en-US"/>
        </w:rPr>
      </w:pPr>
      <w:r w:rsidRPr="00545D5F">
        <w:rPr>
          <w:rFonts w:ascii="Arial" w:hAnsi="Arial" w:cs="Arial"/>
          <w:lang w:val="en-US"/>
        </w:rPr>
        <w:t xml:space="preserve">Therefore, </w:t>
      </w:r>
      <w:r w:rsidR="00545D5F" w:rsidRPr="00545D5F">
        <w:rPr>
          <w:rFonts w:ascii="Arial" w:hAnsi="Arial" w:cs="Arial"/>
          <w:lang w:val="en-US"/>
        </w:rPr>
        <w:t xml:space="preserve">for all the above reasons, we believe that </w:t>
      </w:r>
      <w:r w:rsidRPr="00545D5F">
        <w:rPr>
          <w:rFonts w:ascii="Arial" w:hAnsi="Arial" w:cs="Arial"/>
          <w:lang w:val="en-US"/>
        </w:rPr>
        <w:t>the DGC No. 25 should address those concerns and foster the implementation of appropriate safeguards in the States’ national law.</w:t>
      </w:r>
    </w:p>
    <w:p w14:paraId="05406874" w14:textId="4086B0BD" w:rsidR="00046AD5" w:rsidRPr="00FA360A" w:rsidRDefault="0077564E" w:rsidP="0077564E">
      <w:pPr>
        <w:pStyle w:val="NormalWeb"/>
        <w:numPr>
          <w:ilvl w:val="0"/>
          <w:numId w:val="10"/>
        </w:numPr>
        <w:jc w:val="both"/>
        <w:rPr>
          <w:rFonts w:ascii="Arial" w:hAnsi="Arial" w:cs="Arial"/>
          <w:b/>
          <w:bCs/>
          <w:lang w:val="en-AU"/>
        </w:rPr>
      </w:pPr>
      <w:r w:rsidRPr="00FA360A">
        <w:rPr>
          <w:rFonts w:ascii="Arial" w:hAnsi="Arial" w:cs="Arial"/>
          <w:b/>
          <w:bCs/>
          <w:lang w:val="en-AU"/>
        </w:rPr>
        <w:t>Specific comments</w:t>
      </w:r>
    </w:p>
    <w:p w14:paraId="050086AE" w14:textId="105B14D4" w:rsidR="003D612E" w:rsidRPr="00FA360A" w:rsidRDefault="0077564E" w:rsidP="002F5224">
      <w:pPr>
        <w:pStyle w:val="NormalWeb"/>
        <w:jc w:val="both"/>
        <w:rPr>
          <w:rFonts w:ascii="Arial" w:hAnsi="Arial" w:cs="Arial"/>
          <w:lang w:val="en-AU"/>
        </w:rPr>
      </w:pPr>
      <w:r w:rsidRPr="00FA360A">
        <w:rPr>
          <w:rFonts w:ascii="Arial" w:hAnsi="Arial" w:cs="Arial"/>
          <w:lang w:val="en-AU"/>
        </w:rPr>
        <w:t>In light of the foregoing, the following comments can be formulated with respect to the DGC No. 25</w:t>
      </w:r>
      <w:r w:rsidR="00F434E4" w:rsidRPr="00FA360A">
        <w:rPr>
          <w:rFonts w:ascii="Arial" w:hAnsi="Arial" w:cs="Arial"/>
          <w:lang w:val="en-AU"/>
        </w:rPr>
        <w:t xml:space="preserve">, under the following sections: </w:t>
      </w:r>
    </w:p>
    <w:p w14:paraId="38B617A4" w14:textId="70468CBA" w:rsidR="00E17118" w:rsidRPr="00FA360A" w:rsidRDefault="00B048A9" w:rsidP="00E17118">
      <w:pPr>
        <w:pStyle w:val="NormalWeb"/>
        <w:ind w:left="720"/>
        <w:jc w:val="both"/>
        <w:rPr>
          <w:rFonts w:ascii="Arial" w:hAnsi="Arial" w:cs="Arial"/>
          <w:b/>
          <w:bCs/>
          <w:lang w:val="en-AU"/>
        </w:rPr>
      </w:pPr>
      <w:r w:rsidRPr="00FA360A">
        <w:rPr>
          <w:rFonts w:ascii="Arial" w:hAnsi="Arial" w:cs="Arial"/>
          <w:b/>
          <w:bCs/>
          <w:lang w:val="en-AU"/>
        </w:rPr>
        <w:t>Section</w:t>
      </w:r>
      <w:r w:rsidR="00E17118" w:rsidRPr="00FA360A">
        <w:rPr>
          <w:rFonts w:ascii="Arial" w:hAnsi="Arial" w:cs="Arial"/>
          <w:b/>
          <w:bCs/>
          <w:lang w:val="en-AU"/>
        </w:rPr>
        <w:t xml:space="preserve"> </w:t>
      </w:r>
      <w:r w:rsidR="0064213C" w:rsidRPr="00FA360A">
        <w:rPr>
          <w:rFonts w:ascii="Arial" w:hAnsi="Arial" w:cs="Arial"/>
          <w:b/>
          <w:bCs/>
          <w:lang w:val="en-AU"/>
        </w:rPr>
        <w:t xml:space="preserve">III. </w:t>
      </w:r>
      <w:r w:rsidRPr="00FA360A">
        <w:rPr>
          <w:rFonts w:ascii="Arial" w:hAnsi="Arial" w:cs="Arial"/>
          <w:b/>
          <w:bCs/>
          <w:lang w:val="en-AU"/>
        </w:rPr>
        <w:t>C. Right to life, survival and development (art. 6)”</w:t>
      </w:r>
    </w:p>
    <w:p w14:paraId="269EA613" w14:textId="7F4DEF20" w:rsidR="005E08CE" w:rsidRPr="00FA360A" w:rsidRDefault="00B048A9" w:rsidP="0064213C">
      <w:pPr>
        <w:pStyle w:val="NormalWeb"/>
        <w:numPr>
          <w:ilvl w:val="0"/>
          <w:numId w:val="12"/>
        </w:numPr>
        <w:jc w:val="both"/>
        <w:rPr>
          <w:rFonts w:ascii="Arial" w:hAnsi="Arial" w:cs="Arial"/>
          <w:b/>
          <w:bCs/>
          <w:i/>
          <w:iCs/>
          <w:lang w:val="en-AU"/>
        </w:rPr>
      </w:pPr>
      <w:r w:rsidRPr="00FA360A">
        <w:rPr>
          <w:rFonts w:ascii="Arial" w:hAnsi="Arial" w:cs="Arial"/>
          <w:b/>
          <w:bCs/>
          <w:lang w:val="en-AU"/>
        </w:rPr>
        <w:t xml:space="preserve"> under para. </w:t>
      </w:r>
      <w:r w:rsidR="003836E4" w:rsidRPr="00FA360A">
        <w:rPr>
          <w:rFonts w:ascii="Arial" w:hAnsi="Arial" w:cs="Arial"/>
          <w:b/>
          <w:bCs/>
          <w:lang w:val="en-AU"/>
        </w:rPr>
        <w:t>16</w:t>
      </w:r>
      <w:r w:rsidRPr="00FA360A">
        <w:rPr>
          <w:rFonts w:ascii="Arial" w:hAnsi="Arial" w:cs="Arial"/>
          <w:b/>
          <w:bCs/>
          <w:lang w:val="en-AU"/>
        </w:rPr>
        <w:t>:</w:t>
      </w:r>
      <w:r w:rsidRPr="00FA360A">
        <w:rPr>
          <w:rFonts w:ascii="Arial" w:hAnsi="Arial" w:cs="Arial"/>
          <w:lang w:val="en-AU"/>
        </w:rPr>
        <w:t xml:space="preserve"> </w:t>
      </w:r>
      <w:r w:rsidR="006A6A2E" w:rsidRPr="00FA360A">
        <w:rPr>
          <w:rFonts w:ascii="Arial" w:hAnsi="Arial" w:cs="Arial"/>
          <w:lang w:val="en-AU"/>
        </w:rPr>
        <w:t xml:space="preserve">In our view, </w:t>
      </w:r>
      <w:r w:rsidR="005E60D6" w:rsidRPr="00FA360A">
        <w:rPr>
          <w:rFonts w:ascii="Arial" w:hAnsi="Arial" w:cs="Arial"/>
          <w:lang w:val="en-AU"/>
        </w:rPr>
        <w:t>the development of a child also encompasses the right not to be manipulated, notably by predatory scheme</w:t>
      </w:r>
      <w:r w:rsidR="00E17118" w:rsidRPr="00FA360A">
        <w:rPr>
          <w:rFonts w:ascii="Arial" w:hAnsi="Arial" w:cs="Arial"/>
          <w:lang w:val="en-AU"/>
        </w:rPr>
        <w:t xml:space="preserve">. Thus, one should add the following </w:t>
      </w:r>
      <w:r w:rsidR="003836E4" w:rsidRPr="00FA360A">
        <w:rPr>
          <w:rFonts w:ascii="Arial" w:hAnsi="Arial" w:cs="Arial"/>
          <w:lang w:val="en-AU"/>
        </w:rPr>
        <w:t xml:space="preserve">wording in </w:t>
      </w:r>
      <w:r w:rsidR="005E08CE" w:rsidRPr="00FA360A">
        <w:rPr>
          <w:rFonts w:ascii="Arial" w:hAnsi="Arial" w:cs="Arial"/>
          <w:b/>
          <w:bCs/>
          <w:lang w:val="en-AU"/>
        </w:rPr>
        <w:t>[</w:t>
      </w:r>
      <w:r w:rsidR="00A00D47" w:rsidRPr="00FA360A">
        <w:rPr>
          <w:rFonts w:ascii="Arial" w:hAnsi="Arial" w:cs="Arial"/>
          <w:b/>
          <w:bCs/>
          <w:lang w:val="en-AU"/>
        </w:rPr>
        <w:t xml:space="preserve">in </w:t>
      </w:r>
      <w:r w:rsidR="003836E4" w:rsidRPr="00FA360A">
        <w:rPr>
          <w:rFonts w:ascii="Arial" w:hAnsi="Arial" w:cs="Arial"/>
          <w:b/>
          <w:bCs/>
          <w:lang w:val="en-AU"/>
        </w:rPr>
        <w:t>bold</w:t>
      </w:r>
      <w:r w:rsidR="005E08CE" w:rsidRPr="00FA360A">
        <w:rPr>
          <w:rFonts w:ascii="Arial" w:hAnsi="Arial" w:cs="Arial"/>
          <w:b/>
          <w:bCs/>
          <w:lang w:val="en-AU"/>
        </w:rPr>
        <w:t>]</w:t>
      </w:r>
      <w:r w:rsidR="003836E4" w:rsidRPr="00FA360A">
        <w:rPr>
          <w:rFonts w:ascii="Arial" w:hAnsi="Arial" w:cs="Arial"/>
          <w:b/>
          <w:bCs/>
          <w:lang w:val="en-AU"/>
        </w:rPr>
        <w:t xml:space="preserve"> </w:t>
      </w:r>
      <w:r w:rsidR="00E17118" w:rsidRPr="00FA360A">
        <w:rPr>
          <w:rFonts w:ascii="Arial" w:hAnsi="Arial" w:cs="Arial"/>
          <w:lang w:val="en-AU"/>
        </w:rPr>
        <w:t xml:space="preserve">to this paragraph: </w:t>
      </w:r>
    </w:p>
    <w:p w14:paraId="78736CB1" w14:textId="14D4F222" w:rsidR="008763D7" w:rsidRPr="00FA360A" w:rsidRDefault="00FB0214" w:rsidP="005E08CE">
      <w:pPr>
        <w:pStyle w:val="NormalWeb"/>
        <w:ind w:left="720"/>
        <w:jc w:val="both"/>
        <w:rPr>
          <w:rFonts w:ascii="Arial" w:hAnsi="Arial" w:cs="Arial"/>
          <w:b/>
          <w:bCs/>
          <w:i/>
          <w:iCs/>
          <w:lang w:val="en-AU"/>
        </w:rPr>
      </w:pPr>
      <w:r w:rsidRPr="00FA360A">
        <w:rPr>
          <w:rFonts w:ascii="Arial" w:hAnsi="Arial" w:cs="Arial"/>
          <w:i/>
          <w:iCs/>
          <w:color w:val="000000"/>
          <w:lang w:val="en-AU"/>
        </w:rPr>
        <w:t xml:space="preserve">“16. States shall take all appropriate measures to protect children from the risk and threat to their right to life, survival and development in the digital environment. These include content, contact and conduct risks, and threats that include bullying, </w:t>
      </w:r>
      <w:r w:rsidR="005E08CE" w:rsidRPr="00FA360A">
        <w:rPr>
          <w:rFonts w:ascii="Arial" w:hAnsi="Arial" w:cs="Arial"/>
          <w:color w:val="000000"/>
          <w:lang w:val="en-AU"/>
        </w:rPr>
        <w:t>[</w:t>
      </w:r>
      <w:r w:rsidR="0064213C" w:rsidRPr="00FA360A">
        <w:rPr>
          <w:rFonts w:ascii="Arial" w:hAnsi="Arial" w:cs="Arial"/>
          <w:b/>
          <w:bCs/>
          <w:i/>
          <w:iCs/>
          <w:color w:val="000000"/>
          <w:lang w:val="en-AU"/>
        </w:rPr>
        <w:t>intensive data processing of minor’s data for commercial gain,</w:t>
      </w:r>
      <w:r w:rsidR="005E08CE" w:rsidRPr="00FA360A">
        <w:rPr>
          <w:rFonts w:ascii="Arial" w:hAnsi="Arial" w:cs="Arial"/>
          <w:color w:val="000000"/>
          <w:lang w:val="en-AU"/>
        </w:rPr>
        <w:t>]</w:t>
      </w:r>
      <w:r w:rsidR="0064213C" w:rsidRPr="00FA360A">
        <w:rPr>
          <w:rFonts w:ascii="Arial" w:hAnsi="Arial" w:cs="Arial"/>
          <w:i/>
          <w:iCs/>
          <w:color w:val="000000"/>
          <w:lang w:val="en-AU"/>
        </w:rPr>
        <w:t xml:space="preserve"> </w:t>
      </w:r>
      <w:r w:rsidRPr="00FA360A">
        <w:rPr>
          <w:rFonts w:ascii="Arial" w:hAnsi="Arial" w:cs="Arial"/>
          <w:i/>
          <w:iCs/>
          <w:color w:val="000000"/>
          <w:lang w:val="en-AU"/>
        </w:rPr>
        <w:t>gambling,</w:t>
      </w:r>
      <w:r w:rsidR="0064213C" w:rsidRPr="00FA360A">
        <w:rPr>
          <w:rFonts w:ascii="Arial" w:hAnsi="Arial" w:cs="Arial"/>
          <w:i/>
          <w:iCs/>
          <w:color w:val="000000"/>
          <w:lang w:val="en-AU"/>
        </w:rPr>
        <w:t xml:space="preserve"> </w:t>
      </w:r>
      <w:r w:rsidRPr="00FA360A">
        <w:rPr>
          <w:rFonts w:ascii="Arial" w:hAnsi="Arial" w:cs="Arial"/>
          <w:i/>
          <w:iCs/>
          <w:color w:val="000000"/>
          <w:lang w:val="en-AU"/>
        </w:rPr>
        <w:t>sexual exploitation and abuse, persuasion relating to suicide and other life-threatening activities including by criminals, armed groups and those designated as terrorist groups. States should identify and address emerging risks children face in diverse contexts by consulting them as children have an important insight into the particular and emerging risks they face”</w:t>
      </w:r>
    </w:p>
    <w:p w14:paraId="64F912C4" w14:textId="00F56FA0" w:rsidR="00DA0E53" w:rsidRPr="00FA360A" w:rsidRDefault="00B048A9" w:rsidP="0064213C">
      <w:pPr>
        <w:pStyle w:val="NormalWeb"/>
        <w:ind w:left="720"/>
        <w:jc w:val="both"/>
        <w:rPr>
          <w:rFonts w:ascii="Arial" w:hAnsi="Arial" w:cs="Arial"/>
          <w:b/>
          <w:bCs/>
          <w:lang w:val="en-AU"/>
        </w:rPr>
      </w:pPr>
      <w:r w:rsidRPr="00FA360A">
        <w:rPr>
          <w:rFonts w:ascii="Arial" w:hAnsi="Arial" w:cs="Arial"/>
          <w:b/>
          <w:bCs/>
          <w:lang w:val="en-AU"/>
        </w:rPr>
        <w:t>- Sectio</w:t>
      </w:r>
      <w:r w:rsidR="0064213C" w:rsidRPr="00FA360A">
        <w:rPr>
          <w:rFonts w:ascii="Arial" w:hAnsi="Arial" w:cs="Arial"/>
          <w:b/>
          <w:bCs/>
          <w:lang w:val="en-AU"/>
        </w:rPr>
        <w:t>n V.</w:t>
      </w:r>
      <w:r w:rsidRPr="00FA360A">
        <w:rPr>
          <w:rFonts w:ascii="Arial" w:hAnsi="Arial" w:cs="Arial"/>
          <w:b/>
          <w:bCs/>
          <w:lang w:val="en-AU"/>
        </w:rPr>
        <w:t xml:space="preserve"> </w:t>
      </w:r>
      <w:r w:rsidR="00DA0E53" w:rsidRPr="00FA360A">
        <w:rPr>
          <w:rFonts w:ascii="Arial" w:hAnsi="Arial" w:cs="Arial"/>
          <w:b/>
          <w:bCs/>
          <w:lang w:val="en-AU"/>
        </w:rPr>
        <w:t>E.</w:t>
      </w:r>
      <w:r w:rsidRPr="00FA360A">
        <w:rPr>
          <w:rFonts w:ascii="Arial" w:hAnsi="Arial" w:cs="Arial"/>
          <w:b/>
          <w:bCs/>
          <w:lang w:val="en-AU"/>
        </w:rPr>
        <w:t xml:space="preserve"> </w:t>
      </w:r>
      <w:r w:rsidR="00DA0E53" w:rsidRPr="00FA360A">
        <w:rPr>
          <w:rFonts w:ascii="Arial" w:hAnsi="Arial" w:cs="Arial"/>
          <w:b/>
          <w:bCs/>
          <w:lang w:val="en-AU"/>
        </w:rPr>
        <w:t>Data collection and research</w:t>
      </w:r>
    </w:p>
    <w:p w14:paraId="62C7FCC7" w14:textId="28AEB561" w:rsidR="0064213C" w:rsidRPr="00FA360A" w:rsidRDefault="0064213C" w:rsidP="0064213C">
      <w:pPr>
        <w:pStyle w:val="NormalWeb"/>
        <w:numPr>
          <w:ilvl w:val="0"/>
          <w:numId w:val="12"/>
        </w:numPr>
        <w:jc w:val="both"/>
        <w:rPr>
          <w:rFonts w:ascii="Arial" w:hAnsi="Arial" w:cs="Arial"/>
          <w:b/>
          <w:bCs/>
          <w:lang w:val="en-AU"/>
        </w:rPr>
      </w:pPr>
      <w:r w:rsidRPr="00FA360A">
        <w:rPr>
          <w:rFonts w:ascii="Arial" w:hAnsi="Arial" w:cs="Arial"/>
          <w:b/>
          <w:bCs/>
          <w:lang w:val="en-AU"/>
        </w:rPr>
        <w:t xml:space="preserve"> under para. 31: </w:t>
      </w:r>
      <w:r w:rsidR="005E08CE" w:rsidRPr="00FA360A">
        <w:rPr>
          <w:rFonts w:ascii="Arial" w:hAnsi="Arial" w:cs="Arial"/>
          <w:lang w:val="en-AU"/>
        </w:rPr>
        <w:t xml:space="preserve">in our view, </w:t>
      </w:r>
      <w:r w:rsidR="00FE3768" w:rsidRPr="00FA360A">
        <w:rPr>
          <w:rFonts w:ascii="Arial" w:hAnsi="Arial" w:cs="Arial"/>
          <w:lang w:val="en-AU"/>
        </w:rPr>
        <w:t>the section pertaining to research and data conducted with and by children</w:t>
      </w:r>
      <w:r w:rsidR="000351EE" w:rsidRPr="00FA360A">
        <w:rPr>
          <w:rFonts w:ascii="Arial" w:hAnsi="Arial" w:cs="Arial"/>
          <w:lang w:val="en-AU"/>
        </w:rPr>
        <w:t xml:space="preserve"> </w:t>
      </w:r>
      <w:r w:rsidR="000B0BF2" w:rsidRPr="00FA360A">
        <w:rPr>
          <w:rFonts w:ascii="Arial" w:hAnsi="Arial" w:cs="Arial"/>
          <w:lang w:val="en-AU"/>
        </w:rPr>
        <w:t>is not in line with data protection standards set forth by the GDPR and existing in the European Union</w:t>
      </w:r>
      <w:r w:rsidR="000E6028" w:rsidRPr="00FA360A">
        <w:rPr>
          <w:rFonts w:ascii="Arial" w:hAnsi="Arial" w:cs="Arial"/>
          <w:lang w:val="en-AU"/>
        </w:rPr>
        <w:t xml:space="preserve"> or the Swiss Data Protection </w:t>
      </w:r>
      <w:r w:rsidR="000E6028" w:rsidRPr="00FA360A">
        <w:rPr>
          <w:rFonts w:ascii="Arial" w:hAnsi="Arial" w:cs="Arial"/>
          <w:lang w:val="en-AU"/>
        </w:rPr>
        <w:lastRenderedPageBreak/>
        <w:t>Act in Switzerland</w:t>
      </w:r>
      <w:r w:rsidR="000B0BF2" w:rsidRPr="00FA360A">
        <w:rPr>
          <w:rFonts w:ascii="Arial" w:hAnsi="Arial" w:cs="Arial"/>
          <w:lang w:val="en-AU"/>
        </w:rPr>
        <w:t xml:space="preserve">. </w:t>
      </w:r>
      <w:r w:rsidR="00A43467" w:rsidRPr="00FA360A">
        <w:rPr>
          <w:rFonts w:ascii="Arial" w:hAnsi="Arial" w:cs="Arial"/>
          <w:lang w:val="en-AU"/>
        </w:rPr>
        <w:t xml:space="preserve">This </w:t>
      </w:r>
      <w:r w:rsidR="00F9457E" w:rsidRPr="00FA360A">
        <w:rPr>
          <w:rFonts w:ascii="Arial" w:hAnsi="Arial" w:cs="Arial"/>
          <w:lang w:val="en-AU"/>
        </w:rPr>
        <w:t xml:space="preserve">type of </w:t>
      </w:r>
      <w:r w:rsidR="00A43467" w:rsidRPr="00FA360A">
        <w:rPr>
          <w:rFonts w:ascii="Arial" w:hAnsi="Arial" w:cs="Arial"/>
          <w:lang w:val="en-AU"/>
        </w:rPr>
        <w:t xml:space="preserve">data cannot be in the public domain unless they are anonymised. </w:t>
      </w:r>
      <w:r w:rsidR="000B0BF2" w:rsidRPr="00FA360A">
        <w:rPr>
          <w:rFonts w:ascii="Arial" w:hAnsi="Arial" w:cs="Arial"/>
          <w:lang w:val="en-AU"/>
        </w:rPr>
        <w:t xml:space="preserve">The following wording </w:t>
      </w:r>
      <w:r w:rsidR="00A00D47" w:rsidRPr="00FA360A">
        <w:rPr>
          <w:rFonts w:ascii="Arial" w:hAnsi="Arial" w:cs="Arial"/>
          <w:lang w:val="en-AU"/>
        </w:rPr>
        <w:t>[</w:t>
      </w:r>
      <w:r w:rsidR="00A00D47" w:rsidRPr="00FA360A">
        <w:rPr>
          <w:rFonts w:ascii="Arial" w:hAnsi="Arial" w:cs="Arial"/>
          <w:b/>
          <w:bCs/>
          <w:lang w:val="en-AU"/>
        </w:rPr>
        <w:t xml:space="preserve">in bold] </w:t>
      </w:r>
      <w:r w:rsidR="000B0BF2" w:rsidRPr="00FA360A">
        <w:rPr>
          <w:rFonts w:ascii="Arial" w:hAnsi="Arial" w:cs="Arial"/>
          <w:lang w:val="en-AU"/>
        </w:rPr>
        <w:t>should be implemented:</w:t>
      </w:r>
    </w:p>
    <w:p w14:paraId="2A3F99B9" w14:textId="71F69F03" w:rsidR="00DA0E53" w:rsidRDefault="000B0BF2" w:rsidP="000E6028">
      <w:pPr>
        <w:pStyle w:val="NormalWeb"/>
        <w:ind w:left="720"/>
        <w:jc w:val="both"/>
        <w:rPr>
          <w:rFonts w:ascii="Arial" w:hAnsi="Arial" w:cs="Arial"/>
          <w:color w:val="000000" w:themeColor="text1"/>
          <w:lang w:val="en-AU"/>
        </w:rPr>
      </w:pPr>
      <w:r w:rsidRPr="00FA360A">
        <w:rPr>
          <w:rFonts w:ascii="Arial" w:hAnsi="Arial" w:cs="Arial"/>
          <w:b/>
          <w:bCs/>
          <w:lang w:val="en-AU"/>
        </w:rPr>
        <w:t>“</w:t>
      </w:r>
      <w:r w:rsidR="00DA0E53" w:rsidRPr="00FA360A">
        <w:rPr>
          <w:rFonts w:ascii="Arial" w:hAnsi="Arial" w:cs="Arial"/>
          <w:i/>
          <w:iCs/>
          <w:color w:val="000000" w:themeColor="text1"/>
          <w:lang w:val="en-AU"/>
        </w:rPr>
        <w:t>Data collection and research are vitally important as a means of mapping and understanding the implications of the digital environment for children’s rights, and for evaluating its impact on children, and the effectiveness of State interventions. States should ensure the production of robust, comprehensive data that is adequately resourced. Such data and research, including research conducted with and by children, should inform</w:t>
      </w:r>
      <w:r w:rsidR="00DA0E53" w:rsidRPr="00FA360A" w:rsidDel="00F47E46">
        <w:rPr>
          <w:rFonts w:ascii="Arial" w:hAnsi="Arial" w:cs="Arial"/>
          <w:i/>
          <w:iCs/>
          <w:color w:val="000000" w:themeColor="text1"/>
          <w:lang w:val="en-AU"/>
        </w:rPr>
        <w:t xml:space="preserve"> </w:t>
      </w:r>
      <w:r w:rsidR="00DA0E53" w:rsidRPr="00FA360A">
        <w:rPr>
          <w:rFonts w:ascii="Arial" w:hAnsi="Arial" w:cs="Arial"/>
          <w:i/>
          <w:iCs/>
          <w:color w:val="000000" w:themeColor="text1"/>
          <w:lang w:val="en-AU"/>
        </w:rPr>
        <w:t>regulation, policy and practice and should be in the public domain</w:t>
      </w:r>
      <w:r w:rsidR="00A43467" w:rsidRPr="00FA360A">
        <w:rPr>
          <w:rFonts w:ascii="Arial" w:hAnsi="Arial" w:cs="Arial"/>
          <w:i/>
          <w:iCs/>
          <w:color w:val="000000" w:themeColor="text1"/>
          <w:lang w:val="en-AU"/>
        </w:rPr>
        <w:t xml:space="preserve"> [</w:t>
      </w:r>
      <w:r w:rsidR="00A43467" w:rsidRPr="00FA360A">
        <w:rPr>
          <w:rFonts w:ascii="Arial" w:hAnsi="Arial" w:cs="Arial"/>
          <w:b/>
          <w:bCs/>
          <w:i/>
          <w:iCs/>
          <w:color w:val="000000" w:themeColor="text1"/>
          <w:lang w:val="en-AU"/>
        </w:rPr>
        <w:t>provided that they are anonymous</w:t>
      </w:r>
      <w:r w:rsidR="000E6028" w:rsidRPr="00FA360A">
        <w:rPr>
          <w:rFonts w:ascii="Arial" w:hAnsi="Arial" w:cs="Arial"/>
          <w:b/>
          <w:bCs/>
          <w:i/>
          <w:iCs/>
          <w:color w:val="000000" w:themeColor="text1"/>
          <w:lang w:val="en-AU"/>
        </w:rPr>
        <w:t xml:space="preserve"> and comply with </w:t>
      </w:r>
      <w:r w:rsidR="00650AE5">
        <w:rPr>
          <w:rFonts w:ascii="Arial" w:hAnsi="Arial" w:cs="Arial"/>
          <w:b/>
          <w:bCs/>
          <w:i/>
          <w:iCs/>
          <w:color w:val="000000" w:themeColor="text1"/>
          <w:lang w:val="en-AU"/>
        </w:rPr>
        <w:t>the relevant Data protection regulation</w:t>
      </w:r>
      <w:r w:rsidR="00F34A3E">
        <w:rPr>
          <w:rFonts w:ascii="Arial" w:hAnsi="Arial" w:cs="Arial"/>
          <w:b/>
          <w:bCs/>
          <w:i/>
          <w:iCs/>
          <w:color w:val="000000" w:themeColor="text1"/>
          <w:lang w:val="en-AU"/>
        </w:rPr>
        <w:t>s</w:t>
      </w:r>
      <w:r w:rsidR="00A43467" w:rsidRPr="00FA360A">
        <w:rPr>
          <w:rFonts w:ascii="Arial" w:hAnsi="Arial" w:cs="Arial"/>
          <w:i/>
          <w:iCs/>
          <w:color w:val="000000" w:themeColor="text1"/>
          <w:lang w:val="en-AU"/>
        </w:rPr>
        <w:t>]</w:t>
      </w:r>
      <w:r w:rsidR="00DA0E53" w:rsidRPr="00FA360A">
        <w:rPr>
          <w:rFonts w:ascii="Arial" w:hAnsi="Arial" w:cs="Arial"/>
          <w:color w:val="000000" w:themeColor="text1"/>
          <w:lang w:val="en-AU"/>
        </w:rPr>
        <w:t>.</w:t>
      </w:r>
      <w:r w:rsidR="00A43467" w:rsidRPr="00FA360A">
        <w:rPr>
          <w:rFonts w:ascii="Arial" w:hAnsi="Arial" w:cs="Arial"/>
          <w:color w:val="000000" w:themeColor="text1"/>
          <w:lang w:val="en-AU"/>
        </w:rPr>
        <w:t>”</w:t>
      </w:r>
      <w:r w:rsidR="00DA0E53" w:rsidRPr="00FA360A">
        <w:rPr>
          <w:rStyle w:val="Appelnotedebasdep"/>
          <w:rFonts w:ascii="Arial" w:hAnsi="Arial" w:cs="Arial"/>
          <w:color w:val="000000" w:themeColor="text1"/>
          <w:sz w:val="24"/>
          <w:lang w:val="en-AU"/>
        </w:rPr>
        <w:footnoteReference w:id="27"/>
      </w:r>
      <w:r w:rsidR="00DA0E53" w:rsidRPr="00FA360A">
        <w:rPr>
          <w:rFonts w:ascii="Arial" w:hAnsi="Arial" w:cs="Arial"/>
          <w:color w:val="000000" w:themeColor="text1"/>
          <w:lang w:val="en-AU"/>
        </w:rPr>
        <w:t xml:space="preserve"> </w:t>
      </w:r>
    </w:p>
    <w:p w14:paraId="3794CE31" w14:textId="67F82B1B" w:rsidR="00AB6F8F" w:rsidRPr="00FA360A" w:rsidRDefault="00E86218" w:rsidP="00AB6F8F">
      <w:pPr>
        <w:pStyle w:val="H1G"/>
        <w:rPr>
          <w:rFonts w:ascii="Arial" w:hAnsi="Arial" w:cs="Arial"/>
          <w:szCs w:val="24"/>
          <w:lang w:val="en-AU"/>
        </w:rPr>
      </w:pPr>
      <w:r>
        <w:rPr>
          <w:rFonts w:ascii="Arial" w:hAnsi="Arial" w:cs="Arial"/>
          <w:szCs w:val="24"/>
          <w:lang w:val="en-AU"/>
        </w:rPr>
        <w:t xml:space="preserve">Section IV. </w:t>
      </w:r>
      <w:r w:rsidR="00AB6F8F" w:rsidRPr="00FA360A">
        <w:rPr>
          <w:rFonts w:ascii="Arial" w:hAnsi="Arial" w:cs="Arial"/>
          <w:szCs w:val="24"/>
          <w:lang w:val="en-AU"/>
        </w:rPr>
        <w:t>E.</w:t>
      </w:r>
      <w:r w:rsidR="00AB6F8F" w:rsidRPr="00FA360A">
        <w:rPr>
          <w:rFonts w:ascii="Arial" w:hAnsi="Arial" w:cs="Arial"/>
          <w:szCs w:val="24"/>
          <w:lang w:val="en-AU"/>
        </w:rPr>
        <w:tab/>
        <w:t>Right to privacy (art. 16)</w:t>
      </w:r>
    </w:p>
    <w:p w14:paraId="74EBBDD1" w14:textId="1F2C5997" w:rsidR="000D2930" w:rsidRDefault="00E86218" w:rsidP="00547AD4">
      <w:pPr>
        <w:pStyle w:val="NormalWeb"/>
        <w:ind w:left="720"/>
        <w:jc w:val="both"/>
        <w:rPr>
          <w:rFonts w:ascii="Arial" w:hAnsi="Arial" w:cs="Arial"/>
          <w:color w:val="000000" w:themeColor="text1"/>
          <w:lang w:val="en-AU"/>
        </w:rPr>
      </w:pPr>
      <w:bookmarkStart w:id="0" w:name="_Toc36165146"/>
      <w:bookmarkStart w:id="1" w:name="_Toc36165147"/>
      <w:bookmarkStart w:id="2" w:name="_Toc36165148"/>
      <w:bookmarkStart w:id="3" w:name="_Toc36165149"/>
      <w:bookmarkStart w:id="4" w:name="_Toc36165150"/>
      <w:bookmarkStart w:id="5" w:name="_Toc36165151"/>
      <w:bookmarkStart w:id="6" w:name="_Toc36165153"/>
      <w:bookmarkEnd w:id="0"/>
      <w:bookmarkEnd w:id="1"/>
      <w:bookmarkEnd w:id="2"/>
      <w:bookmarkEnd w:id="3"/>
      <w:bookmarkEnd w:id="4"/>
      <w:bookmarkEnd w:id="5"/>
      <w:bookmarkEnd w:id="6"/>
      <w:r w:rsidRPr="00E86218">
        <w:rPr>
          <w:rFonts w:ascii="Arial" w:hAnsi="Arial" w:cs="Arial"/>
          <w:b/>
          <w:bCs/>
          <w:color w:val="000000" w:themeColor="text1"/>
          <w:lang w:val="en-AU"/>
        </w:rPr>
        <w:t>Under para.</w:t>
      </w:r>
      <w:r w:rsidR="00AF6394">
        <w:rPr>
          <w:rFonts w:ascii="Arial" w:hAnsi="Arial" w:cs="Arial"/>
          <w:b/>
          <w:bCs/>
          <w:color w:val="000000" w:themeColor="text1"/>
          <w:lang w:val="en-AU"/>
        </w:rPr>
        <w:t xml:space="preserve"> 72</w:t>
      </w:r>
      <w:r w:rsidRPr="00E86218">
        <w:rPr>
          <w:rFonts w:ascii="Arial" w:hAnsi="Arial" w:cs="Arial"/>
          <w:b/>
          <w:bCs/>
          <w:color w:val="000000" w:themeColor="text1"/>
          <w:lang w:val="en-AU"/>
        </w:rPr>
        <w:t xml:space="preserve"> </w:t>
      </w:r>
      <w:r>
        <w:rPr>
          <w:rFonts w:ascii="Arial" w:hAnsi="Arial" w:cs="Arial"/>
          <w:color w:val="000000" w:themeColor="text1"/>
          <w:lang w:val="en-AU"/>
        </w:rPr>
        <w:t xml:space="preserve">: </w:t>
      </w:r>
      <w:r w:rsidR="00E95829">
        <w:rPr>
          <w:rFonts w:ascii="Arial" w:hAnsi="Arial" w:cs="Arial"/>
          <w:color w:val="000000" w:themeColor="text1"/>
          <w:lang w:val="en-AU"/>
        </w:rPr>
        <w:t xml:space="preserve">in our </w:t>
      </w:r>
      <w:r w:rsidR="00AF6394">
        <w:rPr>
          <w:rFonts w:ascii="Arial" w:hAnsi="Arial" w:cs="Arial"/>
          <w:color w:val="000000" w:themeColor="text1"/>
          <w:lang w:val="en-AU"/>
        </w:rPr>
        <w:t xml:space="preserve">opinion, it is of outmost importance that the information given to a child in relation to the processing of its data </w:t>
      </w:r>
      <w:r w:rsidR="000D2930">
        <w:rPr>
          <w:rFonts w:ascii="Arial" w:hAnsi="Arial" w:cs="Arial"/>
          <w:color w:val="000000" w:themeColor="text1"/>
          <w:lang w:val="en-AU"/>
        </w:rPr>
        <w:t xml:space="preserve">is clear and does not rely on any imbalance in power. Therefore, we suggest the wording in </w:t>
      </w:r>
      <w:r w:rsidR="000D2930" w:rsidRPr="00FA360A">
        <w:rPr>
          <w:rFonts w:ascii="Arial" w:hAnsi="Arial" w:cs="Arial"/>
          <w:b/>
          <w:bCs/>
          <w:lang w:val="en-AU"/>
        </w:rPr>
        <w:t>[bold]</w:t>
      </w:r>
      <w:r w:rsidR="000D2930">
        <w:rPr>
          <w:rFonts w:ascii="Arial" w:hAnsi="Arial" w:cs="Arial"/>
          <w:color w:val="000000" w:themeColor="text1"/>
          <w:lang w:val="en-AU"/>
        </w:rPr>
        <w:t xml:space="preserve"> :</w:t>
      </w:r>
    </w:p>
    <w:p w14:paraId="28653187" w14:textId="75DE1DE0" w:rsidR="00AB6F8F" w:rsidRDefault="000D2930" w:rsidP="00547AD4">
      <w:pPr>
        <w:pStyle w:val="NormalWeb"/>
        <w:ind w:left="720"/>
        <w:jc w:val="both"/>
        <w:rPr>
          <w:rFonts w:ascii="Arial" w:hAnsi="Arial" w:cs="Arial"/>
          <w:color w:val="000000" w:themeColor="text1"/>
          <w:lang w:val="en-AU"/>
        </w:rPr>
      </w:pPr>
      <w:r>
        <w:rPr>
          <w:rFonts w:ascii="Arial" w:hAnsi="Arial" w:cs="Arial"/>
          <w:b/>
          <w:bCs/>
          <w:color w:val="000000" w:themeColor="text1"/>
          <w:lang w:val="en-AU"/>
        </w:rPr>
        <w:t>“</w:t>
      </w:r>
      <w:r w:rsidR="00AB6F8F" w:rsidRPr="000D2930">
        <w:rPr>
          <w:rFonts w:ascii="Arial" w:hAnsi="Arial" w:cs="Arial"/>
          <w:color w:val="000000" w:themeColor="text1"/>
          <w:lang w:val="en-AU"/>
        </w:rPr>
        <w:t xml:space="preserve">States shall take legislative and other measures to ensure that children’s privacy is respected and protected by all organizations and in all environments that process their data. Such legislation should include strong safeguards, independent oversight and access to remedy. States should encourage the adoption of privacy-by-design, such as end to end encryption, in services that impact on children. States should regularly review such legislation and ensure that procedures and practices prevent deliberate infringements or accidental breaches of children’s privacy. States should ensure that consent to process a child’s data is informed </w:t>
      </w:r>
      <w:r w:rsidR="00893743" w:rsidRPr="00FA360A">
        <w:rPr>
          <w:rFonts w:ascii="Arial" w:hAnsi="Arial" w:cs="Arial"/>
          <w:b/>
          <w:bCs/>
          <w:lang w:val="en-AU"/>
        </w:rPr>
        <w:t>[</w:t>
      </w:r>
      <w:r w:rsidR="00893743">
        <w:rPr>
          <w:rFonts w:ascii="Arial" w:hAnsi="Arial" w:cs="Arial"/>
          <w:b/>
          <w:bCs/>
          <w:lang w:val="en-AU"/>
        </w:rPr>
        <w:t>in a clear way</w:t>
      </w:r>
      <w:r w:rsidR="00893743" w:rsidRPr="00FA360A">
        <w:rPr>
          <w:rFonts w:ascii="Arial" w:hAnsi="Arial" w:cs="Arial"/>
          <w:b/>
          <w:bCs/>
          <w:lang w:val="en-AU"/>
        </w:rPr>
        <w:t>]</w:t>
      </w:r>
      <w:r w:rsidR="00893743">
        <w:rPr>
          <w:rFonts w:ascii="Arial" w:hAnsi="Arial" w:cs="Arial"/>
          <w:color w:val="000000" w:themeColor="text1"/>
          <w:lang w:val="en-AU"/>
        </w:rPr>
        <w:t xml:space="preserve"> </w:t>
      </w:r>
      <w:r w:rsidR="00AB6F8F" w:rsidRPr="000D2930">
        <w:rPr>
          <w:rFonts w:ascii="Arial" w:hAnsi="Arial" w:cs="Arial"/>
          <w:color w:val="000000" w:themeColor="text1"/>
          <w:lang w:val="en-AU"/>
        </w:rPr>
        <w:t>and freely given by the child or, depending on the child’s age and maturity, by the parent or caregiver, and obtained prior to the processing.</w:t>
      </w:r>
      <w:r w:rsidR="00A224BA">
        <w:rPr>
          <w:rFonts w:ascii="Arial" w:hAnsi="Arial" w:cs="Arial"/>
          <w:color w:val="000000" w:themeColor="text1"/>
          <w:lang w:val="en-AU"/>
        </w:rPr>
        <w:t xml:space="preserve"> </w:t>
      </w:r>
      <w:r w:rsidR="00A224BA" w:rsidRPr="00FA360A">
        <w:rPr>
          <w:rFonts w:ascii="Arial" w:hAnsi="Arial" w:cs="Arial"/>
          <w:b/>
          <w:bCs/>
          <w:lang w:val="en-AU"/>
        </w:rPr>
        <w:t>[</w:t>
      </w:r>
      <w:r w:rsidR="00A224BA">
        <w:rPr>
          <w:rFonts w:ascii="Arial" w:hAnsi="Arial" w:cs="Arial"/>
          <w:b/>
          <w:bCs/>
          <w:lang w:val="en-AU"/>
        </w:rPr>
        <w:t xml:space="preserve">When consent is the basis of data </w:t>
      </w:r>
      <w:r w:rsidR="00C746D2">
        <w:rPr>
          <w:rFonts w:ascii="Arial" w:hAnsi="Arial" w:cs="Arial"/>
          <w:b/>
          <w:bCs/>
          <w:lang w:val="en-AU"/>
        </w:rPr>
        <w:t xml:space="preserve">processing, States should ensure that there </w:t>
      </w:r>
      <w:r w:rsidR="003916F5">
        <w:rPr>
          <w:rFonts w:ascii="Arial" w:hAnsi="Arial" w:cs="Arial"/>
          <w:b/>
          <w:bCs/>
          <w:lang w:val="en-AU"/>
        </w:rPr>
        <w:t>is</w:t>
      </w:r>
      <w:r w:rsidR="00C746D2">
        <w:rPr>
          <w:rFonts w:ascii="Arial" w:hAnsi="Arial" w:cs="Arial"/>
          <w:b/>
          <w:bCs/>
          <w:lang w:val="en-AU"/>
        </w:rPr>
        <w:t xml:space="preserve"> no any imbalance of power.</w:t>
      </w:r>
      <w:r w:rsidR="00A224BA" w:rsidRPr="00FA360A">
        <w:rPr>
          <w:rFonts w:ascii="Arial" w:hAnsi="Arial" w:cs="Arial"/>
          <w:b/>
          <w:bCs/>
          <w:lang w:val="en-AU"/>
        </w:rPr>
        <w:t>]</w:t>
      </w:r>
      <w:r>
        <w:rPr>
          <w:rFonts w:ascii="Arial" w:hAnsi="Arial" w:cs="Arial"/>
          <w:color w:val="000000" w:themeColor="text1"/>
          <w:lang w:val="en-AU"/>
        </w:rPr>
        <w:t xml:space="preserve">” </w:t>
      </w:r>
    </w:p>
    <w:p w14:paraId="7C4E31D3" w14:textId="5432B878" w:rsidR="001F36EC" w:rsidRPr="001F36EC" w:rsidRDefault="001F36EC" w:rsidP="001F36EC">
      <w:pPr>
        <w:pStyle w:val="NormalWeb"/>
        <w:numPr>
          <w:ilvl w:val="0"/>
          <w:numId w:val="12"/>
        </w:numPr>
        <w:jc w:val="both"/>
        <w:rPr>
          <w:rFonts w:ascii="Arial" w:hAnsi="Arial" w:cs="Arial"/>
          <w:lang w:val="en-AU"/>
        </w:rPr>
      </w:pPr>
      <w:r w:rsidRPr="001F36EC">
        <w:rPr>
          <w:rFonts w:ascii="Arial" w:hAnsi="Arial" w:cs="Arial"/>
          <w:lang w:val="en-AU"/>
        </w:rPr>
        <w:t xml:space="preserve">We also suggest adding a new </w:t>
      </w:r>
      <w:r>
        <w:rPr>
          <w:rFonts w:ascii="Arial" w:hAnsi="Arial" w:cs="Arial"/>
          <w:lang w:val="en-AU"/>
        </w:rPr>
        <w:t>paragraph for more transparency</w:t>
      </w:r>
      <w:r w:rsidR="002F5224">
        <w:rPr>
          <w:rFonts w:ascii="Arial" w:hAnsi="Arial" w:cs="Arial"/>
          <w:lang w:val="en-AU"/>
        </w:rPr>
        <w:t xml:space="preserve"> of algorithms or automated decision making</w:t>
      </w:r>
      <w:r>
        <w:rPr>
          <w:rFonts w:ascii="Arial" w:hAnsi="Arial" w:cs="Arial"/>
          <w:lang w:val="en-AU"/>
        </w:rPr>
        <w:t xml:space="preserve"> reading: </w:t>
      </w:r>
    </w:p>
    <w:p w14:paraId="652D2391" w14:textId="67C6FE46" w:rsidR="001F36EC" w:rsidRDefault="001F36EC" w:rsidP="002F5224">
      <w:pPr>
        <w:pStyle w:val="NormalWeb"/>
        <w:ind w:left="720"/>
        <w:jc w:val="both"/>
        <w:rPr>
          <w:rFonts w:ascii="Arial" w:hAnsi="Arial" w:cs="Arial"/>
          <w:b/>
          <w:bCs/>
          <w:i/>
          <w:iCs/>
          <w:color w:val="000000" w:themeColor="text1"/>
          <w:lang w:val="en-AU"/>
        </w:rPr>
      </w:pPr>
      <w:r w:rsidRPr="001F36EC">
        <w:rPr>
          <w:rFonts w:ascii="Arial" w:hAnsi="Arial" w:cs="Arial"/>
          <w:b/>
          <w:bCs/>
          <w:i/>
          <w:iCs/>
          <w:color w:val="000000" w:themeColor="text1"/>
          <w:lang w:val="en-AU"/>
        </w:rPr>
        <w:t>In case of automated decision making or algorithms</w:t>
      </w:r>
      <w:r>
        <w:rPr>
          <w:rFonts w:ascii="Arial" w:hAnsi="Arial" w:cs="Arial"/>
          <w:b/>
          <w:bCs/>
          <w:i/>
          <w:iCs/>
          <w:color w:val="000000" w:themeColor="text1"/>
          <w:lang w:val="en-AU"/>
        </w:rPr>
        <w:t xml:space="preserve"> in online services (such as the gaming industry)</w:t>
      </w:r>
      <w:r w:rsidRPr="001F36EC">
        <w:rPr>
          <w:rFonts w:ascii="Arial" w:hAnsi="Arial" w:cs="Arial"/>
          <w:b/>
          <w:bCs/>
          <w:i/>
          <w:iCs/>
          <w:color w:val="000000" w:themeColor="text1"/>
          <w:lang w:val="en-AU"/>
        </w:rPr>
        <w:t>, States shall foster the transparency of those algorithms and promote the adoption of behavioural design code of practice for online service</w:t>
      </w:r>
      <w:r>
        <w:rPr>
          <w:rFonts w:ascii="Arial" w:hAnsi="Arial" w:cs="Arial"/>
          <w:b/>
          <w:bCs/>
          <w:i/>
          <w:iCs/>
          <w:color w:val="000000" w:themeColor="text1"/>
          <w:lang w:val="en-AU"/>
        </w:rPr>
        <w:t>s</w:t>
      </w:r>
      <w:r w:rsidR="002F5224">
        <w:rPr>
          <w:rFonts w:ascii="Arial" w:hAnsi="Arial" w:cs="Arial"/>
          <w:b/>
          <w:bCs/>
          <w:i/>
          <w:iCs/>
          <w:color w:val="000000" w:themeColor="text1"/>
          <w:lang w:val="en-AU"/>
        </w:rPr>
        <w:t xml:space="preserve"> (as mentioned in para. 39)</w:t>
      </w:r>
      <w:r>
        <w:rPr>
          <w:rFonts w:ascii="Arial" w:hAnsi="Arial" w:cs="Arial"/>
          <w:b/>
          <w:bCs/>
          <w:i/>
          <w:iCs/>
          <w:color w:val="000000" w:themeColor="text1"/>
          <w:lang w:val="en-AU"/>
        </w:rPr>
        <w:t xml:space="preserve">. </w:t>
      </w:r>
    </w:p>
    <w:p w14:paraId="5815AE5A" w14:textId="77777777" w:rsidR="002F5224" w:rsidRPr="002F5224" w:rsidRDefault="002F5224" w:rsidP="002F5224">
      <w:pPr>
        <w:pStyle w:val="NormalWeb"/>
        <w:ind w:left="720"/>
        <w:jc w:val="both"/>
        <w:rPr>
          <w:rFonts w:ascii="Arial" w:hAnsi="Arial" w:cs="Arial"/>
          <w:b/>
          <w:bCs/>
          <w:i/>
          <w:iCs/>
          <w:color w:val="000000" w:themeColor="text1"/>
          <w:lang w:val="en-AU"/>
        </w:rPr>
      </w:pPr>
    </w:p>
    <w:p w14:paraId="5353F619" w14:textId="0386C8D0" w:rsidR="008002F4" w:rsidRPr="00FA360A" w:rsidRDefault="008002F4" w:rsidP="008002F4">
      <w:pPr>
        <w:pStyle w:val="HChG"/>
        <w:rPr>
          <w:rFonts w:ascii="Arial" w:hAnsi="Arial" w:cs="Arial"/>
          <w:sz w:val="24"/>
          <w:szCs w:val="24"/>
          <w:lang w:val="en-AU"/>
        </w:rPr>
      </w:pPr>
      <w:bookmarkStart w:id="7" w:name="_Toc47967816"/>
      <w:bookmarkStart w:id="8" w:name="_Toc27062261"/>
      <w:r w:rsidRPr="00FA360A">
        <w:rPr>
          <w:rFonts w:ascii="Arial" w:hAnsi="Arial" w:cs="Arial"/>
          <w:sz w:val="24"/>
          <w:szCs w:val="24"/>
          <w:lang w:val="en-AU"/>
        </w:rPr>
        <w:tab/>
      </w:r>
      <w:r w:rsidR="0000393B">
        <w:rPr>
          <w:rFonts w:ascii="Arial" w:hAnsi="Arial" w:cs="Arial"/>
          <w:sz w:val="24"/>
          <w:szCs w:val="24"/>
          <w:lang w:val="en-AU"/>
        </w:rPr>
        <w:t xml:space="preserve">Section </w:t>
      </w:r>
      <w:r w:rsidRPr="00FA360A">
        <w:rPr>
          <w:rFonts w:ascii="Arial" w:hAnsi="Arial" w:cs="Arial"/>
          <w:sz w:val="24"/>
          <w:szCs w:val="24"/>
          <w:lang w:val="en-AU"/>
        </w:rPr>
        <w:t>X.</w:t>
      </w:r>
      <w:r w:rsidRPr="00FA360A">
        <w:rPr>
          <w:rFonts w:ascii="Arial" w:hAnsi="Arial" w:cs="Arial"/>
          <w:sz w:val="24"/>
          <w:szCs w:val="24"/>
          <w:lang w:val="en-AU"/>
        </w:rPr>
        <w:tab/>
        <w:t>Basic health and welfare</w:t>
      </w:r>
      <w:bookmarkEnd w:id="7"/>
      <w:r w:rsidRPr="00FA360A">
        <w:rPr>
          <w:rFonts w:ascii="Arial" w:hAnsi="Arial" w:cs="Arial"/>
          <w:sz w:val="24"/>
          <w:szCs w:val="24"/>
          <w:lang w:val="en-AU"/>
        </w:rPr>
        <w:t xml:space="preserve"> (art. 24)</w:t>
      </w:r>
    </w:p>
    <w:bookmarkEnd w:id="8"/>
    <w:p w14:paraId="5CC43136" w14:textId="07121D4B" w:rsidR="008002F4" w:rsidRPr="00FA360A" w:rsidRDefault="0000393B" w:rsidP="0000393B">
      <w:pPr>
        <w:pStyle w:val="SingleTxtG"/>
        <w:numPr>
          <w:ilvl w:val="0"/>
          <w:numId w:val="12"/>
        </w:numPr>
        <w:rPr>
          <w:rFonts w:ascii="Arial" w:hAnsi="Arial" w:cs="Arial"/>
          <w:color w:val="000000" w:themeColor="text1"/>
          <w:sz w:val="24"/>
          <w:szCs w:val="24"/>
          <w:lang w:val="en-AU"/>
        </w:rPr>
      </w:pPr>
      <w:r w:rsidRPr="00A67819">
        <w:rPr>
          <w:rFonts w:ascii="Arial" w:hAnsi="Arial" w:cs="Arial"/>
          <w:b/>
          <w:bCs/>
          <w:color w:val="000000" w:themeColor="text1"/>
          <w:sz w:val="24"/>
          <w:szCs w:val="24"/>
          <w:lang w:val="en-AU"/>
        </w:rPr>
        <w:t xml:space="preserve">Under para. </w:t>
      </w:r>
      <w:r w:rsidR="00A67819" w:rsidRPr="00A67819">
        <w:rPr>
          <w:rFonts w:ascii="Arial" w:hAnsi="Arial" w:cs="Arial"/>
          <w:b/>
          <w:bCs/>
          <w:color w:val="000000" w:themeColor="text1"/>
          <w:sz w:val="24"/>
          <w:szCs w:val="24"/>
          <w:lang w:val="en-AU"/>
        </w:rPr>
        <w:t>104.</w:t>
      </w:r>
      <w:r w:rsidR="00A67819">
        <w:rPr>
          <w:rFonts w:ascii="Arial" w:hAnsi="Arial" w:cs="Arial"/>
          <w:color w:val="000000" w:themeColor="text1"/>
          <w:sz w:val="24"/>
          <w:szCs w:val="24"/>
          <w:lang w:val="en-AU"/>
        </w:rPr>
        <w:t xml:space="preserve"> There should be a mention of gambling in relation to </w:t>
      </w:r>
      <w:proofErr w:type="spellStart"/>
      <w:r w:rsidR="00A67819">
        <w:rPr>
          <w:rFonts w:ascii="Arial" w:hAnsi="Arial" w:cs="Arial"/>
          <w:color w:val="000000" w:themeColor="text1"/>
          <w:sz w:val="24"/>
          <w:szCs w:val="24"/>
          <w:lang w:val="en-AU"/>
        </w:rPr>
        <w:t>Lootboxes</w:t>
      </w:r>
      <w:proofErr w:type="spellEnd"/>
      <w:r w:rsidR="00A67819">
        <w:rPr>
          <w:rFonts w:ascii="Arial" w:hAnsi="Arial" w:cs="Arial"/>
          <w:color w:val="000000" w:themeColor="text1"/>
          <w:sz w:val="24"/>
          <w:szCs w:val="24"/>
          <w:lang w:val="en-AU"/>
        </w:rPr>
        <w:t xml:space="preserve">. We suggest to add a wording in </w:t>
      </w:r>
      <w:r w:rsidR="00A67819" w:rsidRPr="00FA360A">
        <w:rPr>
          <w:rFonts w:ascii="Arial" w:hAnsi="Arial" w:cs="Arial"/>
          <w:b/>
          <w:bCs/>
          <w:sz w:val="24"/>
          <w:szCs w:val="24"/>
          <w:lang w:val="en-AU"/>
        </w:rPr>
        <w:t>[bold]</w:t>
      </w:r>
      <w:r w:rsidR="00A67819">
        <w:rPr>
          <w:rFonts w:ascii="Arial" w:hAnsi="Arial" w:cs="Arial"/>
          <w:color w:val="000000" w:themeColor="text1"/>
          <w:sz w:val="24"/>
          <w:szCs w:val="24"/>
          <w:lang w:val="en-AU"/>
        </w:rPr>
        <w:t xml:space="preserve"> :</w:t>
      </w:r>
    </w:p>
    <w:p w14:paraId="34F4F271" w14:textId="2595C2C5" w:rsidR="008763D7" w:rsidRDefault="00A67819" w:rsidP="00547AD4">
      <w:pPr>
        <w:pStyle w:val="NormalWeb"/>
        <w:ind w:left="720"/>
        <w:jc w:val="both"/>
        <w:rPr>
          <w:rFonts w:ascii="Arial" w:hAnsi="Arial" w:cs="Arial"/>
          <w:i/>
          <w:iCs/>
          <w:color w:val="000000" w:themeColor="text1"/>
          <w:lang w:val="en-AU"/>
        </w:rPr>
      </w:pPr>
      <w:r w:rsidRPr="00A22CA7">
        <w:rPr>
          <w:rFonts w:ascii="Arial" w:hAnsi="Arial" w:cs="Arial"/>
          <w:i/>
          <w:iCs/>
          <w:color w:val="000000" w:themeColor="text1"/>
          <w:lang w:val="en-AU"/>
        </w:rPr>
        <w:t>“</w:t>
      </w:r>
      <w:r w:rsidR="008002F4" w:rsidRPr="00A22CA7">
        <w:rPr>
          <w:rFonts w:ascii="Arial" w:hAnsi="Arial" w:cs="Arial"/>
          <w:i/>
          <w:iCs/>
          <w:color w:val="000000" w:themeColor="text1"/>
          <w:lang w:val="en-AU"/>
        </w:rPr>
        <w:t xml:space="preserve">States should regulate against known harms and proactively consider emerging research and public health evidence to prevent the spread of misinformation </w:t>
      </w:r>
      <w:r w:rsidR="008002F4" w:rsidRPr="00A22CA7">
        <w:rPr>
          <w:rFonts w:ascii="Arial" w:hAnsi="Arial" w:cs="Arial"/>
          <w:i/>
          <w:iCs/>
          <w:color w:val="000000" w:themeColor="text1"/>
          <w:lang w:val="en-AU"/>
        </w:rPr>
        <w:lastRenderedPageBreak/>
        <w:t xml:space="preserve">that may harm children, materials damaging to children’s mental or physical health, and services that undermine children’s </w:t>
      </w:r>
      <w:r w:rsidR="008002F4" w:rsidRPr="00547AD4">
        <w:rPr>
          <w:rFonts w:ascii="Arial" w:hAnsi="Arial" w:cs="Arial"/>
          <w:color w:val="000000" w:themeColor="text1"/>
          <w:lang w:val="en-AU"/>
        </w:rPr>
        <w:t>development</w:t>
      </w:r>
      <w:r w:rsidR="008002F4" w:rsidRPr="00A22CA7">
        <w:rPr>
          <w:rFonts w:ascii="Arial" w:hAnsi="Arial" w:cs="Arial"/>
          <w:i/>
          <w:iCs/>
          <w:color w:val="000000" w:themeColor="text1"/>
          <w:lang w:val="en-AU"/>
        </w:rPr>
        <w:t>, for example through persuasive design, excessive gaming</w:t>
      </w:r>
      <w:r w:rsidR="003916F5" w:rsidRPr="00A22CA7">
        <w:rPr>
          <w:rFonts w:ascii="Arial" w:hAnsi="Arial" w:cs="Arial"/>
          <w:i/>
          <w:iCs/>
          <w:color w:val="000000" w:themeColor="text1"/>
          <w:lang w:val="en-AU"/>
        </w:rPr>
        <w:t xml:space="preserve">, </w:t>
      </w:r>
      <w:r w:rsidRPr="0013078B">
        <w:rPr>
          <w:rFonts w:ascii="Arial" w:hAnsi="Arial" w:cs="Arial"/>
          <w:b/>
          <w:bCs/>
          <w:lang w:val="en-AU"/>
        </w:rPr>
        <w:t>[gambling,]</w:t>
      </w:r>
      <w:r w:rsidR="008002F4" w:rsidRPr="0013078B">
        <w:rPr>
          <w:rFonts w:ascii="Arial" w:hAnsi="Arial" w:cs="Arial"/>
          <w:color w:val="000000" w:themeColor="text1"/>
          <w:lang w:val="en-AU"/>
        </w:rPr>
        <w:t xml:space="preserve"> </w:t>
      </w:r>
      <w:r w:rsidR="008002F4" w:rsidRPr="00A22CA7">
        <w:rPr>
          <w:rFonts w:ascii="Arial" w:hAnsi="Arial" w:cs="Arial"/>
          <w:i/>
          <w:iCs/>
          <w:color w:val="000000" w:themeColor="text1"/>
          <w:lang w:val="en-AU"/>
        </w:rPr>
        <w:t>or age-inappropriate features.</w:t>
      </w:r>
      <w:r w:rsidR="008002F4" w:rsidRPr="00A22CA7">
        <w:rPr>
          <w:rStyle w:val="Appelnotedebasdep"/>
          <w:rFonts w:ascii="Arial" w:hAnsi="Arial" w:cs="Arial"/>
          <w:i/>
          <w:iCs/>
          <w:sz w:val="24"/>
          <w:lang w:val="en-AU"/>
        </w:rPr>
        <w:footnoteReference w:id="28"/>
      </w:r>
      <w:r w:rsidRPr="00A22CA7">
        <w:rPr>
          <w:rFonts w:ascii="Arial" w:hAnsi="Arial" w:cs="Arial"/>
          <w:i/>
          <w:iCs/>
          <w:color w:val="000000" w:themeColor="text1"/>
          <w:lang w:val="en-AU"/>
        </w:rPr>
        <w:t>”</w:t>
      </w:r>
    </w:p>
    <w:p w14:paraId="7D5DC88B" w14:textId="11E3798E" w:rsidR="00631C84" w:rsidRDefault="00631C84" w:rsidP="00547AD4">
      <w:pPr>
        <w:pStyle w:val="NormalWeb"/>
        <w:ind w:left="720"/>
        <w:jc w:val="both"/>
        <w:rPr>
          <w:rFonts w:ascii="Arial" w:hAnsi="Arial" w:cs="Arial"/>
          <w:i/>
          <w:iCs/>
          <w:color w:val="000000" w:themeColor="text1"/>
          <w:lang w:val="en-AU"/>
        </w:rPr>
      </w:pPr>
    </w:p>
    <w:p w14:paraId="5EBAF634" w14:textId="0D4336F5" w:rsidR="00631C84" w:rsidRPr="00547AD4" w:rsidRDefault="00631C84" w:rsidP="00631C84">
      <w:pPr>
        <w:pStyle w:val="NormalWeb"/>
        <w:ind w:left="720"/>
        <w:jc w:val="center"/>
        <w:rPr>
          <w:rFonts w:ascii="Arial" w:hAnsi="Arial" w:cs="Arial"/>
          <w:i/>
          <w:iCs/>
          <w:color w:val="000000" w:themeColor="text1"/>
          <w:lang w:val="en-AU"/>
        </w:rPr>
      </w:pPr>
      <w:r>
        <w:rPr>
          <w:rFonts w:ascii="Arial" w:hAnsi="Arial" w:cs="Arial"/>
          <w:i/>
          <w:iCs/>
          <w:color w:val="000000" w:themeColor="text1"/>
          <w:lang w:val="en-AU"/>
        </w:rPr>
        <w:t>* * *</w:t>
      </w:r>
    </w:p>
    <w:sectPr w:rsidR="00631C84" w:rsidRPr="00547AD4" w:rsidSect="00BF1936">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2FF88" w14:textId="77777777" w:rsidR="00061813" w:rsidRDefault="00061813" w:rsidP="00D642F5">
      <w:r>
        <w:separator/>
      </w:r>
    </w:p>
  </w:endnote>
  <w:endnote w:type="continuationSeparator" w:id="0">
    <w:p w14:paraId="01641A56" w14:textId="77777777" w:rsidR="00061813" w:rsidRDefault="00061813" w:rsidP="00D6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2381658"/>
      <w:docPartObj>
        <w:docPartGallery w:val="Page Numbers (Bottom of Page)"/>
        <w:docPartUnique/>
      </w:docPartObj>
    </w:sdtPr>
    <w:sdtEndPr>
      <w:rPr>
        <w:rStyle w:val="Numrodepage"/>
      </w:rPr>
    </w:sdtEndPr>
    <w:sdtContent>
      <w:p w14:paraId="5DB21C86" w14:textId="4E482278" w:rsidR="00631C84" w:rsidRDefault="00631C84" w:rsidP="008555D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9B98862" w14:textId="77777777" w:rsidR="00631C84" w:rsidRDefault="00631C84" w:rsidP="00631C8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70351713"/>
      <w:docPartObj>
        <w:docPartGallery w:val="Page Numbers (Bottom of Page)"/>
        <w:docPartUnique/>
      </w:docPartObj>
    </w:sdtPr>
    <w:sdtEndPr>
      <w:rPr>
        <w:rStyle w:val="Numrodepage"/>
      </w:rPr>
    </w:sdtEndPr>
    <w:sdtContent>
      <w:p w14:paraId="7C7E2076" w14:textId="6DAFC38B" w:rsidR="00631C84" w:rsidRDefault="00631C84" w:rsidP="001F36EC">
        <w:pPr>
          <w:pStyle w:val="Pieddepage"/>
          <w:framePr w:w="727" w:h="462" w:hRule="exact" w:wrap="none" w:vAnchor="text" w:hAnchor="margin" w:xAlign="right" w:y="2"/>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EB979B0" w14:textId="77777777" w:rsidR="00631C84" w:rsidRDefault="00631C84" w:rsidP="00631C8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41996" w14:textId="77777777" w:rsidR="00061813" w:rsidRDefault="00061813" w:rsidP="00D642F5">
      <w:r>
        <w:separator/>
      </w:r>
    </w:p>
  </w:footnote>
  <w:footnote w:type="continuationSeparator" w:id="0">
    <w:p w14:paraId="4D6480CC" w14:textId="77777777" w:rsidR="00061813" w:rsidRDefault="00061813" w:rsidP="00D642F5">
      <w:r>
        <w:continuationSeparator/>
      </w:r>
    </w:p>
  </w:footnote>
  <w:footnote w:id="1">
    <w:p w14:paraId="53FF5003" w14:textId="6F6ACBDD" w:rsidR="00FA360A" w:rsidRPr="0013078B" w:rsidRDefault="00FA360A" w:rsidP="00547AD4">
      <w:pPr>
        <w:pBdr>
          <w:top w:val="nil"/>
          <w:left w:val="nil"/>
          <w:bottom w:val="nil"/>
          <w:right w:val="nil"/>
          <w:between w:val="nil"/>
        </w:pBdr>
        <w:jc w:val="both"/>
        <w:rPr>
          <w:rFonts w:cstheme="minorHAnsi"/>
          <w:color w:val="000000"/>
          <w:sz w:val="18"/>
          <w:szCs w:val="18"/>
          <w:lang w:val="en-US"/>
        </w:rPr>
      </w:pPr>
      <w:r w:rsidRPr="0013078B">
        <w:rPr>
          <w:rStyle w:val="Appelnotedebasdep"/>
          <w:rFonts w:asciiTheme="minorHAnsi" w:hAnsiTheme="minorHAnsi" w:cstheme="minorHAnsi"/>
          <w:szCs w:val="18"/>
        </w:rPr>
        <w:footnoteRef/>
      </w:r>
      <w:r w:rsidRPr="0013078B">
        <w:rPr>
          <w:rFonts w:cstheme="minorHAnsi"/>
          <w:sz w:val="18"/>
          <w:szCs w:val="18"/>
          <w:lang w:val="en-US"/>
        </w:rPr>
        <w:t xml:space="preserve"> </w:t>
      </w:r>
      <w:proofErr w:type="spellStart"/>
      <w:r w:rsidRPr="0013078B">
        <w:rPr>
          <w:rFonts w:cstheme="minorHAnsi"/>
          <w:smallCaps/>
          <w:sz w:val="18"/>
          <w:szCs w:val="18"/>
          <w:lang w:val="en-US"/>
        </w:rPr>
        <w:t>Schwiddesse</w:t>
      </w:r>
      <w:r w:rsidRPr="0013078B">
        <w:rPr>
          <w:rFonts w:cstheme="minorHAnsi"/>
          <w:sz w:val="18"/>
          <w:szCs w:val="18"/>
          <w:lang w:val="en-US"/>
        </w:rPr>
        <w:t>n</w:t>
      </w:r>
      <w:proofErr w:type="spellEnd"/>
      <w:r w:rsidRPr="0013078B">
        <w:rPr>
          <w:rFonts w:cstheme="minorHAnsi"/>
          <w:sz w:val="18"/>
          <w:szCs w:val="18"/>
          <w:lang w:val="en-US"/>
        </w:rPr>
        <w:t xml:space="preserve"> Sebastian/</w:t>
      </w:r>
      <w:proofErr w:type="spellStart"/>
      <w:r w:rsidRPr="0013078B">
        <w:rPr>
          <w:rFonts w:cstheme="minorHAnsi"/>
          <w:smallCaps/>
          <w:sz w:val="18"/>
          <w:szCs w:val="18"/>
          <w:lang w:val="en-US"/>
        </w:rPr>
        <w:t>Karius</w:t>
      </w:r>
      <w:proofErr w:type="spellEnd"/>
      <w:r w:rsidRPr="0013078B">
        <w:rPr>
          <w:rFonts w:cstheme="minorHAnsi"/>
          <w:smallCaps/>
          <w:sz w:val="18"/>
          <w:szCs w:val="18"/>
          <w:lang w:val="en-US"/>
        </w:rPr>
        <w:t xml:space="preserve"> </w:t>
      </w:r>
      <w:r w:rsidRPr="0013078B">
        <w:rPr>
          <w:rFonts w:cstheme="minorHAnsi"/>
          <w:sz w:val="18"/>
          <w:szCs w:val="18"/>
          <w:lang w:val="en-US"/>
        </w:rPr>
        <w:t>Philipp, Watch your loot boxes! - Recent developments and legal assessment in selected key jurisdictions from a gambling law perspective in: Interactive Entertainment Law Review, 2018, pp. 17-43 (</w:t>
      </w:r>
      <w:r w:rsidR="00565A26" w:rsidRPr="0013078B">
        <w:rPr>
          <w:rFonts w:cstheme="minorHAnsi"/>
          <w:sz w:val="18"/>
          <w:szCs w:val="18"/>
          <w:lang w:val="en-US"/>
        </w:rPr>
        <w:t>available</w:t>
      </w:r>
      <w:r w:rsidRPr="0013078B">
        <w:rPr>
          <w:rFonts w:cstheme="minorHAnsi"/>
          <w:sz w:val="18"/>
          <w:szCs w:val="18"/>
          <w:lang w:val="en-US"/>
        </w:rPr>
        <w:t xml:space="preserve">: </w:t>
      </w:r>
      <w:hyperlink r:id="rId1">
        <w:r w:rsidRPr="0013078B">
          <w:rPr>
            <w:rFonts w:cstheme="minorHAnsi"/>
            <w:color w:val="1155CC"/>
            <w:sz w:val="18"/>
            <w:szCs w:val="18"/>
            <w:u w:val="single"/>
            <w:lang w:val="en-US"/>
          </w:rPr>
          <w:t>https://www.elgaronline.com/view/journals/ielr/1-1/ielr.2018.01.02.xml</w:t>
        </w:r>
      </w:hyperlink>
      <w:r w:rsidRPr="0013078B">
        <w:rPr>
          <w:rFonts w:cstheme="minorHAnsi"/>
          <w:color w:val="000000"/>
          <w:sz w:val="18"/>
          <w:szCs w:val="18"/>
          <w:lang w:val="en-US"/>
        </w:rPr>
        <w:t>)</w:t>
      </w:r>
      <w:r w:rsidR="00565A26" w:rsidRPr="0013078B">
        <w:rPr>
          <w:rFonts w:cstheme="minorHAnsi"/>
          <w:color w:val="000000"/>
          <w:sz w:val="18"/>
          <w:szCs w:val="18"/>
          <w:lang w:val="en-US"/>
        </w:rPr>
        <w:t xml:space="preserve">. All links have been last accessed on November 14, 2020. </w:t>
      </w:r>
    </w:p>
  </w:footnote>
  <w:footnote w:id="2">
    <w:p w14:paraId="33564E2E" w14:textId="04849B66" w:rsidR="006C223A" w:rsidRPr="0013078B" w:rsidRDefault="006C223A" w:rsidP="00547AD4">
      <w:pPr>
        <w:pStyle w:val="Notedebasdepage"/>
        <w:spacing w:line="240" w:lineRule="auto"/>
        <w:ind w:left="0" w:right="0" w:firstLine="0"/>
        <w:jc w:val="both"/>
        <w:rPr>
          <w:rFonts w:asciiTheme="minorHAnsi" w:hAnsiTheme="minorHAnsi" w:cstheme="minorHAnsi"/>
          <w:szCs w:val="18"/>
          <w:lang w:val="en-US"/>
        </w:rPr>
      </w:pPr>
      <w:r w:rsidRPr="0013078B">
        <w:rPr>
          <w:rStyle w:val="Appelnotedebasdep"/>
          <w:rFonts w:asciiTheme="minorHAnsi" w:hAnsiTheme="minorHAnsi" w:cstheme="minorHAnsi"/>
          <w:szCs w:val="18"/>
        </w:rPr>
        <w:footnoteRef/>
      </w:r>
      <w:r w:rsidRPr="0013078B">
        <w:rPr>
          <w:rFonts w:asciiTheme="minorHAnsi" w:hAnsiTheme="minorHAnsi" w:cstheme="minorHAnsi"/>
          <w:szCs w:val="18"/>
          <w:lang w:val="en-US"/>
        </w:rPr>
        <w:t xml:space="preserve"> </w:t>
      </w:r>
      <w:r w:rsidRPr="0013078B">
        <w:rPr>
          <w:rFonts w:asciiTheme="minorHAnsi" w:hAnsiTheme="minorHAnsi" w:cstheme="minorHAnsi"/>
          <w:smallCaps/>
          <w:szCs w:val="18"/>
          <w:lang w:val="en-US"/>
        </w:rPr>
        <w:t xml:space="preserve">European Parliament, </w:t>
      </w:r>
      <w:r w:rsidRPr="0013078B">
        <w:rPr>
          <w:rFonts w:asciiTheme="minorHAnsi" w:hAnsiTheme="minorHAnsi" w:cstheme="minorHAnsi"/>
          <w:szCs w:val="18"/>
          <w:lang w:val="en-US"/>
        </w:rPr>
        <w:t>Loot boxes in online games and their effect on consumers, in particular young consumers, p.7</w:t>
      </w:r>
      <w:r w:rsidR="00B01EB5" w:rsidRPr="0013078B">
        <w:rPr>
          <w:rFonts w:asciiTheme="minorHAnsi" w:hAnsiTheme="minorHAnsi" w:cstheme="minorHAnsi"/>
          <w:szCs w:val="18"/>
          <w:lang w:val="en-US"/>
        </w:rPr>
        <w:t xml:space="preserve"> </w:t>
      </w:r>
      <w:r w:rsidR="00547AD4" w:rsidRPr="0013078B">
        <w:rPr>
          <w:rFonts w:asciiTheme="minorHAnsi" w:hAnsiTheme="minorHAnsi" w:cstheme="minorHAnsi"/>
          <w:szCs w:val="18"/>
          <w:lang w:val="en-US"/>
        </w:rPr>
        <w:t xml:space="preserve">(available: </w:t>
      </w:r>
      <w:hyperlink r:id="rId2" w:history="1">
        <w:r w:rsidR="00547AD4" w:rsidRPr="0013078B">
          <w:rPr>
            <w:rStyle w:val="Lienhypertexte"/>
            <w:rFonts w:asciiTheme="minorHAnsi" w:hAnsiTheme="minorHAnsi" w:cstheme="minorHAnsi"/>
            <w:szCs w:val="18"/>
            <w:lang w:val="en-US"/>
          </w:rPr>
          <w:t>https://www.europarl.europa.eu/RegData/etudes/STUD/2020/652727/IPOL_STU(2020)652727_EN.pdf</w:t>
        </w:r>
      </w:hyperlink>
      <w:r w:rsidR="00547AD4" w:rsidRPr="0013078B">
        <w:rPr>
          <w:rFonts w:asciiTheme="minorHAnsi" w:hAnsiTheme="minorHAnsi" w:cstheme="minorHAnsi"/>
          <w:szCs w:val="18"/>
          <w:lang w:val="en-US"/>
        </w:rPr>
        <w:t xml:space="preserve">) </w:t>
      </w:r>
    </w:p>
  </w:footnote>
  <w:footnote w:id="3">
    <w:p w14:paraId="065A06BB" w14:textId="2932CFD2" w:rsidR="0004141B" w:rsidRPr="0013078B" w:rsidRDefault="0004141B" w:rsidP="00547AD4">
      <w:pPr>
        <w:pStyle w:val="Notedebasdepage"/>
        <w:spacing w:line="240" w:lineRule="auto"/>
        <w:ind w:left="0" w:right="0" w:firstLine="0"/>
        <w:jc w:val="both"/>
        <w:rPr>
          <w:rFonts w:asciiTheme="minorHAnsi" w:hAnsiTheme="minorHAnsi" w:cstheme="minorHAnsi"/>
          <w:szCs w:val="18"/>
          <w:lang w:val="de-CH"/>
        </w:rPr>
      </w:pPr>
      <w:r w:rsidRPr="0013078B">
        <w:rPr>
          <w:rStyle w:val="Appelnotedebasdep"/>
          <w:rFonts w:asciiTheme="minorHAnsi" w:hAnsiTheme="minorHAnsi" w:cstheme="minorHAnsi"/>
          <w:szCs w:val="18"/>
        </w:rPr>
        <w:footnoteRef/>
      </w:r>
      <w:r w:rsidRPr="0013078B">
        <w:rPr>
          <w:rFonts w:asciiTheme="minorHAnsi" w:hAnsiTheme="minorHAnsi" w:cstheme="minorHAnsi"/>
          <w:szCs w:val="18"/>
          <w:lang w:val="de-CH"/>
        </w:rPr>
        <w:t xml:space="preserve"> </w:t>
      </w:r>
      <w:proofErr w:type="spellStart"/>
      <w:r w:rsidRPr="0013078B">
        <w:rPr>
          <w:rFonts w:asciiTheme="minorHAnsi" w:hAnsiTheme="minorHAnsi" w:cstheme="minorHAnsi"/>
          <w:smallCaps/>
          <w:szCs w:val="18"/>
          <w:lang w:val="de-CH"/>
        </w:rPr>
        <w:t>Schwiddesse</w:t>
      </w:r>
      <w:r w:rsidRPr="0013078B">
        <w:rPr>
          <w:rFonts w:asciiTheme="minorHAnsi" w:hAnsiTheme="minorHAnsi" w:cstheme="minorHAnsi"/>
          <w:szCs w:val="18"/>
          <w:lang w:val="de-CH"/>
        </w:rPr>
        <w:t>n</w:t>
      </w:r>
      <w:proofErr w:type="spellEnd"/>
      <w:r w:rsidRPr="0013078B">
        <w:rPr>
          <w:rFonts w:asciiTheme="minorHAnsi" w:hAnsiTheme="minorHAnsi" w:cstheme="minorHAnsi"/>
          <w:szCs w:val="18"/>
          <w:lang w:val="de-CH"/>
        </w:rPr>
        <w:t xml:space="preserve"> Sebastian/</w:t>
      </w:r>
      <w:proofErr w:type="spellStart"/>
      <w:r w:rsidRPr="0013078B">
        <w:rPr>
          <w:rFonts w:asciiTheme="minorHAnsi" w:hAnsiTheme="minorHAnsi" w:cstheme="minorHAnsi"/>
          <w:szCs w:val="18"/>
          <w:lang w:val="de-CH"/>
        </w:rPr>
        <w:t>K</w:t>
      </w:r>
      <w:r w:rsidRPr="0013078B">
        <w:rPr>
          <w:rFonts w:asciiTheme="minorHAnsi" w:eastAsiaTheme="minorHAnsi" w:hAnsiTheme="minorHAnsi" w:cstheme="minorHAnsi"/>
          <w:szCs w:val="18"/>
          <w:lang w:val="de-CH"/>
        </w:rPr>
        <w:t>arius</w:t>
      </w:r>
      <w:proofErr w:type="spellEnd"/>
      <w:r w:rsidRPr="0013078B">
        <w:rPr>
          <w:rFonts w:asciiTheme="minorHAnsi" w:hAnsiTheme="minorHAnsi" w:cstheme="minorHAnsi"/>
          <w:szCs w:val="18"/>
          <w:lang w:val="de-CH"/>
        </w:rPr>
        <w:t xml:space="preserve"> Philipp, (</w:t>
      </w:r>
      <w:proofErr w:type="spellStart"/>
      <w:r w:rsidRPr="0013078B">
        <w:rPr>
          <w:rFonts w:asciiTheme="minorHAnsi" w:hAnsiTheme="minorHAnsi" w:cstheme="minorHAnsi"/>
          <w:szCs w:val="18"/>
          <w:lang w:val="de-CH"/>
        </w:rPr>
        <w:t>note</w:t>
      </w:r>
      <w:proofErr w:type="spellEnd"/>
      <w:r w:rsidR="00565A26" w:rsidRPr="0013078B">
        <w:rPr>
          <w:rFonts w:asciiTheme="minorHAnsi" w:hAnsiTheme="minorHAnsi" w:cstheme="minorHAnsi"/>
          <w:szCs w:val="18"/>
          <w:lang w:val="de-CH"/>
        </w:rPr>
        <w:t xml:space="preserve"> 1</w:t>
      </w:r>
      <w:r w:rsidRPr="0013078B">
        <w:rPr>
          <w:rFonts w:asciiTheme="minorHAnsi" w:hAnsiTheme="minorHAnsi" w:cstheme="minorHAnsi"/>
          <w:szCs w:val="18"/>
          <w:lang w:val="de-CH"/>
        </w:rPr>
        <w:t>) p. 18.</w:t>
      </w:r>
    </w:p>
  </w:footnote>
  <w:footnote w:id="4">
    <w:p w14:paraId="72AF34D3" w14:textId="44526E2B" w:rsidR="0013078B" w:rsidRPr="00FE51BA" w:rsidRDefault="0013078B" w:rsidP="0013078B">
      <w:pPr>
        <w:pStyle w:val="Notedebasdepage"/>
        <w:spacing w:line="240" w:lineRule="auto"/>
        <w:ind w:left="0" w:right="0" w:firstLine="0"/>
        <w:jc w:val="both"/>
        <w:rPr>
          <w:rFonts w:asciiTheme="minorHAnsi" w:hAnsiTheme="minorHAnsi" w:cstheme="minorHAnsi"/>
          <w:szCs w:val="18"/>
          <w:lang w:val="de-CH"/>
        </w:rPr>
      </w:pPr>
      <w:r w:rsidRPr="00FE51BA">
        <w:rPr>
          <w:rStyle w:val="Appelnotedebasdep"/>
          <w:rFonts w:asciiTheme="minorHAnsi" w:hAnsiTheme="minorHAnsi" w:cstheme="minorHAnsi"/>
          <w:szCs w:val="18"/>
        </w:rPr>
        <w:footnoteRef/>
      </w:r>
      <w:r>
        <w:rPr>
          <w:rFonts w:asciiTheme="minorHAnsi" w:hAnsiTheme="minorHAnsi" w:cstheme="minorHAnsi"/>
          <w:szCs w:val="18"/>
          <w:lang w:val="de-CH"/>
        </w:rPr>
        <w:t xml:space="preserve"> </w:t>
      </w:r>
      <w:r>
        <w:rPr>
          <w:rFonts w:asciiTheme="minorHAnsi" w:hAnsiTheme="minorHAnsi" w:cstheme="minorHAnsi"/>
          <w:smallCaps/>
          <w:szCs w:val="18"/>
        </w:rPr>
        <w:t>I</w:t>
      </w:r>
      <w:r w:rsidRPr="0071114A">
        <w:rPr>
          <w:rFonts w:asciiTheme="minorHAnsi" w:hAnsiTheme="minorHAnsi" w:cstheme="minorHAnsi"/>
          <w:smallCaps/>
          <w:szCs w:val="18"/>
        </w:rPr>
        <w:t xml:space="preserve">nteractive Software Federation of Europe (ISFE), </w:t>
      </w:r>
      <w:r w:rsidRPr="0071114A">
        <w:rPr>
          <w:rFonts w:asciiTheme="minorHAnsi" w:hAnsiTheme="minorHAnsi" w:cstheme="minorHAnsi"/>
          <w:szCs w:val="18"/>
          <w:lang w:val="en-US"/>
        </w:rPr>
        <w:t xml:space="preserve">Europe’s Video Games Industry, Key Facts 2019, 2018 trends &amp; data, p.4 (available: </w:t>
      </w:r>
      <w:hyperlink r:id="rId3" w:history="1">
        <w:r w:rsidRPr="0071114A">
          <w:rPr>
            <w:rFonts w:asciiTheme="minorHAnsi" w:hAnsiTheme="minorHAnsi" w:cstheme="minorHAnsi"/>
            <w:szCs w:val="18"/>
            <w:lang w:val="en-US"/>
          </w:rPr>
          <w:t>https://www.isfe.eu/wp-content/uploads/2019/08/ISFE-Key-Facts-Brochure-FINAL.pdf</w:t>
        </w:r>
      </w:hyperlink>
      <w:r w:rsidRPr="0071114A">
        <w:rPr>
          <w:rFonts w:asciiTheme="minorHAnsi" w:hAnsiTheme="minorHAnsi" w:cstheme="minorHAnsi"/>
          <w:szCs w:val="18"/>
          <w:lang w:val="en-US"/>
        </w:rPr>
        <w:t>).</w:t>
      </w:r>
    </w:p>
  </w:footnote>
  <w:footnote w:id="5">
    <w:p w14:paraId="0296B42A" w14:textId="2426DB1F" w:rsidR="0004141B" w:rsidRPr="0013078B" w:rsidRDefault="0004141B" w:rsidP="00547AD4">
      <w:pPr>
        <w:pBdr>
          <w:top w:val="nil"/>
          <w:left w:val="nil"/>
          <w:bottom w:val="nil"/>
          <w:right w:val="nil"/>
          <w:between w:val="nil"/>
        </w:pBdr>
        <w:jc w:val="both"/>
        <w:rPr>
          <w:rFonts w:cstheme="minorHAnsi"/>
          <w:color w:val="000000"/>
          <w:sz w:val="18"/>
          <w:szCs w:val="18"/>
          <w:lang w:val="en-US"/>
        </w:rPr>
      </w:pPr>
      <w:r w:rsidRPr="0013078B">
        <w:rPr>
          <w:rFonts w:cstheme="minorHAnsi"/>
          <w:sz w:val="18"/>
          <w:szCs w:val="18"/>
          <w:vertAlign w:val="superscript"/>
        </w:rPr>
        <w:footnoteRef/>
      </w:r>
      <w:r w:rsidRPr="0013078B">
        <w:rPr>
          <w:rFonts w:cstheme="minorHAnsi"/>
          <w:color w:val="000000"/>
          <w:sz w:val="18"/>
          <w:szCs w:val="18"/>
          <w:lang w:val="en-US"/>
        </w:rPr>
        <w:t xml:space="preserve"> </w:t>
      </w:r>
      <w:r w:rsidR="007B692F" w:rsidRPr="0013078B">
        <w:rPr>
          <w:rFonts w:cstheme="minorHAnsi"/>
          <w:smallCaps/>
          <w:sz w:val="18"/>
          <w:szCs w:val="18"/>
          <w:lang w:val="en-US"/>
        </w:rPr>
        <w:t>D</w:t>
      </w:r>
      <w:r w:rsidR="007B692F" w:rsidRPr="0013078B">
        <w:rPr>
          <w:rFonts w:cstheme="minorHAnsi"/>
          <w:smallCaps/>
          <w:color w:val="222222"/>
          <w:sz w:val="18"/>
          <w:szCs w:val="18"/>
          <w:highlight w:val="white"/>
          <w:lang w:val="en-US"/>
        </w:rPr>
        <w:t>rummond</w:t>
      </w:r>
      <w:r w:rsidR="007B692F" w:rsidRPr="0013078B">
        <w:rPr>
          <w:rFonts w:cstheme="minorHAnsi"/>
          <w:color w:val="222222"/>
          <w:sz w:val="18"/>
          <w:szCs w:val="18"/>
          <w:highlight w:val="white"/>
          <w:lang w:val="en-US"/>
        </w:rPr>
        <w:t xml:space="preserve"> Aaron/</w:t>
      </w:r>
      <w:r w:rsidR="007B692F" w:rsidRPr="0013078B">
        <w:rPr>
          <w:rFonts w:cstheme="minorHAnsi"/>
          <w:smallCaps/>
          <w:color w:val="222222"/>
          <w:sz w:val="18"/>
          <w:szCs w:val="18"/>
          <w:highlight w:val="white"/>
          <w:lang w:val="en-US"/>
        </w:rPr>
        <w:t>Sauer</w:t>
      </w:r>
      <w:r w:rsidR="007B692F" w:rsidRPr="0013078B">
        <w:rPr>
          <w:rFonts w:cstheme="minorHAnsi"/>
          <w:color w:val="222222"/>
          <w:sz w:val="18"/>
          <w:szCs w:val="18"/>
          <w:highlight w:val="white"/>
          <w:lang w:val="en-US"/>
        </w:rPr>
        <w:t xml:space="preserve"> James, Video game loot boxes are psychologically akin to gambling in : </w:t>
      </w:r>
      <w:r w:rsidR="007B692F" w:rsidRPr="0013078B">
        <w:rPr>
          <w:rFonts w:cstheme="minorHAnsi"/>
          <w:color w:val="222222"/>
          <w:sz w:val="18"/>
          <w:szCs w:val="18"/>
          <w:lang w:val="en-US"/>
        </w:rPr>
        <w:t xml:space="preserve">Nature Human </w:t>
      </w:r>
      <w:proofErr w:type="spellStart"/>
      <w:r w:rsidR="007B692F" w:rsidRPr="0013078B">
        <w:rPr>
          <w:rFonts w:cstheme="minorHAnsi"/>
          <w:color w:val="222222"/>
          <w:sz w:val="18"/>
          <w:szCs w:val="18"/>
          <w:lang w:val="en-US"/>
        </w:rPr>
        <w:t>Behav</w:t>
      </w:r>
      <w:r w:rsidR="007B692F" w:rsidRPr="0013078B">
        <w:rPr>
          <w:rFonts w:cstheme="minorHAnsi"/>
          <w:color w:val="222222"/>
          <w:sz w:val="18"/>
          <w:szCs w:val="18"/>
          <w:highlight w:val="white"/>
          <w:lang w:val="en-US"/>
        </w:rPr>
        <w:t>iour</w:t>
      </w:r>
      <w:proofErr w:type="spellEnd"/>
      <w:r w:rsidR="007B692F" w:rsidRPr="0013078B">
        <w:rPr>
          <w:rFonts w:cstheme="minorHAnsi"/>
          <w:color w:val="222222"/>
          <w:sz w:val="18"/>
          <w:szCs w:val="18"/>
          <w:highlight w:val="white"/>
          <w:lang w:val="en-US"/>
        </w:rPr>
        <w:t>,</w:t>
      </w:r>
      <w:r w:rsidR="007B692F" w:rsidRPr="0013078B">
        <w:rPr>
          <w:rFonts w:cstheme="minorHAnsi"/>
          <w:color w:val="222222"/>
          <w:sz w:val="18"/>
          <w:szCs w:val="18"/>
          <w:lang w:val="en-US"/>
        </w:rPr>
        <w:t xml:space="preserve"> 2, 2018, pp.  </w:t>
      </w:r>
      <w:r w:rsidR="007B692F" w:rsidRPr="0013078B">
        <w:rPr>
          <w:rFonts w:cstheme="minorHAnsi"/>
          <w:color w:val="222222"/>
          <w:sz w:val="18"/>
          <w:szCs w:val="18"/>
          <w:highlight w:val="white"/>
          <w:lang w:val="en-US"/>
        </w:rPr>
        <w:t>530–532 (</w:t>
      </w:r>
      <w:r w:rsidR="00565A26" w:rsidRPr="0013078B">
        <w:rPr>
          <w:rFonts w:cstheme="minorHAnsi"/>
          <w:color w:val="222222"/>
          <w:sz w:val="18"/>
          <w:szCs w:val="18"/>
          <w:highlight w:val="white"/>
          <w:lang w:val="en-US"/>
        </w:rPr>
        <w:t>available</w:t>
      </w:r>
      <w:r w:rsidR="007B692F" w:rsidRPr="0013078B">
        <w:rPr>
          <w:rFonts w:cstheme="minorHAnsi"/>
          <w:color w:val="222222"/>
          <w:sz w:val="18"/>
          <w:szCs w:val="18"/>
          <w:highlight w:val="white"/>
          <w:lang w:val="en-US"/>
        </w:rPr>
        <w:t xml:space="preserve"> : </w:t>
      </w:r>
      <w:hyperlink r:id="rId4">
        <w:r w:rsidR="007B692F" w:rsidRPr="0013078B">
          <w:rPr>
            <w:rFonts w:cstheme="minorHAnsi"/>
            <w:color w:val="0000FF"/>
            <w:sz w:val="18"/>
            <w:szCs w:val="18"/>
            <w:highlight w:val="white"/>
            <w:u w:val="single"/>
            <w:lang w:val="en-US"/>
          </w:rPr>
          <w:t>https://doi.org/10.1038/s41562-018-0360-1</w:t>
        </w:r>
      </w:hyperlink>
      <w:r w:rsidR="007B692F" w:rsidRPr="0013078B">
        <w:rPr>
          <w:rFonts w:cstheme="minorHAnsi"/>
          <w:color w:val="222222"/>
          <w:sz w:val="18"/>
          <w:szCs w:val="18"/>
          <w:highlight w:val="white"/>
          <w:lang w:val="en-US"/>
        </w:rPr>
        <w:t xml:space="preserve">), </w:t>
      </w:r>
      <w:r w:rsidRPr="0013078B">
        <w:rPr>
          <w:rFonts w:cstheme="minorHAnsi"/>
          <w:color w:val="000000"/>
          <w:sz w:val="18"/>
          <w:szCs w:val="18"/>
          <w:lang w:val="en-US"/>
        </w:rPr>
        <w:t xml:space="preserve">p. 530 ; </w:t>
      </w:r>
      <w:r w:rsidRPr="0013078B">
        <w:rPr>
          <w:rFonts w:cstheme="minorHAnsi"/>
          <w:smallCaps/>
          <w:color w:val="000000"/>
          <w:sz w:val="18"/>
          <w:szCs w:val="18"/>
          <w:lang w:val="en-US"/>
        </w:rPr>
        <w:t>Griffiths</w:t>
      </w:r>
      <w:r w:rsidRPr="0013078B">
        <w:rPr>
          <w:rFonts w:cstheme="minorHAnsi"/>
          <w:color w:val="000000"/>
          <w:sz w:val="18"/>
          <w:szCs w:val="18"/>
          <w:lang w:val="en-US"/>
        </w:rPr>
        <w:t xml:space="preserve"> Mark D., Loot Boxes in Video Games as form of Gambling or Gaming? (2018) 22(1) Gaming Law Review</w:t>
      </w:r>
      <w:r w:rsidR="005E439F" w:rsidRPr="0013078B">
        <w:rPr>
          <w:rFonts w:cstheme="minorHAnsi"/>
          <w:color w:val="000000"/>
          <w:sz w:val="18"/>
          <w:szCs w:val="18"/>
          <w:lang w:val="en-US"/>
        </w:rPr>
        <w:t xml:space="preserve">, pp. </w:t>
      </w:r>
      <w:r w:rsidRPr="0013078B">
        <w:rPr>
          <w:rFonts w:cstheme="minorHAnsi"/>
          <w:color w:val="000000"/>
          <w:sz w:val="18"/>
          <w:szCs w:val="18"/>
          <w:lang w:val="en-US"/>
        </w:rPr>
        <w:t xml:space="preserve">52–54, </w:t>
      </w:r>
      <w:r w:rsidR="005E439F" w:rsidRPr="0013078B">
        <w:rPr>
          <w:rFonts w:cstheme="minorHAnsi"/>
          <w:color w:val="000000"/>
          <w:sz w:val="18"/>
          <w:szCs w:val="18"/>
          <w:lang w:val="en-US"/>
        </w:rPr>
        <w:t xml:space="preserve">p. </w:t>
      </w:r>
      <w:r w:rsidRPr="0013078B">
        <w:rPr>
          <w:rFonts w:cstheme="minorHAnsi"/>
          <w:color w:val="000000"/>
          <w:sz w:val="18"/>
          <w:szCs w:val="18"/>
          <w:lang w:val="en-US"/>
        </w:rPr>
        <w:t>52.</w:t>
      </w:r>
    </w:p>
  </w:footnote>
  <w:footnote w:id="6">
    <w:p w14:paraId="75575074" w14:textId="70C49E9A" w:rsidR="00783189" w:rsidRPr="00631C84" w:rsidRDefault="00783189" w:rsidP="00547AD4">
      <w:pPr>
        <w:pStyle w:val="Notedebasdepage"/>
        <w:spacing w:line="240" w:lineRule="auto"/>
        <w:ind w:left="0" w:right="0" w:firstLine="0"/>
        <w:jc w:val="both"/>
        <w:rPr>
          <w:rFonts w:ascii="Calibri" w:hAnsi="Calibri"/>
          <w:szCs w:val="18"/>
          <w:lang w:val="en-US"/>
        </w:rPr>
      </w:pPr>
      <w:r w:rsidRPr="0013078B">
        <w:rPr>
          <w:rStyle w:val="Appelnotedebasdep"/>
          <w:rFonts w:asciiTheme="minorHAnsi" w:hAnsiTheme="minorHAnsi" w:cstheme="minorHAnsi"/>
          <w:szCs w:val="18"/>
        </w:rPr>
        <w:footnoteRef/>
      </w:r>
      <w:r w:rsidRPr="0013078B">
        <w:rPr>
          <w:rFonts w:asciiTheme="minorHAnsi" w:hAnsiTheme="minorHAnsi" w:cstheme="minorHAnsi"/>
          <w:szCs w:val="18"/>
          <w:lang w:val="en-US"/>
        </w:rPr>
        <w:t xml:space="preserve"> </w:t>
      </w:r>
      <w:r w:rsidR="00925CC8" w:rsidRPr="0013078B">
        <w:rPr>
          <w:rFonts w:asciiTheme="minorHAnsi" w:hAnsiTheme="minorHAnsi" w:cstheme="minorHAnsi"/>
          <w:smallCaps/>
          <w:szCs w:val="18"/>
          <w:lang w:val="en-US"/>
        </w:rPr>
        <w:t>European Parliament</w:t>
      </w:r>
      <w:r w:rsidR="00565A26" w:rsidRPr="0013078B">
        <w:rPr>
          <w:rFonts w:asciiTheme="minorHAnsi" w:hAnsiTheme="minorHAnsi" w:cstheme="minorHAnsi"/>
          <w:smallCaps/>
          <w:szCs w:val="18"/>
          <w:lang w:val="en-US"/>
        </w:rPr>
        <w:t xml:space="preserve"> (</w:t>
      </w:r>
      <w:r w:rsidR="00565A26" w:rsidRPr="0013078B">
        <w:rPr>
          <w:rFonts w:asciiTheme="minorHAnsi" w:hAnsiTheme="minorHAnsi" w:cstheme="minorHAnsi"/>
          <w:szCs w:val="18"/>
          <w:lang w:val="en-US"/>
        </w:rPr>
        <w:t>note 2)</w:t>
      </w:r>
      <w:r w:rsidR="00925CC8" w:rsidRPr="0013078B">
        <w:rPr>
          <w:rFonts w:asciiTheme="minorHAnsi" w:hAnsiTheme="minorHAnsi" w:cstheme="minorHAnsi"/>
          <w:szCs w:val="18"/>
          <w:lang w:val="en-US"/>
        </w:rPr>
        <w:t xml:space="preserve">, </w:t>
      </w:r>
      <w:r w:rsidR="009B56DE" w:rsidRPr="0013078B">
        <w:rPr>
          <w:rFonts w:asciiTheme="minorHAnsi" w:hAnsiTheme="minorHAnsi" w:cstheme="minorHAnsi"/>
          <w:szCs w:val="18"/>
          <w:lang w:val="en-US"/>
        </w:rPr>
        <w:t>p.7.</w:t>
      </w:r>
      <w:r w:rsidRPr="00631C84">
        <w:rPr>
          <w:rFonts w:ascii="Calibri" w:hAnsi="Calibri"/>
          <w:szCs w:val="18"/>
          <w:lang w:val="en-US"/>
        </w:rPr>
        <w:t xml:space="preserve"> </w:t>
      </w:r>
    </w:p>
  </w:footnote>
  <w:footnote w:id="7">
    <w:p w14:paraId="3A77D101" w14:textId="62544451" w:rsidR="00D61DD8" w:rsidRPr="00631C84" w:rsidRDefault="00D61DD8" w:rsidP="00547AD4">
      <w:pPr>
        <w:pStyle w:val="Notedebasdepage"/>
        <w:jc w:val="both"/>
        <w:rPr>
          <w:rFonts w:ascii="Calibri" w:hAnsi="Calibri"/>
          <w:szCs w:val="18"/>
        </w:rPr>
      </w:pPr>
      <w:r w:rsidRPr="00631C84">
        <w:rPr>
          <w:rStyle w:val="Appelnotedebasdep"/>
          <w:rFonts w:ascii="Calibri" w:hAnsi="Calibri"/>
          <w:szCs w:val="18"/>
        </w:rPr>
        <w:footnoteRef/>
      </w:r>
      <w:r w:rsidRPr="00631C84">
        <w:rPr>
          <w:rFonts w:ascii="Calibri" w:hAnsi="Calibri"/>
          <w:szCs w:val="18"/>
        </w:rPr>
        <w:t xml:space="preserve"> </w:t>
      </w:r>
      <w:r w:rsidRPr="00631C84">
        <w:rPr>
          <w:rFonts w:ascii="Calibri" w:hAnsi="Calibri"/>
          <w:smallCaps/>
          <w:szCs w:val="18"/>
        </w:rPr>
        <w:t>European Parliament</w:t>
      </w:r>
      <w:r w:rsidR="00565A26" w:rsidRPr="00631C84">
        <w:rPr>
          <w:rFonts w:ascii="Calibri" w:hAnsi="Calibri"/>
          <w:smallCaps/>
          <w:szCs w:val="18"/>
        </w:rPr>
        <w:t xml:space="preserve"> </w:t>
      </w:r>
      <w:r w:rsidR="00565A26" w:rsidRPr="00631C84">
        <w:rPr>
          <w:rFonts w:ascii="Calibri" w:eastAsiaTheme="minorHAnsi" w:hAnsi="Calibri" w:cstheme="minorBidi"/>
          <w:szCs w:val="18"/>
          <w:lang w:val="en-US"/>
        </w:rPr>
        <w:t>(note 2)</w:t>
      </w:r>
      <w:r w:rsidRPr="00631C84">
        <w:rPr>
          <w:rFonts w:ascii="Calibri" w:eastAsiaTheme="minorHAnsi" w:hAnsi="Calibri" w:cstheme="minorBidi"/>
          <w:szCs w:val="18"/>
          <w:lang w:val="en-US"/>
        </w:rPr>
        <w:t>, p.7.</w:t>
      </w:r>
      <w:r w:rsidRPr="00631C84">
        <w:rPr>
          <w:rFonts w:ascii="Calibri" w:hAnsi="Calibri"/>
          <w:szCs w:val="18"/>
        </w:rPr>
        <w:t xml:space="preserve"> </w:t>
      </w:r>
    </w:p>
  </w:footnote>
  <w:footnote w:id="8">
    <w:p w14:paraId="74EBD51A" w14:textId="7E2C0AA3" w:rsidR="003D1D32" w:rsidRPr="00631C84" w:rsidRDefault="003D1D32" w:rsidP="00547AD4">
      <w:pPr>
        <w:jc w:val="both"/>
        <w:rPr>
          <w:rFonts w:ascii="Calibri" w:hAnsi="Calibri"/>
          <w:sz w:val="18"/>
          <w:szCs w:val="18"/>
          <w:lang w:val="en-US"/>
        </w:rPr>
      </w:pPr>
      <w:r w:rsidRPr="00631C84">
        <w:rPr>
          <w:rFonts w:ascii="Calibri" w:hAnsi="Calibri"/>
          <w:sz w:val="18"/>
          <w:szCs w:val="18"/>
          <w:vertAlign w:val="superscript"/>
        </w:rPr>
        <w:footnoteRef/>
      </w:r>
      <w:r w:rsidRPr="00631C84">
        <w:rPr>
          <w:rFonts w:ascii="Calibri" w:hAnsi="Calibri"/>
          <w:sz w:val="18"/>
          <w:szCs w:val="18"/>
          <w:lang w:val="en-US"/>
        </w:rPr>
        <w:t xml:space="preserve"> See Patent US No. 10,080,972 of 25 </w:t>
      </w:r>
      <w:r w:rsidR="00547AD4" w:rsidRPr="00631C84">
        <w:rPr>
          <w:rFonts w:ascii="Calibri" w:hAnsi="Calibri"/>
          <w:sz w:val="18"/>
          <w:szCs w:val="18"/>
          <w:lang w:val="en-US"/>
        </w:rPr>
        <w:t>September</w:t>
      </w:r>
      <w:r w:rsidRPr="00631C84">
        <w:rPr>
          <w:rFonts w:ascii="Calibri" w:hAnsi="Calibri"/>
          <w:sz w:val="18"/>
          <w:szCs w:val="18"/>
          <w:lang w:val="en-US"/>
        </w:rPr>
        <w:t xml:space="preserve"> 2018 on “</w:t>
      </w:r>
      <w:r w:rsidRPr="00631C84">
        <w:rPr>
          <w:rFonts w:ascii="Calibri" w:hAnsi="Calibri"/>
          <w:i/>
          <w:iCs/>
          <w:sz w:val="18"/>
          <w:szCs w:val="18"/>
          <w:lang w:val="en-US"/>
        </w:rPr>
        <w:t>a System and method for varying the distribution probabilities of individual potential awards associated with probability item bundles depending on a purchase history of a user activating a probability</w:t>
      </w:r>
      <w:r w:rsidR="00547AD4" w:rsidRPr="00631C84">
        <w:rPr>
          <w:rFonts w:ascii="Calibri" w:hAnsi="Calibri"/>
          <w:i/>
          <w:iCs/>
          <w:sz w:val="18"/>
          <w:szCs w:val="18"/>
          <w:lang w:val="en-US"/>
        </w:rPr>
        <w:t xml:space="preserve"> </w:t>
      </w:r>
      <w:r w:rsidRPr="00631C84">
        <w:rPr>
          <w:rFonts w:ascii="Calibri" w:hAnsi="Calibri"/>
          <w:i/>
          <w:iCs/>
          <w:sz w:val="18"/>
          <w:szCs w:val="18"/>
          <w:lang w:val="en-US"/>
        </w:rPr>
        <w:t>item bundle</w:t>
      </w:r>
      <w:r w:rsidRPr="00631C84">
        <w:rPr>
          <w:rFonts w:ascii="Calibri" w:hAnsi="Calibri"/>
          <w:sz w:val="18"/>
          <w:szCs w:val="18"/>
          <w:lang w:val="en-US"/>
        </w:rPr>
        <w:t>”</w:t>
      </w:r>
      <w:r w:rsidR="00547AD4" w:rsidRPr="00631C84">
        <w:rPr>
          <w:rFonts w:ascii="Calibri" w:hAnsi="Calibri"/>
          <w:sz w:val="18"/>
          <w:szCs w:val="18"/>
          <w:lang w:val="en-US"/>
        </w:rPr>
        <w:t xml:space="preserve"> (see: </w:t>
      </w:r>
      <w:hyperlink r:id="rId5" w:history="1">
        <w:r w:rsidR="00547AD4" w:rsidRPr="00631C84">
          <w:rPr>
            <w:rStyle w:val="Lienhypertexte"/>
            <w:rFonts w:ascii="Calibri" w:hAnsi="Calibri"/>
            <w:sz w:val="18"/>
            <w:szCs w:val="18"/>
            <w:lang w:val="en-US"/>
          </w:rPr>
          <w:t>https://patentimag</w:t>
        </w:r>
        <w:r w:rsidR="00547AD4" w:rsidRPr="00631C84">
          <w:rPr>
            <w:rStyle w:val="Lienhypertexte"/>
            <w:rFonts w:ascii="Calibri" w:hAnsi="Calibri"/>
            <w:sz w:val="18"/>
            <w:szCs w:val="18"/>
            <w:lang w:val="en-US"/>
          </w:rPr>
          <w:softHyphen/>
          <w:t>es.storage.googleapis.com/0b/81/44/e0b180fb740e99/US10080972.pdf</w:t>
        </w:r>
      </w:hyperlink>
      <w:r w:rsidR="00547AD4" w:rsidRPr="00631C84">
        <w:rPr>
          <w:rFonts w:ascii="Calibri" w:hAnsi="Calibri"/>
          <w:sz w:val="18"/>
          <w:szCs w:val="18"/>
          <w:lang w:val="en-US"/>
        </w:rPr>
        <w:t>)</w:t>
      </w:r>
      <w:r w:rsidRPr="00631C84">
        <w:rPr>
          <w:rFonts w:ascii="Calibri" w:hAnsi="Calibri"/>
          <w:sz w:val="18"/>
          <w:szCs w:val="18"/>
          <w:lang w:val="en-US"/>
        </w:rPr>
        <w:t>; see also Patent US No. US 2019</w:t>
      </w:r>
      <w:r w:rsidR="00547AD4" w:rsidRPr="00631C84">
        <w:rPr>
          <w:rFonts w:ascii="Calibri" w:hAnsi="Calibri"/>
          <w:sz w:val="18"/>
          <w:szCs w:val="18"/>
          <w:lang w:val="en-US"/>
        </w:rPr>
        <w:t xml:space="preserve"> </w:t>
      </w:r>
      <w:r w:rsidRPr="00631C84">
        <w:rPr>
          <w:rFonts w:ascii="Calibri" w:hAnsi="Calibri"/>
          <w:sz w:val="18"/>
          <w:szCs w:val="18"/>
          <w:lang w:val="en-US"/>
        </w:rPr>
        <w:t xml:space="preserve">0275422 of 12 </w:t>
      </w:r>
      <w:r w:rsidR="00547AD4" w:rsidRPr="00631C84">
        <w:rPr>
          <w:rFonts w:ascii="Calibri" w:hAnsi="Calibri"/>
          <w:sz w:val="18"/>
          <w:szCs w:val="18"/>
          <w:lang w:val="en-US"/>
        </w:rPr>
        <w:t>September</w:t>
      </w:r>
      <w:r w:rsidRPr="00631C84">
        <w:rPr>
          <w:rFonts w:ascii="Calibri" w:hAnsi="Calibri"/>
          <w:sz w:val="18"/>
          <w:szCs w:val="18"/>
          <w:lang w:val="en-US"/>
        </w:rPr>
        <w:t xml:space="preserve"> 2019 on “</w:t>
      </w:r>
      <w:r w:rsidRPr="00631C84">
        <w:rPr>
          <w:rFonts w:ascii="Calibri" w:hAnsi="Calibri"/>
          <w:i/>
          <w:sz w:val="18"/>
          <w:szCs w:val="18"/>
          <w:lang w:val="en-US"/>
        </w:rPr>
        <w:t>A system and method configured to enhance gameplay between users in an online game and to provide enhanced interest in virtual goods associated with collections of virtual goods through the ability to rotate drop rates associated with these virtual goods from time to time. The system and method includes the provision of functionality which allows providers of online games to periodically rotate drop rates associated with mystery boxes in order to maintain and/or generate additional interest in specific mystery boxes. As a result, it is possible for game operators to enhance revenue opportunities associated with these boxes even in the case where such boxes have been available for a relatively lengthy period of time and/or where players would have otherwise lost interest in specific boxes</w:t>
      </w:r>
      <w:r w:rsidRPr="00631C84">
        <w:rPr>
          <w:rFonts w:ascii="Calibri" w:hAnsi="Calibri"/>
          <w:sz w:val="18"/>
          <w:szCs w:val="18"/>
          <w:lang w:val="en-US"/>
        </w:rPr>
        <w:t xml:space="preserve">” (available: </w:t>
      </w:r>
      <w:hyperlink r:id="rId6">
        <w:r w:rsidRPr="00631C84">
          <w:rPr>
            <w:rFonts w:ascii="Calibri" w:hAnsi="Calibri"/>
            <w:color w:val="1155CC"/>
            <w:sz w:val="18"/>
            <w:szCs w:val="18"/>
            <w:u w:val="single"/>
            <w:lang w:val="en-US"/>
          </w:rPr>
          <w:t>https://patentimag</w:t>
        </w:r>
        <w:r w:rsidR="00547AD4" w:rsidRPr="00631C84">
          <w:rPr>
            <w:rFonts w:ascii="Calibri" w:hAnsi="Calibri"/>
            <w:color w:val="1155CC"/>
            <w:sz w:val="18"/>
            <w:szCs w:val="18"/>
            <w:u w:val="single"/>
            <w:lang w:val="en-US"/>
          </w:rPr>
          <w:softHyphen/>
        </w:r>
        <w:r w:rsidRPr="00631C84">
          <w:rPr>
            <w:rFonts w:ascii="Calibri" w:hAnsi="Calibri"/>
            <w:color w:val="1155CC"/>
            <w:sz w:val="18"/>
            <w:szCs w:val="18"/>
            <w:u w:val="single"/>
            <w:lang w:val="en-US"/>
          </w:rPr>
          <w:t>es.storage.googleapis.com/82/54/3d/f3bc1ad176aded/US20190275422A1.pdf</w:t>
        </w:r>
      </w:hyperlink>
      <w:r w:rsidRPr="00631C84">
        <w:rPr>
          <w:rFonts w:ascii="Calibri" w:hAnsi="Calibri"/>
          <w:sz w:val="18"/>
          <w:szCs w:val="18"/>
          <w:lang w:val="en-US"/>
        </w:rPr>
        <w:t xml:space="preserve">). </w:t>
      </w:r>
    </w:p>
  </w:footnote>
  <w:footnote w:id="9">
    <w:p w14:paraId="21B835DC" w14:textId="35CA3DD7" w:rsidR="003D1D32" w:rsidRPr="00631C84" w:rsidRDefault="003D1D32" w:rsidP="00547AD4">
      <w:pPr>
        <w:pBdr>
          <w:top w:val="nil"/>
          <w:left w:val="nil"/>
          <w:bottom w:val="nil"/>
          <w:right w:val="nil"/>
          <w:between w:val="nil"/>
        </w:pBdr>
        <w:jc w:val="both"/>
        <w:rPr>
          <w:rFonts w:ascii="Calibri" w:hAnsi="Calibri"/>
          <w:color w:val="000000"/>
          <w:sz w:val="18"/>
          <w:szCs w:val="18"/>
          <w:lang w:val="en-US"/>
        </w:rPr>
      </w:pPr>
      <w:r w:rsidRPr="00631C84">
        <w:rPr>
          <w:rFonts w:ascii="Calibri" w:hAnsi="Calibri"/>
          <w:sz w:val="18"/>
          <w:szCs w:val="18"/>
          <w:vertAlign w:val="superscript"/>
        </w:rPr>
        <w:footnoteRef/>
      </w:r>
      <w:r w:rsidRPr="00631C84">
        <w:rPr>
          <w:rFonts w:ascii="Calibri" w:hAnsi="Calibri"/>
          <w:color w:val="000000"/>
          <w:sz w:val="18"/>
          <w:szCs w:val="18"/>
          <w:lang w:val="en-US"/>
        </w:rPr>
        <w:t xml:space="preserve"> </w:t>
      </w:r>
      <w:r w:rsidR="00547AD4" w:rsidRPr="00631C84">
        <w:rPr>
          <w:rFonts w:ascii="Calibri" w:hAnsi="Calibri"/>
          <w:color w:val="000000"/>
          <w:sz w:val="18"/>
          <w:szCs w:val="18"/>
          <w:lang w:val="en-US"/>
        </w:rPr>
        <w:t xml:space="preserve"> </w:t>
      </w:r>
      <w:r w:rsidRPr="00631C84">
        <w:rPr>
          <w:rFonts w:ascii="Calibri" w:hAnsi="Calibri"/>
          <w:sz w:val="18"/>
          <w:szCs w:val="18"/>
          <w:lang w:val="en-US"/>
        </w:rPr>
        <w:t>See</w:t>
      </w:r>
      <w:r w:rsidR="00547AD4" w:rsidRPr="00631C84">
        <w:rPr>
          <w:rFonts w:ascii="Calibri" w:hAnsi="Calibri"/>
          <w:sz w:val="18"/>
          <w:szCs w:val="18"/>
          <w:lang w:val="en-US"/>
        </w:rPr>
        <w:t xml:space="preserve"> </w:t>
      </w:r>
      <w:r w:rsidRPr="00631C84">
        <w:rPr>
          <w:rFonts w:ascii="Calibri" w:eastAsia="Times New Roman" w:hAnsi="Calibri" w:cs="Times New Roman"/>
          <w:smallCaps/>
          <w:sz w:val="18"/>
          <w:szCs w:val="18"/>
          <w:lang w:val="en-GB"/>
        </w:rPr>
        <w:t xml:space="preserve">King </w:t>
      </w:r>
      <w:r w:rsidRPr="00631C84">
        <w:rPr>
          <w:rFonts w:ascii="Calibri" w:hAnsi="Calibri"/>
          <w:sz w:val="18"/>
          <w:szCs w:val="18"/>
          <w:lang w:val="en-US"/>
        </w:rPr>
        <w:t xml:space="preserve">Daniel et al, Unfair Play? Video games as exploitative monetized services: An examination of game patents from a consumer protection perspective in: Computers in Human Behavior, vol. 101, December 2019, pp. 131-143 (available:  </w:t>
      </w:r>
      <w:hyperlink r:id="rId7" w:anchor="tbl1fnb">
        <w:r w:rsidRPr="00631C84">
          <w:rPr>
            <w:rFonts w:ascii="Calibri" w:hAnsi="Calibri"/>
            <w:color w:val="1155CC"/>
            <w:sz w:val="18"/>
            <w:szCs w:val="18"/>
            <w:u w:val="single"/>
            <w:lang w:val="en-US"/>
          </w:rPr>
          <w:t>https://www.sciencedirect.com/science/article/pii/S0747563219302602#tbl1fnb</w:t>
        </w:r>
      </w:hyperlink>
      <w:r w:rsidRPr="00631C84">
        <w:rPr>
          <w:rFonts w:ascii="Calibri" w:hAnsi="Calibri"/>
          <w:sz w:val="18"/>
          <w:szCs w:val="18"/>
          <w:lang w:val="en-US"/>
        </w:rPr>
        <w:t xml:space="preserve">). </w:t>
      </w:r>
    </w:p>
  </w:footnote>
  <w:footnote w:id="10">
    <w:p w14:paraId="44B4C882" w14:textId="54FCE3A2" w:rsidR="003D1D32" w:rsidRPr="00631C84" w:rsidRDefault="003D1D32" w:rsidP="00547AD4">
      <w:pPr>
        <w:jc w:val="both"/>
        <w:rPr>
          <w:rFonts w:ascii="Calibri" w:hAnsi="Calibri"/>
          <w:color w:val="231F20"/>
          <w:sz w:val="18"/>
          <w:szCs w:val="18"/>
          <w:lang w:val="en-US"/>
        </w:rPr>
      </w:pPr>
      <w:r w:rsidRPr="00631C84">
        <w:rPr>
          <w:rFonts w:ascii="Calibri" w:hAnsi="Calibri"/>
          <w:sz w:val="18"/>
          <w:szCs w:val="18"/>
          <w:vertAlign w:val="superscript"/>
        </w:rPr>
        <w:footnoteRef/>
      </w:r>
      <w:r w:rsidRPr="00631C84">
        <w:rPr>
          <w:rFonts w:ascii="Calibri" w:hAnsi="Calibri"/>
          <w:sz w:val="18"/>
          <w:szCs w:val="18"/>
          <w:lang w:val="en-US"/>
        </w:rPr>
        <w:t xml:space="preserve"> </w:t>
      </w:r>
      <w:r w:rsidRPr="00631C84">
        <w:rPr>
          <w:rFonts w:ascii="Calibri" w:hAnsi="Calibri"/>
          <w:smallCaps/>
          <w:sz w:val="18"/>
          <w:szCs w:val="18"/>
          <w:lang w:val="en-US"/>
        </w:rPr>
        <w:t xml:space="preserve">King </w:t>
      </w:r>
      <w:r w:rsidRPr="00631C84">
        <w:rPr>
          <w:rFonts w:ascii="Calibri" w:hAnsi="Calibri"/>
          <w:sz w:val="18"/>
          <w:szCs w:val="18"/>
          <w:lang w:val="en-US"/>
        </w:rPr>
        <w:t>Daniel/</w:t>
      </w:r>
      <w:proofErr w:type="spellStart"/>
      <w:r w:rsidRPr="00631C84">
        <w:rPr>
          <w:rFonts w:ascii="Calibri" w:hAnsi="Calibri"/>
          <w:smallCaps/>
          <w:sz w:val="18"/>
          <w:szCs w:val="18"/>
          <w:lang w:val="en-US"/>
        </w:rPr>
        <w:t>Delfabbro</w:t>
      </w:r>
      <w:proofErr w:type="spellEnd"/>
      <w:r w:rsidRPr="00631C84">
        <w:rPr>
          <w:rFonts w:ascii="Calibri" w:hAnsi="Calibri"/>
          <w:sz w:val="18"/>
          <w:szCs w:val="18"/>
          <w:lang w:val="en-US"/>
        </w:rPr>
        <w:t xml:space="preserve"> Paul, Predatory monetization schemes in video games (e.g. </w:t>
      </w:r>
      <w:r w:rsidR="00547AD4" w:rsidRPr="00631C84">
        <w:rPr>
          <w:rFonts w:ascii="Calibri" w:hAnsi="Calibri"/>
          <w:sz w:val="18"/>
          <w:szCs w:val="18"/>
          <w:lang w:val="en-US"/>
        </w:rPr>
        <w:t>“</w:t>
      </w:r>
      <w:r w:rsidRPr="00631C84">
        <w:rPr>
          <w:rFonts w:ascii="Calibri" w:hAnsi="Calibri"/>
          <w:sz w:val="18"/>
          <w:szCs w:val="18"/>
          <w:lang w:val="en-US"/>
        </w:rPr>
        <w:t> loot boxes </w:t>
      </w:r>
      <w:r w:rsidR="00547AD4" w:rsidRPr="00631C84">
        <w:rPr>
          <w:rFonts w:ascii="Calibri" w:hAnsi="Calibri"/>
          <w:sz w:val="18"/>
          <w:szCs w:val="18"/>
          <w:lang w:val="en-US"/>
        </w:rPr>
        <w:t>“</w:t>
      </w:r>
      <w:r w:rsidRPr="00631C84">
        <w:rPr>
          <w:rFonts w:ascii="Calibri" w:hAnsi="Calibri"/>
          <w:sz w:val="18"/>
          <w:szCs w:val="18"/>
          <w:lang w:val="en-US"/>
        </w:rPr>
        <w:t xml:space="preserve">) and internet gaming disorder in : Addiction, Vol. 113, Issue 11, pp. 1967-1969 (available : </w:t>
      </w:r>
      <w:hyperlink r:id="rId8" w:history="1">
        <w:r w:rsidR="00547AD4" w:rsidRPr="00631C84">
          <w:rPr>
            <w:rStyle w:val="Lienhypertexte"/>
            <w:rFonts w:ascii="Calibri" w:hAnsi="Calibri"/>
            <w:sz w:val="18"/>
            <w:szCs w:val="18"/>
            <w:lang w:val="en-US"/>
          </w:rPr>
          <w:t>https://onlinelibrary.wiley.com/doi/full/10.1111/add.14286</w:t>
        </w:r>
      </w:hyperlink>
      <w:r w:rsidR="00547AD4" w:rsidRPr="00631C84">
        <w:rPr>
          <w:rFonts w:ascii="Calibri" w:hAnsi="Calibri"/>
          <w:sz w:val="18"/>
          <w:szCs w:val="18"/>
          <w:lang w:val="en-US"/>
        </w:rPr>
        <w:t xml:space="preserve">). </w:t>
      </w:r>
    </w:p>
  </w:footnote>
  <w:footnote w:id="11">
    <w:p w14:paraId="5618B47D" w14:textId="71ED68B3" w:rsidR="00FC54B3" w:rsidRPr="00631C84" w:rsidRDefault="00FC54B3" w:rsidP="00547AD4">
      <w:pPr>
        <w:jc w:val="both"/>
        <w:rPr>
          <w:rFonts w:ascii="Calibri" w:hAnsi="Calibri"/>
          <w:sz w:val="18"/>
          <w:szCs w:val="18"/>
          <w:lang w:val="en-US"/>
        </w:rPr>
      </w:pPr>
      <w:r w:rsidRPr="00631C84">
        <w:rPr>
          <w:rFonts w:ascii="Calibri" w:hAnsi="Calibri"/>
          <w:sz w:val="18"/>
          <w:szCs w:val="18"/>
          <w:vertAlign w:val="superscript"/>
        </w:rPr>
        <w:footnoteRef/>
      </w:r>
      <w:r w:rsidRPr="00631C84">
        <w:rPr>
          <w:rFonts w:ascii="Calibri" w:hAnsi="Calibri"/>
          <w:sz w:val="18"/>
          <w:szCs w:val="18"/>
          <w:lang w:val="en-US"/>
        </w:rPr>
        <w:t xml:space="preserve"> UK Parliament, Study on Immersive and addictive technologies,</w:t>
      </w:r>
      <w:r w:rsidR="00547AD4" w:rsidRPr="00631C84">
        <w:rPr>
          <w:rFonts w:ascii="Calibri" w:hAnsi="Calibri"/>
          <w:sz w:val="18"/>
          <w:szCs w:val="18"/>
          <w:lang w:val="en-US"/>
        </w:rPr>
        <w:t xml:space="preserve"> available</w:t>
      </w:r>
      <w:r w:rsidRPr="00631C84">
        <w:rPr>
          <w:rFonts w:ascii="Calibri" w:hAnsi="Calibri"/>
          <w:sz w:val="18"/>
          <w:szCs w:val="18"/>
          <w:lang w:val="en-US"/>
        </w:rPr>
        <w:t xml:space="preserve">: </w:t>
      </w:r>
      <w:hyperlink r:id="rId9" w:anchor="_idTextAnchor075">
        <w:r w:rsidRPr="00631C84">
          <w:rPr>
            <w:rFonts w:ascii="Calibri" w:hAnsi="Calibri"/>
            <w:color w:val="1155CC"/>
            <w:sz w:val="18"/>
            <w:szCs w:val="18"/>
            <w:u w:val="single"/>
            <w:lang w:val="en-US"/>
          </w:rPr>
          <w:t>https://publica</w:t>
        </w:r>
        <w:r w:rsidR="00547AD4" w:rsidRPr="00631C84">
          <w:rPr>
            <w:rFonts w:ascii="Calibri" w:hAnsi="Calibri"/>
            <w:color w:val="1155CC"/>
            <w:sz w:val="18"/>
            <w:szCs w:val="18"/>
            <w:u w:val="single"/>
            <w:lang w:val="en-US"/>
          </w:rPr>
          <w:softHyphen/>
        </w:r>
        <w:r w:rsidRPr="00631C84">
          <w:rPr>
            <w:rFonts w:ascii="Calibri" w:hAnsi="Calibri"/>
            <w:color w:val="1155CC"/>
            <w:sz w:val="18"/>
            <w:szCs w:val="18"/>
            <w:u w:val="single"/>
            <w:lang w:val="en-US"/>
          </w:rPr>
          <w:t>tions.parliament.uk/pa/cm201719/cmselect/cmcumeds/1846/184609.htm#_idTextAnchor075</w:t>
        </w:r>
      </w:hyperlink>
      <w:r w:rsidRPr="00631C84">
        <w:rPr>
          <w:rFonts w:ascii="Calibri" w:hAnsi="Calibri"/>
          <w:sz w:val="18"/>
          <w:szCs w:val="18"/>
          <w:lang w:val="en-US"/>
        </w:rPr>
        <w:t xml:space="preserve"> , point 14: “</w:t>
      </w:r>
      <w:r w:rsidRPr="00631C84">
        <w:rPr>
          <w:rFonts w:ascii="Calibri" w:hAnsi="Calibri"/>
          <w:i/>
          <w:iCs/>
          <w:sz w:val="18"/>
          <w:szCs w:val="18"/>
          <w:lang w:val="en-US"/>
        </w:rPr>
        <w:t xml:space="preserve">The games industry’s emphasis on player choice does not acknowledge the way in which many games use random reward mechanisms that have been scientifically proven to create repetitive </w:t>
      </w:r>
      <w:r w:rsidR="00547AD4" w:rsidRPr="00631C84">
        <w:rPr>
          <w:rFonts w:ascii="Calibri" w:hAnsi="Calibri"/>
          <w:i/>
          <w:iCs/>
          <w:sz w:val="18"/>
          <w:szCs w:val="18"/>
          <w:lang w:val="en-US"/>
        </w:rPr>
        <w:t>behaviors</w:t>
      </w:r>
      <w:r w:rsidRPr="00631C84">
        <w:rPr>
          <w:rFonts w:ascii="Calibri" w:hAnsi="Calibri"/>
          <w:i/>
          <w:iCs/>
          <w:sz w:val="18"/>
          <w:szCs w:val="18"/>
          <w:lang w:val="en-US"/>
        </w:rPr>
        <w:t xml:space="preserve">, and the effect that this might have on the meaningful exercise of choice. Moreover, the reluctance to discuss engagement metrics or to acknowledge the psychological impact of core design principles in evidence to us suggests that </w:t>
      </w:r>
      <w:r w:rsidR="00547AD4" w:rsidRPr="00631C84">
        <w:rPr>
          <w:rFonts w:ascii="Calibri" w:hAnsi="Calibri"/>
          <w:i/>
          <w:iCs/>
          <w:sz w:val="18"/>
          <w:szCs w:val="18"/>
          <w:lang w:val="en-US"/>
        </w:rPr>
        <w:t>highly skilled</w:t>
      </w:r>
      <w:r w:rsidRPr="00631C84">
        <w:rPr>
          <w:rFonts w:ascii="Calibri" w:hAnsi="Calibri"/>
          <w:i/>
          <w:iCs/>
          <w:sz w:val="18"/>
          <w:szCs w:val="18"/>
          <w:lang w:val="en-US"/>
        </w:rPr>
        <w:t xml:space="preserve"> designers either do not know the data and psychological studies and strategies that underpin their industry or, what is more likely, do not feel comfortable admitting it in a public forum. For an industry generating such high revenues from so many millions of players worldwide, that lack of transparency is unacceptable</w:t>
      </w:r>
      <w:r w:rsidRPr="00631C84">
        <w:rPr>
          <w:rFonts w:ascii="Calibri" w:hAnsi="Calibri"/>
          <w:sz w:val="18"/>
          <w:szCs w:val="18"/>
          <w:lang w:val="en-US"/>
        </w:rPr>
        <w:t>”.</w:t>
      </w:r>
    </w:p>
  </w:footnote>
  <w:footnote w:id="12">
    <w:p w14:paraId="7CB67192" w14:textId="4060B560" w:rsidR="007C5BC2" w:rsidRPr="00631C84" w:rsidRDefault="007C5BC2" w:rsidP="00547AD4">
      <w:pPr>
        <w:pStyle w:val="Notedebasdepage"/>
        <w:spacing w:line="240" w:lineRule="auto"/>
        <w:ind w:left="0" w:right="0" w:firstLine="0"/>
        <w:jc w:val="both"/>
        <w:rPr>
          <w:rFonts w:ascii="Calibri" w:hAnsi="Calibri"/>
          <w:szCs w:val="18"/>
          <w:lang w:val="en-US"/>
        </w:rPr>
      </w:pPr>
      <w:r w:rsidRPr="00631C84">
        <w:rPr>
          <w:rStyle w:val="Appelnotedebasdep"/>
          <w:rFonts w:ascii="Calibri" w:hAnsi="Calibri"/>
          <w:szCs w:val="18"/>
        </w:rPr>
        <w:footnoteRef/>
      </w:r>
      <w:r w:rsidRPr="00631C84">
        <w:rPr>
          <w:rFonts w:ascii="Calibri" w:hAnsi="Calibri"/>
          <w:szCs w:val="18"/>
          <w:lang w:val="en-US"/>
        </w:rPr>
        <w:t xml:space="preserve"> </w:t>
      </w:r>
      <w:r w:rsidRPr="00631C84">
        <w:rPr>
          <w:rFonts w:ascii="Calibri" w:hAnsi="Calibri"/>
          <w:smallCaps/>
          <w:szCs w:val="18"/>
          <w:lang w:val="en-US"/>
        </w:rPr>
        <w:t>European Parliament</w:t>
      </w:r>
      <w:r w:rsidR="0013078B">
        <w:rPr>
          <w:rFonts w:ascii="Calibri" w:hAnsi="Calibri"/>
          <w:szCs w:val="18"/>
          <w:lang w:val="en-US"/>
        </w:rPr>
        <w:t xml:space="preserve"> </w:t>
      </w:r>
      <w:r w:rsidR="0013078B" w:rsidRPr="00631C84">
        <w:rPr>
          <w:rFonts w:ascii="Calibri" w:eastAsiaTheme="minorHAnsi" w:hAnsi="Calibri" w:cstheme="minorBidi"/>
          <w:szCs w:val="18"/>
          <w:lang w:val="en-US"/>
        </w:rPr>
        <w:t>(note 2)</w:t>
      </w:r>
      <w:r w:rsidR="0013078B">
        <w:rPr>
          <w:rFonts w:ascii="Calibri" w:eastAsiaTheme="minorHAnsi" w:hAnsi="Calibri" w:cstheme="minorBidi"/>
          <w:szCs w:val="18"/>
          <w:lang w:val="en-US"/>
        </w:rPr>
        <w:t xml:space="preserve">, </w:t>
      </w:r>
      <w:r w:rsidR="006C7998" w:rsidRPr="00631C84">
        <w:rPr>
          <w:rFonts w:ascii="Calibri" w:hAnsi="Calibri"/>
          <w:szCs w:val="18"/>
          <w:lang w:val="en-US"/>
        </w:rPr>
        <w:t>p.10</w:t>
      </w:r>
      <w:r w:rsidR="008C198A">
        <w:rPr>
          <w:rFonts w:ascii="Calibri" w:hAnsi="Calibri"/>
          <w:szCs w:val="18"/>
          <w:lang w:val="en-US"/>
        </w:rPr>
        <w:t>.</w:t>
      </w:r>
      <w:r w:rsidR="00A80DC2" w:rsidRPr="00631C84">
        <w:rPr>
          <w:rFonts w:ascii="Calibri" w:hAnsi="Calibri"/>
          <w:szCs w:val="18"/>
          <w:lang w:val="en-US"/>
        </w:rPr>
        <w:t xml:space="preserve"> </w:t>
      </w:r>
    </w:p>
  </w:footnote>
  <w:footnote w:id="13">
    <w:p w14:paraId="0CD1131A" w14:textId="1765BB91" w:rsidR="00FC54B3" w:rsidRPr="00631C84" w:rsidRDefault="00FC54B3" w:rsidP="00547AD4">
      <w:pPr>
        <w:jc w:val="both"/>
        <w:rPr>
          <w:rFonts w:ascii="Calibri" w:hAnsi="Calibri"/>
          <w:sz w:val="18"/>
          <w:szCs w:val="18"/>
          <w:lang w:val="en-US"/>
        </w:rPr>
      </w:pPr>
      <w:r w:rsidRPr="00631C84">
        <w:rPr>
          <w:rFonts w:ascii="Calibri" w:hAnsi="Calibri"/>
          <w:sz w:val="18"/>
          <w:szCs w:val="18"/>
          <w:vertAlign w:val="superscript"/>
        </w:rPr>
        <w:footnoteRef/>
      </w:r>
      <w:r w:rsidR="00547AD4" w:rsidRPr="00631C84">
        <w:rPr>
          <w:rFonts w:ascii="Calibri" w:hAnsi="Calibri"/>
          <w:sz w:val="18"/>
          <w:szCs w:val="18"/>
          <w:lang w:val="en-US"/>
        </w:rPr>
        <w:t xml:space="preserve"> </w:t>
      </w:r>
      <w:r w:rsidRPr="00631C84">
        <w:rPr>
          <w:rFonts w:ascii="Calibri" w:hAnsi="Calibri"/>
          <w:sz w:val="18"/>
          <w:szCs w:val="18"/>
          <w:lang w:val="en-US"/>
        </w:rPr>
        <w:t xml:space="preserve">UK Parliament, Study on Immersive and addictive technologies, disponible: </w:t>
      </w:r>
      <w:hyperlink r:id="rId10" w:anchor="_idTextAnchor075">
        <w:r w:rsidRPr="00631C84">
          <w:rPr>
            <w:rFonts w:ascii="Calibri" w:hAnsi="Calibri"/>
            <w:color w:val="1155CC"/>
            <w:sz w:val="18"/>
            <w:szCs w:val="18"/>
            <w:u w:val="single"/>
            <w:lang w:val="en-US"/>
          </w:rPr>
          <w:t>https://publica</w:t>
        </w:r>
        <w:r w:rsidR="00547AD4" w:rsidRPr="00631C84">
          <w:rPr>
            <w:rFonts w:ascii="Calibri" w:hAnsi="Calibri"/>
            <w:color w:val="1155CC"/>
            <w:sz w:val="18"/>
            <w:szCs w:val="18"/>
            <w:u w:val="single"/>
            <w:lang w:val="en-US"/>
          </w:rPr>
          <w:softHyphen/>
        </w:r>
        <w:r w:rsidRPr="00631C84">
          <w:rPr>
            <w:rFonts w:ascii="Calibri" w:hAnsi="Calibri"/>
            <w:color w:val="1155CC"/>
            <w:sz w:val="18"/>
            <w:szCs w:val="18"/>
            <w:u w:val="single"/>
            <w:lang w:val="en-US"/>
          </w:rPr>
          <w:t>tions.parliament.uk/pa/cm201719/cmselect/cmcumeds/1846/184609.htm#_idTextAnchor075</w:t>
        </w:r>
      </w:hyperlink>
      <w:r w:rsidRPr="00631C84">
        <w:rPr>
          <w:rFonts w:ascii="Calibri" w:hAnsi="Calibri"/>
          <w:sz w:val="18"/>
          <w:szCs w:val="18"/>
          <w:lang w:val="en-US"/>
        </w:rPr>
        <w:t xml:space="preserve"> , point 15: “</w:t>
      </w:r>
      <w:r w:rsidRPr="00631C84">
        <w:rPr>
          <w:rFonts w:ascii="Calibri" w:hAnsi="Calibri"/>
          <w:i/>
          <w:iCs/>
          <w:sz w:val="18"/>
          <w:szCs w:val="18"/>
          <w:lang w:val="en-US"/>
        </w:rPr>
        <w:t>During this inquiry we have heard that online games and social media are both data-driven industries that use asymmetrical information and deliberate design practices to manipulate users into spending more time or money on their platforms. The argument that engagement is purely a user’s free choice is undermined by the amount of data collected about them and the use of that data alongside design features, such as random reward mechanics, that have been proven to have powerful psychological effects</w:t>
      </w:r>
      <w:r w:rsidRPr="00631C84">
        <w:rPr>
          <w:rFonts w:ascii="Calibri" w:hAnsi="Calibri"/>
          <w:sz w:val="18"/>
          <w:szCs w:val="18"/>
          <w:lang w:val="en-US"/>
        </w:rPr>
        <w:t>”.</w:t>
      </w:r>
      <w:r w:rsidRPr="00631C84">
        <w:rPr>
          <w:rFonts w:ascii="Calibri" w:eastAsia="Verdana" w:hAnsi="Calibri" w:cs="Verdana"/>
          <w:color w:val="333333"/>
          <w:sz w:val="18"/>
          <w:szCs w:val="18"/>
          <w:lang w:val="en-US"/>
        </w:rPr>
        <w:t xml:space="preserve"> </w:t>
      </w:r>
    </w:p>
  </w:footnote>
  <w:footnote w:id="14">
    <w:p w14:paraId="21194422" w14:textId="5B243177" w:rsidR="00107DE1" w:rsidRPr="00631C84" w:rsidRDefault="00107DE1" w:rsidP="00547AD4">
      <w:pPr>
        <w:pStyle w:val="Notedebasdepage"/>
        <w:spacing w:line="240" w:lineRule="auto"/>
        <w:ind w:left="0" w:right="0" w:firstLine="0"/>
        <w:jc w:val="both"/>
        <w:rPr>
          <w:rFonts w:ascii="Calibri" w:hAnsi="Calibri"/>
          <w:szCs w:val="18"/>
          <w:lang w:val="fr-CH"/>
        </w:rPr>
      </w:pPr>
      <w:r w:rsidRPr="00631C84">
        <w:rPr>
          <w:rStyle w:val="Appelnotedebasdep"/>
          <w:rFonts w:ascii="Calibri" w:hAnsi="Calibri"/>
          <w:szCs w:val="18"/>
        </w:rPr>
        <w:footnoteRef/>
      </w:r>
      <w:r w:rsidR="00547AD4" w:rsidRPr="00631C84">
        <w:rPr>
          <w:rFonts w:ascii="Calibri" w:hAnsi="Calibri"/>
          <w:smallCaps/>
          <w:szCs w:val="18"/>
          <w:lang w:val="fr-CH"/>
        </w:rPr>
        <w:t xml:space="preserve"> </w:t>
      </w:r>
      <w:r w:rsidRPr="00631C84">
        <w:rPr>
          <w:rFonts w:ascii="Calibri" w:hAnsi="Calibri"/>
          <w:smallCaps/>
          <w:szCs w:val="18"/>
          <w:lang w:val="fr-CH"/>
        </w:rPr>
        <w:t xml:space="preserve">Conseil Fédéral, </w:t>
      </w:r>
      <w:r w:rsidRPr="00631C84">
        <w:rPr>
          <w:rFonts w:ascii="Calibri" w:hAnsi="Calibri"/>
          <w:szCs w:val="18"/>
          <w:lang w:val="fr-CH"/>
        </w:rPr>
        <w:t>Message concernant la loi fédérale sur la protection des mineurs dans les secteurs film et du jeu vidéo, Berne, 2019, p.16</w:t>
      </w:r>
      <w:r w:rsidR="00547AD4" w:rsidRPr="00631C84">
        <w:rPr>
          <w:rFonts w:ascii="Calibri" w:hAnsi="Calibri"/>
          <w:szCs w:val="18"/>
          <w:lang w:val="fr-CH"/>
        </w:rPr>
        <w:t xml:space="preserve"> (</w:t>
      </w:r>
      <w:proofErr w:type="spellStart"/>
      <w:r w:rsidR="00547AD4" w:rsidRPr="00631C84">
        <w:rPr>
          <w:rFonts w:ascii="Calibri" w:hAnsi="Calibri"/>
          <w:szCs w:val="18"/>
          <w:lang w:val="fr-CH"/>
        </w:rPr>
        <w:t>available</w:t>
      </w:r>
      <w:proofErr w:type="spellEnd"/>
      <w:r w:rsidRPr="00631C84">
        <w:rPr>
          <w:rFonts w:ascii="Calibri" w:hAnsi="Calibri"/>
          <w:szCs w:val="18"/>
          <w:lang w:val="fr-CH"/>
        </w:rPr>
        <w:t xml:space="preserve">: </w:t>
      </w:r>
      <w:hyperlink r:id="rId11" w:history="1">
        <w:r w:rsidRPr="00631C84">
          <w:rPr>
            <w:rStyle w:val="Lienhypertexte"/>
            <w:rFonts w:ascii="Calibri" w:hAnsi="Calibri"/>
            <w:szCs w:val="18"/>
            <w:lang w:val="fr-CH"/>
          </w:rPr>
          <w:t>https://www.newsd.admin.ch/newsd/message/attachments/62824.pdf</w:t>
        </w:r>
      </w:hyperlink>
      <w:r w:rsidR="00547AD4" w:rsidRPr="00631C84">
        <w:rPr>
          <w:rStyle w:val="Lienhypertexte"/>
          <w:rFonts w:ascii="Calibri" w:hAnsi="Calibri"/>
          <w:szCs w:val="18"/>
          <w:lang w:val="fr-CH"/>
        </w:rPr>
        <w:t>)</w:t>
      </w:r>
      <w:r w:rsidRPr="00631C84">
        <w:rPr>
          <w:rFonts w:ascii="Calibri" w:hAnsi="Calibri"/>
          <w:szCs w:val="18"/>
          <w:lang w:val="fr-CH"/>
        </w:rPr>
        <w:t xml:space="preserve">. </w:t>
      </w:r>
    </w:p>
  </w:footnote>
  <w:footnote w:id="15">
    <w:p w14:paraId="0B4B3771" w14:textId="77777777" w:rsidR="00F55B5B" w:rsidRPr="00631C84" w:rsidRDefault="00F55B5B" w:rsidP="00F55B5B">
      <w:pPr>
        <w:pStyle w:val="Notedebasdepage"/>
        <w:spacing w:line="240" w:lineRule="auto"/>
        <w:ind w:left="0" w:right="0" w:firstLine="0"/>
        <w:jc w:val="both"/>
        <w:rPr>
          <w:rFonts w:ascii="Calibri" w:hAnsi="Calibri"/>
          <w:szCs w:val="18"/>
          <w:lang w:val="en-US"/>
        </w:rPr>
      </w:pPr>
      <w:r w:rsidRPr="00631C84">
        <w:rPr>
          <w:rStyle w:val="Appelnotedebasdep"/>
          <w:rFonts w:ascii="Calibri" w:hAnsi="Calibri"/>
          <w:szCs w:val="18"/>
        </w:rPr>
        <w:footnoteRef/>
      </w:r>
      <w:r w:rsidRPr="00631C84">
        <w:rPr>
          <w:rFonts w:ascii="Calibri" w:hAnsi="Calibri"/>
          <w:szCs w:val="18"/>
        </w:rPr>
        <w:t xml:space="preserve"> </w:t>
      </w:r>
      <w:r w:rsidRPr="00631C84">
        <w:rPr>
          <w:rFonts w:ascii="Calibri" w:hAnsi="Calibri"/>
          <w:color w:val="231F20"/>
          <w:szCs w:val="18"/>
          <w:lang w:val="en-US"/>
        </w:rPr>
        <w:t>K</w:t>
      </w:r>
      <w:r w:rsidRPr="00631C84">
        <w:rPr>
          <w:rFonts w:ascii="Calibri" w:hAnsi="Calibri"/>
          <w:smallCaps/>
          <w:color w:val="231F20"/>
          <w:szCs w:val="18"/>
          <w:lang w:val="en-US"/>
        </w:rPr>
        <w:t>ing</w:t>
      </w:r>
      <w:r w:rsidRPr="00631C84">
        <w:rPr>
          <w:rFonts w:ascii="Calibri" w:hAnsi="Calibri"/>
          <w:color w:val="231F20"/>
          <w:szCs w:val="18"/>
          <w:lang w:val="en-US"/>
        </w:rPr>
        <w:t xml:space="preserve"> D</w:t>
      </w:r>
      <w:r>
        <w:rPr>
          <w:rFonts w:ascii="Calibri" w:hAnsi="Calibri"/>
          <w:color w:val="231F20"/>
          <w:szCs w:val="18"/>
          <w:lang w:val="en-US"/>
        </w:rPr>
        <w:t>aniel</w:t>
      </w:r>
      <w:r w:rsidRPr="00631C84">
        <w:rPr>
          <w:rFonts w:ascii="Calibri" w:hAnsi="Calibri"/>
          <w:color w:val="231F20"/>
          <w:szCs w:val="18"/>
          <w:lang w:val="en-US"/>
        </w:rPr>
        <w:t xml:space="preserve"> L., </w:t>
      </w:r>
      <w:r w:rsidRPr="00631C84">
        <w:rPr>
          <w:rFonts w:ascii="Calibri" w:hAnsi="Calibri"/>
          <w:smallCaps/>
          <w:color w:val="231F20"/>
          <w:szCs w:val="18"/>
          <w:lang w:val="en-US"/>
        </w:rPr>
        <w:t>Russell</w:t>
      </w:r>
      <w:r w:rsidRPr="00631C84">
        <w:rPr>
          <w:rFonts w:ascii="Calibri" w:hAnsi="Calibri"/>
          <w:color w:val="231F20"/>
          <w:szCs w:val="18"/>
          <w:lang w:val="en-US"/>
        </w:rPr>
        <w:t xml:space="preserve"> A</w:t>
      </w:r>
      <w:r>
        <w:rPr>
          <w:rFonts w:ascii="Calibri" w:hAnsi="Calibri"/>
          <w:color w:val="231F20"/>
          <w:szCs w:val="18"/>
          <w:lang w:val="en-US"/>
        </w:rPr>
        <w:t xml:space="preserve">llan et al, </w:t>
      </w:r>
      <w:r w:rsidRPr="00631C84">
        <w:rPr>
          <w:rFonts w:ascii="Calibri" w:hAnsi="Calibri"/>
          <w:color w:val="231F20"/>
          <w:szCs w:val="18"/>
          <w:lang w:val="en-US"/>
        </w:rPr>
        <w:t>The cost of virtual wins: an examination of gambling-related risks in youth who spend money on social casino games.</w:t>
      </w:r>
    </w:p>
  </w:footnote>
  <w:footnote w:id="16">
    <w:p w14:paraId="5F9AA492" w14:textId="77BE9D1E" w:rsidR="00F55B5B" w:rsidRPr="005C72E4" w:rsidRDefault="00F55B5B" w:rsidP="00F55B5B">
      <w:pPr>
        <w:pStyle w:val="Notedebasdepage"/>
        <w:rPr>
          <w:rFonts w:asciiTheme="minorHAnsi" w:hAnsiTheme="minorHAnsi"/>
          <w:lang w:val="en-US"/>
        </w:rPr>
      </w:pPr>
      <w:r w:rsidRPr="003971CC">
        <w:rPr>
          <w:rStyle w:val="Appelnotedebasdep"/>
          <w:rFonts w:asciiTheme="minorHAnsi" w:hAnsiTheme="minorHAnsi"/>
        </w:rPr>
        <w:footnoteRef/>
      </w:r>
      <w:r w:rsidRPr="005C72E4">
        <w:rPr>
          <w:rFonts w:asciiTheme="minorHAnsi" w:hAnsiTheme="minorHAnsi"/>
          <w:lang w:val="en-US"/>
        </w:rPr>
        <w:t xml:space="preserve"> </w:t>
      </w:r>
      <w:r w:rsidRPr="005C72E4">
        <w:rPr>
          <w:rFonts w:asciiTheme="minorHAnsi" w:hAnsiTheme="minorHAnsi"/>
          <w:smallCaps/>
          <w:lang w:val="en-US"/>
        </w:rPr>
        <w:t xml:space="preserve">European Parliament, </w:t>
      </w:r>
      <w:r w:rsidR="0013078B">
        <w:rPr>
          <w:rFonts w:asciiTheme="minorHAnsi" w:hAnsiTheme="minorHAnsi"/>
          <w:smallCaps/>
          <w:lang w:val="en-US"/>
        </w:rPr>
        <w:t>(</w:t>
      </w:r>
      <w:r w:rsidR="0013078B" w:rsidRPr="0013078B">
        <w:rPr>
          <w:rFonts w:ascii="Calibri" w:eastAsiaTheme="minorHAnsi" w:hAnsi="Calibri" w:cstheme="minorBidi"/>
          <w:szCs w:val="18"/>
          <w:lang w:val="en-US"/>
        </w:rPr>
        <w:t>note 2)</w:t>
      </w:r>
      <w:r w:rsidR="0013078B">
        <w:rPr>
          <w:rFonts w:asciiTheme="minorHAnsi" w:hAnsiTheme="minorHAnsi"/>
          <w:smallCaps/>
          <w:lang w:val="en-US"/>
        </w:rPr>
        <w:t xml:space="preserve"> </w:t>
      </w:r>
      <w:r w:rsidRPr="005C72E4">
        <w:rPr>
          <w:rFonts w:asciiTheme="minorHAnsi" w:hAnsiTheme="minorHAnsi"/>
          <w:lang w:val="en-US"/>
        </w:rPr>
        <w:t xml:space="preserve">p.8. </w:t>
      </w:r>
    </w:p>
  </w:footnote>
  <w:footnote w:id="17">
    <w:p w14:paraId="4AA8608D" w14:textId="13060B21" w:rsidR="00F55B5B" w:rsidRPr="005C72E4" w:rsidRDefault="00F55B5B" w:rsidP="00F55B5B">
      <w:pPr>
        <w:pStyle w:val="Notedebasdepage"/>
        <w:rPr>
          <w:rFonts w:ascii="Calibri" w:hAnsi="Calibri"/>
          <w:lang w:val="en-US"/>
        </w:rPr>
      </w:pPr>
      <w:r w:rsidRPr="00B826AF">
        <w:rPr>
          <w:rStyle w:val="Appelnotedebasdep"/>
          <w:rFonts w:ascii="Calibri" w:hAnsi="Calibri"/>
        </w:rPr>
        <w:footnoteRef/>
      </w:r>
      <w:r w:rsidRPr="005C72E4">
        <w:rPr>
          <w:rFonts w:ascii="Calibri" w:hAnsi="Calibri"/>
          <w:lang w:val="en-US"/>
        </w:rPr>
        <w:t xml:space="preserve"> </w:t>
      </w:r>
      <w:r w:rsidR="0013078B" w:rsidRPr="005C72E4">
        <w:rPr>
          <w:rFonts w:asciiTheme="minorHAnsi" w:hAnsiTheme="minorHAnsi"/>
          <w:smallCaps/>
          <w:lang w:val="en-US"/>
        </w:rPr>
        <w:t xml:space="preserve">European Parliament, </w:t>
      </w:r>
      <w:r w:rsidR="0013078B">
        <w:rPr>
          <w:rFonts w:asciiTheme="minorHAnsi" w:hAnsiTheme="minorHAnsi"/>
          <w:smallCaps/>
          <w:lang w:val="en-US"/>
        </w:rPr>
        <w:t>(</w:t>
      </w:r>
      <w:r w:rsidR="0013078B" w:rsidRPr="00FE51BA">
        <w:rPr>
          <w:rFonts w:ascii="Calibri" w:eastAsiaTheme="minorHAnsi" w:hAnsi="Calibri" w:cstheme="minorBidi"/>
          <w:szCs w:val="18"/>
          <w:lang w:val="en-US"/>
        </w:rPr>
        <w:t>note 2)</w:t>
      </w:r>
      <w:r w:rsidR="0013078B">
        <w:rPr>
          <w:rFonts w:asciiTheme="minorHAnsi" w:hAnsiTheme="minorHAnsi"/>
          <w:smallCaps/>
          <w:lang w:val="en-US"/>
        </w:rPr>
        <w:t xml:space="preserve"> </w:t>
      </w:r>
      <w:r w:rsidR="0013078B" w:rsidRPr="005C72E4">
        <w:rPr>
          <w:rFonts w:asciiTheme="minorHAnsi" w:hAnsiTheme="minorHAnsi"/>
          <w:lang w:val="en-US"/>
        </w:rPr>
        <w:t xml:space="preserve">p.8. </w:t>
      </w:r>
    </w:p>
  </w:footnote>
  <w:footnote w:id="18">
    <w:p w14:paraId="7EA1F539" w14:textId="69E5A570" w:rsidR="003D1D32" w:rsidRPr="00631C84" w:rsidRDefault="003D1D32" w:rsidP="00547AD4">
      <w:pPr>
        <w:pStyle w:val="Notedebasdepage"/>
        <w:spacing w:line="240" w:lineRule="auto"/>
        <w:ind w:left="0" w:right="0" w:firstLine="0"/>
        <w:jc w:val="both"/>
        <w:rPr>
          <w:rFonts w:ascii="Calibri" w:hAnsi="Calibri"/>
          <w:szCs w:val="18"/>
          <w:lang w:val="en-US"/>
        </w:rPr>
      </w:pPr>
      <w:r w:rsidRPr="00631C84">
        <w:rPr>
          <w:rStyle w:val="Appelnotedebasdep"/>
          <w:rFonts w:ascii="Calibri" w:hAnsi="Calibri"/>
          <w:szCs w:val="18"/>
        </w:rPr>
        <w:footnoteRef/>
      </w:r>
      <w:r w:rsidR="0013078B">
        <w:rPr>
          <w:rFonts w:ascii="Calibri" w:hAnsi="Calibri"/>
          <w:szCs w:val="18"/>
        </w:rPr>
        <w:t xml:space="preserve"> </w:t>
      </w:r>
      <w:r w:rsidRPr="00631C84">
        <w:rPr>
          <w:rFonts w:ascii="Calibri" w:hAnsi="Calibri"/>
          <w:szCs w:val="18"/>
          <w:lang w:val="en-US"/>
        </w:rPr>
        <w:t xml:space="preserve">Children’s Commissioner of England, Gaming the system, </w:t>
      </w:r>
      <w:proofErr w:type="spellStart"/>
      <w:r w:rsidRPr="00631C84">
        <w:rPr>
          <w:rFonts w:ascii="Calibri" w:hAnsi="Calibri"/>
          <w:szCs w:val="18"/>
          <w:lang w:val="en-US"/>
        </w:rPr>
        <w:t>october</w:t>
      </w:r>
      <w:proofErr w:type="spellEnd"/>
      <w:r w:rsidRPr="00631C84">
        <w:rPr>
          <w:rFonts w:ascii="Calibri" w:hAnsi="Calibri"/>
          <w:szCs w:val="18"/>
          <w:lang w:val="en-US"/>
        </w:rPr>
        <w:t xml:space="preserve"> 2019, p. 25</w:t>
      </w:r>
      <w:r w:rsidR="00547AD4" w:rsidRPr="00631C84">
        <w:rPr>
          <w:rFonts w:ascii="Calibri" w:hAnsi="Calibri"/>
          <w:szCs w:val="18"/>
          <w:lang w:val="en-US"/>
        </w:rPr>
        <w:t xml:space="preserve"> (</w:t>
      </w:r>
      <w:r w:rsidRPr="00631C84">
        <w:rPr>
          <w:rFonts w:ascii="Calibri" w:hAnsi="Calibri"/>
          <w:szCs w:val="18"/>
          <w:lang w:val="en-US"/>
        </w:rPr>
        <w:t xml:space="preserve">available : </w:t>
      </w:r>
      <w:hyperlink r:id="rId12" w:history="1">
        <w:r w:rsidRPr="00631C84">
          <w:rPr>
            <w:rStyle w:val="Lienhypertexte"/>
            <w:rFonts w:ascii="Calibri" w:hAnsi="Calibri"/>
            <w:szCs w:val="18"/>
            <w:lang w:val="en-US"/>
          </w:rPr>
          <w:t>https://www.childrenscommissioner.gov.uk/wp-content/uploads/2019/10/CCO-Gaming-the-System-2019.pdf</w:t>
        </w:r>
      </w:hyperlink>
      <w:r w:rsidR="00547AD4" w:rsidRPr="00631C84">
        <w:rPr>
          <w:rFonts w:ascii="Calibri" w:hAnsi="Calibri"/>
          <w:szCs w:val="18"/>
          <w:lang w:val="en-US"/>
        </w:rPr>
        <w:t xml:space="preserve">). </w:t>
      </w:r>
      <w:r w:rsidRPr="00631C84">
        <w:rPr>
          <w:rFonts w:ascii="Calibri" w:hAnsi="Calibri"/>
          <w:szCs w:val="18"/>
          <w:lang w:val="en-US"/>
        </w:rPr>
        <w:t xml:space="preserve"> </w:t>
      </w:r>
    </w:p>
  </w:footnote>
  <w:footnote w:id="19">
    <w:p w14:paraId="264983F8" w14:textId="4E21BA6E" w:rsidR="003D1D32" w:rsidRPr="00631C84" w:rsidRDefault="003D1D32" w:rsidP="00547AD4">
      <w:pPr>
        <w:pStyle w:val="Notedebasdepage"/>
        <w:spacing w:line="240" w:lineRule="auto"/>
        <w:ind w:left="0" w:right="0" w:firstLine="0"/>
        <w:jc w:val="both"/>
        <w:rPr>
          <w:rFonts w:ascii="Calibri" w:hAnsi="Calibri"/>
          <w:szCs w:val="18"/>
          <w:lang w:val="en-US"/>
        </w:rPr>
      </w:pPr>
      <w:r w:rsidRPr="00631C84">
        <w:rPr>
          <w:rStyle w:val="Appelnotedebasdep"/>
          <w:rFonts w:ascii="Calibri" w:hAnsi="Calibri"/>
          <w:szCs w:val="18"/>
        </w:rPr>
        <w:footnoteRef/>
      </w:r>
      <w:r w:rsidRPr="00631C84">
        <w:rPr>
          <w:rFonts w:ascii="Calibri" w:hAnsi="Calibri"/>
          <w:szCs w:val="18"/>
        </w:rPr>
        <w:t xml:space="preserve"> </w:t>
      </w:r>
      <w:r w:rsidRPr="00631C84">
        <w:rPr>
          <w:rFonts w:ascii="Calibri" w:hAnsi="Calibri"/>
          <w:szCs w:val="18"/>
          <w:lang w:val="en-US"/>
        </w:rPr>
        <w:tab/>
        <w:t xml:space="preserve">Children’s Commissioner of England, Gaming the system, </w:t>
      </w:r>
      <w:proofErr w:type="spellStart"/>
      <w:r w:rsidRPr="00631C84">
        <w:rPr>
          <w:rFonts w:ascii="Calibri" w:hAnsi="Calibri"/>
          <w:szCs w:val="18"/>
          <w:lang w:val="en-US"/>
        </w:rPr>
        <w:t>october</w:t>
      </w:r>
      <w:proofErr w:type="spellEnd"/>
      <w:r w:rsidRPr="00631C84">
        <w:rPr>
          <w:rFonts w:ascii="Calibri" w:hAnsi="Calibri"/>
          <w:szCs w:val="18"/>
          <w:lang w:val="en-US"/>
        </w:rPr>
        <w:t xml:space="preserve"> 2019,</w:t>
      </w:r>
      <w:r w:rsidR="00547AD4" w:rsidRPr="00631C84">
        <w:rPr>
          <w:rFonts w:ascii="Calibri" w:hAnsi="Calibri"/>
          <w:szCs w:val="18"/>
          <w:lang w:val="en-US"/>
        </w:rPr>
        <w:t xml:space="preserve"> (note 14)</w:t>
      </w:r>
      <w:r w:rsidRPr="00631C84">
        <w:rPr>
          <w:rFonts w:ascii="Calibri" w:hAnsi="Calibri"/>
          <w:szCs w:val="18"/>
          <w:lang w:val="en-US"/>
        </w:rPr>
        <w:t xml:space="preserve"> p. 27. </w:t>
      </w:r>
    </w:p>
  </w:footnote>
  <w:footnote w:id="20">
    <w:p w14:paraId="05CCD2AD" w14:textId="04155F1F" w:rsidR="00F202F6" w:rsidRPr="00631C84" w:rsidRDefault="00F202F6" w:rsidP="00547AD4">
      <w:pPr>
        <w:pStyle w:val="Notedebasdepage"/>
        <w:spacing w:line="240" w:lineRule="auto"/>
        <w:ind w:left="0" w:right="0" w:firstLine="0"/>
        <w:jc w:val="both"/>
        <w:rPr>
          <w:rFonts w:ascii="Calibri" w:hAnsi="Calibri"/>
          <w:szCs w:val="18"/>
        </w:rPr>
      </w:pPr>
      <w:r w:rsidRPr="00631C84">
        <w:rPr>
          <w:rStyle w:val="Appelnotedebasdep"/>
          <w:rFonts w:ascii="Calibri" w:hAnsi="Calibri"/>
          <w:szCs w:val="18"/>
        </w:rPr>
        <w:footnoteRef/>
      </w:r>
      <w:r w:rsidRPr="00631C84">
        <w:rPr>
          <w:rFonts w:ascii="Calibri" w:hAnsi="Calibri"/>
          <w:szCs w:val="18"/>
        </w:rPr>
        <w:t xml:space="preserve"> </w:t>
      </w:r>
      <w:r w:rsidR="00C402C9" w:rsidRPr="00631C84">
        <w:rPr>
          <w:rFonts w:ascii="Calibri" w:hAnsi="Calibri"/>
          <w:smallCaps/>
          <w:szCs w:val="18"/>
        </w:rPr>
        <w:t xml:space="preserve">National Health Service, </w:t>
      </w:r>
      <w:r w:rsidR="00C402C9" w:rsidRPr="00631C84">
        <w:rPr>
          <w:rFonts w:ascii="Calibri" w:hAnsi="Calibri"/>
          <w:szCs w:val="18"/>
        </w:rPr>
        <w:t>Country’s top mental health nurse warns video games pushing young people into ‘under the radar’ gambling, January 28, 2020</w:t>
      </w:r>
      <w:r w:rsidR="00547AD4" w:rsidRPr="00631C84">
        <w:rPr>
          <w:rFonts w:ascii="Calibri" w:hAnsi="Calibri"/>
          <w:szCs w:val="18"/>
        </w:rPr>
        <w:t xml:space="preserve"> (a</w:t>
      </w:r>
      <w:r w:rsidR="00FF51DD" w:rsidRPr="00631C84">
        <w:rPr>
          <w:rFonts w:ascii="Calibri" w:hAnsi="Calibri"/>
          <w:szCs w:val="18"/>
        </w:rPr>
        <w:t xml:space="preserve">vailable: </w:t>
      </w:r>
      <w:hyperlink r:id="rId13" w:history="1">
        <w:r w:rsidR="00FF51DD" w:rsidRPr="00631C84">
          <w:rPr>
            <w:rStyle w:val="Lienhypertexte"/>
            <w:rFonts w:ascii="Calibri" w:hAnsi="Calibri"/>
            <w:szCs w:val="18"/>
          </w:rPr>
          <w:t>https://www.england.nhs.uk/2020/01/countrys-top-mental-health-nurse-warns-video-games-pushing-young-people-into-under-the-radar-gambling/</w:t>
        </w:r>
      </w:hyperlink>
      <w:r w:rsidR="00547AD4" w:rsidRPr="00631C84">
        <w:rPr>
          <w:rStyle w:val="Lienhypertexte"/>
          <w:rFonts w:ascii="Calibri" w:hAnsi="Calibri"/>
          <w:szCs w:val="18"/>
        </w:rPr>
        <w:t>)</w:t>
      </w:r>
      <w:r w:rsidR="00FF51DD" w:rsidRPr="00631C84">
        <w:rPr>
          <w:rFonts w:ascii="Calibri" w:hAnsi="Calibri"/>
          <w:szCs w:val="18"/>
        </w:rPr>
        <w:t xml:space="preserve">. </w:t>
      </w:r>
    </w:p>
  </w:footnote>
  <w:footnote w:id="21">
    <w:p w14:paraId="4E21783D" w14:textId="5C3455A4" w:rsidR="000B198C" w:rsidRPr="00631C84" w:rsidRDefault="000B198C" w:rsidP="00547AD4">
      <w:pPr>
        <w:pStyle w:val="Notedebasdepage"/>
        <w:spacing w:line="240" w:lineRule="auto"/>
        <w:ind w:left="0" w:right="0" w:firstLine="0"/>
        <w:jc w:val="both"/>
        <w:rPr>
          <w:rFonts w:ascii="Calibri" w:hAnsi="Calibri"/>
          <w:szCs w:val="18"/>
        </w:rPr>
      </w:pPr>
      <w:r w:rsidRPr="00631C84">
        <w:rPr>
          <w:rStyle w:val="Appelnotedebasdep"/>
          <w:rFonts w:ascii="Calibri" w:hAnsi="Calibri"/>
          <w:szCs w:val="18"/>
        </w:rPr>
        <w:footnoteRef/>
      </w:r>
      <w:r w:rsidR="00547AD4" w:rsidRPr="00631C84">
        <w:rPr>
          <w:rFonts w:ascii="Calibri" w:hAnsi="Calibri"/>
          <w:szCs w:val="18"/>
        </w:rPr>
        <w:t xml:space="preserve"> </w:t>
      </w:r>
      <w:r w:rsidR="0040592A" w:rsidRPr="00631C84">
        <w:rPr>
          <w:rFonts w:ascii="Calibri" w:hAnsi="Calibri"/>
          <w:smallCaps/>
          <w:szCs w:val="18"/>
        </w:rPr>
        <w:t xml:space="preserve">UNICEF, </w:t>
      </w:r>
      <w:r w:rsidR="0040592A" w:rsidRPr="00631C84">
        <w:rPr>
          <w:rFonts w:ascii="Calibri" w:hAnsi="Calibri"/>
          <w:szCs w:val="18"/>
        </w:rPr>
        <w:t xml:space="preserve">The State of the World’s Children, Children in the Digital World, 2017, </w:t>
      </w:r>
      <w:r w:rsidRPr="00631C84">
        <w:rPr>
          <w:rFonts w:ascii="Calibri" w:hAnsi="Calibri"/>
          <w:szCs w:val="18"/>
        </w:rPr>
        <w:t>p.</w:t>
      </w:r>
      <w:r w:rsidR="00547AD4" w:rsidRPr="00631C84">
        <w:rPr>
          <w:rFonts w:ascii="Calibri" w:hAnsi="Calibri"/>
          <w:szCs w:val="18"/>
        </w:rPr>
        <w:t xml:space="preserve"> </w:t>
      </w:r>
      <w:r w:rsidRPr="00631C84">
        <w:rPr>
          <w:rFonts w:ascii="Calibri" w:hAnsi="Calibri"/>
          <w:szCs w:val="18"/>
        </w:rPr>
        <w:t>34</w:t>
      </w:r>
      <w:r w:rsidR="00547AD4" w:rsidRPr="00631C84">
        <w:rPr>
          <w:rFonts w:ascii="Calibri" w:hAnsi="Calibri"/>
          <w:szCs w:val="18"/>
        </w:rPr>
        <w:t xml:space="preserve"> (a</w:t>
      </w:r>
      <w:r w:rsidRPr="00631C84">
        <w:rPr>
          <w:rFonts w:ascii="Calibri" w:hAnsi="Calibri"/>
          <w:szCs w:val="18"/>
        </w:rPr>
        <w:t>vailable</w:t>
      </w:r>
      <w:r w:rsidR="00547AD4" w:rsidRPr="00631C84">
        <w:rPr>
          <w:rFonts w:ascii="Calibri" w:hAnsi="Calibri"/>
          <w:szCs w:val="18"/>
        </w:rPr>
        <w:t>:</w:t>
      </w:r>
      <w:r w:rsidRPr="00631C84">
        <w:rPr>
          <w:rFonts w:ascii="Calibri" w:hAnsi="Calibri"/>
          <w:szCs w:val="18"/>
        </w:rPr>
        <w:t xml:space="preserve"> </w:t>
      </w:r>
      <w:hyperlink r:id="rId14" w:history="1">
        <w:r w:rsidRPr="00631C84">
          <w:rPr>
            <w:rStyle w:val="Lienhypertexte"/>
            <w:rFonts w:ascii="Calibri" w:hAnsi="Calibri"/>
            <w:szCs w:val="18"/>
          </w:rPr>
          <w:t>https://www.unicef.org/publications/files/SOWC_2017_ENG_WEB.pdf</w:t>
        </w:r>
      </w:hyperlink>
      <w:r w:rsidR="00547AD4" w:rsidRPr="00631C84">
        <w:rPr>
          <w:rStyle w:val="Lienhypertexte"/>
          <w:rFonts w:ascii="Calibri" w:hAnsi="Calibri"/>
          <w:szCs w:val="18"/>
        </w:rPr>
        <w:t>)</w:t>
      </w:r>
      <w:r w:rsidRPr="00631C84">
        <w:rPr>
          <w:rFonts w:ascii="Calibri" w:hAnsi="Calibri"/>
          <w:szCs w:val="18"/>
        </w:rPr>
        <w:t xml:space="preserve">. </w:t>
      </w:r>
    </w:p>
  </w:footnote>
  <w:footnote w:id="22">
    <w:p w14:paraId="600ACB7B" w14:textId="2A089939" w:rsidR="00A35915" w:rsidRPr="00631C84" w:rsidRDefault="00A35915" w:rsidP="00A35915">
      <w:pPr>
        <w:pStyle w:val="Notedebasdepage"/>
        <w:spacing w:line="240" w:lineRule="auto"/>
        <w:ind w:left="0" w:right="0" w:firstLine="0"/>
        <w:jc w:val="both"/>
        <w:rPr>
          <w:rFonts w:ascii="Calibri" w:hAnsi="Calibri"/>
          <w:szCs w:val="18"/>
        </w:rPr>
      </w:pPr>
      <w:r w:rsidRPr="00631C84">
        <w:rPr>
          <w:rStyle w:val="Appelnotedebasdep"/>
          <w:rFonts w:ascii="Calibri" w:hAnsi="Calibri"/>
          <w:szCs w:val="18"/>
        </w:rPr>
        <w:footnoteRef/>
      </w:r>
      <w:r w:rsidRPr="00631C84">
        <w:rPr>
          <w:rFonts w:ascii="Calibri" w:hAnsi="Calibri"/>
          <w:szCs w:val="18"/>
        </w:rPr>
        <w:t xml:space="preserve"> In Belgium, the Belgian Gaming Commission conducted an investigation in 2018 into four games (Star Wars Battlefront II, Overwatch, FIFA 18 and Counterstrike Offensive). With the exception of Star Wars Battlefront II, the Commission considered that the </w:t>
      </w:r>
      <w:r w:rsidR="00DD164D">
        <w:rPr>
          <w:rFonts w:ascii="Calibri" w:hAnsi="Calibri"/>
          <w:szCs w:val="18"/>
        </w:rPr>
        <w:t>l</w:t>
      </w:r>
      <w:r w:rsidRPr="00631C84">
        <w:rPr>
          <w:rFonts w:ascii="Calibri" w:hAnsi="Calibri"/>
          <w:szCs w:val="18"/>
        </w:rPr>
        <w:t>oot</w:t>
      </w:r>
      <w:r w:rsidR="00DD164D">
        <w:rPr>
          <w:rFonts w:ascii="Calibri" w:hAnsi="Calibri"/>
          <w:szCs w:val="18"/>
        </w:rPr>
        <w:t xml:space="preserve"> </w:t>
      </w:r>
      <w:r w:rsidRPr="00631C84">
        <w:rPr>
          <w:rFonts w:ascii="Calibri" w:hAnsi="Calibri"/>
          <w:szCs w:val="18"/>
        </w:rPr>
        <w:t>boxes available in the other games constituted games of chance subject to Belgian legislation in this area.</w:t>
      </w:r>
    </w:p>
  </w:footnote>
  <w:footnote w:id="23">
    <w:p w14:paraId="69A3614F" w14:textId="05D79FC2" w:rsidR="00631C84" w:rsidRPr="00631C84" w:rsidRDefault="00631C84" w:rsidP="00631C84">
      <w:pPr>
        <w:pStyle w:val="Notedebasdepage"/>
        <w:spacing w:line="240" w:lineRule="auto"/>
        <w:ind w:left="0" w:right="0" w:firstLine="0"/>
        <w:jc w:val="both"/>
        <w:rPr>
          <w:rFonts w:ascii="Calibri" w:hAnsi="Calibri"/>
          <w:szCs w:val="18"/>
        </w:rPr>
      </w:pPr>
      <w:r w:rsidRPr="00631C84">
        <w:rPr>
          <w:rStyle w:val="Appelnotedebasdep"/>
          <w:rFonts w:ascii="Calibri" w:hAnsi="Calibri"/>
          <w:szCs w:val="18"/>
        </w:rPr>
        <w:footnoteRef/>
      </w:r>
      <w:r w:rsidRPr="00631C84">
        <w:rPr>
          <w:rFonts w:ascii="Calibri" w:hAnsi="Calibri"/>
          <w:szCs w:val="18"/>
        </w:rPr>
        <w:t xml:space="preserve"> In the United States, the regulation of gambling houses is in the competence of the States. Thus, there are States where legislation has been enacted, for example in the State of Hawaii, or in the State of Washington, where the 9th Circuit case of </w:t>
      </w:r>
      <w:proofErr w:type="spellStart"/>
      <w:r w:rsidRPr="00631C84">
        <w:rPr>
          <w:rFonts w:ascii="Calibri" w:hAnsi="Calibri"/>
          <w:szCs w:val="18"/>
        </w:rPr>
        <w:t>Kater</w:t>
      </w:r>
      <w:proofErr w:type="spellEnd"/>
      <w:r w:rsidRPr="00631C84">
        <w:rPr>
          <w:rFonts w:ascii="Calibri" w:hAnsi="Calibri"/>
          <w:szCs w:val="18"/>
        </w:rPr>
        <w:t xml:space="preserve"> v. Churchill Downs Inc. held that the game "Big Fish Casino" rewarding players with virtual chips constituted a game of chance and money subject to the regulatory framework of the Washington State Gaming Act (</w:t>
      </w:r>
      <w:proofErr w:type="spellStart"/>
      <w:r w:rsidRPr="00631C84">
        <w:rPr>
          <w:rFonts w:ascii="Calibri" w:hAnsi="Calibri"/>
          <w:szCs w:val="18"/>
        </w:rPr>
        <w:t>Kater</w:t>
      </w:r>
      <w:proofErr w:type="spellEnd"/>
      <w:r w:rsidRPr="00631C84">
        <w:rPr>
          <w:rFonts w:ascii="Calibri" w:hAnsi="Calibri"/>
          <w:szCs w:val="18"/>
        </w:rPr>
        <w:t xml:space="preserve"> v. Churchill Downs Inc, No. 16-35010 (9th Cir 2018)). Indeed, the Court found that these virtual tokens had a definite value since players could use them to purchase additional games. Thus, they were likely to be the subject of this law.</w:t>
      </w:r>
    </w:p>
  </w:footnote>
  <w:footnote w:id="24">
    <w:p w14:paraId="0DDFF20C" w14:textId="4F2FC7FB" w:rsidR="00631C84" w:rsidRPr="00631C84" w:rsidRDefault="00631C84" w:rsidP="00631C84">
      <w:pPr>
        <w:pStyle w:val="Notedebasdepage"/>
        <w:spacing w:line="240" w:lineRule="auto"/>
        <w:ind w:left="0" w:right="0" w:firstLine="0"/>
        <w:jc w:val="both"/>
        <w:rPr>
          <w:rFonts w:ascii="Calibri" w:hAnsi="Calibri"/>
          <w:szCs w:val="18"/>
        </w:rPr>
      </w:pPr>
      <w:r w:rsidRPr="00631C84">
        <w:rPr>
          <w:rStyle w:val="Appelnotedebasdep"/>
          <w:rFonts w:ascii="Calibri" w:hAnsi="Calibri"/>
          <w:szCs w:val="18"/>
        </w:rPr>
        <w:footnoteRef/>
      </w:r>
      <w:r w:rsidRPr="00631C84">
        <w:rPr>
          <w:rFonts w:ascii="Calibri" w:hAnsi="Calibri"/>
          <w:szCs w:val="18"/>
        </w:rPr>
        <w:t xml:space="preserve"> For instance, in France and the UK, </w:t>
      </w:r>
      <w:proofErr w:type="spellStart"/>
      <w:r w:rsidRPr="00631C84">
        <w:rPr>
          <w:rFonts w:ascii="Calibri" w:hAnsi="Calibri"/>
          <w:szCs w:val="18"/>
        </w:rPr>
        <w:t>Lootboxes</w:t>
      </w:r>
      <w:proofErr w:type="spellEnd"/>
      <w:r w:rsidRPr="00631C84">
        <w:rPr>
          <w:rFonts w:ascii="Calibri" w:hAnsi="Calibri"/>
          <w:szCs w:val="18"/>
        </w:rPr>
        <w:t xml:space="preserve"> are not considered as being gambling: In France, the online gaming regulatory authority ("ARJEL") pointed out in its 2018 activity report that, under French law, </w:t>
      </w:r>
      <w:proofErr w:type="spellStart"/>
      <w:r w:rsidRPr="00631C84">
        <w:rPr>
          <w:rFonts w:ascii="Calibri" w:hAnsi="Calibri"/>
          <w:szCs w:val="18"/>
        </w:rPr>
        <w:t>Lootboxes</w:t>
      </w:r>
      <w:proofErr w:type="spellEnd"/>
      <w:r w:rsidRPr="00631C84">
        <w:rPr>
          <w:rFonts w:ascii="Calibri" w:hAnsi="Calibri"/>
          <w:szCs w:val="18"/>
        </w:rPr>
        <w:t xml:space="preserve"> do not as such constitute gambling (Report ARJEL 2018, p. 58 (available: </w:t>
      </w:r>
      <w:hyperlink r:id="rId15">
        <w:r w:rsidRPr="00631C84">
          <w:rPr>
            <w:rFonts w:ascii="Calibri" w:hAnsi="Calibri"/>
            <w:color w:val="1155CC"/>
            <w:szCs w:val="18"/>
            <w:u w:val="single"/>
          </w:rPr>
          <w:t>http://www.arjel.fr/IMG/pdf/rapport-activite-2018.pdf</w:t>
        </w:r>
      </w:hyperlink>
      <w:r w:rsidRPr="00631C84">
        <w:rPr>
          <w:rFonts w:ascii="Calibri" w:hAnsi="Calibri"/>
          <w:szCs w:val="18"/>
        </w:rPr>
        <w:t xml:space="preserve">)). Nonetheless, in France, a lawsuit was filed by two lawyers against Electronic Arts publishing the FIFA Ultimate Team game mode considering that the </w:t>
      </w:r>
      <w:proofErr w:type="spellStart"/>
      <w:r w:rsidRPr="00631C84">
        <w:rPr>
          <w:rFonts w:ascii="Calibri" w:hAnsi="Calibri"/>
          <w:szCs w:val="18"/>
        </w:rPr>
        <w:t>Lootboxes</w:t>
      </w:r>
      <w:proofErr w:type="spellEnd"/>
      <w:r w:rsidRPr="00631C84">
        <w:rPr>
          <w:rFonts w:ascii="Calibri" w:hAnsi="Calibri"/>
          <w:szCs w:val="18"/>
        </w:rPr>
        <w:t xml:space="preserve"> available in these games fell within the scope of games of chance and requiring EA to publish the algorithms underlying this game. In the UK, in a report date</w:t>
      </w:r>
      <w:r w:rsidR="002F5224">
        <w:rPr>
          <w:rFonts w:ascii="Calibri" w:hAnsi="Calibri"/>
          <w:szCs w:val="18"/>
        </w:rPr>
        <w:t>d</w:t>
      </w:r>
      <w:r w:rsidRPr="00631C84">
        <w:rPr>
          <w:rFonts w:ascii="Calibri" w:hAnsi="Calibri"/>
          <w:szCs w:val="18"/>
        </w:rPr>
        <w:t xml:space="preserve"> 2017, the UK Gambling Commission published a position paper on virtual tokens, e-sport and social gambling, recognised the risks of skin gambling on secondary sites and considered that </w:t>
      </w:r>
      <w:proofErr w:type="spellStart"/>
      <w:r w:rsidRPr="00631C84">
        <w:rPr>
          <w:rFonts w:ascii="Calibri" w:hAnsi="Calibri"/>
          <w:szCs w:val="18"/>
        </w:rPr>
        <w:t>Lootboxes</w:t>
      </w:r>
      <w:proofErr w:type="spellEnd"/>
      <w:r w:rsidRPr="00631C84">
        <w:rPr>
          <w:rFonts w:ascii="Calibri" w:hAnsi="Calibri"/>
          <w:szCs w:val="18"/>
        </w:rPr>
        <w:t xml:space="preserve"> do not necessarily fall within the scope of UK gambling house legislation because the gains must be "cashed out". That being said, the UK Gambling Commission has recognised that the boundaries between gambling and video gambling are becoming increasingly blurred and that the protection of minors must be ensured (see UK-</w:t>
      </w:r>
      <w:r w:rsidRPr="00631C84">
        <w:rPr>
          <w:rFonts w:ascii="Calibri" w:hAnsi="Calibri"/>
          <w:smallCaps/>
          <w:szCs w:val="18"/>
        </w:rPr>
        <w:t>Gambling Commission</w:t>
      </w:r>
      <w:r w:rsidRPr="00631C84">
        <w:rPr>
          <w:rFonts w:ascii="Calibri" w:hAnsi="Calibri"/>
          <w:szCs w:val="18"/>
        </w:rPr>
        <w:t xml:space="preserve">, Virtual currencies, eSports and social casino gambling, p. 7 (available: </w:t>
      </w:r>
      <w:hyperlink r:id="rId16">
        <w:r w:rsidRPr="00631C84">
          <w:rPr>
            <w:rFonts w:ascii="Calibri" w:hAnsi="Calibri"/>
            <w:color w:val="1155CC"/>
            <w:szCs w:val="18"/>
            <w:u w:val="single"/>
          </w:rPr>
          <w:t>https://www.gamblingcommission.gov.uk/PDF/Virtual-currencies-eSports-and-social-casino-gaming.pdf</w:t>
        </w:r>
      </w:hyperlink>
      <w:r w:rsidRPr="00631C84">
        <w:rPr>
          <w:rFonts w:ascii="Calibri" w:hAnsi="Calibri"/>
          <w:szCs w:val="18"/>
        </w:rPr>
        <w:t>)</w:t>
      </w:r>
      <w:r w:rsidR="0071690F">
        <w:rPr>
          <w:rFonts w:ascii="Calibri" w:hAnsi="Calibri"/>
          <w:szCs w:val="18"/>
        </w:rPr>
        <w:t>)</w:t>
      </w:r>
      <w:r>
        <w:rPr>
          <w:rFonts w:ascii="Calibri" w:hAnsi="Calibri"/>
          <w:szCs w:val="18"/>
        </w:rPr>
        <w:t>.</w:t>
      </w:r>
    </w:p>
  </w:footnote>
  <w:footnote w:id="25">
    <w:p w14:paraId="179A4FED" w14:textId="1C491F10" w:rsidR="001F36EC" w:rsidRPr="00631C84" w:rsidRDefault="00631C84" w:rsidP="00631C84">
      <w:pPr>
        <w:pStyle w:val="Notedebasdepage"/>
        <w:spacing w:line="240" w:lineRule="auto"/>
        <w:ind w:left="0" w:right="0" w:firstLine="0"/>
        <w:jc w:val="both"/>
        <w:rPr>
          <w:rFonts w:ascii="Calibri" w:hAnsi="Calibri"/>
          <w:szCs w:val="18"/>
        </w:rPr>
      </w:pPr>
      <w:r w:rsidRPr="00631C84">
        <w:rPr>
          <w:rStyle w:val="Appelnotedebasdep"/>
          <w:rFonts w:ascii="Calibri" w:hAnsi="Calibri"/>
          <w:szCs w:val="18"/>
        </w:rPr>
        <w:footnoteRef/>
      </w:r>
      <w:r>
        <w:rPr>
          <w:rFonts w:ascii="Calibri" w:hAnsi="Calibri"/>
          <w:szCs w:val="18"/>
        </w:rPr>
        <w:t xml:space="preserve">  See: </w:t>
      </w:r>
      <w:r w:rsidR="001F36EC" w:rsidRPr="001F36EC">
        <w:rPr>
          <w:rFonts w:ascii="Calibri" w:hAnsi="Calibri"/>
          <w:szCs w:val="18"/>
        </w:rPr>
        <w:t>S.1629 - A bill to regulate certain pay-to-win microtransactions and sales of loot boxes in interactive digital entertainment products, and for other purposes.116th Congress (2019-2020)</w:t>
      </w:r>
      <w:r w:rsidR="001F36EC">
        <w:rPr>
          <w:rFonts w:ascii="Calibri" w:hAnsi="Calibri"/>
          <w:szCs w:val="18"/>
        </w:rPr>
        <w:t xml:space="preserve">. </w:t>
      </w:r>
    </w:p>
  </w:footnote>
  <w:footnote w:id="26">
    <w:p w14:paraId="5A6D44B9" w14:textId="1D1B7C90" w:rsidR="00034768" w:rsidRPr="0013078B" w:rsidRDefault="00034768">
      <w:pPr>
        <w:pStyle w:val="Notedebasdepage"/>
        <w:rPr>
          <w:rFonts w:asciiTheme="minorHAnsi" w:hAnsiTheme="minorHAnsi"/>
          <w:smallCaps/>
          <w:lang w:val="fr-CH"/>
        </w:rPr>
      </w:pPr>
      <w:r w:rsidRPr="0013078B">
        <w:rPr>
          <w:rStyle w:val="Appelnotedebasdep"/>
          <w:rFonts w:asciiTheme="minorHAnsi" w:hAnsiTheme="minorHAnsi"/>
        </w:rPr>
        <w:footnoteRef/>
      </w:r>
      <w:r w:rsidRPr="0013078B">
        <w:rPr>
          <w:rFonts w:asciiTheme="minorHAnsi" w:hAnsiTheme="minorHAnsi"/>
          <w:lang w:val="fr-CH"/>
        </w:rPr>
        <w:t xml:space="preserve"> </w:t>
      </w:r>
      <w:proofErr w:type="spellStart"/>
      <w:r w:rsidRPr="0013078B">
        <w:rPr>
          <w:rFonts w:asciiTheme="minorHAnsi" w:hAnsiTheme="minorHAnsi"/>
          <w:smallCaps/>
          <w:lang w:val="fr-CH"/>
        </w:rPr>
        <w:t>European</w:t>
      </w:r>
      <w:proofErr w:type="spellEnd"/>
      <w:r w:rsidRPr="0013078B">
        <w:rPr>
          <w:rFonts w:asciiTheme="minorHAnsi" w:hAnsiTheme="minorHAnsi"/>
          <w:smallCaps/>
          <w:lang w:val="fr-CH"/>
        </w:rPr>
        <w:t xml:space="preserve"> </w:t>
      </w:r>
      <w:proofErr w:type="spellStart"/>
      <w:r w:rsidRPr="0013078B">
        <w:rPr>
          <w:rFonts w:asciiTheme="minorHAnsi" w:hAnsiTheme="minorHAnsi"/>
          <w:smallCaps/>
          <w:lang w:val="fr-CH"/>
        </w:rPr>
        <w:t>Parliament</w:t>
      </w:r>
      <w:proofErr w:type="spellEnd"/>
      <w:r w:rsidR="0013078B">
        <w:rPr>
          <w:rFonts w:asciiTheme="minorHAnsi" w:hAnsiTheme="minorHAnsi"/>
          <w:smallCaps/>
          <w:lang w:val="fr-CH"/>
        </w:rPr>
        <w:t xml:space="preserve"> (</w:t>
      </w:r>
      <w:r w:rsidR="0013078B" w:rsidRPr="0013078B">
        <w:rPr>
          <w:rFonts w:ascii="Calibri" w:hAnsi="Calibri"/>
          <w:szCs w:val="18"/>
          <w:lang w:val="fr-CH"/>
        </w:rPr>
        <w:t xml:space="preserve">note 2), </w:t>
      </w:r>
      <w:r w:rsidRPr="0013078B">
        <w:rPr>
          <w:rFonts w:ascii="Calibri" w:hAnsi="Calibri"/>
          <w:szCs w:val="18"/>
          <w:lang w:val="fr-CH"/>
        </w:rPr>
        <w:t>p.8.</w:t>
      </w:r>
      <w:r w:rsidRPr="0013078B">
        <w:rPr>
          <w:rFonts w:asciiTheme="minorHAnsi" w:hAnsiTheme="minorHAnsi"/>
          <w:smallCaps/>
          <w:lang w:val="fr-CH"/>
        </w:rPr>
        <w:t xml:space="preserve"> </w:t>
      </w:r>
    </w:p>
  </w:footnote>
  <w:footnote w:id="27">
    <w:p w14:paraId="56DC6159" w14:textId="428664A6" w:rsidR="00DA0E53" w:rsidRPr="00631C84" w:rsidRDefault="00DA0E53" w:rsidP="00547AD4">
      <w:pPr>
        <w:pStyle w:val="Notedebasdepage"/>
        <w:spacing w:line="240" w:lineRule="auto"/>
        <w:ind w:left="0" w:right="0" w:firstLine="0"/>
        <w:jc w:val="both"/>
        <w:rPr>
          <w:rFonts w:ascii="Calibri" w:hAnsi="Calibri"/>
          <w:szCs w:val="18"/>
          <w:lang w:val="es-ES"/>
        </w:rPr>
      </w:pPr>
      <w:r w:rsidRPr="00631C84">
        <w:rPr>
          <w:rStyle w:val="Appelnotedebasdep"/>
          <w:rFonts w:ascii="Calibri" w:hAnsi="Calibri"/>
          <w:szCs w:val="18"/>
        </w:rPr>
        <w:footnoteRef/>
      </w:r>
      <w:r w:rsidRPr="00631C84">
        <w:rPr>
          <w:rFonts w:ascii="Calibri" w:hAnsi="Calibri"/>
          <w:szCs w:val="18"/>
          <w:lang w:val="es-ES"/>
        </w:rPr>
        <w:tab/>
        <w:t>CRC/GC/2003/5, paras. 48, 50.</w:t>
      </w:r>
    </w:p>
  </w:footnote>
  <w:footnote w:id="28">
    <w:p w14:paraId="22A1E149" w14:textId="0E1DA03C" w:rsidR="008002F4" w:rsidRPr="00631C84" w:rsidRDefault="008002F4" w:rsidP="00547AD4">
      <w:pPr>
        <w:pStyle w:val="Notedebasdepage"/>
        <w:jc w:val="both"/>
        <w:rPr>
          <w:rFonts w:ascii="Calibri" w:hAnsi="Calibri"/>
          <w:szCs w:val="18"/>
          <w:lang w:val="es-ES"/>
        </w:rPr>
      </w:pPr>
      <w:r w:rsidRPr="00631C84">
        <w:rPr>
          <w:rStyle w:val="Appelnotedebasdep"/>
          <w:rFonts w:ascii="Calibri" w:hAnsi="Calibri"/>
          <w:szCs w:val="18"/>
        </w:rPr>
        <w:footnoteRef/>
      </w:r>
      <w:r w:rsidRPr="00631C84">
        <w:rPr>
          <w:rFonts w:ascii="Calibri" w:hAnsi="Calibri"/>
          <w:szCs w:val="18"/>
          <w:lang w:val="es-ES"/>
        </w:rPr>
        <w:tab/>
        <w:t>CRC/C/GC/15, para. 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56E2"/>
    <w:multiLevelType w:val="hybridMultilevel"/>
    <w:tmpl w:val="33825D44"/>
    <w:lvl w:ilvl="0" w:tplc="A07E6FE6">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6B56D2"/>
    <w:multiLevelType w:val="hybridMultilevel"/>
    <w:tmpl w:val="977AA8F6"/>
    <w:lvl w:ilvl="0" w:tplc="0854EA3C">
      <w:start w:val="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3567171"/>
    <w:multiLevelType w:val="hybridMultilevel"/>
    <w:tmpl w:val="E94CC730"/>
    <w:lvl w:ilvl="0" w:tplc="BE7AFDD2">
      <w:start w:val="1"/>
      <w:numFmt w:val="low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 w15:restartNumberingAfterBreak="0">
    <w:nsid w:val="3EF156D5"/>
    <w:multiLevelType w:val="hybridMultilevel"/>
    <w:tmpl w:val="8ADEC978"/>
    <w:lvl w:ilvl="0" w:tplc="0314992A">
      <w:start w:val="36"/>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 w15:restartNumberingAfterBreak="0">
    <w:nsid w:val="44244BE7"/>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51980A51"/>
    <w:multiLevelType w:val="hybridMultilevel"/>
    <w:tmpl w:val="9920E8B6"/>
    <w:lvl w:ilvl="0" w:tplc="2F6458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AF57D5"/>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5B0E5F11"/>
    <w:multiLevelType w:val="hybridMultilevel"/>
    <w:tmpl w:val="5CFCB90E"/>
    <w:lvl w:ilvl="0" w:tplc="CA863108">
      <w:start w:val="2"/>
      <w:numFmt w:val="bullet"/>
      <w:lvlText w:val="-"/>
      <w:lvlJc w:val="left"/>
      <w:pPr>
        <w:ind w:left="1068" w:hanging="360"/>
      </w:pPr>
      <w:rPr>
        <w:rFonts w:ascii="Arial" w:eastAsia="Times New Roman" w:hAnsi="Arial" w:cs="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8" w15:restartNumberingAfterBreak="0">
    <w:nsid w:val="5D507DA0"/>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5F307AB0"/>
    <w:multiLevelType w:val="hybridMultilevel"/>
    <w:tmpl w:val="DA3E24CC"/>
    <w:lvl w:ilvl="0" w:tplc="696004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DA0980"/>
    <w:multiLevelType w:val="hybridMultilevel"/>
    <w:tmpl w:val="FD4E31CE"/>
    <w:lvl w:ilvl="0" w:tplc="C400C1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761D3F"/>
    <w:multiLevelType w:val="hybridMultilevel"/>
    <w:tmpl w:val="05D0633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CB11DF0"/>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775E1014"/>
    <w:multiLevelType w:val="hybridMultilevel"/>
    <w:tmpl w:val="C534FE80"/>
    <w:lvl w:ilvl="0" w:tplc="682AB40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6A316C"/>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7B1A54B9"/>
    <w:multiLevelType w:val="hybridMultilevel"/>
    <w:tmpl w:val="768AFA18"/>
    <w:lvl w:ilvl="0" w:tplc="DE7AB32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BB67D2"/>
    <w:multiLevelType w:val="hybridMultilevel"/>
    <w:tmpl w:val="A06831D8"/>
    <w:lvl w:ilvl="0" w:tplc="77F0B83E">
      <w:start w:val="16"/>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8"/>
  </w:num>
  <w:num w:numId="4">
    <w:abstractNumId w:val="12"/>
  </w:num>
  <w:num w:numId="5">
    <w:abstractNumId w:val="6"/>
  </w:num>
  <w:num w:numId="6">
    <w:abstractNumId w:val="15"/>
  </w:num>
  <w:num w:numId="7">
    <w:abstractNumId w:val="10"/>
  </w:num>
  <w:num w:numId="8">
    <w:abstractNumId w:val="16"/>
  </w:num>
  <w:num w:numId="9">
    <w:abstractNumId w:val="9"/>
  </w:num>
  <w:num w:numId="10">
    <w:abstractNumId w:val="5"/>
  </w:num>
  <w:num w:numId="11">
    <w:abstractNumId w:val="14"/>
  </w:num>
  <w:num w:numId="12">
    <w:abstractNumId w:val="0"/>
  </w:num>
  <w:num w:numId="13">
    <w:abstractNumId w:val="3"/>
  </w:num>
  <w:num w:numId="14">
    <w:abstractNumId w:val="2"/>
  </w:num>
  <w:num w:numId="15">
    <w:abstractNumId w:val="1"/>
  </w:num>
  <w:num w:numId="16">
    <w:abstractNumId w:val="7"/>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15"/>
    <w:rsid w:val="0000393B"/>
    <w:rsid w:val="000265F6"/>
    <w:rsid w:val="00030778"/>
    <w:rsid w:val="00033778"/>
    <w:rsid w:val="00034768"/>
    <w:rsid w:val="000351EE"/>
    <w:rsid w:val="00037BBF"/>
    <w:rsid w:val="0004141B"/>
    <w:rsid w:val="00041DC4"/>
    <w:rsid w:val="00043BF8"/>
    <w:rsid w:val="00046AD5"/>
    <w:rsid w:val="0005375D"/>
    <w:rsid w:val="00061813"/>
    <w:rsid w:val="00074B3B"/>
    <w:rsid w:val="00086A5F"/>
    <w:rsid w:val="0008732C"/>
    <w:rsid w:val="000A350A"/>
    <w:rsid w:val="000B0BF2"/>
    <w:rsid w:val="000B198C"/>
    <w:rsid w:val="000B3BED"/>
    <w:rsid w:val="000B6823"/>
    <w:rsid w:val="000C40ED"/>
    <w:rsid w:val="000D2930"/>
    <w:rsid w:val="000E6028"/>
    <w:rsid w:val="00107DE1"/>
    <w:rsid w:val="0011125D"/>
    <w:rsid w:val="00124C73"/>
    <w:rsid w:val="0013078B"/>
    <w:rsid w:val="001465D7"/>
    <w:rsid w:val="001521A1"/>
    <w:rsid w:val="00155823"/>
    <w:rsid w:val="00175F53"/>
    <w:rsid w:val="00181543"/>
    <w:rsid w:val="00192881"/>
    <w:rsid w:val="001B1843"/>
    <w:rsid w:val="001D57B9"/>
    <w:rsid w:val="001F36EC"/>
    <w:rsid w:val="00202B35"/>
    <w:rsid w:val="00204B54"/>
    <w:rsid w:val="00214719"/>
    <w:rsid w:val="002237DE"/>
    <w:rsid w:val="0024564A"/>
    <w:rsid w:val="00262582"/>
    <w:rsid w:val="00266937"/>
    <w:rsid w:val="002734B0"/>
    <w:rsid w:val="002B33E5"/>
    <w:rsid w:val="002B3F46"/>
    <w:rsid w:val="002C03B7"/>
    <w:rsid w:val="002F5224"/>
    <w:rsid w:val="00304247"/>
    <w:rsid w:val="00313464"/>
    <w:rsid w:val="00330755"/>
    <w:rsid w:val="003403CB"/>
    <w:rsid w:val="00342E8E"/>
    <w:rsid w:val="00347EFD"/>
    <w:rsid w:val="00361408"/>
    <w:rsid w:val="003710C5"/>
    <w:rsid w:val="00371CAA"/>
    <w:rsid w:val="003723F7"/>
    <w:rsid w:val="003836E4"/>
    <w:rsid w:val="003916F5"/>
    <w:rsid w:val="00394ED8"/>
    <w:rsid w:val="003C3563"/>
    <w:rsid w:val="003C70A3"/>
    <w:rsid w:val="003D1D32"/>
    <w:rsid w:val="003D2CA2"/>
    <w:rsid w:val="003D612E"/>
    <w:rsid w:val="003F6016"/>
    <w:rsid w:val="00403BF4"/>
    <w:rsid w:val="0040592A"/>
    <w:rsid w:val="0041441F"/>
    <w:rsid w:val="004313D8"/>
    <w:rsid w:val="00441310"/>
    <w:rsid w:val="00442B33"/>
    <w:rsid w:val="00450DBD"/>
    <w:rsid w:val="00451119"/>
    <w:rsid w:val="00497CD4"/>
    <w:rsid w:val="004D29F0"/>
    <w:rsid w:val="004E01D7"/>
    <w:rsid w:val="00506355"/>
    <w:rsid w:val="005131A1"/>
    <w:rsid w:val="005151F7"/>
    <w:rsid w:val="00524410"/>
    <w:rsid w:val="00524C23"/>
    <w:rsid w:val="00545D5F"/>
    <w:rsid w:val="00547AD4"/>
    <w:rsid w:val="00551255"/>
    <w:rsid w:val="0056002A"/>
    <w:rsid w:val="00565A26"/>
    <w:rsid w:val="00572E7D"/>
    <w:rsid w:val="00583331"/>
    <w:rsid w:val="00586E39"/>
    <w:rsid w:val="005A1273"/>
    <w:rsid w:val="005E08CE"/>
    <w:rsid w:val="005E2A2D"/>
    <w:rsid w:val="005E439F"/>
    <w:rsid w:val="005E60D6"/>
    <w:rsid w:val="00610B78"/>
    <w:rsid w:val="00615CC9"/>
    <w:rsid w:val="0062684F"/>
    <w:rsid w:val="00631C84"/>
    <w:rsid w:val="0064213C"/>
    <w:rsid w:val="00650AE5"/>
    <w:rsid w:val="006514F4"/>
    <w:rsid w:val="00654A77"/>
    <w:rsid w:val="0065589B"/>
    <w:rsid w:val="00661A66"/>
    <w:rsid w:val="00663106"/>
    <w:rsid w:val="00667BC6"/>
    <w:rsid w:val="006728A8"/>
    <w:rsid w:val="00676BFD"/>
    <w:rsid w:val="006826CC"/>
    <w:rsid w:val="006944E4"/>
    <w:rsid w:val="006A0FF2"/>
    <w:rsid w:val="006A177A"/>
    <w:rsid w:val="006A6A2E"/>
    <w:rsid w:val="006B4EBD"/>
    <w:rsid w:val="006C223A"/>
    <w:rsid w:val="006C7998"/>
    <w:rsid w:val="006D14A3"/>
    <w:rsid w:val="006D54D1"/>
    <w:rsid w:val="006D66DF"/>
    <w:rsid w:val="006E0604"/>
    <w:rsid w:val="006E1B0C"/>
    <w:rsid w:val="006F3468"/>
    <w:rsid w:val="006F3D17"/>
    <w:rsid w:val="0071690F"/>
    <w:rsid w:val="00752847"/>
    <w:rsid w:val="00755A95"/>
    <w:rsid w:val="007575ED"/>
    <w:rsid w:val="00763850"/>
    <w:rsid w:val="0077564E"/>
    <w:rsid w:val="007760AD"/>
    <w:rsid w:val="00780462"/>
    <w:rsid w:val="00783189"/>
    <w:rsid w:val="00794F5B"/>
    <w:rsid w:val="007B692F"/>
    <w:rsid w:val="007C015F"/>
    <w:rsid w:val="007C5BC2"/>
    <w:rsid w:val="007D74D5"/>
    <w:rsid w:val="007E668A"/>
    <w:rsid w:val="007F4E18"/>
    <w:rsid w:val="008002F4"/>
    <w:rsid w:val="0081014D"/>
    <w:rsid w:val="008122E5"/>
    <w:rsid w:val="008152FF"/>
    <w:rsid w:val="00816C3D"/>
    <w:rsid w:val="00826E36"/>
    <w:rsid w:val="008369B2"/>
    <w:rsid w:val="00840753"/>
    <w:rsid w:val="008419E1"/>
    <w:rsid w:val="00846AB8"/>
    <w:rsid w:val="00850316"/>
    <w:rsid w:val="00853D97"/>
    <w:rsid w:val="00860A20"/>
    <w:rsid w:val="008763D7"/>
    <w:rsid w:val="00886F22"/>
    <w:rsid w:val="00892F3A"/>
    <w:rsid w:val="00893743"/>
    <w:rsid w:val="008A499D"/>
    <w:rsid w:val="008B3DDB"/>
    <w:rsid w:val="008B65E2"/>
    <w:rsid w:val="008C144E"/>
    <w:rsid w:val="008C198A"/>
    <w:rsid w:val="008C27E7"/>
    <w:rsid w:val="008D269B"/>
    <w:rsid w:val="008D4FD9"/>
    <w:rsid w:val="008E3DA4"/>
    <w:rsid w:val="008E7BB2"/>
    <w:rsid w:val="00912683"/>
    <w:rsid w:val="009136E2"/>
    <w:rsid w:val="0091777E"/>
    <w:rsid w:val="00925CC8"/>
    <w:rsid w:val="0092720C"/>
    <w:rsid w:val="00930F66"/>
    <w:rsid w:val="009708E8"/>
    <w:rsid w:val="00970C49"/>
    <w:rsid w:val="009A3A2E"/>
    <w:rsid w:val="009B3A22"/>
    <w:rsid w:val="009B56DE"/>
    <w:rsid w:val="009D16F3"/>
    <w:rsid w:val="009D2480"/>
    <w:rsid w:val="009E1D44"/>
    <w:rsid w:val="009E3822"/>
    <w:rsid w:val="009E51F4"/>
    <w:rsid w:val="009E547E"/>
    <w:rsid w:val="009F64A1"/>
    <w:rsid w:val="009F7420"/>
    <w:rsid w:val="00A00D47"/>
    <w:rsid w:val="00A054CD"/>
    <w:rsid w:val="00A0601A"/>
    <w:rsid w:val="00A224BA"/>
    <w:rsid w:val="00A22CA7"/>
    <w:rsid w:val="00A2676C"/>
    <w:rsid w:val="00A34428"/>
    <w:rsid w:val="00A35915"/>
    <w:rsid w:val="00A37BE9"/>
    <w:rsid w:val="00A41308"/>
    <w:rsid w:val="00A43467"/>
    <w:rsid w:val="00A5111F"/>
    <w:rsid w:val="00A546C0"/>
    <w:rsid w:val="00A667DB"/>
    <w:rsid w:val="00A67819"/>
    <w:rsid w:val="00A726ED"/>
    <w:rsid w:val="00A80DC2"/>
    <w:rsid w:val="00A840EF"/>
    <w:rsid w:val="00AA221C"/>
    <w:rsid w:val="00AA5F69"/>
    <w:rsid w:val="00AB6F8F"/>
    <w:rsid w:val="00AB7AA9"/>
    <w:rsid w:val="00AC31A0"/>
    <w:rsid w:val="00AE67DB"/>
    <w:rsid w:val="00AF0DE3"/>
    <w:rsid w:val="00AF6394"/>
    <w:rsid w:val="00AF6D99"/>
    <w:rsid w:val="00B01EB5"/>
    <w:rsid w:val="00B048A9"/>
    <w:rsid w:val="00B13434"/>
    <w:rsid w:val="00B35F39"/>
    <w:rsid w:val="00B47333"/>
    <w:rsid w:val="00B72118"/>
    <w:rsid w:val="00B77A70"/>
    <w:rsid w:val="00B96F86"/>
    <w:rsid w:val="00BB7043"/>
    <w:rsid w:val="00BE7D73"/>
    <w:rsid w:val="00BF1936"/>
    <w:rsid w:val="00BF333D"/>
    <w:rsid w:val="00C02901"/>
    <w:rsid w:val="00C06477"/>
    <w:rsid w:val="00C402C9"/>
    <w:rsid w:val="00C527FA"/>
    <w:rsid w:val="00C746D2"/>
    <w:rsid w:val="00C915E0"/>
    <w:rsid w:val="00CA162E"/>
    <w:rsid w:val="00CB2649"/>
    <w:rsid w:val="00CC6BFA"/>
    <w:rsid w:val="00CD3C8D"/>
    <w:rsid w:val="00CF24DF"/>
    <w:rsid w:val="00D066FA"/>
    <w:rsid w:val="00D3016E"/>
    <w:rsid w:val="00D46806"/>
    <w:rsid w:val="00D50840"/>
    <w:rsid w:val="00D61DD8"/>
    <w:rsid w:val="00D6250B"/>
    <w:rsid w:val="00D642F5"/>
    <w:rsid w:val="00D748D4"/>
    <w:rsid w:val="00D85F9B"/>
    <w:rsid w:val="00D87BEA"/>
    <w:rsid w:val="00D905A3"/>
    <w:rsid w:val="00DA0E53"/>
    <w:rsid w:val="00DA178F"/>
    <w:rsid w:val="00DD164D"/>
    <w:rsid w:val="00DF1829"/>
    <w:rsid w:val="00DF4568"/>
    <w:rsid w:val="00E05E2E"/>
    <w:rsid w:val="00E17118"/>
    <w:rsid w:val="00E23033"/>
    <w:rsid w:val="00E77A15"/>
    <w:rsid w:val="00E86218"/>
    <w:rsid w:val="00E875AB"/>
    <w:rsid w:val="00E95829"/>
    <w:rsid w:val="00EB12CD"/>
    <w:rsid w:val="00EB410A"/>
    <w:rsid w:val="00EC0A80"/>
    <w:rsid w:val="00EC5F2A"/>
    <w:rsid w:val="00EE1AEF"/>
    <w:rsid w:val="00EF1EC0"/>
    <w:rsid w:val="00F004BD"/>
    <w:rsid w:val="00F03B87"/>
    <w:rsid w:val="00F075CB"/>
    <w:rsid w:val="00F202F6"/>
    <w:rsid w:val="00F34A3E"/>
    <w:rsid w:val="00F37AAD"/>
    <w:rsid w:val="00F434E4"/>
    <w:rsid w:val="00F50CCD"/>
    <w:rsid w:val="00F55B5B"/>
    <w:rsid w:val="00F66F29"/>
    <w:rsid w:val="00F7443A"/>
    <w:rsid w:val="00F91A3A"/>
    <w:rsid w:val="00F91BC9"/>
    <w:rsid w:val="00F9457E"/>
    <w:rsid w:val="00FA360A"/>
    <w:rsid w:val="00FB0214"/>
    <w:rsid w:val="00FB1265"/>
    <w:rsid w:val="00FC0370"/>
    <w:rsid w:val="00FC54B3"/>
    <w:rsid w:val="00FD1015"/>
    <w:rsid w:val="00FD2D87"/>
    <w:rsid w:val="00FD77E8"/>
    <w:rsid w:val="00FE3768"/>
    <w:rsid w:val="00FF51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3638"/>
  <w15:chartTrackingRefBased/>
  <w15:docId w15:val="{E51240CD-BC30-8649-96DD-37E24617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F36E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3BF8"/>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3BF8"/>
    <w:rPr>
      <w:rFonts w:ascii="Times New Roman" w:hAnsi="Times New Roman" w:cs="Times New Roman"/>
      <w:sz w:val="18"/>
      <w:szCs w:val="18"/>
    </w:rPr>
  </w:style>
  <w:style w:type="paragraph" w:styleId="NormalWeb">
    <w:name w:val="Normal (Web)"/>
    <w:basedOn w:val="Normal"/>
    <w:uiPriority w:val="99"/>
    <w:unhideWhenUsed/>
    <w:rsid w:val="00FD1015"/>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D642F5"/>
    <w:pPr>
      <w:tabs>
        <w:tab w:val="center" w:pos="4536"/>
        <w:tab w:val="right" w:pos="9072"/>
      </w:tabs>
    </w:pPr>
  </w:style>
  <w:style w:type="character" w:customStyle="1" w:styleId="En-tteCar">
    <w:name w:val="En-tête Car"/>
    <w:basedOn w:val="Policepardfaut"/>
    <w:link w:val="En-tte"/>
    <w:uiPriority w:val="99"/>
    <w:rsid w:val="00D642F5"/>
  </w:style>
  <w:style w:type="paragraph" w:styleId="Pieddepage">
    <w:name w:val="footer"/>
    <w:basedOn w:val="Normal"/>
    <w:link w:val="PieddepageCar"/>
    <w:uiPriority w:val="99"/>
    <w:unhideWhenUsed/>
    <w:rsid w:val="00D642F5"/>
    <w:pPr>
      <w:tabs>
        <w:tab w:val="center" w:pos="4536"/>
        <w:tab w:val="right" w:pos="9072"/>
      </w:tabs>
    </w:pPr>
  </w:style>
  <w:style w:type="character" w:customStyle="1" w:styleId="PieddepageCar">
    <w:name w:val="Pied de page Car"/>
    <w:basedOn w:val="Policepardfaut"/>
    <w:link w:val="Pieddepage"/>
    <w:uiPriority w:val="99"/>
    <w:rsid w:val="00D642F5"/>
  </w:style>
  <w:style w:type="paragraph" w:customStyle="1" w:styleId="SingleTxtG">
    <w:name w:val="_ Single Txt_G"/>
    <w:basedOn w:val="Normal"/>
    <w:link w:val="SingleTxtGCar"/>
    <w:qFormat/>
    <w:rsid w:val="008763D7"/>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styleId="Appelnotedebasdep">
    <w:name w:val="footnote reference"/>
    <w:aliases w:val="4_G,4_G Char Char Char Char,BVI fnr Car Car Car Car Char Char1 Char Char,BVI fnr Car Car Char Char Char Char,BVI fnr Car Char Char Char Char,BVI fnr Char Char Char Char,Footnotes refss Char Char Char Char"/>
    <w:basedOn w:val="Policepardfaut"/>
    <w:link w:val="4GCharCharChar"/>
    <w:qFormat/>
    <w:rsid w:val="008763D7"/>
    <w:rPr>
      <w:rFonts w:ascii="Times New Roman" w:hAnsi="Times New Roman"/>
      <w:sz w:val="18"/>
      <w:vertAlign w:val="superscript"/>
    </w:rPr>
  </w:style>
  <w:style w:type="paragraph" w:styleId="Notedebasdepage">
    <w:name w:val="footnote text"/>
    <w:aliases w:val="5_G,Footnote Text Char Char,Footnote Text Char Char Char Char,Footnote Text Char Char Char Char1 Char Char,Footnote Text Char1,Footnote Text Char1 Char Char,Footnote Text Char1 Char Char1 Char Char,ft Char Char Char Char Char Char"/>
    <w:basedOn w:val="Normal"/>
    <w:link w:val="NotedebasdepageCar"/>
    <w:uiPriority w:val="99"/>
    <w:qFormat/>
    <w:rsid w:val="008763D7"/>
    <w:pPr>
      <w:tabs>
        <w:tab w:val="right" w:pos="1021"/>
      </w:tabs>
      <w:suppressAutoHyphens/>
      <w:spacing w:line="220" w:lineRule="exact"/>
      <w:ind w:left="1134" w:right="1134" w:hanging="1134"/>
    </w:pPr>
    <w:rPr>
      <w:rFonts w:ascii="Times New Roman" w:eastAsia="Times New Roman" w:hAnsi="Times New Roman" w:cs="Times New Roman"/>
      <w:sz w:val="18"/>
      <w:szCs w:val="20"/>
      <w:lang w:val="en-GB"/>
    </w:rPr>
  </w:style>
  <w:style w:type="character" w:customStyle="1" w:styleId="NotedebasdepageCar">
    <w:name w:val="Note de bas de page Car"/>
    <w:aliases w:val="5_G Car,Footnote Text Char Char Car,Footnote Text Char Char Char Char Car,Footnote Text Char Char Char Char1 Char Char Car,Footnote Text Char1 Car,Footnote Text Char1 Char Char Car,Footnote Text Char1 Char Char1 Char Char Car"/>
    <w:basedOn w:val="Policepardfaut"/>
    <w:link w:val="Notedebasdepage"/>
    <w:uiPriority w:val="99"/>
    <w:rsid w:val="008763D7"/>
    <w:rPr>
      <w:rFonts w:ascii="Times New Roman" w:eastAsia="Times New Roman" w:hAnsi="Times New Roman" w:cs="Times New Roman"/>
      <w:sz w:val="18"/>
      <w:szCs w:val="20"/>
      <w:lang w:val="en-GB"/>
    </w:rPr>
  </w:style>
  <w:style w:type="character" w:customStyle="1" w:styleId="SingleTxtGCar">
    <w:name w:val="_ Single Txt_G Car"/>
    <w:link w:val="SingleTxtG"/>
    <w:rsid w:val="008763D7"/>
    <w:rPr>
      <w:rFonts w:ascii="Times New Roman" w:eastAsia="Times New Roman" w:hAnsi="Times New Roman" w:cs="Times New Roman"/>
      <w:sz w:val="20"/>
      <w:szCs w:val="20"/>
      <w:lang w:val="en-GB"/>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Appelnotedebasdep"/>
    <w:rsid w:val="008763D7"/>
    <w:pPr>
      <w:spacing w:after="160" w:line="240" w:lineRule="exact"/>
      <w:jc w:val="both"/>
    </w:pPr>
    <w:rPr>
      <w:rFonts w:ascii="Times New Roman" w:hAnsi="Times New Roman"/>
      <w:sz w:val="18"/>
      <w:vertAlign w:val="superscript"/>
    </w:rPr>
  </w:style>
  <w:style w:type="paragraph" w:customStyle="1" w:styleId="H1G">
    <w:name w:val="_ H_1_G"/>
    <w:basedOn w:val="Normal"/>
    <w:next w:val="Normal"/>
    <w:qFormat/>
    <w:rsid w:val="008763D7"/>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Cs w:val="20"/>
      <w:lang w:val="en-GB"/>
    </w:rPr>
  </w:style>
  <w:style w:type="paragraph" w:customStyle="1" w:styleId="HChG">
    <w:name w:val="_ H _Ch_G"/>
    <w:basedOn w:val="Normal"/>
    <w:next w:val="Normal"/>
    <w:qFormat/>
    <w:rsid w:val="008002F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styleId="Lienhypertexte">
    <w:name w:val="Hyperlink"/>
    <w:basedOn w:val="Policepardfaut"/>
    <w:uiPriority w:val="99"/>
    <w:unhideWhenUsed/>
    <w:rsid w:val="007575ED"/>
    <w:rPr>
      <w:color w:val="0000FF"/>
      <w:u w:val="single"/>
    </w:rPr>
  </w:style>
  <w:style w:type="character" w:styleId="Marquedecommentaire">
    <w:name w:val="annotation reference"/>
    <w:basedOn w:val="Policepardfaut"/>
    <w:uiPriority w:val="99"/>
    <w:semiHidden/>
    <w:unhideWhenUsed/>
    <w:rsid w:val="00B048A9"/>
    <w:rPr>
      <w:sz w:val="16"/>
      <w:szCs w:val="16"/>
    </w:rPr>
  </w:style>
  <w:style w:type="paragraph" w:styleId="Commentaire">
    <w:name w:val="annotation text"/>
    <w:basedOn w:val="Normal"/>
    <w:link w:val="CommentaireCar"/>
    <w:uiPriority w:val="99"/>
    <w:semiHidden/>
    <w:unhideWhenUsed/>
    <w:rsid w:val="00B048A9"/>
    <w:rPr>
      <w:sz w:val="20"/>
      <w:szCs w:val="20"/>
    </w:rPr>
  </w:style>
  <w:style w:type="character" w:customStyle="1" w:styleId="CommentaireCar">
    <w:name w:val="Commentaire Car"/>
    <w:basedOn w:val="Policepardfaut"/>
    <w:link w:val="Commentaire"/>
    <w:uiPriority w:val="99"/>
    <w:semiHidden/>
    <w:rsid w:val="00B048A9"/>
    <w:rPr>
      <w:sz w:val="20"/>
      <w:szCs w:val="20"/>
    </w:rPr>
  </w:style>
  <w:style w:type="paragraph" w:styleId="Objetducommentaire">
    <w:name w:val="annotation subject"/>
    <w:basedOn w:val="Commentaire"/>
    <w:next w:val="Commentaire"/>
    <w:link w:val="ObjetducommentaireCar"/>
    <w:uiPriority w:val="99"/>
    <w:semiHidden/>
    <w:unhideWhenUsed/>
    <w:rsid w:val="00B048A9"/>
    <w:rPr>
      <w:b/>
      <w:bCs/>
    </w:rPr>
  </w:style>
  <w:style w:type="character" w:customStyle="1" w:styleId="ObjetducommentaireCar">
    <w:name w:val="Objet du commentaire Car"/>
    <w:basedOn w:val="CommentaireCar"/>
    <w:link w:val="Objetducommentaire"/>
    <w:uiPriority w:val="99"/>
    <w:semiHidden/>
    <w:rsid w:val="00B048A9"/>
    <w:rPr>
      <w:b/>
      <w:bCs/>
      <w:sz w:val="20"/>
      <w:szCs w:val="20"/>
    </w:rPr>
  </w:style>
  <w:style w:type="character" w:styleId="Mentionnonrsolue">
    <w:name w:val="Unresolved Mention"/>
    <w:basedOn w:val="Policepardfaut"/>
    <w:uiPriority w:val="99"/>
    <w:semiHidden/>
    <w:unhideWhenUsed/>
    <w:rsid w:val="00816C3D"/>
    <w:rPr>
      <w:color w:val="605E5C"/>
      <w:shd w:val="clear" w:color="auto" w:fill="E1DFDD"/>
    </w:rPr>
  </w:style>
  <w:style w:type="paragraph" w:customStyle="1" w:styleId="Default">
    <w:name w:val="Default"/>
    <w:rsid w:val="00FA360A"/>
    <w:pPr>
      <w:autoSpaceDE w:val="0"/>
      <w:autoSpaceDN w:val="0"/>
      <w:adjustRightInd w:val="0"/>
    </w:pPr>
    <w:rPr>
      <w:rFonts w:ascii="Arial" w:hAnsi="Arial" w:cs="Arial"/>
      <w:color w:val="000000"/>
      <w:lang w:val="fr-FR"/>
    </w:rPr>
  </w:style>
  <w:style w:type="character" w:customStyle="1" w:styleId="highlight">
    <w:name w:val="highlight"/>
    <w:basedOn w:val="Policepardfaut"/>
    <w:rsid w:val="00FB1265"/>
  </w:style>
  <w:style w:type="character" w:styleId="Lienhypertextesuivivisit">
    <w:name w:val="FollowedHyperlink"/>
    <w:basedOn w:val="Policepardfaut"/>
    <w:uiPriority w:val="99"/>
    <w:semiHidden/>
    <w:unhideWhenUsed/>
    <w:rsid w:val="00780462"/>
    <w:rPr>
      <w:color w:val="954F72" w:themeColor="followedHyperlink"/>
      <w:u w:val="single"/>
    </w:rPr>
  </w:style>
  <w:style w:type="character" w:styleId="Numrodepage">
    <w:name w:val="page number"/>
    <w:basedOn w:val="Policepardfaut"/>
    <w:uiPriority w:val="99"/>
    <w:semiHidden/>
    <w:unhideWhenUsed/>
    <w:rsid w:val="00631C84"/>
  </w:style>
  <w:style w:type="character" w:customStyle="1" w:styleId="Titre1Car">
    <w:name w:val="Titre 1 Car"/>
    <w:basedOn w:val="Policepardfaut"/>
    <w:link w:val="Titre1"/>
    <w:uiPriority w:val="9"/>
    <w:rsid w:val="001F36EC"/>
    <w:rPr>
      <w:rFonts w:ascii="Times New Roman" w:eastAsia="Times New Roman" w:hAnsi="Times New Roman" w:cs="Times New Roman"/>
      <w:b/>
      <w:bCs/>
      <w:kern w:val="36"/>
      <w:sz w:val="48"/>
      <w:szCs w:val="48"/>
      <w:lang w:eastAsia="fr-FR"/>
    </w:rPr>
  </w:style>
  <w:style w:type="character" w:customStyle="1" w:styleId="alert-pipe">
    <w:name w:val="alert-pipe"/>
    <w:basedOn w:val="Policepardfaut"/>
    <w:rsid w:val="001F36EC"/>
  </w:style>
  <w:style w:type="character" w:customStyle="1" w:styleId="apple-converted-space">
    <w:name w:val="apple-converted-space"/>
    <w:basedOn w:val="Policepardfaut"/>
    <w:rsid w:val="001F36EC"/>
  </w:style>
  <w:style w:type="paragraph" w:styleId="Paragraphedeliste">
    <w:name w:val="List Paragraph"/>
    <w:basedOn w:val="Normal"/>
    <w:uiPriority w:val="34"/>
    <w:qFormat/>
    <w:rsid w:val="001F3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550052">
      <w:bodyDiv w:val="1"/>
      <w:marLeft w:val="0"/>
      <w:marRight w:val="0"/>
      <w:marTop w:val="0"/>
      <w:marBottom w:val="0"/>
      <w:divBdr>
        <w:top w:val="none" w:sz="0" w:space="0" w:color="auto"/>
        <w:left w:val="none" w:sz="0" w:space="0" w:color="auto"/>
        <w:bottom w:val="none" w:sz="0" w:space="0" w:color="auto"/>
        <w:right w:val="none" w:sz="0" w:space="0" w:color="auto"/>
      </w:divBdr>
      <w:divsChild>
        <w:div w:id="1541504877">
          <w:marLeft w:val="0"/>
          <w:marRight w:val="0"/>
          <w:marTop w:val="0"/>
          <w:marBottom w:val="0"/>
          <w:divBdr>
            <w:top w:val="none" w:sz="0" w:space="0" w:color="auto"/>
            <w:left w:val="none" w:sz="0" w:space="0" w:color="auto"/>
            <w:bottom w:val="none" w:sz="0" w:space="0" w:color="auto"/>
            <w:right w:val="none" w:sz="0" w:space="0" w:color="auto"/>
          </w:divBdr>
          <w:divsChild>
            <w:div w:id="1858618268">
              <w:marLeft w:val="0"/>
              <w:marRight w:val="0"/>
              <w:marTop w:val="0"/>
              <w:marBottom w:val="0"/>
              <w:divBdr>
                <w:top w:val="none" w:sz="0" w:space="0" w:color="auto"/>
                <w:left w:val="none" w:sz="0" w:space="0" w:color="auto"/>
                <w:bottom w:val="none" w:sz="0" w:space="0" w:color="auto"/>
                <w:right w:val="none" w:sz="0" w:space="0" w:color="auto"/>
              </w:divBdr>
              <w:divsChild>
                <w:div w:id="17170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2117">
      <w:bodyDiv w:val="1"/>
      <w:marLeft w:val="0"/>
      <w:marRight w:val="0"/>
      <w:marTop w:val="0"/>
      <w:marBottom w:val="0"/>
      <w:divBdr>
        <w:top w:val="none" w:sz="0" w:space="0" w:color="auto"/>
        <w:left w:val="none" w:sz="0" w:space="0" w:color="auto"/>
        <w:bottom w:val="none" w:sz="0" w:space="0" w:color="auto"/>
        <w:right w:val="none" w:sz="0" w:space="0" w:color="auto"/>
      </w:divBdr>
      <w:divsChild>
        <w:div w:id="1019046096">
          <w:marLeft w:val="0"/>
          <w:marRight w:val="0"/>
          <w:marTop w:val="0"/>
          <w:marBottom w:val="0"/>
          <w:divBdr>
            <w:top w:val="none" w:sz="0" w:space="0" w:color="auto"/>
            <w:left w:val="none" w:sz="0" w:space="0" w:color="auto"/>
            <w:bottom w:val="none" w:sz="0" w:space="0" w:color="auto"/>
            <w:right w:val="none" w:sz="0" w:space="0" w:color="auto"/>
          </w:divBdr>
          <w:divsChild>
            <w:div w:id="678118843">
              <w:marLeft w:val="0"/>
              <w:marRight w:val="0"/>
              <w:marTop w:val="0"/>
              <w:marBottom w:val="0"/>
              <w:divBdr>
                <w:top w:val="none" w:sz="0" w:space="0" w:color="auto"/>
                <w:left w:val="none" w:sz="0" w:space="0" w:color="auto"/>
                <w:bottom w:val="none" w:sz="0" w:space="0" w:color="auto"/>
                <w:right w:val="none" w:sz="0" w:space="0" w:color="auto"/>
              </w:divBdr>
              <w:divsChild>
                <w:div w:id="7403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doi/full/10.1111/add.14286" TargetMode="External"/><Relationship Id="rId13" Type="http://schemas.openxmlformats.org/officeDocument/2006/relationships/hyperlink" Target="https://www.england.nhs.uk/2020/01/countrys-top-mental-health-nurse-warns-video-games-pushing-young-people-into-under-the-radar-gambling/" TargetMode="External"/><Relationship Id="rId3" Type="http://schemas.openxmlformats.org/officeDocument/2006/relationships/hyperlink" Target="https://www.isfe.eu/wp-content/uploads/2019/08/ISFE-Key-Facts-Brochure-FINAL.pdf" TargetMode="External"/><Relationship Id="rId7" Type="http://schemas.openxmlformats.org/officeDocument/2006/relationships/hyperlink" Target="https://www.sciencedirect.com/science/article/pii/S0747563219302602" TargetMode="External"/><Relationship Id="rId12" Type="http://schemas.openxmlformats.org/officeDocument/2006/relationships/hyperlink" Target="https://www.childrenscommissioner.gov.uk/wp-content/uploads/2019/10/CCO-Gaming-the-System-2019.pdf" TargetMode="External"/><Relationship Id="rId2" Type="http://schemas.openxmlformats.org/officeDocument/2006/relationships/hyperlink" Target="https://www.europarl.europa.eu/RegData/etudes/STUD/2020/652727/IPOL_STU(2020)652727_EN.pdf" TargetMode="External"/><Relationship Id="rId16" Type="http://schemas.openxmlformats.org/officeDocument/2006/relationships/hyperlink" Target="https://www.gamblingcommission.gov.uk/PDF/Virtual-currencies-eSports-and-social-casino-gaming.pdf" TargetMode="External"/><Relationship Id="rId1" Type="http://schemas.openxmlformats.org/officeDocument/2006/relationships/hyperlink" Target="https://www.elgaronline.com/view/journals/ielr/1-1/ielr.2018.01.02.xml" TargetMode="External"/><Relationship Id="rId6" Type="http://schemas.openxmlformats.org/officeDocument/2006/relationships/hyperlink" Target="https://patentimages.storage.googleapis.com/82/54/3d/f3bc1ad176aded/US20190275422A1.pdf" TargetMode="External"/><Relationship Id="rId11" Type="http://schemas.openxmlformats.org/officeDocument/2006/relationships/hyperlink" Target="https://www.newsd.admin.ch/newsd/message/attachments/62824.pdf" TargetMode="External"/><Relationship Id="rId5" Type="http://schemas.openxmlformats.org/officeDocument/2006/relationships/hyperlink" Target="https://patentimages.storage.googleapis.com/0b/81/44/e0b180fb740e99/US10080972.pdf" TargetMode="External"/><Relationship Id="rId15" Type="http://schemas.openxmlformats.org/officeDocument/2006/relationships/hyperlink" Target="http://www.arjel.fr/IMG/pdf/rapport-activite-2018.pdf" TargetMode="External"/><Relationship Id="rId10" Type="http://schemas.openxmlformats.org/officeDocument/2006/relationships/hyperlink" Target="https://publications.parliament.uk/pa/cm201719/cmselect/cmcumeds/1846/184609.htm" TargetMode="External"/><Relationship Id="rId4" Type="http://schemas.openxmlformats.org/officeDocument/2006/relationships/hyperlink" Target="https://doi.org/10.1038/s41562-018-0360-1" TargetMode="External"/><Relationship Id="rId9" Type="http://schemas.openxmlformats.org/officeDocument/2006/relationships/hyperlink" Target="https://publications.parliament.uk/pa/cm201719/cmselect/cmcumeds/1846/184609.htm" TargetMode="External"/><Relationship Id="rId14" Type="http://schemas.openxmlformats.org/officeDocument/2006/relationships/hyperlink" Target="https://www.unicef.org/publications/files/SOWC_2017_ENG_WEB.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E72EA9-62E6-470C-99A6-D2D06BBA5784}">
  <ds:schemaRefs>
    <ds:schemaRef ds:uri="http://schemas.openxmlformats.org/officeDocument/2006/bibliography"/>
  </ds:schemaRefs>
</ds:datastoreItem>
</file>

<file path=customXml/itemProps2.xml><?xml version="1.0" encoding="utf-8"?>
<ds:datastoreItem xmlns:ds="http://schemas.openxmlformats.org/officeDocument/2006/customXml" ds:itemID="{3FD0DCE2-28D4-4ED8-BD58-7073B2965DC4}"/>
</file>

<file path=customXml/itemProps3.xml><?xml version="1.0" encoding="utf-8"?>
<ds:datastoreItem xmlns:ds="http://schemas.openxmlformats.org/officeDocument/2006/customXml" ds:itemID="{FB7C1D84-8B41-4DE9-8BA8-DB461C7B7920}"/>
</file>

<file path=customXml/itemProps4.xml><?xml version="1.0" encoding="utf-8"?>
<ds:datastoreItem xmlns:ds="http://schemas.openxmlformats.org/officeDocument/2006/customXml" ds:itemID="{8AF2227C-D12B-4796-8BDF-3B897354AD8D}"/>
</file>

<file path=docProps/app.xml><?xml version="1.0" encoding="utf-8"?>
<Properties xmlns="http://schemas.openxmlformats.org/officeDocument/2006/extended-properties" xmlns:vt="http://schemas.openxmlformats.org/officeDocument/2006/docPropsVTypes">
  <Template>Normal.dotm</Template>
  <TotalTime>29</TotalTime>
  <Pages>6</Pages>
  <Words>1628</Words>
  <Characters>8680</Characters>
  <Application>Microsoft Office Word</Application>
  <DocSecurity>0</DocSecurity>
  <Lines>147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Bruderer</dc:creator>
  <cp:keywords/>
  <dc:description/>
  <cp:lastModifiedBy>Hélène Bruderer</cp:lastModifiedBy>
  <cp:revision>4</cp:revision>
  <cp:lastPrinted>2020-11-15T14:46:00Z</cp:lastPrinted>
  <dcterms:created xsi:type="dcterms:W3CDTF">2020-11-15T14:25:00Z</dcterms:created>
  <dcterms:modified xsi:type="dcterms:W3CDTF">2020-11-15T15:43:00Z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