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C6EDB" w14:textId="1FEDD6AC" w:rsidR="007D063A" w:rsidRPr="006958F8" w:rsidRDefault="007D063A" w:rsidP="006958F8">
      <w:pPr>
        <w:spacing w:before="120"/>
        <w:jc w:val="center"/>
        <w:rPr>
          <w:rFonts w:ascii="Arial" w:hAnsi="Arial" w:cs="Arial"/>
          <w:b/>
          <w:bCs/>
          <w:sz w:val="22"/>
          <w:szCs w:val="22"/>
          <w:u w:val="single"/>
        </w:rPr>
      </w:pPr>
      <w:r w:rsidRPr="006958F8">
        <w:rPr>
          <w:rFonts w:ascii="Arial" w:hAnsi="Arial" w:cs="Arial"/>
          <w:b/>
          <w:bCs/>
          <w:sz w:val="22"/>
          <w:szCs w:val="22"/>
          <w:u w:val="single"/>
        </w:rPr>
        <w:t xml:space="preserve">KMDI Response to the Committee on the Rights of the Child’s </w:t>
      </w:r>
      <w:r w:rsidR="00735218" w:rsidRPr="006958F8">
        <w:rPr>
          <w:rFonts w:ascii="Arial" w:hAnsi="Arial" w:cs="Arial"/>
          <w:b/>
          <w:bCs/>
          <w:sz w:val="22"/>
          <w:szCs w:val="22"/>
          <w:u w:val="single"/>
        </w:rPr>
        <w:t>Draft</w:t>
      </w:r>
      <w:r w:rsidRPr="006958F8">
        <w:rPr>
          <w:rFonts w:ascii="Arial" w:hAnsi="Arial" w:cs="Arial"/>
          <w:b/>
          <w:bCs/>
          <w:sz w:val="22"/>
          <w:szCs w:val="22"/>
          <w:u w:val="single"/>
        </w:rPr>
        <w:t xml:space="preserve"> General Comment </w:t>
      </w:r>
      <w:r w:rsidR="00735218" w:rsidRPr="006958F8">
        <w:rPr>
          <w:rFonts w:ascii="Arial" w:hAnsi="Arial" w:cs="Arial"/>
          <w:b/>
          <w:bCs/>
          <w:sz w:val="22"/>
          <w:szCs w:val="22"/>
          <w:u w:val="single"/>
        </w:rPr>
        <w:t xml:space="preserve">No.25 </w:t>
      </w:r>
      <w:r w:rsidRPr="006958F8">
        <w:rPr>
          <w:rFonts w:ascii="Arial" w:hAnsi="Arial" w:cs="Arial"/>
          <w:b/>
          <w:bCs/>
          <w:sz w:val="22"/>
          <w:szCs w:val="22"/>
          <w:u w:val="single"/>
        </w:rPr>
        <w:t>on Children’s Rights in Relation to the Digital Environment (</w:t>
      </w:r>
      <w:r w:rsidR="00735218" w:rsidRPr="006958F8">
        <w:rPr>
          <w:rFonts w:ascii="Arial" w:hAnsi="Arial" w:cs="Arial"/>
          <w:b/>
          <w:bCs/>
          <w:sz w:val="22"/>
          <w:szCs w:val="22"/>
          <w:u w:val="single"/>
        </w:rPr>
        <w:t>November</w:t>
      </w:r>
      <w:r w:rsidRPr="006958F8">
        <w:rPr>
          <w:rFonts w:ascii="Arial" w:hAnsi="Arial" w:cs="Arial"/>
          <w:b/>
          <w:bCs/>
          <w:sz w:val="22"/>
          <w:szCs w:val="22"/>
          <w:u w:val="single"/>
        </w:rPr>
        <w:t xml:space="preserve"> 15, 20</w:t>
      </w:r>
      <w:r w:rsidR="00735218" w:rsidRPr="006958F8">
        <w:rPr>
          <w:rFonts w:ascii="Arial" w:hAnsi="Arial" w:cs="Arial"/>
          <w:b/>
          <w:bCs/>
          <w:sz w:val="22"/>
          <w:szCs w:val="22"/>
          <w:u w:val="single"/>
        </w:rPr>
        <w:t>20</w:t>
      </w:r>
      <w:r w:rsidRPr="006958F8">
        <w:rPr>
          <w:rFonts w:ascii="Arial" w:hAnsi="Arial" w:cs="Arial"/>
          <w:b/>
          <w:bCs/>
          <w:sz w:val="22"/>
          <w:szCs w:val="22"/>
          <w:u w:val="single"/>
        </w:rPr>
        <w:t>)</w:t>
      </w:r>
    </w:p>
    <w:p w14:paraId="0B9CF84A" w14:textId="77777777" w:rsidR="006958F8" w:rsidRPr="006958F8" w:rsidRDefault="006958F8" w:rsidP="006958F8">
      <w:pPr>
        <w:spacing w:before="120"/>
        <w:jc w:val="center"/>
        <w:rPr>
          <w:rFonts w:ascii="Arial" w:hAnsi="Arial" w:cs="Arial"/>
          <w:b/>
          <w:bCs/>
          <w:sz w:val="21"/>
          <w:szCs w:val="21"/>
          <w:u w:val="single"/>
        </w:rPr>
      </w:pPr>
    </w:p>
    <w:p w14:paraId="1C418DE8" w14:textId="1FC27AFE" w:rsidR="0030648F" w:rsidRPr="006C11E3" w:rsidRDefault="007D063A" w:rsidP="00424368">
      <w:pPr>
        <w:jc w:val="both"/>
        <w:rPr>
          <w:rFonts w:ascii="Arial" w:hAnsi="Arial" w:cs="Arial"/>
          <w:sz w:val="21"/>
          <w:szCs w:val="21"/>
        </w:rPr>
      </w:pPr>
      <w:r w:rsidRPr="006C11E3">
        <w:rPr>
          <w:rFonts w:ascii="Arial" w:hAnsi="Arial" w:cs="Arial"/>
          <w:i/>
          <w:sz w:val="21"/>
          <w:szCs w:val="21"/>
        </w:rPr>
        <w:t>The Knowledge Media Design Institute (KMDI) is a cross-disciplinary research institute spanning twenty-five departments of the University of Toront</w:t>
      </w:r>
      <w:r w:rsidR="00424368">
        <w:rPr>
          <w:rFonts w:ascii="Arial" w:hAnsi="Arial" w:cs="Arial"/>
          <w:i/>
          <w:sz w:val="21"/>
          <w:szCs w:val="21"/>
        </w:rPr>
        <w:t xml:space="preserve">o. The KMDI supports cross-sector research on the </w:t>
      </w:r>
      <w:r w:rsidRPr="006C11E3">
        <w:rPr>
          <w:rFonts w:ascii="Arial" w:hAnsi="Arial" w:cs="Arial"/>
          <w:i/>
          <w:sz w:val="21"/>
          <w:szCs w:val="21"/>
        </w:rPr>
        <w:t>complex relationships between technology and society</w:t>
      </w:r>
      <w:r w:rsidR="00424368">
        <w:rPr>
          <w:rFonts w:ascii="Arial" w:hAnsi="Arial" w:cs="Arial"/>
          <w:i/>
          <w:sz w:val="21"/>
          <w:szCs w:val="21"/>
        </w:rPr>
        <w:t xml:space="preserve"> that aims to </w:t>
      </w:r>
      <w:r w:rsidR="00424368" w:rsidRPr="00424368">
        <w:rPr>
          <w:rFonts w:ascii="Arial" w:hAnsi="Arial" w:cs="Arial"/>
          <w:i/>
          <w:sz w:val="21"/>
          <w:szCs w:val="21"/>
        </w:rPr>
        <w:t>protect the rights and enrich the lives of humans.</w:t>
      </w:r>
    </w:p>
    <w:p w14:paraId="3EB4B102" w14:textId="77777777" w:rsidR="00424368" w:rsidRDefault="00424368" w:rsidP="008372C6">
      <w:pPr>
        <w:rPr>
          <w:rFonts w:ascii="Arial" w:hAnsi="Arial" w:cs="Arial"/>
          <w:sz w:val="21"/>
          <w:szCs w:val="21"/>
        </w:rPr>
      </w:pPr>
    </w:p>
    <w:p w14:paraId="31E74ABE" w14:textId="43416461" w:rsidR="008372C6" w:rsidRPr="006C11E3" w:rsidRDefault="008372C6" w:rsidP="008372C6">
      <w:pPr>
        <w:rPr>
          <w:rFonts w:ascii="Arial" w:hAnsi="Arial" w:cs="Arial"/>
          <w:sz w:val="21"/>
          <w:szCs w:val="21"/>
        </w:rPr>
      </w:pPr>
      <w:r w:rsidRPr="006C11E3">
        <w:rPr>
          <w:rFonts w:ascii="Arial" w:hAnsi="Arial" w:cs="Arial"/>
          <w:sz w:val="21"/>
          <w:szCs w:val="21"/>
        </w:rPr>
        <w:t xml:space="preserve">The </w:t>
      </w:r>
      <w:r w:rsidRPr="006C11E3">
        <w:rPr>
          <w:rFonts w:ascii="Arial" w:hAnsi="Arial" w:cs="Arial"/>
          <w:i/>
          <w:iCs/>
          <w:sz w:val="21"/>
          <w:szCs w:val="21"/>
        </w:rPr>
        <w:t xml:space="preserve">Draft General Comment </w:t>
      </w:r>
      <w:r w:rsidR="00F27D84">
        <w:rPr>
          <w:rFonts w:ascii="Arial" w:hAnsi="Arial" w:cs="Arial"/>
          <w:sz w:val="21"/>
          <w:szCs w:val="21"/>
        </w:rPr>
        <w:t xml:space="preserve">(“Draft”) </w:t>
      </w:r>
      <w:r w:rsidRPr="006C11E3">
        <w:rPr>
          <w:rFonts w:ascii="Arial" w:hAnsi="Arial" w:cs="Arial"/>
          <w:sz w:val="21"/>
          <w:szCs w:val="21"/>
        </w:rPr>
        <w:t xml:space="preserve">represents a </w:t>
      </w:r>
      <w:r w:rsidR="004669F6" w:rsidRPr="006C11E3">
        <w:rPr>
          <w:rFonts w:ascii="Arial" w:hAnsi="Arial" w:cs="Arial"/>
          <w:sz w:val="21"/>
          <w:szCs w:val="21"/>
        </w:rPr>
        <w:t>landmark</w:t>
      </w:r>
      <w:r w:rsidRPr="006C11E3">
        <w:rPr>
          <w:rFonts w:ascii="Arial" w:hAnsi="Arial" w:cs="Arial"/>
          <w:sz w:val="21"/>
          <w:szCs w:val="21"/>
        </w:rPr>
        <w:t xml:space="preserve"> contribution to the </w:t>
      </w:r>
      <w:r w:rsidR="00C34771" w:rsidRPr="006C11E3">
        <w:rPr>
          <w:rFonts w:ascii="Arial" w:hAnsi="Arial" w:cs="Arial"/>
          <w:sz w:val="21"/>
          <w:szCs w:val="21"/>
        </w:rPr>
        <w:t>advancement</w:t>
      </w:r>
      <w:r w:rsidRPr="006C11E3">
        <w:rPr>
          <w:rFonts w:ascii="Arial" w:hAnsi="Arial" w:cs="Arial"/>
          <w:sz w:val="21"/>
          <w:szCs w:val="21"/>
        </w:rPr>
        <w:t xml:space="preserve"> and clarification of children’s rights, </w:t>
      </w:r>
      <w:r w:rsidR="00C34771" w:rsidRPr="006C11E3">
        <w:rPr>
          <w:rFonts w:ascii="Arial" w:hAnsi="Arial" w:cs="Arial"/>
          <w:sz w:val="21"/>
          <w:szCs w:val="21"/>
        </w:rPr>
        <w:t xml:space="preserve">and </w:t>
      </w:r>
      <w:r w:rsidR="00735218" w:rsidRPr="006C11E3">
        <w:rPr>
          <w:rFonts w:ascii="Arial" w:hAnsi="Arial" w:cs="Arial"/>
          <w:sz w:val="21"/>
          <w:szCs w:val="21"/>
        </w:rPr>
        <w:t xml:space="preserve">their </w:t>
      </w:r>
      <w:r w:rsidR="00C34771" w:rsidRPr="006C11E3">
        <w:rPr>
          <w:rFonts w:ascii="Arial" w:hAnsi="Arial" w:cs="Arial"/>
          <w:sz w:val="21"/>
          <w:szCs w:val="21"/>
        </w:rPr>
        <w:t xml:space="preserve">associated </w:t>
      </w:r>
      <w:r w:rsidRPr="006C11E3">
        <w:rPr>
          <w:rFonts w:ascii="Arial" w:hAnsi="Arial" w:cs="Arial"/>
          <w:sz w:val="21"/>
          <w:szCs w:val="21"/>
        </w:rPr>
        <w:t>roles and responsibilities as citizens</w:t>
      </w:r>
      <w:r w:rsidR="00C34771" w:rsidRPr="006C11E3">
        <w:rPr>
          <w:rFonts w:ascii="Arial" w:hAnsi="Arial" w:cs="Arial"/>
          <w:sz w:val="21"/>
          <w:szCs w:val="21"/>
        </w:rPr>
        <w:t>,</w:t>
      </w:r>
      <w:r w:rsidRPr="006C11E3">
        <w:rPr>
          <w:rFonts w:ascii="Arial" w:hAnsi="Arial" w:cs="Arial"/>
          <w:sz w:val="21"/>
          <w:szCs w:val="21"/>
        </w:rPr>
        <w:t xml:space="preserve"> in the digital information society. As Director of the KMDI, and as an expert on children’s digital cultur</w:t>
      </w:r>
      <w:r w:rsidR="006F3FEE">
        <w:rPr>
          <w:rFonts w:ascii="Arial" w:hAnsi="Arial" w:cs="Arial"/>
          <w:sz w:val="21"/>
          <w:szCs w:val="21"/>
        </w:rPr>
        <w:t xml:space="preserve">e, </w:t>
      </w:r>
      <w:r w:rsidRPr="006C11E3">
        <w:rPr>
          <w:rFonts w:ascii="Arial" w:hAnsi="Arial" w:cs="Arial"/>
          <w:sz w:val="21"/>
          <w:szCs w:val="21"/>
        </w:rPr>
        <w:t xml:space="preserve">I applaud the CRC for this incredibly important </w:t>
      </w:r>
      <w:r w:rsidR="00C34771" w:rsidRPr="006C11E3">
        <w:rPr>
          <w:rFonts w:ascii="Arial" w:hAnsi="Arial" w:cs="Arial"/>
          <w:sz w:val="21"/>
          <w:szCs w:val="21"/>
        </w:rPr>
        <w:t>intervention.</w:t>
      </w:r>
      <w:r w:rsidRPr="006C11E3">
        <w:rPr>
          <w:rFonts w:ascii="Arial" w:hAnsi="Arial" w:cs="Arial"/>
          <w:sz w:val="21"/>
          <w:szCs w:val="21"/>
        </w:rPr>
        <w:t xml:space="preserve"> </w:t>
      </w:r>
      <w:r w:rsidR="006F3FEE" w:rsidRPr="006C11E3">
        <w:rPr>
          <w:rFonts w:ascii="Arial" w:hAnsi="Arial" w:cs="Arial"/>
          <w:sz w:val="21"/>
          <w:szCs w:val="21"/>
        </w:rPr>
        <w:t xml:space="preserve">The following </w:t>
      </w:r>
      <w:r w:rsidR="006F3FEE">
        <w:rPr>
          <w:rFonts w:ascii="Arial" w:hAnsi="Arial" w:cs="Arial"/>
          <w:sz w:val="21"/>
          <w:szCs w:val="21"/>
        </w:rPr>
        <w:t>feedback is</w:t>
      </w:r>
      <w:r w:rsidR="006F3FEE" w:rsidRPr="006C11E3">
        <w:rPr>
          <w:rFonts w:ascii="Arial" w:hAnsi="Arial" w:cs="Arial"/>
          <w:sz w:val="21"/>
          <w:szCs w:val="21"/>
        </w:rPr>
        <w:t xml:space="preserve"> intended to help refine </w:t>
      </w:r>
      <w:r w:rsidR="006F3FEE">
        <w:rPr>
          <w:rFonts w:ascii="Arial" w:hAnsi="Arial" w:cs="Arial"/>
          <w:sz w:val="21"/>
          <w:szCs w:val="21"/>
        </w:rPr>
        <w:t xml:space="preserve">and strengthen the </w:t>
      </w:r>
      <w:r w:rsidR="00F27D84">
        <w:rPr>
          <w:rFonts w:ascii="Arial" w:hAnsi="Arial" w:cs="Arial"/>
          <w:sz w:val="21"/>
          <w:szCs w:val="21"/>
        </w:rPr>
        <w:t>Draft</w:t>
      </w:r>
      <w:r w:rsidR="006F3FEE">
        <w:rPr>
          <w:rFonts w:ascii="Arial" w:hAnsi="Arial" w:cs="Arial"/>
          <w:sz w:val="21"/>
          <w:szCs w:val="21"/>
        </w:rPr>
        <w:t xml:space="preserve"> specifically the sections</w:t>
      </w:r>
      <w:r w:rsidR="00720CBB" w:rsidRPr="00D725FA">
        <w:rPr>
          <w:rFonts w:ascii="Arial" w:hAnsi="Arial" w:cs="Arial"/>
          <w:sz w:val="21"/>
          <w:szCs w:val="21"/>
        </w:rPr>
        <w:t xml:space="preserve"> relating to children’s right</w:t>
      </w:r>
      <w:r w:rsidR="00B51EAE">
        <w:rPr>
          <w:rFonts w:ascii="Arial" w:hAnsi="Arial" w:cs="Arial"/>
          <w:sz w:val="21"/>
          <w:szCs w:val="21"/>
        </w:rPr>
        <w:t>s</w:t>
      </w:r>
      <w:r w:rsidR="00720CBB" w:rsidRPr="00D725FA">
        <w:rPr>
          <w:rFonts w:ascii="Arial" w:hAnsi="Arial" w:cs="Arial"/>
          <w:sz w:val="21"/>
          <w:szCs w:val="21"/>
        </w:rPr>
        <w:t xml:space="preserve"> </w:t>
      </w:r>
      <w:r w:rsidR="00B51EAE">
        <w:rPr>
          <w:rFonts w:ascii="Arial" w:hAnsi="Arial" w:cs="Arial"/>
          <w:sz w:val="21"/>
          <w:szCs w:val="21"/>
        </w:rPr>
        <w:t>as producers of cultural content</w:t>
      </w:r>
      <w:r w:rsidR="00720CBB" w:rsidRPr="00D725FA">
        <w:rPr>
          <w:rFonts w:ascii="Arial" w:hAnsi="Arial" w:cs="Arial"/>
          <w:sz w:val="21"/>
          <w:szCs w:val="21"/>
        </w:rPr>
        <w:t xml:space="preserve">, </w:t>
      </w:r>
      <w:r w:rsidR="00B51EAE" w:rsidRPr="00D725FA">
        <w:rPr>
          <w:rFonts w:ascii="Arial" w:hAnsi="Arial" w:cs="Arial"/>
          <w:sz w:val="21"/>
          <w:szCs w:val="21"/>
        </w:rPr>
        <w:t>advertising</w:t>
      </w:r>
      <w:r w:rsidR="00B51EAE">
        <w:rPr>
          <w:rFonts w:ascii="Arial" w:hAnsi="Arial" w:cs="Arial"/>
          <w:sz w:val="21"/>
          <w:szCs w:val="21"/>
        </w:rPr>
        <w:t xml:space="preserve"> and </w:t>
      </w:r>
      <w:r w:rsidR="00B51EAE" w:rsidRPr="00D725FA">
        <w:rPr>
          <w:rFonts w:ascii="Arial" w:hAnsi="Arial" w:cs="Arial"/>
          <w:sz w:val="21"/>
          <w:szCs w:val="21"/>
        </w:rPr>
        <w:t>marketing</w:t>
      </w:r>
      <w:r w:rsidR="00B51EAE">
        <w:rPr>
          <w:rFonts w:ascii="Arial" w:hAnsi="Arial" w:cs="Arial"/>
          <w:sz w:val="21"/>
          <w:szCs w:val="21"/>
        </w:rPr>
        <w:t>,</w:t>
      </w:r>
      <w:r w:rsidR="006F3FEE">
        <w:rPr>
          <w:rFonts w:ascii="Arial" w:hAnsi="Arial" w:cs="Arial"/>
          <w:sz w:val="21"/>
          <w:szCs w:val="21"/>
        </w:rPr>
        <w:t xml:space="preserve"> </w:t>
      </w:r>
      <w:r w:rsidR="00720CBB" w:rsidRPr="00D725FA">
        <w:rPr>
          <w:rFonts w:ascii="Arial" w:hAnsi="Arial" w:cs="Arial"/>
          <w:sz w:val="21"/>
          <w:szCs w:val="21"/>
        </w:rPr>
        <w:t>privacy</w:t>
      </w:r>
      <w:r w:rsidR="006F3FEE">
        <w:rPr>
          <w:rFonts w:ascii="Arial" w:hAnsi="Arial" w:cs="Arial"/>
          <w:sz w:val="21"/>
          <w:szCs w:val="21"/>
        </w:rPr>
        <w:t xml:space="preserve"> and data collection</w:t>
      </w:r>
      <w:r w:rsidR="00720CBB" w:rsidRPr="00D725FA">
        <w:rPr>
          <w:rFonts w:ascii="Arial" w:hAnsi="Arial" w:cs="Arial"/>
          <w:sz w:val="21"/>
          <w:szCs w:val="21"/>
        </w:rPr>
        <w:t xml:space="preserve">, </w:t>
      </w:r>
      <w:r w:rsidR="00B51EAE">
        <w:rPr>
          <w:rFonts w:ascii="Arial" w:hAnsi="Arial" w:cs="Arial"/>
          <w:sz w:val="21"/>
          <w:szCs w:val="21"/>
        </w:rPr>
        <w:t xml:space="preserve">age ratings systems and access, </w:t>
      </w:r>
      <w:r w:rsidR="006F3FEE">
        <w:rPr>
          <w:rFonts w:ascii="Arial" w:hAnsi="Arial" w:cs="Arial"/>
          <w:sz w:val="21"/>
          <w:szCs w:val="21"/>
        </w:rPr>
        <w:t xml:space="preserve">and the roles of the media industries and cultural institutions in supporting children’s rights in the digital environment. </w:t>
      </w:r>
      <w:r w:rsidR="00686137" w:rsidRPr="006C11E3">
        <w:rPr>
          <w:rFonts w:ascii="Arial" w:hAnsi="Arial" w:cs="Arial"/>
          <w:sz w:val="21"/>
          <w:szCs w:val="21"/>
        </w:rPr>
        <w:t xml:space="preserve"> </w:t>
      </w:r>
    </w:p>
    <w:p w14:paraId="0A82E192" w14:textId="4366CF4D" w:rsidR="00FF19C7" w:rsidRDefault="00FF19C7" w:rsidP="008372C6">
      <w:pPr>
        <w:rPr>
          <w:rFonts w:ascii="Arial" w:hAnsi="Arial" w:cs="Arial"/>
          <w:sz w:val="21"/>
          <w:szCs w:val="21"/>
        </w:rPr>
      </w:pPr>
    </w:p>
    <w:p w14:paraId="5A2B9AEE" w14:textId="1BDED283" w:rsidR="0057600C" w:rsidRPr="000F586A" w:rsidRDefault="00F27D84" w:rsidP="008372C6">
      <w:pPr>
        <w:rPr>
          <w:rFonts w:ascii="Arial" w:hAnsi="Arial" w:cs="Arial"/>
          <w:b/>
          <w:bCs/>
          <w:sz w:val="21"/>
          <w:szCs w:val="21"/>
          <w:u w:val="single"/>
        </w:rPr>
      </w:pPr>
      <w:r>
        <w:rPr>
          <w:rFonts w:ascii="Arial" w:hAnsi="Arial" w:cs="Arial"/>
          <w:b/>
          <w:bCs/>
          <w:sz w:val="21"/>
          <w:szCs w:val="21"/>
          <w:u w:val="single"/>
        </w:rPr>
        <w:t>C</w:t>
      </w:r>
      <w:r w:rsidR="0057600C" w:rsidRPr="007C7DED">
        <w:rPr>
          <w:rFonts w:ascii="Arial" w:hAnsi="Arial" w:cs="Arial"/>
          <w:b/>
          <w:bCs/>
          <w:sz w:val="21"/>
          <w:szCs w:val="21"/>
          <w:u w:val="single"/>
        </w:rPr>
        <w:t>hildren as cultural producers</w:t>
      </w:r>
    </w:p>
    <w:p w14:paraId="11A1AF65" w14:textId="76797B68" w:rsidR="00E52B4D" w:rsidRDefault="002A221A" w:rsidP="00FD41FA">
      <w:pPr>
        <w:rPr>
          <w:rFonts w:ascii="Arial" w:hAnsi="Arial" w:cs="Arial"/>
          <w:sz w:val="21"/>
          <w:szCs w:val="21"/>
        </w:rPr>
      </w:pPr>
      <w:r w:rsidRPr="002A221A">
        <w:rPr>
          <w:rFonts w:ascii="Arial" w:hAnsi="Arial" w:cs="Arial"/>
          <w:sz w:val="21"/>
          <w:szCs w:val="21"/>
        </w:rPr>
        <w:t>The KMDI commends</w:t>
      </w:r>
      <w:r>
        <w:rPr>
          <w:rFonts w:ascii="Arial" w:hAnsi="Arial" w:cs="Arial"/>
          <w:sz w:val="21"/>
          <w:szCs w:val="21"/>
        </w:rPr>
        <w:t xml:space="preserve"> the emphasis placed on supporting children’s rights as producers of digital content. This was one of the central recommendations </w:t>
      </w:r>
      <w:r w:rsidR="00F27D84">
        <w:rPr>
          <w:rFonts w:ascii="Arial" w:hAnsi="Arial" w:cs="Arial"/>
          <w:sz w:val="21"/>
          <w:szCs w:val="21"/>
        </w:rPr>
        <w:t>of</w:t>
      </w:r>
      <w:r>
        <w:rPr>
          <w:rFonts w:ascii="Arial" w:hAnsi="Arial" w:cs="Arial"/>
          <w:sz w:val="21"/>
          <w:szCs w:val="21"/>
        </w:rPr>
        <w:t xml:space="preserve"> the KMDI’s response to the CRC’s concept note</w:t>
      </w:r>
      <w:r w:rsidR="00F27D84">
        <w:rPr>
          <w:rFonts w:ascii="Arial" w:hAnsi="Arial" w:cs="Arial"/>
          <w:sz w:val="21"/>
          <w:szCs w:val="21"/>
        </w:rPr>
        <w:t xml:space="preserve"> in May 2019.</w:t>
      </w:r>
      <w:r>
        <w:rPr>
          <w:rFonts w:ascii="Arial" w:hAnsi="Arial" w:cs="Arial"/>
          <w:sz w:val="21"/>
          <w:szCs w:val="21"/>
        </w:rPr>
        <w:t xml:space="preserve"> </w:t>
      </w:r>
      <w:r w:rsidR="00F27D84">
        <w:rPr>
          <w:rFonts w:ascii="Arial" w:hAnsi="Arial" w:cs="Arial"/>
          <w:sz w:val="21"/>
          <w:szCs w:val="21"/>
        </w:rPr>
        <w:t>The D</w:t>
      </w:r>
      <w:r>
        <w:rPr>
          <w:rFonts w:ascii="Arial" w:hAnsi="Arial" w:cs="Arial"/>
          <w:sz w:val="21"/>
          <w:szCs w:val="21"/>
        </w:rPr>
        <w:t>raft effectively c</w:t>
      </w:r>
      <w:r w:rsidR="00F27D84">
        <w:rPr>
          <w:rFonts w:ascii="Arial" w:hAnsi="Arial" w:cs="Arial"/>
          <w:sz w:val="21"/>
          <w:szCs w:val="21"/>
        </w:rPr>
        <w:t>ommunicates</w:t>
      </w:r>
      <w:r>
        <w:rPr>
          <w:rFonts w:ascii="Arial" w:hAnsi="Arial" w:cs="Arial"/>
          <w:sz w:val="21"/>
          <w:szCs w:val="21"/>
        </w:rPr>
        <w:t xml:space="preserve"> </w:t>
      </w:r>
      <w:r w:rsidR="00F27D84">
        <w:rPr>
          <w:rFonts w:ascii="Arial" w:hAnsi="Arial" w:cs="Arial"/>
          <w:sz w:val="21"/>
          <w:szCs w:val="21"/>
        </w:rPr>
        <w:t>that</w:t>
      </w:r>
      <w:r>
        <w:rPr>
          <w:rFonts w:ascii="Arial" w:hAnsi="Arial" w:cs="Arial"/>
          <w:sz w:val="21"/>
          <w:szCs w:val="21"/>
        </w:rPr>
        <w:t xml:space="preserve"> children’s access to digital creation tools and platforms for sharing their creations </w:t>
      </w:r>
      <w:r w:rsidR="00877A8C">
        <w:rPr>
          <w:rFonts w:ascii="Arial" w:hAnsi="Arial" w:cs="Arial"/>
          <w:sz w:val="21"/>
          <w:szCs w:val="21"/>
        </w:rPr>
        <w:t xml:space="preserve">are </w:t>
      </w:r>
      <w:r>
        <w:rPr>
          <w:rFonts w:ascii="Arial" w:hAnsi="Arial" w:cs="Arial"/>
          <w:sz w:val="21"/>
          <w:szCs w:val="21"/>
        </w:rPr>
        <w:t xml:space="preserve">crucial </w:t>
      </w:r>
      <w:r w:rsidR="009F017C">
        <w:rPr>
          <w:rFonts w:ascii="Arial" w:hAnsi="Arial" w:cs="Arial"/>
          <w:sz w:val="21"/>
          <w:szCs w:val="21"/>
        </w:rPr>
        <w:t>for exercising their</w:t>
      </w:r>
      <w:r>
        <w:rPr>
          <w:rFonts w:ascii="Arial" w:hAnsi="Arial" w:cs="Arial"/>
          <w:sz w:val="21"/>
          <w:szCs w:val="21"/>
        </w:rPr>
        <w:t xml:space="preserve"> rights </w:t>
      </w:r>
      <w:r w:rsidR="00AC71F3">
        <w:rPr>
          <w:rFonts w:ascii="Arial" w:hAnsi="Arial" w:cs="Arial"/>
          <w:sz w:val="21"/>
          <w:szCs w:val="21"/>
        </w:rPr>
        <w:t xml:space="preserve">in the digital environment in </w:t>
      </w:r>
      <w:r w:rsidRPr="00B4073F">
        <w:rPr>
          <w:rFonts w:ascii="Arial" w:hAnsi="Arial" w:cs="Arial"/>
          <w:b/>
          <w:bCs/>
          <w:i/>
          <w:iCs/>
          <w:sz w:val="21"/>
          <w:szCs w:val="21"/>
        </w:rPr>
        <w:t>Paragraph 18</w:t>
      </w:r>
      <w:r w:rsidR="00F27D84">
        <w:rPr>
          <w:rFonts w:ascii="Arial" w:hAnsi="Arial" w:cs="Arial"/>
          <w:sz w:val="21"/>
          <w:szCs w:val="21"/>
        </w:rPr>
        <w:t xml:space="preserve">. </w:t>
      </w:r>
      <w:r>
        <w:rPr>
          <w:rFonts w:ascii="Arial" w:hAnsi="Arial" w:cs="Arial"/>
          <w:sz w:val="21"/>
          <w:szCs w:val="21"/>
        </w:rPr>
        <w:t xml:space="preserve">Putting the right to be heard </w:t>
      </w:r>
      <w:r w:rsidR="00F27D84">
        <w:rPr>
          <w:rFonts w:ascii="Arial" w:hAnsi="Arial" w:cs="Arial"/>
          <w:sz w:val="21"/>
          <w:szCs w:val="21"/>
        </w:rPr>
        <w:t>(</w:t>
      </w:r>
      <w:r w:rsidR="00F27D84" w:rsidRPr="00657EC5">
        <w:rPr>
          <w:rFonts w:ascii="Arial" w:hAnsi="Arial" w:cs="Arial"/>
          <w:i/>
          <w:iCs/>
          <w:sz w:val="21"/>
          <w:szCs w:val="21"/>
        </w:rPr>
        <w:t>Article 12</w:t>
      </w:r>
      <w:r w:rsidR="00F27D84">
        <w:rPr>
          <w:rFonts w:ascii="Arial" w:hAnsi="Arial" w:cs="Arial"/>
          <w:sz w:val="21"/>
          <w:szCs w:val="21"/>
        </w:rPr>
        <w:t xml:space="preserve">) </w:t>
      </w:r>
      <w:r>
        <w:rPr>
          <w:rFonts w:ascii="Arial" w:hAnsi="Arial" w:cs="Arial"/>
          <w:sz w:val="21"/>
          <w:szCs w:val="21"/>
        </w:rPr>
        <w:t>at the forefront in this way is imperative</w:t>
      </w:r>
      <w:r w:rsidR="00AC71F3">
        <w:rPr>
          <w:rFonts w:ascii="Arial" w:hAnsi="Arial" w:cs="Arial"/>
          <w:sz w:val="21"/>
          <w:szCs w:val="21"/>
        </w:rPr>
        <w:t>,</w:t>
      </w:r>
      <w:r>
        <w:rPr>
          <w:rFonts w:ascii="Arial" w:hAnsi="Arial" w:cs="Arial"/>
          <w:sz w:val="21"/>
          <w:szCs w:val="21"/>
        </w:rPr>
        <w:t xml:space="preserve"> given tha</w:t>
      </w:r>
      <w:r w:rsidR="00AC71F3">
        <w:rPr>
          <w:rFonts w:ascii="Arial" w:hAnsi="Arial" w:cs="Arial"/>
          <w:sz w:val="21"/>
          <w:szCs w:val="21"/>
        </w:rPr>
        <w:t xml:space="preserve">t it is so </w:t>
      </w:r>
      <w:r>
        <w:rPr>
          <w:rFonts w:ascii="Arial" w:hAnsi="Arial" w:cs="Arial"/>
          <w:sz w:val="21"/>
          <w:szCs w:val="21"/>
        </w:rPr>
        <w:t>often infringed upon</w:t>
      </w:r>
      <w:r w:rsidR="00AC71F3">
        <w:rPr>
          <w:rFonts w:ascii="Arial" w:hAnsi="Arial" w:cs="Arial"/>
          <w:sz w:val="21"/>
          <w:szCs w:val="21"/>
        </w:rPr>
        <w:t xml:space="preserve"> in the digital real</w:t>
      </w:r>
      <w:r w:rsidR="00AC71F3" w:rsidRPr="00024594">
        <w:rPr>
          <w:rFonts w:ascii="Arial" w:hAnsi="Arial" w:cs="Arial"/>
          <w:sz w:val="21"/>
          <w:szCs w:val="21"/>
        </w:rPr>
        <w:t xml:space="preserve">m, </w:t>
      </w:r>
      <w:r w:rsidR="00024594">
        <w:rPr>
          <w:rFonts w:ascii="Arial" w:hAnsi="Arial" w:cs="Arial"/>
          <w:sz w:val="21"/>
          <w:szCs w:val="21"/>
        </w:rPr>
        <w:t>sometimes</w:t>
      </w:r>
      <w:r w:rsidR="007F5E90" w:rsidRPr="00024594">
        <w:rPr>
          <w:rFonts w:ascii="Arial" w:hAnsi="Arial" w:cs="Arial"/>
          <w:sz w:val="21"/>
          <w:szCs w:val="21"/>
        </w:rPr>
        <w:t xml:space="preserve"> as </w:t>
      </w:r>
      <w:r w:rsidR="00024594">
        <w:rPr>
          <w:rFonts w:ascii="Arial" w:hAnsi="Arial" w:cs="Arial"/>
          <w:sz w:val="21"/>
          <w:szCs w:val="21"/>
        </w:rPr>
        <w:t>a</w:t>
      </w:r>
      <w:r w:rsidR="007F5E90" w:rsidRPr="00024594">
        <w:rPr>
          <w:rFonts w:ascii="Arial" w:hAnsi="Arial" w:cs="Arial"/>
          <w:sz w:val="21"/>
          <w:szCs w:val="21"/>
        </w:rPr>
        <w:t xml:space="preserve"> result of design</w:t>
      </w:r>
      <w:r w:rsidR="007F5E90">
        <w:rPr>
          <w:rFonts w:ascii="Arial" w:hAnsi="Arial" w:cs="Arial"/>
          <w:sz w:val="21"/>
          <w:szCs w:val="21"/>
        </w:rPr>
        <w:t xml:space="preserve"> choices </w:t>
      </w:r>
      <w:r w:rsidR="00474724">
        <w:rPr>
          <w:rFonts w:ascii="Arial" w:hAnsi="Arial" w:cs="Arial"/>
          <w:sz w:val="21"/>
          <w:szCs w:val="21"/>
        </w:rPr>
        <w:t>and</w:t>
      </w:r>
      <w:r w:rsidR="007F5E90">
        <w:rPr>
          <w:rFonts w:ascii="Arial" w:hAnsi="Arial" w:cs="Arial"/>
          <w:sz w:val="21"/>
          <w:szCs w:val="21"/>
        </w:rPr>
        <w:t xml:space="preserve"> legislation </w:t>
      </w:r>
      <w:r w:rsidR="00474724">
        <w:rPr>
          <w:rFonts w:ascii="Arial" w:hAnsi="Arial" w:cs="Arial"/>
          <w:sz w:val="21"/>
          <w:szCs w:val="21"/>
        </w:rPr>
        <w:t xml:space="preserve">otherwise </w:t>
      </w:r>
      <w:r w:rsidR="007F5E90">
        <w:rPr>
          <w:rFonts w:ascii="Arial" w:hAnsi="Arial" w:cs="Arial"/>
          <w:sz w:val="21"/>
          <w:szCs w:val="21"/>
        </w:rPr>
        <w:t xml:space="preserve">intended to protect </w:t>
      </w:r>
      <w:r w:rsidR="00AC71F3">
        <w:rPr>
          <w:rFonts w:ascii="Arial" w:hAnsi="Arial" w:cs="Arial"/>
          <w:sz w:val="21"/>
          <w:szCs w:val="21"/>
        </w:rPr>
        <w:t>children</w:t>
      </w:r>
      <w:r w:rsidR="007F5E90">
        <w:rPr>
          <w:rFonts w:ascii="Arial" w:hAnsi="Arial" w:cs="Arial"/>
          <w:sz w:val="21"/>
          <w:szCs w:val="21"/>
        </w:rPr>
        <w:t xml:space="preserve"> from harm</w:t>
      </w:r>
      <w:r>
        <w:rPr>
          <w:rFonts w:ascii="Arial" w:hAnsi="Arial" w:cs="Arial"/>
          <w:sz w:val="21"/>
          <w:szCs w:val="21"/>
        </w:rPr>
        <w:t xml:space="preserve">. </w:t>
      </w:r>
      <w:r w:rsidR="00474724">
        <w:rPr>
          <w:rFonts w:ascii="Arial" w:hAnsi="Arial" w:cs="Arial"/>
          <w:sz w:val="21"/>
          <w:szCs w:val="21"/>
        </w:rPr>
        <w:t>The importance of children’s roles as cultural producers</w:t>
      </w:r>
      <w:r w:rsidR="00E52B4D">
        <w:rPr>
          <w:rFonts w:ascii="Arial" w:hAnsi="Arial" w:cs="Arial"/>
          <w:sz w:val="21"/>
          <w:szCs w:val="21"/>
        </w:rPr>
        <w:t xml:space="preserve"> is also evidenced in </w:t>
      </w:r>
      <w:r w:rsidR="00E52B4D" w:rsidRPr="00B4073F">
        <w:rPr>
          <w:rFonts w:ascii="Arial" w:hAnsi="Arial" w:cs="Arial"/>
          <w:b/>
          <w:bCs/>
          <w:i/>
          <w:iCs/>
          <w:sz w:val="21"/>
          <w:szCs w:val="21"/>
        </w:rPr>
        <w:t>Paragraph 51</w:t>
      </w:r>
      <w:r w:rsidR="00E52B4D">
        <w:rPr>
          <w:rFonts w:ascii="Arial" w:hAnsi="Arial" w:cs="Arial"/>
          <w:sz w:val="21"/>
          <w:szCs w:val="21"/>
        </w:rPr>
        <w:t xml:space="preserve">, which affirms that the digital environment affords “unique opportunities” for children to “create and distribute their own content.” However, these opportunities are </w:t>
      </w:r>
      <w:r w:rsidR="00AC71F3">
        <w:rPr>
          <w:rFonts w:ascii="Arial" w:hAnsi="Arial" w:cs="Arial"/>
          <w:sz w:val="21"/>
          <w:szCs w:val="21"/>
        </w:rPr>
        <w:t>not only</w:t>
      </w:r>
      <w:r w:rsidR="00E52B4D">
        <w:rPr>
          <w:rFonts w:ascii="Arial" w:hAnsi="Arial" w:cs="Arial"/>
          <w:sz w:val="21"/>
          <w:szCs w:val="21"/>
        </w:rPr>
        <w:t xml:space="preserve"> </w:t>
      </w:r>
      <w:r w:rsidR="00E52B4D" w:rsidRPr="00024594">
        <w:rPr>
          <w:rFonts w:ascii="Arial" w:hAnsi="Arial" w:cs="Arial"/>
          <w:sz w:val="21"/>
          <w:szCs w:val="21"/>
        </w:rPr>
        <w:t>“unique”</w:t>
      </w:r>
      <w:r w:rsidR="00AC71F3">
        <w:rPr>
          <w:rFonts w:ascii="Arial" w:hAnsi="Arial" w:cs="Arial"/>
          <w:sz w:val="21"/>
          <w:szCs w:val="21"/>
        </w:rPr>
        <w:t xml:space="preserve"> </w:t>
      </w:r>
      <w:r w:rsidR="00E52B4D">
        <w:rPr>
          <w:rFonts w:ascii="Arial" w:hAnsi="Arial" w:cs="Arial"/>
          <w:sz w:val="21"/>
          <w:szCs w:val="21"/>
        </w:rPr>
        <w:t xml:space="preserve">they are </w:t>
      </w:r>
      <w:r w:rsidR="00AC71F3">
        <w:rPr>
          <w:rFonts w:ascii="Arial" w:hAnsi="Arial" w:cs="Arial"/>
          <w:sz w:val="21"/>
          <w:szCs w:val="21"/>
        </w:rPr>
        <w:t xml:space="preserve">often </w:t>
      </w:r>
      <w:r w:rsidR="00E52B4D">
        <w:rPr>
          <w:rFonts w:ascii="Arial" w:hAnsi="Arial" w:cs="Arial"/>
          <w:sz w:val="21"/>
          <w:szCs w:val="21"/>
        </w:rPr>
        <w:t xml:space="preserve">critical. </w:t>
      </w:r>
      <w:r w:rsidR="00474724">
        <w:rPr>
          <w:rFonts w:ascii="Arial" w:hAnsi="Arial" w:cs="Arial"/>
          <w:sz w:val="21"/>
          <w:szCs w:val="21"/>
        </w:rPr>
        <w:t xml:space="preserve">Increasingly, engaging in the </w:t>
      </w:r>
      <w:r w:rsidR="00474724" w:rsidRPr="00024594">
        <w:rPr>
          <w:rFonts w:ascii="Arial" w:hAnsi="Arial" w:cs="Arial"/>
          <w:sz w:val="21"/>
          <w:szCs w:val="21"/>
        </w:rPr>
        <w:t>c</w:t>
      </w:r>
      <w:r w:rsidR="00E52B4D" w:rsidRPr="00024594">
        <w:rPr>
          <w:rFonts w:ascii="Arial" w:hAnsi="Arial" w:cs="Arial"/>
          <w:sz w:val="21"/>
          <w:szCs w:val="21"/>
        </w:rPr>
        <w:t>reati</w:t>
      </w:r>
      <w:r w:rsidR="00474724" w:rsidRPr="00024594">
        <w:rPr>
          <w:rFonts w:ascii="Arial" w:hAnsi="Arial" w:cs="Arial"/>
          <w:sz w:val="21"/>
          <w:szCs w:val="21"/>
        </w:rPr>
        <w:t>on</w:t>
      </w:r>
      <w:r w:rsidR="00E52B4D" w:rsidRPr="00024594">
        <w:rPr>
          <w:rFonts w:ascii="Arial" w:hAnsi="Arial" w:cs="Arial"/>
          <w:sz w:val="21"/>
          <w:szCs w:val="21"/>
        </w:rPr>
        <w:t xml:space="preserve"> and sharing </w:t>
      </w:r>
      <w:r w:rsidR="00024594" w:rsidRPr="00024594">
        <w:rPr>
          <w:rFonts w:ascii="Arial" w:hAnsi="Arial" w:cs="Arial"/>
          <w:sz w:val="21"/>
          <w:szCs w:val="21"/>
        </w:rPr>
        <w:t xml:space="preserve">of </w:t>
      </w:r>
      <w:r w:rsidR="00E52B4D" w:rsidRPr="00024594">
        <w:rPr>
          <w:rFonts w:ascii="Arial" w:hAnsi="Arial" w:cs="Arial"/>
          <w:sz w:val="21"/>
          <w:szCs w:val="21"/>
        </w:rPr>
        <w:t>one’s</w:t>
      </w:r>
      <w:r w:rsidR="00E52B4D">
        <w:rPr>
          <w:rFonts w:ascii="Arial" w:hAnsi="Arial" w:cs="Arial"/>
          <w:sz w:val="21"/>
          <w:szCs w:val="21"/>
        </w:rPr>
        <w:t xml:space="preserve"> own content</w:t>
      </w:r>
      <w:r w:rsidR="00AC71F3">
        <w:rPr>
          <w:rFonts w:ascii="Arial" w:hAnsi="Arial" w:cs="Arial"/>
          <w:sz w:val="21"/>
          <w:szCs w:val="21"/>
        </w:rPr>
        <w:t xml:space="preserve"> </w:t>
      </w:r>
      <w:r w:rsidR="00474724">
        <w:rPr>
          <w:rFonts w:ascii="Arial" w:hAnsi="Arial" w:cs="Arial"/>
          <w:sz w:val="21"/>
          <w:szCs w:val="21"/>
        </w:rPr>
        <w:t xml:space="preserve">is a necessary part of </w:t>
      </w:r>
      <w:r w:rsidR="00E52B4D">
        <w:rPr>
          <w:rFonts w:ascii="Arial" w:hAnsi="Arial" w:cs="Arial"/>
          <w:sz w:val="21"/>
          <w:szCs w:val="21"/>
        </w:rPr>
        <w:t>digital citizenshi</w:t>
      </w:r>
      <w:r w:rsidR="00474724">
        <w:rPr>
          <w:rFonts w:ascii="Arial" w:hAnsi="Arial" w:cs="Arial"/>
          <w:sz w:val="21"/>
          <w:szCs w:val="21"/>
        </w:rPr>
        <w:t xml:space="preserve">p, as well as </w:t>
      </w:r>
      <w:r w:rsidR="00E52B4D">
        <w:rPr>
          <w:rFonts w:ascii="Arial" w:hAnsi="Arial" w:cs="Arial"/>
          <w:sz w:val="21"/>
          <w:szCs w:val="21"/>
        </w:rPr>
        <w:t>fundamental for the development of a more diverse</w:t>
      </w:r>
      <w:r w:rsidR="00AC71F3">
        <w:rPr>
          <w:rFonts w:ascii="Arial" w:hAnsi="Arial" w:cs="Arial"/>
          <w:sz w:val="21"/>
          <w:szCs w:val="21"/>
        </w:rPr>
        <w:t xml:space="preserve"> </w:t>
      </w:r>
      <w:r w:rsidR="00E52B4D">
        <w:rPr>
          <w:rFonts w:ascii="Arial" w:hAnsi="Arial" w:cs="Arial"/>
          <w:sz w:val="21"/>
          <w:szCs w:val="21"/>
        </w:rPr>
        <w:t>and child-centered digital</w:t>
      </w:r>
      <w:r w:rsidR="00E52B4D" w:rsidRPr="00E52B4D">
        <w:rPr>
          <w:rFonts w:ascii="Arial" w:hAnsi="Arial" w:cs="Arial"/>
          <w:sz w:val="21"/>
          <w:szCs w:val="21"/>
        </w:rPr>
        <w:t xml:space="preserve"> </w:t>
      </w:r>
      <w:r w:rsidR="00E52B4D">
        <w:rPr>
          <w:rFonts w:ascii="Arial" w:hAnsi="Arial" w:cs="Arial"/>
          <w:sz w:val="21"/>
          <w:szCs w:val="21"/>
        </w:rPr>
        <w:t>environment. These opportunities are highly valued by children</w:t>
      </w:r>
      <w:r w:rsidR="00474724">
        <w:rPr>
          <w:rFonts w:ascii="Arial" w:hAnsi="Arial" w:cs="Arial"/>
          <w:sz w:val="21"/>
          <w:szCs w:val="21"/>
        </w:rPr>
        <w:t xml:space="preserve"> themselves</w:t>
      </w:r>
      <w:r w:rsidR="00EB1B90">
        <w:rPr>
          <w:rFonts w:ascii="Arial" w:hAnsi="Arial" w:cs="Arial"/>
          <w:sz w:val="21"/>
          <w:szCs w:val="21"/>
        </w:rPr>
        <w:t xml:space="preserve"> </w:t>
      </w:r>
      <w:r w:rsidR="00E52B4D">
        <w:rPr>
          <w:rFonts w:ascii="Arial" w:hAnsi="Arial" w:cs="Arial"/>
          <w:sz w:val="21"/>
          <w:szCs w:val="21"/>
        </w:rPr>
        <w:t xml:space="preserve">and play an essential role in children’s development of agency, identity, and </w:t>
      </w:r>
      <w:r w:rsidR="00AC71F3">
        <w:rPr>
          <w:rFonts w:ascii="Arial" w:hAnsi="Arial" w:cs="Arial"/>
          <w:sz w:val="21"/>
          <w:szCs w:val="21"/>
        </w:rPr>
        <w:t>cultural experience.</w:t>
      </w:r>
    </w:p>
    <w:p w14:paraId="72C7F130" w14:textId="33565257" w:rsidR="00E52B4D" w:rsidRDefault="00E52B4D" w:rsidP="00FD41FA">
      <w:pPr>
        <w:rPr>
          <w:rFonts w:ascii="Arial" w:hAnsi="Arial" w:cs="Arial"/>
          <w:sz w:val="21"/>
          <w:szCs w:val="21"/>
        </w:rPr>
      </w:pPr>
      <w:r>
        <w:rPr>
          <w:rFonts w:ascii="Arial" w:hAnsi="Arial" w:cs="Arial"/>
          <w:sz w:val="21"/>
          <w:szCs w:val="21"/>
        </w:rPr>
        <w:t xml:space="preserve"> </w:t>
      </w:r>
    </w:p>
    <w:p w14:paraId="7CA943A1" w14:textId="745D7194" w:rsidR="0057600C" w:rsidRPr="006C11E3" w:rsidRDefault="007F5E90" w:rsidP="0057600C">
      <w:pPr>
        <w:rPr>
          <w:rFonts w:ascii="Arial" w:hAnsi="Arial" w:cs="Arial"/>
          <w:sz w:val="21"/>
          <w:szCs w:val="21"/>
        </w:rPr>
      </w:pPr>
      <w:r w:rsidRPr="00E52B4D">
        <w:rPr>
          <w:rFonts w:ascii="Arial" w:hAnsi="Arial" w:cs="Arial"/>
          <w:b/>
          <w:bCs/>
          <w:i/>
          <w:iCs/>
          <w:sz w:val="21"/>
          <w:szCs w:val="21"/>
        </w:rPr>
        <w:t>Paragraph 55</w:t>
      </w:r>
      <w:r>
        <w:rPr>
          <w:rFonts w:ascii="Arial" w:hAnsi="Arial" w:cs="Arial"/>
          <w:sz w:val="21"/>
          <w:szCs w:val="21"/>
        </w:rPr>
        <w:t xml:space="preserve"> </w:t>
      </w:r>
      <w:r w:rsidR="00024594">
        <w:rPr>
          <w:rFonts w:ascii="Arial" w:hAnsi="Arial" w:cs="Arial"/>
          <w:sz w:val="21"/>
          <w:szCs w:val="21"/>
        </w:rPr>
        <w:t xml:space="preserve">affirms </w:t>
      </w:r>
      <w:r>
        <w:rPr>
          <w:rFonts w:ascii="Arial" w:hAnsi="Arial" w:cs="Arial"/>
          <w:sz w:val="21"/>
          <w:szCs w:val="21"/>
        </w:rPr>
        <w:t xml:space="preserve">that any restrictions </w:t>
      </w:r>
      <w:r w:rsidR="00EB1B90">
        <w:rPr>
          <w:rFonts w:ascii="Arial" w:hAnsi="Arial" w:cs="Arial"/>
          <w:sz w:val="21"/>
          <w:szCs w:val="21"/>
        </w:rPr>
        <w:t xml:space="preserve">aimed at increasing children’s safety </w:t>
      </w:r>
      <w:r>
        <w:rPr>
          <w:rFonts w:ascii="Arial" w:hAnsi="Arial" w:cs="Arial"/>
          <w:sz w:val="21"/>
          <w:szCs w:val="21"/>
        </w:rPr>
        <w:t xml:space="preserve">(e.g. design features or user management policies) must </w:t>
      </w:r>
      <w:r w:rsidR="00024594">
        <w:rPr>
          <w:rFonts w:ascii="Arial" w:hAnsi="Arial" w:cs="Arial"/>
          <w:sz w:val="21"/>
          <w:szCs w:val="21"/>
        </w:rPr>
        <w:t>be</w:t>
      </w:r>
      <w:r>
        <w:rPr>
          <w:rFonts w:ascii="Arial" w:hAnsi="Arial" w:cs="Arial"/>
          <w:sz w:val="21"/>
          <w:szCs w:val="21"/>
        </w:rPr>
        <w:t xml:space="preserve"> compatible with children’s right to freedom of </w:t>
      </w:r>
      <w:r w:rsidRPr="00024594">
        <w:rPr>
          <w:rFonts w:ascii="Arial" w:hAnsi="Arial" w:cs="Arial"/>
          <w:sz w:val="21"/>
          <w:szCs w:val="21"/>
        </w:rPr>
        <w:t>expression (</w:t>
      </w:r>
      <w:r w:rsidR="00657EC5" w:rsidRPr="00024594">
        <w:rPr>
          <w:rFonts w:ascii="Arial" w:hAnsi="Arial" w:cs="Arial"/>
          <w:i/>
          <w:iCs/>
          <w:sz w:val="21"/>
          <w:szCs w:val="21"/>
        </w:rPr>
        <w:t>A</w:t>
      </w:r>
      <w:r w:rsidRPr="00024594">
        <w:rPr>
          <w:rFonts w:ascii="Arial" w:hAnsi="Arial" w:cs="Arial"/>
          <w:i/>
          <w:iCs/>
          <w:sz w:val="21"/>
          <w:szCs w:val="21"/>
        </w:rPr>
        <w:t>rticle 13</w:t>
      </w:r>
      <w:r w:rsidR="00E52B4D" w:rsidRPr="00024594">
        <w:rPr>
          <w:rFonts w:ascii="Arial" w:hAnsi="Arial" w:cs="Arial"/>
          <w:sz w:val="21"/>
          <w:szCs w:val="21"/>
        </w:rPr>
        <w:t>)</w:t>
      </w:r>
      <w:r w:rsidR="00024594">
        <w:rPr>
          <w:rFonts w:ascii="Arial" w:hAnsi="Arial" w:cs="Arial"/>
          <w:sz w:val="21"/>
          <w:szCs w:val="21"/>
        </w:rPr>
        <w:t>. This</w:t>
      </w:r>
      <w:r w:rsidR="00E52B4D">
        <w:rPr>
          <w:rFonts w:ascii="Arial" w:hAnsi="Arial" w:cs="Arial"/>
          <w:sz w:val="21"/>
          <w:szCs w:val="21"/>
        </w:rPr>
        <w:t xml:space="preserve"> </w:t>
      </w:r>
      <w:r w:rsidR="00024594">
        <w:rPr>
          <w:rFonts w:ascii="Arial" w:hAnsi="Arial" w:cs="Arial"/>
          <w:sz w:val="21"/>
          <w:szCs w:val="21"/>
        </w:rPr>
        <w:t>establishes</w:t>
      </w:r>
      <w:r w:rsidR="00E52B4D">
        <w:rPr>
          <w:rFonts w:ascii="Arial" w:hAnsi="Arial" w:cs="Arial"/>
          <w:sz w:val="21"/>
          <w:szCs w:val="21"/>
        </w:rPr>
        <w:t xml:space="preserve"> a clear mandate for providers of digital creation tools and platforms</w:t>
      </w:r>
      <w:r w:rsidR="00024594">
        <w:rPr>
          <w:rFonts w:ascii="Arial" w:hAnsi="Arial" w:cs="Arial"/>
          <w:sz w:val="21"/>
          <w:szCs w:val="21"/>
        </w:rPr>
        <w:t xml:space="preserve"> that </w:t>
      </w:r>
      <w:r w:rsidR="0048218F">
        <w:rPr>
          <w:rFonts w:ascii="Arial" w:hAnsi="Arial" w:cs="Arial"/>
          <w:sz w:val="21"/>
          <w:szCs w:val="21"/>
        </w:rPr>
        <w:t xml:space="preserve">is reiterated in </w:t>
      </w:r>
      <w:r w:rsidR="0048218F" w:rsidRPr="0048218F">
        <w:rPr>
          <w:rFonts w:ascii="Arial" w:hAnsi="Arial" w:cs="Arial"/>
          <w:b/>
          <w:bCs/>
          <w:i/>
          <w:iCs/>
          <w:sz w:val="21"/>
          <w:szCs w:val="21"/>
        </w:rPr>
        <w:t>Paragraph 61</w:t>
      </w:r>
      <w:r w:rsidR="0048218F">
        <w:rPr>
          <w:rFonts w:ascii="Arial" w:hAnsi="Arial" w:cs="Arial"/>
          <w:sz w:val="21"/>
          <w:szCs w:val="21"/>
        </w:rPr>
        <w:t xml:space="preserve">, which lists “censorship” as one of four potential rights violations that States should protect children from. </w:t>
      </w:r>
      <w:r w:rsidR="00596D2E">
        <w:rPr>
          <w:rFonts w:ascii="Arial" w:hAnsi="Arial" w:cs="Arial"/>
          <w:sz w:val="21"/>
          <w:szCs w:val="21"/>
        </w:rPr>
        <w:t xml:space="preserve">However, it is not clear </w:t>
      </w:r>
      <w:r w:rsidR="00596D2E">
        <w:rPr>
          <w:rFonts w:ascii="Arial" w:hAnsi="Arial" w:cs="Arial"/>
          <w:i/>
          <w:iCs/>
          <w:sz w:val="21"/>
          <w:szCs w:val="21"/>
        </w:rPr>
        <w:t>how</w:t>
      </w:r>
      <w:r w:rsidR="00596D2E" w:rsidRPr="00596D2E">
        <w:rPr>
          <w:rFonts w:ascii="Arial" w:hAnsi="Arial" w:cs="Arial"/>
          <w:sz w:val="21"/>
          <w:szCs w:val="21"/>
        </w:rPr>
        <w:t xml:space="preserve"> th</w:t>
      </w:r>
      <w:r w:rsidR="00596D2E">
        <w:rPr>
          <w:rFonts w:ascii="Arial" w:hAnsi="Arial" w:cs="Arial"/>
          <w:sz w:val="21"/>
          <w:szCs w:val="21"/>
        </w:rPr>
        <w:t>is compatibility, and the more general issue of</w:t>
      </w:r>
      <w:r w:rsidR="00EB1B90">
        <w:rPr>
          <w:rFonts w:ascii="Arial" w:hAnsi="Arial" w:cs="Arial"/>
          <w:sz w:val="21"/>
          <w:szCs w:val="21"/>
        </w:rPr>
        <w:t xml:space="preserve"> </w:t>
      </w:r>
      <w:r w:rsidR="00596D2E">
        <w:rPr>
          <w:rFonts w:ascii="Arial" w:hAnsi="Arial" w:cs="Arial"/>
          <w:sz w:val="21"/>
          <w:szCs w:val="21"/>
        </w:rPr>
        <w:t xml:space="preserve">balancing </w:t>
      </w:r>
      <w:r w:rsidR="00EB1B90">
        <w:rPr>
          <w:rFonts w:ascii="Arial" w:hAnsi="Arial" w:cs="Arial"/>
          <w:sz w:val="21"/>
          <w:szCs w:val="21"/>
        </w:rPr>
        <w:t xml:space="preserve">children’s many </w:t>
      </w:r>
      <w:r w:rsidR="00596D2E" w:rsidRPr="00596D2E">
        <w:rPr>
          <w:rFonts w:ascii="Arial" w:hAnsi="Arial" w:cs="Arial"/>
          <w:sz w:val="21"/>
          <w:szCs w:val="21"/>
        </w:rPr>
        <w:t>rights</w:t>
      </w:r>
      <w:r w:rsidR="00596D2E">
        <w:rPr>
          <w:rFonts w:ascii="Arial" w:hAnsi="Arial" w:cs="Arial"/>
          <w:sz w:val="21"/>
          <w:szCs w:val="21"/>
        </w:rPr>
        <w:t>, might be achieved</w:t>
      </w:r>
      <w:r w:rsidR="0048218F">
        <w:rPr>
          <w:rFonts w:ascii="Arial" w:hAnsi="Arial" w:cs="Arial"/>
          <w:sz w:val="21"/>
          <w:szCs w:val="21"/>
        </w:rPr>
        <w:t xml:space="preserve"> in practice</w:t>
      </w:r>
      <w:r w:rsidR="00596D2E">
        <w:rPr>
          <w:rFonts w:ascii="Arial" w:hAnsi="Arial" w:cs="Arial"/>
          <w:sz w:val="21"/>
          <w:szCs w:val="21"/>
        </w:rPr>
        <w:t xml:space="preserve">. More guidance for States and businesses on how </w:t>
      </w:r>
      <w:r w:rsidR="0048218F">
        <w:rPr>
          <w:rFonts w:ascii="Arial" w:hAnsi="Arial" w:cs="Arial"/>
          <w:sz w:val="21"/>
          <w:szCs w:val="21"/>
        </w:rPr>
        <w:t xml:space="preserve">to support children’s freedom of expression would be extremely useful, especially in contexts where there is high public </w:t>
      </w:r>
      <w:r w:rsidR="00164D93">
        <w:rPr>
          <w:rFonts w:ascii="Arial" w:hAnsi="Arial" w:cs="Arial"/>
          <w:sz w:val="21"/>
          <w:szCs w:val="21"/>
        </w:rPr>
        <w:t xml:space="preserve">concern about </w:t>
      </w:r>
      <w:r w:rsidR="00EB1B90">
        <w:rPr>
          <w:rFonts w:ascii="Arial" w:hAnsi="Arial" w:cs="Arial"/>
          <w:sz w:val="21"/>
          <w:szCs w:val="21"/>
        </w:rPr>
        <w:t>children’s</w:t>
      </w:r>
      <w:r w:rsidR="00164D93">
        <w:rPr>
          <w:rFonts w:ascii="Arial" w:hAnsi="Arial" w:cs="Arial"/>
          <w:sz w:val="21"/>
          <w:szCs w:val="21"/>
        </w:rPr>
        <w:t xml:space="preserve"> safety</w:t>
      </w:r>
      <w:r w:rsidR="00EB1B90">
        <w:rPr>
          <w:rFonts w:ascii="Arial" w:hAnsi="Arial" w:cs="Arial"/>
          <w:sz w:val="21"/>
          <w:szCs w:val="21"/>
        </w:rPr>
        <w:t>,</w:t>
      </w:r>
      <w:r w:rsidR="00164D93">
        <w:rPr>
          <w:rFonts w:ascii="Arial" w:hAnsi="Arial" w:cs="Arial"/>
          <w:sz w:val="21"/>
          <w:szCs w:val="21"/>
        </w:rPr>
        <w:t xml:space="preserve"> </w:t>
      </w:r>
      <w:r w:rsidR="0048218F">
        <w:rPr>
          <w:rFonts w:ascii="Arial" w:hAnsi="Arial" w:cs="Arial"/>
          <w:sz w:val="21"/>
          <w:szCs w:val="21"/>
        </w:rPr>
        <w:t xml:space="preserve">which </w:t>
      </w:r>
      <w:r w:rsidR="00EB1B90">
        <w:rPr>
          <w:rFonts w:ascii="Arial" w:hAnsi="Arial" w:cs="Arial"/>
          <w:sz w:val="21"/>
          <w:szCs w:val="21"/>
        </w:rPr>
        <w:t xml:space="preserve">can </w:t>
      </w:r>
      <w:r w:rsidR="0048218F">
        <w:rPr>
          <w:rFonts w:ascii="Arial" w:hAnsi="Arial" w:cs="Arial"/>
          <w:sz w:val="21"/>
          <w:szCs w:val="21"/>
        </w:rPr>
        <w:t xml:space="preserve">deflect attention away from children’s rights </w:t>
      </w:r>
      <w:r w:rsidR="00EB1B90">
        <w:rPr>
          <w:rFonts w:ascii="Arial" w:hAnsi="Arial" w:cs="Arial"/>
          <w:sz w:val="21"/>
          <w:szCs w:val="21"/>
        </w:rPr>
        <w:t>to be heard and be protected from censorship</w:t>
      </w:r>
      <w:r w:rsidR="00164D93">
        <w:rPr>
          <w:rFonts w:ascii="Arial" w:hAnsi="Arial" w:cs="Arial"/>
          <w:sz w:val="21"/>
          <w:szCs w:val="21"/>
        </w:rPr>
        <w:t>.</w:t>
      </w:r>
      <w:r w:rsidR="0048218F">
        <w:rPr>
          <w:rFonts w:ascii="Arial" w:hAnsi="Arial" w:cs="Arial"/>
          <w:sz w:val="21"/>
          <w:szCs w:val="21"/>
        </w:rPr>
        <w:t xml:space="preserve"> </w:t>
      </w:r>
    </w:p>
    <w:p w14:paraId="3890067E" w14:textId="77777777" w:rsidR="00B4073F" w:rsidRPr="002A221A" w:rsidRDefault="00B4073F" w:rsidP="00B4073F">
      <w:pPr>
        <w:rPr>
          <w:rFonts w:ascii="Arial" w:hAnsi="Arial" w:cs="Arial"/>
          <w:sz w:val="21"/>
          <w:szCs w:val="21"/>
        </w:rPr>
      </w:pPr>
    </w:p>
    <w:p w14:paraId="0B6EC31D" w14:textId="781FFC2C" w:rsidR="0057600C" w:rsidRPr="006C11E3" w:rsidRDefault="00A63B77" w:rsidP="00972FCE">
      <w:pPr>
        <w:rPr>
          <w:rFonts w:ascii="Arial" w:hAnsi="Arial" w:cs="Arial"/>
          <w:sz w:val="21"/>
          <w:szCs w:val="21"/>
        </w:rPr>
      </w:pPr>
      <w:r>
        <w:rPr>
          <w:rFonts w:ascii="Arial" w:hAnsi="Arial" w:cs="Arial"/>
          <w:sz w:val="21"/>
          <w:szCs w:val="21"/>
        </w:rPr>
        <w:t>S</w:t>
      </w:r>
      <w:r w:rsidR="00B4073F" w:rsidRPr="00823473">
        <w:rPr>
          <w:rFonts w:ascii="Arial" w:hAnsi="Arial" w:cs="Arial"/>
          <w:sz w:val="21"/>
          <w:szCs w:val="21"/>
        </w:rPr>
        <w:t xml:space="preserve">upporting children’s newfound roles as </w:t>
      </w:r>
      <w:r w:rsidR="004678C0">
        <w:rPr>
          <w:rFonts w:ascii="Arial" w:hAnsi="Arial" w:cs="Arial"/>
          <w:sz w:val="21"/>
          <w:szCs w:val="21"/>
        </w:rPr>
        <w:t>producers of digital content</w:t>
      </w:r>
      <w:r w:rsidR="00B4073F" w:rsidRPr="00823473">
        <w:rPr>
          <w:rFonts w:ascii="Arial" w:hAnsi="Arial" w:cs="Arial"/>
          <w:sz w:val="21"/>
          <w:szCs w:val="21"/>
        </w:rPr>
        <w:t xml:space="preserve"> </w:t>
      </w:r>
      <w:r w:rsidR="004678C0">
        <w:rPr>
          <w:rFonts w:ascii="Arial" w:hAnsi="Arial" w:cs="Arial"/>
          <w:sz w:val="21"/>
          <w:szCs w:val="21"/>
        </w:rPr>
        <w:t xml:space="preserve">will </w:t>
      </w:r>
      <w:r w:rsidR="00B4073F" w:rsidRPr="00823473">
        <w:rPr>
          <w:rFonts w:ascii="Arial" w:hAnsi="Arial" w:cs="Arial"/>
          <w:sz w:val="21"/>
          <w:szCs w:val="21"/>
        </w:rPr>
        <w:t xml:space="preserve">require a </w:t>
      </w:r>
      <w:r w:rsidR="004678C0">
        <w:rPr>
          <w:rFonts w:ascii="Arial" w:hAnsi="Arial" w:cs="Arial"/>
          <w:sz w:val="21"/>
          <w:szCs w:val="21"/>
        </w:rPr>
        <w:t xml:space="preserve">significant </w:t>
      </w:r>
      <w:r w:rsidR="00B4073F" w:rsidRPr="00823473">
        <w:rPr>
          <w:rFonts w:ascii="Arial" w:hAnsi="Arial" w:cs="Arial"/>
          <w:sz w:val="21"/>
          <w:szCs w:val="21"/>
        </w:rPr>
        <w:t xml:space="preserve">disruption </w:t>
      </w:r>
      <w:r w:rsidR="004678C0">
        <w:rPr>
          <w:rFonts w:ascii="Arial" w:hAnsi="Arial" w:cs="Arial"/>
          <w:sz w:val="21"/>
          <w:szCs w:val="21"/>
        </w:rPr>
        <w:t>of</w:t>
      </w:r>
      <w:r w:rsidR="00B4073F" w:rsidRPr="00823473">
        <w:rPr>
          <w:rFonts w:ascii="Arial" w:hAnsi="Arial" w:cs="Arial"/>
          <w:sz w:val="21"/>
          <w:szCs w:val="21"/>
        </w:rPr>
        <w:t xml:space="preserve"> c</w:t>
      </w:r>
      <w:r>
        <w:rPr>
          <w:rFonts w:ascii="Arial" w:hAnsi="Arial" w:cs="Arial"/>
          <w:sz w:val="21"/>
          <w:szCs w:val="21"/>
        </w:rPr>
        <w:t>onc</w:t>
      </w:r>
      <w:r w:rsidR="00B4073F" w:rsidRPr="00823473">
        <w:rPr>
          <w:rFonts w:ascii="Arial" w:hAnsi="Arial" w:cs="Arial"/>
          <w:sz w:val="21"/>
          <w:szCs w:val="21"/>
        </w:rPr>
        <w:t>urrent trends</w:t>
      </w:r>
      <w:r w:rsidR="00DC60D8">
        <w:rPr>
          <w:rFonts w:ascii="Arial" w:hAnsi="Arial" w:cs="Arial"/>
          <w:sz w:val="21"/>
          <w:szCs w:val="21"/>
        </w:rPr>
        <w:t xml:space="preserve"> of</w:t>
      </w:r>
      <w:r>
        <w:rPr>
          <w:rFonts w:ascii="Arial" w:hAnsi="Arial" w:cs="Arial"/>
          <w:sz w:val="21"/>
          <w:szCs w:val="21"/>
        </w:rPr>
        <w:t xml:space="preserve"> </w:t>
      </w:r>
      <w:r w:rsidR="00B4073F" w:rsidRPr="00823473">
        <w:rPr>
          <w:rFonts w:ascii="Arial" w:hAnsi="Arial" w:cs="Arial"/>
          <w:sz w:val="21"/>
          <w:szCs w:val="21"/>
        </w:rPr>
        <w:t>configur</w:t>
      </w:r>
      <w:r>
        <w:rPr>
          <w:rFonts w:ascii="Arial" w:hAnsi="Arial" w:cs="Arial"/>
          <w:sz w:val="21"/>
          <w:szCs w:val="21"/>
        </w:rPr>
        <w:t>ing</w:t>
      </w:r>
      <w:r w:rsidR="00B4073F" w:rsidRPr="00823473">
        <w:rPr>
          <w:rFonts w:ascii="Arial" w:hAnsi="Arial" w:cs="Arial"/>
          <w:sz w:val="21"/>
          <w:szCs w:val="21"/>
        </w:rPr>
        <w:t xml:space="preserve"> the child a</w:t>
      </w:r>
      <w:r w:rsidR="004678C0">
        <w:rPr>
          <w:rFonts w:ascii="Arial" w:hAnsi="Arial" w:cs="Arial"/>
          <w:sz w:val="21"/>
          <w:szCs w:val="21"/>
        </w:rPr>
        <w:t>s either a</w:t>
      </w:r>
      <w:r w:rsidR="00B4073F" w:rsidRPr="00823473">
        <w:rPr>
          <w:rFonts w:ascii="Arial" w:hAnsi="Arial" w:cs="Arial"/>
          <w:sz w:val="21"/>
          <w:szCs w:val="21"/>
        </w:rPr>
        <w:t xml:space="preserve"> passive </w:t>
      </w:r>
      <w:r w:rsidR="007629BA">
        <w:rPr>
          <w:rFonts w:ascii="Arial" w:hAnsi="Arial" w:cs="Arial"/>
          <w:sz w:val="21"/>
          <w:szCs w:val="21"/>
        </w:rPr>
        <w:t>“</w:t>
      </w:r>
      <w:r w:rsidR="00B4073F" w:rsidRPr="00823473">
        <w:rPr>
          <w:rFonts w:ascii="Arial" w:hAnsi="Arial" w:cs="Arial"/>
          <w:sz w:val="21"/>
          <w:szCs w:val="21"/>
        </w:rPr>
        <w:t>victim</w:t>
      </w:r>
      <w:r w:rsidR="007629BA">
        <w:rPr>
          <w:rFonts w:ascii="Arial" w:hAnsi="Arial" w:cs="Arial"/>
          <w:sz w:val="21"/>
          <w:szCs w:val="21"/>
        </w:rPr>
        <w:t>”</w:t>
      </w:r>
      <w:r w:rsidR="004678C0">
        <w:rPr>
          <w:rFonts w:ascii="Arial" w:hAnsi="Arial" w:cs="Arial"/>
          <w:sz w:val="21"/>
          <w:szCs w:val="21"/>
        </w:rPr>
        <w:t xml:space="preserve"> in need of protection, or as a one-dimensional consumer whose agency is equated with purchasing power. An important part of challenging </w:t>
      </w:r>
      <w:r w:rsidR="004E25C5">
        <w:rPr>
          <w:rFonts w:ascii="Arial" w:hAnsi="Arial" w:cs="Arial"/>
          <w:sz w:val="21"/>
          <w:szCs w:val="21"/>
        </w:rPr>
        <w:t>these trends</w:t>
      </w:r>
      <w:r w:rsidR="004678C0">
        <w:rPr>
          <w:rFonts w:ascii="Arial" w:hAnsi="Arial" w:cs="Arial"/>
          <w:sz w:val="21"/>
          <w:szCs w:val="21"/>
        </w:rPr>
        <w:t xml:space="preserve"> </w:t>
      </w:r>
      <w:r w:rsidR="004E25C5">
        <w:rPr>
          <w:rFonts w:ascii="Arial" w:hAnsi="Arial" w:cs="Arial"/>
          <w:sz w:val="21"/>
          <w:szCs w:val="21"/>
        </w:rPr>
        <w:t xml:space="preserve">is </w:t>
      </w:r>
      <w:r w:rsidR="004678C0">
        <w:rPr>
          <w:rFonts w:ascii="Arial" w:hAnsi="Arial" w:cs="Arial"/>
          <w:sz w:val="21"/>
          <w:szCs w:val="21"/>
        </w:rPr>
        <w:t>acknowledg</w:t>
      </w:r>
      <w:r w:rsidR="004E25C5">
        <w:rPr>
          <w:rFonts w:ascii="Arial" w:hAnsi="Arial" w:cs="Arial"/>
          <w:sz w:val="21"/>
          <w:szCs w:val="21"/>
        </w:rPr>
        <w:t>ing</w:t>
      </w:r>
      <w:r w:rsidR="004678C0">
        <w:rPr>
          <w:rFonts w:ascii="Arial" w:hAnsi="Arial" w:cs="Arial"/>
          <w:sz w:val="21"/>
          <w:szCs w:val="21"/>
        </w:rPr>
        <w:t xml:space="preserve"> that children</w:t>
      </w:r>
      <w:r w:rsidR="008C420E">
        <w:rPr>
          <w:rFonts w:ascii="Arial" w:hAnsi="Arial" w:cs="Arial"/>
          <w:sz w:val="21"/>
          <w:szCs w:val="21"/>
        </w:rPr>
        <w:t>’s</w:t>
      </w:r>
      <w:r w:rsidR="004678C0">
        <w:rPr>
          <w:rFonts w:ascii="Arial" w:hAnsi="Arial" w:cs="Arial"/>
          <w:sz w:val="21"/>
          <w:szCs w:val="21"/>
        </w:rPr>
        <w:t xml:space="preserve"> roles as </w:t>
      </w:r>
      <w:r w:rsidR="004E25C5">
        <w:rPr>
          <w:rFonts w:ascii="Arial" w:hAnsi="Arial" w:cs="Arial"/>
          <w:sz w:val="21"/>
          <w:szCs w:val="21"/>
        </w:rPr>
        <w:t xml:space="preserve">digital </w:t>
      </w:r>
      <w:r w:rsidR="004678C0">
        <w:rPr>
          <w:rFonts w:ascii="Arial" w:hAnsi="Arial" w:cs="Arial"/>
          <w:sz w:val="21"/>
          <w:szCs w:val="21"/>
        </w:rPr>
        <w:t xml:space="preserve">economic actors are diverse and </w:t>
      </w:r>
      <w:r w:rsidR="004E25C5">
        <w:rPr>
          <w:rFonts w:ascii="Arial" w:hAnsi="Arial" w:cs="Arial"/>
          <w:sz w:val="21"/>
          <w:szCs w:val="21"/>
        </w:rPr>
        <w:t>sometimes</w:t>
      </w:r>
      <w:r w:rsidR="004678C0">
        <w:rPr>
          <w:rFonts w:ascii="Arial" w:hAnsi="Arial" w:cs="Arial"/>
          <w:sz w:val="21"/>
          <w:szCs w:val="21"/>
        </w:rPr>
        <w:t xml:space="preserve"> include forms of cultural labour, </w:t>
      </w:r>
      <w:r w:rsidR="004E25C5">
        <w:rPr>
          <w:rFonts w:ascii="Arial" w:hAnsi="Arial" w:cs="Arial"/>
          <w:sz w:val="21"/>
          <w:szCs w:val="21"/>
        </w:rPr>
        <w:t xml:space="preserve">the creation and </w:t>
      </w:r>
      <w:r w:rsidR="004678C0">
        <w:rPr>
          <w:rFonts w:ascii="Arial" w:hAnsi="Arial" w:cs="Arial"/>
          <w:sz w:val="21"/>
          <w:szCs w:val="21"/>
        </w:rPr>
        <w:t xml:space="preserve">exchange of intellectual property, as well as direct involvement in </w:t>
      </w:r>
      <w:r w:rsidR="004E25C5">
        <w:rPr>
          <w:rFonts w:ascii="Arial" w:hAnsi="Arial" w:cs="Arial"/>
          <w:sz w:val="21"/>
          <w:szCs w:val="21"/>
        </w:rPr>
        <w:t>advertising and marketing</w:t>
      </w:r>
      <w:r w:rsidR="008C420E">
        <w:rPr>
          <w:rFonts w:ascii="Arial" w:hAnsi="Arial" w:cs="Arial"/>
          <w:sz w:val="21"/>
          <w:szCs w:val="21"/>
        </w:rPr>
        <w:t xml:space="preserve"> (e.g. endors</w:t>
      </w:r>
      <w:r w:rsidR="000D357B">
        <w:rPr>
          <w:rFonts w:ascii="Arial" w:hAnsi="Arial" w:cs="Arial"/>
          <w:sz w:val="21"/>
          <w:szCs w:val="21"/>
        </w:rPr>
        <w:t>ing</w:t>
      </w:r>
      <w:r w:rsidR="008C420E">
        <w:rPr>
          <w:rFonts w:ascii="Arial" w:hAnsi="Arial" w:cs="Arial"/>
          <w:sz w:val="21"/>
          <w:szCs w:val="21"/>
        </w:rPr>
        <w:t xml:space="preserve"> a toy in exchange for renumeration)</w:t>
      </w:r>
      <w:r w:rsidR="004678C0">
        <w:rPr>
          <w:rFonts w:ascii="Arial" w:hAnsi="Arial" w:cs="Arial"/>
          <w:sz w:val="21"/>
          <w:szCs w:val="21"/>
        </w:rPr>
        <w:t xml:space="preserve">. This is recognized in </w:t>
      </w:r>
      <w:r w:rsidR="0057600C" w:rsidRPr="004678C0">
        <w:rPr>
          <w:rFonts w:ascii="Arial" w:hAnsi="Arial" w:cs="Arial"/>
          <w:b/>
          <w:bCs/>
          <w:i/>
          <w:iCs/>
          <w:sz w:val="21"/>
          <w:szCs w:val="21"/>
        </w:rPr>
        <w:t>Paragraph 122</w:t>
      </w:r>
      <w:r w:rsidR="004678C0">
        <w:rPr>
          <w:rFonts w:ascii="Arial" w:hAnsi="Arial" w:cs="Arial"/>
          <w:sz w:val="21"/>
          <w:szCs w:val="21"/>
        </w:rPr>
        <w:t xml:space="preserve">, </w:t>
      </w:r>
      <w:r w:rsidR="00972FCE">
        <w:rPr>
          <w:rFonts w:ascii="Arial" w:hAnsi="Arial" w:cs="Arial"/>
          <w:sz w:val="21"/>
          <w:szCs w:val="21"/>
        </w:rPr>
        <w:t>which</w:t>
      </w:r>
      <w:r w:rsidR="004678C0">
        <w:rPr>
          <w:rFonts w:ascii="Arial" w:hAnsi="Arial" w:cs="Arial"/>
          <w:sz w:val="21"/>
          <w:szCs w:val="21"/>
        </w:rPr>
        <w:t xml:space="preserve"> </w:t>
      </w:r>
      <w:r w:rsidR="000D357B">
        <w:rPr>
          <w:rFonts w:ascii="Arial" w:hAnsi="Arial" w:cs="Arial"/>
          <w:sz w:val="21"/>
          <w:szCs w:val="21"/>
        </w:rPr>
        <w:t xml:space="preserve">also </w:t>
      </w:r>
      <w:r w:rsidR="00972FCE">
        <w:rPr>
          <w:rFonts w:ascii="Arial" w:hAnsi="Arial" w:cs="Arial"/>
          <w:sz w:val="21"/>
          <w:szCs w:val="21"/>
        </w:rPr>
        <w:t xml:space="preserve">emphasizes that </w:t>
      </w:r>
      <w:r w:rsidR="004E25C5">
        <w:rPr>
          <w:rFonts w:ascii="Arial" w:hAnsi="Arial" w:cs="Arial"/>
          <w:sz w:val="21"/>
          <w:szCs w:val="21"/>
        </w:rPr>
        <w:t xml:space="preserve">these roles </w:t>
      </w:r>
      <w:r w:rsidR="000D357B">
        <w:rPr>
          <w:rFonts w:ascii="Arial" w:hAnsi="Arial" w:cs="Arial"/>
          <w:sz w:val="21"/>
          <w:szCs w:val="21"/>
        </w:rPr>
        <w:t>i</w:t>
      </w:r>
      <w:r w:rsidR="00972FCE">
        <w:rPr>
          <w:rFonts w:ascii="Arial" w:hAnsi="Arial" w:cs="Arial"/>
          <w:sz w:val="21"/>
          <w:szCs w:val="21"/>
        </w:rPr>
        <w:t xml:space="preserve">ntroduce </w:t>
      </w:r>
      <w:r w:rsidR="004E25C5">
        <w:rPr>
          <w:rFonts w:ascii="Arial" w:hAnsi="Arial" w:cs="Arial"/>
          <w:sz w:val="21"/>
          <w:szCs w:val="21"/>
        </w:rPr>
        <w:t>the potential for</w:t>
      </w:r>
      <w:r w:rsidR="004678C0">
        <w:rPr>
          <w:rFonts w:ascii="Arial" w:hAnsi="Arial" w:cs="Arial"/>
          <w:sz w:val="21"/>
          <w:szCs w:val="21"/>
        </w:rPr>
        <w:t xml:space="preserve"> economic and other forms of exploitation</w:t>
      </w:r>
      <w:r w:rsidR="00972FCE">
        <w:rPr>
          <w:rFonts w:ascii="Arial" w:hAnsi="Arial" w:cs="Arial"/>
          <w:sz w:val="21"/>
          <w:szCs w:val="21"/>
        </w:rPr>
        <w:t xml:space="preserve"> and asks States to review “relevant laws and policies” to ensure that children are protected from </w:t>
      </w:r>
      <w:r w:rsidR="004E25C5">
        <w:rPr>
          <w:rFonts w:ascii="Arial" w:hAnsi="Arial" w:cs="Arial"/>
          <w:sz w:val="21"/>
          <w:szCs w:val="21"/>
        </w:rPr>
        <w:t>such</w:t>
      </w:r>
      <w:r w:rsidR="00972FCE">
        <w:rPr>
          <w:rFonts w:ascii="Arial" w:hAnsi="Arial" w:cs="Arial"/>
          <w:sz w:val="21"/>
          <w:szCs w:val="21"/>
        </w:rPr>
        <w:t xml:space="preserve"> forms of exploitation</w:t>
      </w:r>
      <w:r w:rsidR="004E25C5">
        <w:rPr>
          <w:rFonts w:ascii="Arial" w:hAnsi="Arial" w:cs="Arial"/>
          <w:sz w:val="21"/>
          <w:szCs w:val="21"/>
        </w:rPr>
        <w:t>.</w:t>
      </w:r>
      <w:r w:rsidR="00972FCE">
        <w:rPr>
          <w:rFonts w:ascii="Arial" w:hAnsi="Arial" w:cs="Arial"/>
          <w:sz w:val="21"/>
          <w:szCs w:val="21"/>
        </w:rPr>
        <w:t xml:space="preserve"> </w:t>
      </w:r>
      <w:r w:rsidR="00F36D5D">
        <w:rPr>
          <w:rFonts w:ascii="Arial" w:hAnsi="Arial" w:cs="Arial"/>
          <w:sz w:val="21"/>
          <w:szCs w:val="21"/>
        </w:rPr>
        <w:t xml:space="preserve">However, </w:t>
      </w:r>
      <w:r w:rsidR="000D357B">
        <w:rPr>
          <w:rFonts w:ascii="Arial" w:hAnsi="Arial" w:cs="Arial"/>
          <w:sz w:val="21"/>
          <w:szCs w:val="21"/>
        </w:rPr>
        <w:t>this</w:t>
      </w:r>
      <w:r w:rsidR="0041667A">
        <w:rPr>
          <w:rFonts w:ascii="Arial" w:hAnsi="Arial" w:cs="Arial"/>
          <w:sz w:val="21"/>
          <w:szCs w:val="21"/>
        </w:rPr>
        <w:t xml:space="preserve"> </w:t>
      </w:r>
      <w:r w:rsidR="00F36D5D">
        <w:rPr>
          <w:rFonts w:ascii="Arial" w:hAnsi="Arial" w:cs="Arial"/>
          <w:sz w:val="21"/>
          <w:szCs w:val="21"/>
        </w:rPr>
        <w:t xml:space="preserve">does not adequately address the fact that </w:t>
      </w:r>
      <w:r w:rsidR="00972FCE">
        <w:rPr>
          <w:rFonts w:ascii="Arial" w:hAnsi="Arial" w:cs="Arial"/>
          <w:sz w:val="21"/>
          <w:szCs w:val="21"/>
        </w:rPr>
        <w:t>many countries do not have robust laws when it comes to children engaged in cultural labour</w:t>
      </w:r>
      <w:r w:rsidR="007C516F">
        <w:rPr>
          <w:rFonts w:ascii="Arial" w:hAnsi="Arial" w:cs="Arial"/>
          <w:sz w:val="21"/>
          <w:szCs w:val="21"/>
        </w:rPr>
        <w:t>.</w:t>
      </w:r>
      <w:r w:rsidR="00D14C69">
        <w:rPr>
          <w:rFonts w:ascii="Arial" w:hAnsi="Arial" w:cs="Arial"/>
          <w:sz w:val="21"/>
          <w:szCs w:val="21"/>
        </w:rPr>
        <w:t xml:space="preserve"> Even in countries that do, </w:t>
      </w:r>
      <w:r w:rsidR="007C516F">
        <w:rPr>
          <w:rFonts w:ascii="Arial" w:hAnsi="Arial" w:cs="Arial"/>
          <w:sz w:val="21"/>
          <w:szCs w:val="21"/>
        </w:rPr>
        <w:t xml:space="preserve">children engaged in </w:t>
      </w:r>
      <w:r w:rsidR="000D357B">
        <w:rPr>
          <w:rFonts w:ascii="Arial" w:hAnsi="Arial" w:cs="Arial"/>
          <w:sz w:val="21"/>
          <w:szCs w:val="21"/>
        </w:rPr>
        <w:t>cultural labour</w:t>
      </w:r>
      <w:r w:rsidR="007C516F">
        <w:rPr>
          <w:rFonts w:ascii="Arial" w:hAnsi="Arial" w:cs="Arial"/>
          <w:sz w:val="21"/>
          <w:szCs w:val="21"/>
        </w:rPr>
        <w:t xml:space="preserve"> are often at the center of complex legal disputes around royalties, renumeration, and consent</w:t>
      </w:r>
      <w:r w:rsidR="00972FCE">
        <w:rPr>
          <w:rFonts w:ascii="Arial" w:hAnsi="Arial" w:cs="Arial"/>
          <w:sz w:val="21"/>
          <w:szCs w:val="21"/>
        </w:rPr>
        <w:t xml:space="preserve">. </w:t>
      </w:r>
      <w:r w:rsidR="007C516F">
        <w:rPr>
          <w:rFonts w:ascii="Arial" w:hAnsi="Arial" w:cs="Arial"/>
          <w:sz w:val="21"/>
          <w:szCs w:val="21"/>
        </w:rPr>
        <w:t xml:space="preserve">Much more needs to be done to ensure that children’s rights as economic actors, and as cultural producers more generally, are recognized and protected across an ever-growing array of </w:t>
      </w:r>
      <w:r w:rsidR="000D357B">
        <w:rPr>
          <w:rFonts w:ascii="Arial" w:hAnsi="Arial" w:cs="Arial"/>
          <w:sz w:val="21"/>
          <w:szCs w:val="21"/>
        </w:rPr>
        <w:t xml:space="preserve">digital </w:t>
      </w:r>
      <w:r w:rsidR="007C516F">
        <w:rPr>
          <w:rFonts w:ascii="Arial" w:hAnsi="Arial" w:cs="Arial"/>
          <w:sz w:val="21"/>
          <w:szCs w:val="21"/>
        </w:rPr>
        <w:t xml:space="preserve">platforms. </w:t>
      </w:r>
      <w:r w:rsidR="0054115B">
        <w:rPr>
          <w:rFonts w:ascii="Arial" w:hAnsi="Arial" w:cs="Arial"/>
          <w:sz w:val="21"/>
          <w:szCs w:val="21"/>
        </w:rPr>
        <w:t>These rights</w:t>
      </w:r>
      <w:r w:rsidR="00D14C69">
        <w:rPr>
          <w:rFonts w:ascii="Arial" w:hAnsi="Arial" w:cs="Arial"/>
          <w:sz w:val="21"/>
          <w:szCs w:val="21"/>
        </w:rPr>
        <w:t xml:space="preserve"> should </w:t>
      </w:r>
      <w:r w:rsidR="0054115B">
        <w:rPr>
          <w:rFonts w:ascii="Arial" w:hAnsi="Arial" w:cs="Arial"/>
          <w:sz w:val="21"/>
          <w:szCs w:val="21"/>
        </w:rPr>
        <w:t>be supported</w:t>
      </w:r>
      <w:r w:rsidR="00D14C69">
        <w:rPr>
          <w:rFonts w:ascii="Arial" w:hAnsi="Arial" w:cs="Arial"/>
          <w:sz w:val="21"/>
          <w:szCs w:val="21"/>
        </w:rPr>
        <w:t xml:space="preserve"> even in instances where no direct renumeration or economic exchange is involved</w:t>
      </w:r>
      <w:r w:rsidR="0054115B">
        <w:rPr>
          <w:rFonts w:ascii="Arial" w:hAnsi="Arial" w:cs="Arial"/>
          <w:sz w:val="21"/>
          <w:szCs w:val="21"/>
        </w:rPr>
        <w:t xml:space="preserve">. </w:t>
      </w:r>
      <w:r w:rsidR="007C516F">
        <w:rPr>
          <w:rFonts w:ascii="Arial" w:hAnsi="Arial" w:cs="Arial"/>
          <w:sz w:val="21"/>
          <w:szCs w:val="21"/>
        </w:rPr>
        <w:t>A clearer set of guidelines on this issue could provide a</w:t>
      </w:r>
      <w:r w:rsidR="00F36D5D">
        <w:rPr>
          <w:rFonts w:ascii="Arial" w:hAnsi="Arial" w:cs="Arial"/>
          <w:sz w:val="21"/>
          <w:szCs w:val="21"/>
        </w:rPr>
        <w:t xml:space="preserve">n </w:t>
      </w:r>
      <w:r w:rsidR="007C516F">
        <w:rPr>
          <w:rFonts w:ascii="Arial" w:hAnsi="Arial" w:cs="Arial"/>
          <w:sz w:val="21"/>
          <w:szCs w:val="21"/>
        </w:rPr>
        <w:t xml:space="preserve">impetus for States to </w:t>
      </w:r>
      <w:r w:rsidR="0065625B">
        <w:rPr>
          <w:rFonts w:ascii="Arial" w:hAnsi="Arial" w:cs="Arial"/>
          <w:sz w:val="21"/>
          <w:szCs w:val="21"/>
        </w:rPr>
        <w:t>not only review existing legislation</w:t>
      </w:r>
      <w:r w:rsidR="00D725FA">
        <w:rPr>
          <w:rFonts w:ascii="Arial" w:hAnsi="Arial" w:cs="Arial"/>
          <w:sz w:val="21"/>
          <w:szCs w:val="21"/>
        </w:rPr>
        <w:t xml:space="preserve"> </w:t>
      </w:r>
      <w:r w:rsidR="0065625B">
        <w:rPr>
          <w:rFonts w:ascii="Arial" w:hAnsi="Arial" w:cs="Arial"/>
          <w:sz w:val="21"/>
          <w:szCs w:val="21"/>
        </w:rPr>
        <w:t xml:space="preserve">but develop </w:t>
      </w:r>
      <w:r w:rsidR="007C516F">
        <w:rPr>
          <w:rFonts w:ascii="Arial" w:hAnsi="Arial" w:cs="Arial"/>
          <w:sz w:val="21"/>
          <w:szCs w:val="21"/>
        </w:rPr>
        <w:t xml:space="preserve">new </w:t>
      </w:r>
      <w:r w:rsidR="0054115B">
        <w:rPr>
          <w:rFonts w:ascii="Arial" w:hAnsi="Arial" w:cs="Arial"/>
          <w:sz w:val="21"/>
          <w:szCs w:val="21"/>
        </w:rPr>
        <w:t>policies</w:t>
      </w:r>
      <w:r w:rsidR="0065625B">
        <w:rPr>
          <w:rFonts w:ascii="Arial" w:hAnsi="Arial" w:cs="Arial"/>
          <w:sz w:val="21"/>
          <w:szCs w:val="21"/>
        </w:rPr>
        <w:t xml:space="preserve"> </w:t>
      </w:r>
      <w:r w:rsidR="00F36D5D">
        <w:rPr>
          <w:rFonts w:ascii="Arial" w:hAnsi="Arial" w:cs="Arial"/>
          <w:sz w:val="21"/>
          <w:szCs w:val="21"/>
        </w:rPr>
        <w:t>as</w:t>
      </w:r>
      <w:r w:rsidR="00D14C69">
        <w:rPr>
          <w:rFonts w:ascii="Arial" w:hAnsi="Arial" w:cs="Arial"/>
          <w:sz w:val="21"/>
          <w:szCs w:val="21"/>
        </w:rPr>
        <w:t xml:space="preserve"> needed</w:t>
      </w:r>
      <w:r w:rsidR="007C516F">
        <w:rPr>
          <w:rFonts w:ascii="Arial" w:hAnsi="Arial" w:cs="Arial"/>
          <w:sz w:val="21"/>
          <w:szCs w:val="21"/>
        </w:rPr>
        <w:t xml:space="preserve">. </w:t>
      </w:r>
    </w:p>
    <w:p w14:paraId="638C75F3" w14:textId="4B865631" w:rsidR="0057600C" w:rsidRPr="00B06031" w:rsidRDefault="005F40ED" w:rsidP="0057600C">
      <w:pPr>
        <w:rPr>
          <w:rFonts w:ascii="Arial" w:hAnsi="Arial" w:cs="Arial"/>
          <w:b/>
          <w:bCs/>
          <w:sz w:val="21"/>
          <w:szCs w:val="21"/>
          <w:u w:val="single"/>
        </w:rPr>
      </w:pPr>
      <w:r>
        <w:rPr>
          <w:rFonts w:ascii="Arial" w:hAnsi="Arial" w:cs="Arial"/>
          <w:b/>
          <w:bCs/>
          <w:sz w:val="21"/>
          <w:szCs w:val="21"/>
          <w:u w:val="single"/>
        </w:rPr>
        <w:lastRenderedPageBreak/>
        <w:t>Regulat</w:t>
      </w:r>
      <w:r w:rsidR="006335AD">
        <w:rPr>
          <w:rFonts w:ascii="Arial" w:hAnsi="Arial" w:cs="Arial"/>
          <w:b/>
          <w:bCs/>
          <w:sz w:val="21"/>
          <w:szCs w:val="21"/>
          <w:u w:val="single"/>
        </w:rPr>
        <w:t>ing</w:t>
      </w:r>
      <w:r>
        <w:rPr>
          <w:rFonts w:ascii="Arial" w:hAnsi="Arial" w:cs="Arial"/>
          <w:b/>
          <w:bCs/>
          <w:sz w:val="21"/>
          <w:szCs w:val="21"/>
          <w:u w:val="single"/>
        </w:rPr>
        <w:t xml:space="preserve"> a</w:t>
      </w:r>
      <w:r w:rsidR="0057600C" w:rsidRPr="00B06031">
        <w:rPr>
          <w:rFonts w:ascii="Arial" w:hAnsi="Arial" w:cs="Arial"/>
          <w:b/>
          <w:bCs/>
          <w:sz w:val="21"/>
          <w:szCs w:val="21"/>
          <w:u w:val="single"/>
        </w:rPr>
        <w:t>dvertising, marketing</w:t>
      </w:r>
      <w:r>
        <w:rPr>
          <w:rFonts w:ascii="Arial" w:hAnsi="Arial" w:cs="Arial"/>
          <w:b/>
          <w:bCs/>
          <w:sz w:val="21"/>
          <w:szCs w:val="21"/>
          <w:u w:val="single"/>
        </w:rPr>
        <w:t>,</w:t>
      </w:r>
      <w:r w:rsidR="0057600C" w:rsidRPr="00B06031">
        <w:rPr>
          <w:rFonts w:ascii="Arial" w:hAnsi="Arial" w:cs="Arial"/>
          <w:b/>
          <w:bCs/>
          <w:sz w:val="21"/>
          <w:szCs w:val="21"/>
          <w:u w:val="single"/>
        </w:rPr>
        <w:t xml:space="preserve"> and commercialization</w:t>
      </w:r>
    </w:p>
    <w:p w14:paraId="11BDF7D0" w14:textId="77777777" w:rsidR="00BF1D7A" w:rsidRDefault="005353A0">
      <w:pPr>
        <w:rPr>
          <w:rFonts w:ascii="Arial" w:hAnsi="Arial" w:cs="Arial"/>
          <w:sz w:val="21"/>
          <w:szCs w:val="21"/>
        </w:rPr>
      </w:pPr>
      <w:r>
        <w:rPr>
          <w:rFonts w:ascii="Arial" w:hAnsi="Arial" w:cs="Arial"/>
          <w:sz w:val="21"/>
          <w:szCs w:val="21"/>
        </w:rPr>
        <w:t>C</w:t>
      </w:r>
      <w:r w:rsidR="00BA4563">
        <w:rPr>
          <w:rFonts w:ascii="Arial" w:hAnsi="Arial" w:cs="Arial"/>
          <w:sz w:val="21"/>
          <w:szCs w:val="21"/>
        </w:rPr>
        <w:t xml:space="preserve">ommercial advertising and </w:t>
      </w:r>
      <w:proofErr w:type="gramStart"/>
      <w:r w:rsidR="00BA4563">
        <w:rPr>
          <w:rFonts w:ascii="Arial" w:hAnsi="Arial" w:cs="Arial"/>
          <w:sz w:val="21"/>
          <w:szCs w:val="21"/>
        </w:rPr>
        <w:t>commercially-driven</w:t>
      </w:r>
      <w:proofErr w:type="gramEnd"/>
      <w:r w:rsidR="00BA4563">
        <w:rPr>
          <w:rFonts w:ascii="Arial" w:hAnsi="Arial" w:cs="Arial"/>
          <w:sz w:val="21"/>
          <w:szCs w:val="21"/>
        </w:rPr>
        <w:t xml:space="preserve"> data collection targeting children are pervasive across the digital environment</w:t>
      </w:r>
      <w:r>
        <w:rPr>
          <w:rFonts w:ascii="Arial" w:hAnsi="Arial" w:cs="Arial"/>
          <w:sz w:val="21"/>
          <w:szCs w:val="21"/>
        </w:rPr>
        <w:t xml:space="preserve">, which </w:t>
      </w:r>
      <w:r w:rsidR="00BA4563">
        <w:rPr>
          <w:rFonts w:ascii="Arial" w:hAnsi="Arial" w:cs="Arial"/>
          <w:sz w:val="21"/>
          <w:szCs w:val="21"/>
        </w:rPr>
        <w:t>the Draft</w:t>
      </w:r>
      <w:r>
        <w:rPr>
          <w:rFonts w:ascii="Arial" w:hAnsi="Arial" w:cs="Arial"/>
          <w:sz w:val="21"/>
          <w:szCs w:val="21"/>
        </w:rPr>
        <w:t xml:space="preserve"> addresses through the inclusion of</w:t>
      </w:r>
      <w:r w:rsidR="00BA4563">
        <w:rPr>
          <w:rFonts w:ascii="Arial" w:hAnsi="Arial" w:cs="Arial"/>
          <w:sz w:val="21"/>
          <w:szCs w:val="21"/>
        </w:rPr>
        <w:t xml:space="preserve"> </w:t>
      </w:r>
      <w:r w:rsidR="00BA4563" w:rsidRPr="00BA7355">
        <w:rPr>
          <w:rFonts w:ascii="Arial" w:hAnsi="Arial" w:cs="Arial"/>
          <w:sz w:val="21"/>
          <w:szCs w:val="21"/>
        </w:rPr>
        <w:t xml:space="preserve">several </w:t>
      </w:r>
      <w:r w:rsidR="00BA4563">
        <w:rPr>
          <w:rFonts w:ascii="Arial" w:hAnsi="Arial" w:cs="Arial"/>
          <w:sz w:val="21"/>
          <w:szCs w:val="21"/>
        </w:rPr>
        <w:t xml:space="preserve">requirements </w:t>
      </w:r>
      <w:r w:rsidR="001A5316">
        <w:rPr>
          <w:rFonts w:ascii="Arial" w:hAnsi="Arial" w:cs="Arial"/>
          <w:sz w:val="21"/>
          <w:szCs w:val="21"/>
        </w:rPr>
        <w:t xml:space="preserve">prohibiting </w:t>
      </w:r>
      <w:r w:rsidR="00BA4563">
        <w:rPr>
          <w:rFonts w:ascii="Arial" w:hAnsi="Arial" w:cs="Arial"/>
          <w:sz w:val="21"/>
          <w:szCs w:val="21"/>
        </w:rPr>
        <w:t xml:space="preserve">the use of highly persuasive advertising and the manipulation of children’s </w:t>
      </w:r>
      <w:r w:rsidR="001A5316">
        <w:rPr>
          <w:rFonts w:ascii="Arial" w:hAnsi="Arial" w:cs="Arial"/>
          <w:sz w:val="21"/>
          <w:szCs w:val="21"/>
        </w:rPr>
        <w:t>personal information</w:t>
      </w:r>
      <w:r w:rsidR="00BA4563">
        <w:rPr>
          <w:rFonts w:ascii="Arial" w:hAnsi="Arial" w:cs="Arial"/>
          <w:sz w:val="21"/>
          <w:szCs w:val="21"/>
        </w:rPr>
        <w:t xml:space="preserve"> for commercial purposes</w:t>
      </w:r>
      <w:r w:rsidR="00BF1D7A">
        <w:rPr>
          <w:rFonts w:ascii="Arial" w:hAnsi="Arial" w:cs="Arial"/>
          <w:sz w:val="21"/>
          <w:szCs w:val="21"/>
        </w:rPr>
        <w:t>, outlined in Section V: J</w:t>
      </w:r>
      <w:r w:rsidR="00BA4563">
        <w:rPr>
          <w:rFonts w:ascii="Arial" w:hAnsi="Arial" w:cs="Arial"/>
          <w:sz w:val="21"/>
          <w:szCs w:val="21"/>
        </w:rPr>
        <w:t>.</w:t>
      </w:r>
      <w:r w:rsidR="00BF1D7A">
        <w:rPr>
          <w:rFonts w:ascii="Arial" w:hAnsi="Arial" w:cs="Arial"/>
          <w:sz w:val="21"/>
          <w:szCs w:val="21"/>
        </w:rPr>
        <w:t xml:space="preserve"> In particular,</w:t>
      </w:r>
      <w:r w:rsidR="00BA4563">
        <w:rPr>
          <w:rFonts w:ascii="Arial" w:hAnsi="Arial" w:cs="Arial"/>
          <w:sz w:val="21"/>
          <w:szCs w:val="21"/>
        </w:rPr>
        <w:t xml:space="preserve"> </w:t>
      </w:r>
      <w:r w:rsidR="001F102D" w:rsidRPr="00B071FE">
        <w:rPr>
          <w:rFonts w:ascii="Arial" w:hAnsi="Arial" w:cs="Arial"/>
          <w:b/>
          <w:bCs/>
          <w:i/>
          <w:iCs/>
          <w:sz w:val="21"/>
          <w:szCs w:val="21"/>
        </w:rPr>
        <w:t>Paragraph</w:t>
      </w:r>
      <w:r w:rsidR="00BF1D7A">
        <w:rPr>
          <w:rFonts w:ascii="Arial" w:hAnsi="Arial" w:cs="Arial"/>
          <w:b/>
          <w:bCs/>
          <w:i/>
          <w:iCs/>
          <w:sz w:val="21"/>
          <w:szCs w:val="21"/>
        </w:rPr>
        <w:t>s</w:t>
      </w:r>
      <w:r w:rsidR="001F102D" w:rsidRPr="00B071FE">
        <w:rPr>
          <w:rFonts w:ascii="Arial" w:hAnsi="Arial" w:cs="Arial"/>
          <w:b/>
          <w:bCs/>
          <w:i/>
          <w:iCs/>
          <w:sz w:val="21"/>
          <w:szCs w:val="21"/>
        </w:rPr>
        <w:t xml:space="preserve"> 42</w:t>
      </w:r>
      <w:r w:rsidR="00BF1D7A">
        <w:rPr>
          <w:rFonts w:ascii="Arial" w:hAnsi="Arial" w:cs="Arial"/>
          <w:sz w:val="21"/>
          <w:szCs w:val="21"/>
        </w:rPr>
        <w:t xml:space="preserve"> and</w:t>
      </w:r>
      <w:r w:rsidR="00BF1D7A">
        <w:rPr>
          <w:rFonts w:ascii="Arial" w:hAnsi="Arial" w:cs="Arial"/>
          <w:b/>
          <w:bCs/>
          <w:i/>
          <w:iCs/>
          <w:sz w:val="21"/>
          <w:szCs w:val="21"/>
        </w:rPr>
        <w:t xml:space="preserve"> </w:t>
      </w:r>
      <w:r w:rsidR="001F102D" w:rsidRPr="00B071FE">
        <w:rPr>
          <w:rFonts w:ascii="Arial" w:hAnsi="Arial" w:cs="Arial"/>
          <w:b/>
          <w:bCs/>
          <w:i/>
          <w:iCs/>
          <w:sz w:val="21"/>
          <w:szCs w:val="21"/>
        </w:rPr>
        <w:t>119</w:t>
      </w:r>
      <w:r w:rsidR="00BF1D7A">
        <w:rPr>
          <w:rFonts w:ascii="Arial" w:hAnsi="Arial" w:cs="Arial"/>
          <w:sz w:val="21"/>
          <w:szCs w:val="21"/>
        </w:rPr>
        <w:t xml:space="preserve"> </w:t>
      </w:r>
      <w:r w:rsidR="001F102D">
        <w:rPr>
          <w:rFonts w:ascii="Arial" w:hAnsi="Arial" w:cs="Arial"/>
          <w:sz w:val="21"/>
          <w:szCs w:val="21"/>
        </w:rPr>
        <w:t xml:space="preserve">provide </w:t>
      </w:r>
      <w:r w:rsidR="00BA4563">
        <w:rPr>
          <w:rFonts w:ascii="Arial" w:hAnsi="Arial" w:cs="Arial"/>
          <w:sz w:val="21"/>
          <w:szCs w:val="21"/>
        </w:rPr>
        <w:t>s</w:t>
      </w:r>
      <w:r w:rsidR="001F102D">
        <w:rPr>
          <w:rFonts w:ascii="Arial" w:hAnsi="Arial" w:cs="Arial"/>
          <w:sz w:val="21"/>
          <w:szCs w:val="21"/>
        </w:rPr>
        <w:t>trong statement</w:t>
      </w:r>
      <w:r w:rsidR="00BA4563">
        <w:rPr>
          <w:rFonts w:ascii="Arial" w:hAnsi="Arial" w:cs="Arial"/>
          <w:sz w:val="21"/>
          <w:szCs w:val="21"/>
        </w:rPr>
        <w:t>s</w:t>
      </w:r>
      <w:r w:rsidR="001F102D">
        <w:rPr>
          <w:rFonts w:ascii="Arial" w:hAnsi="Arial" w:cs="Arial"/>
          <w:sz w:val="21"/>
          <w:szCs w:val="21"/>
        </w:rPr>
        <w:t xml:space="preserve"> about the harmful nature of these practices, </w:t>
      </w:r>
      <w:r w:rsidR="00BF1D7A">
        <w:rPr>
          <w:rFonts w:ascii="Arial" w:hAnsi="Arial" w:cs="Arial"/>
          <w:sz w:val="21"/>
          <w:szCs w:val="21"/>
        </w:rPr>
        <w:t>and</w:t>
      </w:r>
      <w:r w:rsidR="001F102D">
        <w:rPr>
          <w:rFonts w:ascii="Arial" w:hAnsi="Arial" w:cs="Arial"/>
          <w:sz w:val="21"/>
          <w:szCs w:val="21"/>
        </w:rPr>
        <w:t xml:space="preserve"> their negative impact on children’s</w:t>
      </w:r>
      <w:r w:rsidR="00037777">
        <w:rPr>
          <w:rFonts w:ascii="Arial" w:hAnsi="Arial" w:cs="Arial"/>
          <w:sz w:val="21"/>
          <w:szCs w:val="21"/>
        </w:rPr>
        <w:t xml:space="preserve"> right to privacy (</w:t>
      </w:r>
      <w:r w:rsidR="00B071FE" w:rsidRPr="00B071FE">
        <w:rPr>
          <w:rFonts w:ascii="Arial" w:hAnsi="Arial" w:cs="Arial"/>
          <w:i/>
          <w:iCs/>
          <w:sz w:val="21"/>
          <w:szCs w:val="21"/>
        </w:rPr>
        <w:t>A</w:t>
      </w:r>
      <w:r w:rsidR="00037777" w:rsidRPr="00B071FE">
        <w:rPr>
          <w:rFonts w:ascii="Arial" w:hAnsi="Arial" w:cs="Arial"/>
          <w:i/>
          <w:iCs/>
          <w:sz w:val="21"/>
          <w:szCs w:val="21"/>
        </w:rPr>
        <w:t>rticle 16</w:t>
      </w:r>
      <w:r w:rsidR="00037777">
        <w:rPr>
          <w:rFonts w:ascii="Arial" w:hAnsi="Arial" w:cs="Arial"/>
          <w:sz w:val="21"/>
          <w:szCs w:val="21"/>
        </w:rPr>
        <w:t>), right to access</w:t>
      </w:r>
      <w:r w:rsidR="00BA4563">
        <w:rPr>
          <w:rFonts w:ascii="Arial" w:hAnsi="Arial" w:cs="Arial"/>
          <w:sz w:val="21"/>
          <w:szCs w:val="21"/>
        </w:rPr>
        <w:t xml:space="preserve"> to</w:t>
      </w:r>
      <w:r w:rsidR="00037777">
        <w:rPr>
          <w:rFonts w:ascii="Arial" w:hAnsi="Arial" w:cs="Arial"/>
          <w:sz w:val="21"/>
          <w:szCs w:val="21"/>
        </w:rPr>
        <w:t xml:space="preserve"> information (</w:t>
      </w:r>
      <w:r w:rsidR="00B071FE" w:rsidRPr="00B071FE">
        <w:rPr>
          <w:rFonts w:ascii="Arial" w:hAnsi="Arial" w:cs="Arial"/>
          <w:i/>
          <w:iCs/>
          <w:sz w:val="21"/>
          <w:szCs w:val="21"/>
        </w:rPr>
        <w:t>A</w:t>
      </w:r>
      <w:r w:rsidR="00037777" w:rsidRPr="00B071FE">
        <w:rPr>
          <w:rFonts w:ascii="Arial" w:hAnsi="Arial" w:cs="Arial"/>
          <w:i/>
          <w:iCs/>
          <w:sz w:val="21"/>
          <w:szCs w:val="21"/>
        </w:rPr>
        <w:t>rticles 13 and 17</w:t>
      </w:r>
      <w:r w:rsidR="00037777">
        <w:rPr>
          <w:rFonts w:ascii="Arial" w:hAnsi="Arial" w:cs="Arial"/>
          <w:sz w:val="21"/>
          <w:szCs w:val="21"/>
        </w:rPr>
        <w:t>), and others (</w:t>
      </w:r>
      <w:r w:rsidR="00BA4563">
        <w:rPr>
          <w:rFonts w:ascii="Arial" w:hAnsi="Arial" w:cs="Arial"/>
          <w:sz w:val="21"/>
          <w:szCs w:val="21"/>
        </w:rPr>
        <w:t xml:space="preserve">including the </w:t>
      </w:r>
      <w:r w:rsidR="00037777">
        <w:rPr>
          <w:rFonts w:ascii="Arial" w:hAnsi="Arial" w:cs="Arial"/>
          <w:sz w:val="21"/>
          <w:szCs w:val="21"/>
        </w:rPr>
        <w:t>right to be protected from commercial exploitation)</w:t>
      </w:r>
      <w:r w:rsidR="001F102D">
        <w:rPr>
          <w:rFonts w:ascii="Arial" w:hAnsi="Arial" w:cs="Arial"/>
          <w:sz w:val="21"/>
          <w:szCs w:val="21"/>
        </w:rPr>
        <w:t xml:space="preserve">. </w:t>
      </w:r>
      <w:r w:rsidR="00BF1D7A">
        <w:rPr>
          <w:rFonts w:ascii="Arial" w:hAnsi="Arial" w:cs="Arial"/>
          <w:sz w:val="21"/>
          <w:szCs w:val="21"/>
        </w:rPr>
        <w:t>A</w:t>
      </w:r>
      <w:r w:rsidR="001F102D">
        <w:rPr>
          <w:rFonts w:ascii="Arial" w:hAnsi="Arial" w:cs="Arial"/>
          <w:sz w:val="21"/>
          <w:szCs w:val="21"/>
        </w:rPr>
        <w:t>dditional details about the commercial practices addressed in these paragraphs would be useful</w:t>
      </w:r>
      <w:r w:rsidR="00BF1D7A">
        <w:rPr>
          <w:rFonts w:ascii="Arial" w:hAnsi="Arial" w:cs="Arial"/>
          <w:sz w:val="21"/>
          <w:szCs w:val="21"/>
        </w:rPr>
        <w:t>, particularly in terms of h</w:t>
      </w:r>
      <w:r w:rsidR="001F102D">
        <w:rPr>
          <w:rFonts w:ascii="Arial" w:hAnsi="Arial" w:cs="Arial"/>
          <w:sz w:val="21"/>
          <w:szCs w:val="21"/>
        </w:rPr>
        <w:t xml:space="preserve">ow </w:t>
      </w:r>
      <w:r w:rsidR="00BF1D7A">
        <w:rPr>
          <w:rFonts w:ascii="Arial" w:hAnsi="Arial" w:cs="Arial"/>
          <w:sz w:val="21"/>
          <w:szCs w:val="21"/>
        </w:rPr>
        <w:t xml:space="preserve">they are defined (e.g. what is “highly persuasive advertising”?), as well as guidance on how States can identify these prohibited practices and distinguish them from ‘acceptable’ forms of commercialization. </w:t>
      </w:r>
    </w:p>
    <w:p w14:paraId="75E4A8EB" w14:textId="77777777" w:rsidR="00BF1D7A" w:rsidRDefault="00BF1D7A">
      <w:pPr>
        <w:rPr>
          <w:rFonts w:ascii="Arial" w:hAnsi="Arial" w:cs="Arial"/>
          <w:sz w:val="21"/>
          <w:szCs w:val="21"/>
        </w:rPr>
      </w:pPr>
    </w:p>
    <w:p w14:paraId="29BB567E" w14:textId="27154EE1" w:rsidR="0057600C" w:rsidRPr="00BF1D7A" w:rsidRDefault="00F45C94">
      <w:pPr>
        <w:rPr>
          <w:rFonts w:ascii="Arial" w:hAnsi="Arial" w:cs="Arial"/>
          <w:sz w:val="21"/>
          <w:szCs w:val="21"/>
        </w:rPr>
      </w:pPr>
      <w:r>
        <w:rPr>
          <w:rFonts w:ascii="Arial" w:hAnsi="Arial" w:cs="Arial"/>
          <w:sz w:val="21"/>
          <w:szCs w:val="21"/>
        </w:rPr>
        <w:t>T</w:t>
      </w:r>
      <w:r w:rsidR="00B071FE" w:rsidRPr="00B071FE">
        <w:rPr>
          <w:rFonts w:ascii="Arial" w:hAnsi="Arial" w:cs="Arial"/>
          <w:sz w:val="21"/>
          <w:szCs w:val="21"/>
        </w:rPr>
        <w:t>he</w:t>
      </w:r>
      <w:r w:rsidR="00B071FE">
        <w:rPr>
          <w:rFonts w:ascii="Arial" w:hAnsi="Arial" w:cs="Arial"/>
          <w:b/>
          <w:bCs/>
          <w:sz w:val="21"/>
          <w:szCs w:val="21"/>
        </w:rPr>
        <w:t xml:space="preserve"> </w:t>
      </w:r>
      <w:r w:rsidR="00BF1D7A">
        <w:rPr>
          <w:rFonts w:ascii="Arial" w:hAnsi="Arial" w:cs="Arial"/>
          <w:sz w:val="21"/>
          <w:szCs w:val="21"/>
        </w:rPr>
        <w:t xml:space="preserve">Draft makes a strong case for increased State </w:t>
      </w:r>
      <w:r w:rsidR="00D64F83">
        <w:rPr>
          <w:rFonts w:ascii="Arial" w:hAnsi="Arial" w:cs="Arial"/>
          <w:sz w:val="21"/>
          <w:szCs w:val="21"/>
        </w:rPr>
        <w:t xml:space="preserve">regulation </w:t>
      </w:r>
      <w:r w:rsidR="00BF1D7A">
        <w:rPr>
          <w:rFonts w:ascii="Arial" w:hAnsi="Arial" w:cs="Arial"/>
          <w:sz w:val="21"/>
          <w:szCs w:val="21"/>
        </w:rPr>
        <w:t>of advertising, marketing, and commercialization in the digital environment, through the inclusion</w:t>
      </w:r>
      <w:r w:rsidR="00BF1D7A">
        <w:rPr>
          <w:rFonts w:ascii="Arial" w:hAnsi="Arial" w:cs="Arial"/>
          <w:sz w:val="21"/>
          <w:szCs w:val="21"/>
        </w:rPr>
        <w:t xml:space="preserve"> of a set of measures</w:t>
      </w:r>
      <w:r w:rsidR="00BF1D7A">
        <w:rPr>
          <w:rFonts w:ascii="Arial" w:hAnsi="Arial" w:cs="Arial"/>
          <w:sz w:val="21"/>
          <w:szCs w:val="21"/>
        </w:rPr>
        <w:t xml:space="preserve"> outlined in </w:t>
      </w:r>
      <w:r w:rsidR="00BF1D7A">
        <w:rPr>
          <w:rFonts w:ascii="Arial" w:hAnsi="Arial" w:cs="Arial"/>
          <w:sz w:val="21"/>
          <w:szCs w:val="21"/>
        </w:rPr>
        <w:t>Section V: J</w:t>
      </w:r>
      <w:r w:rsidR="00BF1D7A">
        <w:rPr>
          <w:rFonts w:ascii="Arial" w:hAnsi="Arial" w:cs="Arial"/>
          <w:sz w:val="21"/>
          <w:szCs w:val="21"/>
        </w:rPr>
        <w:t xml:space="preserve">. These requirements are </w:t>
      </w:r>
      <w:r w:rsidR="00BF1D7A">
        <w:rPr>
          <w:rFonts w:ascii="Arial" w:hAnsi="Arial" w:cs="Arial"/>
          <w:sz w:val="21"/>
          <w:szCs w:val="21"/>
        </w:rPr>
        <w:t>incredibly important, with wide-reaching implications for children’s rights and wellbeing.</w:t>
      </w:r>
      <w:r w:rsidR="00BF1D7A" w:rsidRPr="00B071FE">
        <w:rPr>
          <w:rFonts w:ascii="Arial" w:hAnsi="Arial" w:cs="Arial"/>
          <w:b/>
          <w:bCs/>
          <w:sz w:val="21"/>
          <w:szCs w:val="21"/>
        </w:rPr>
        <w:t xml:space="preserve"> </w:t>
      </w:r>
      <w:r w:rsidR="00BF1D7A" w:rsidRPr="00B071FE">
        <w:rPr>
          <w:rFonts w:ascii="Arial" w:hAnsi="Arial" w:cs="Arial"/>
          <w:b/>
          <w:bCs/>
          <w:i/>
          <w:iCs/>
          <w:sz w:val="21"/>
          <w:szCs w:val="21"/>
        </w:rPr>
        <w:t>Paragraph 49</w:t>
      </w:r>
      <w:r w:rsidR="00BF1D7A">
        <w:rPr>
          <w:rFonts w:ascii="Arial" w:hAnsi="Arial" w:cs="Arial"/>
          <w:sz w:val="21"/>
          <w:szCs w:val="21"/>
        </w:rPr>
        <w:t xml:space="preserve"> </w:t>
      </w:r>
      <w:r w:rsidR="008E2F11">
        <w:rPr>
          <w:rFonts w:ascii="Arial" w:hAnsi="Arial" w:cs="Arial"/>
          <w:sz w:val="21"/>
          <w:szCs w:val="21"/>
        </w:rPr>
        <w:t>acknowledges that it is</w:t>
      </w:r>
      <w:r w:rsidR="00BF1D7A">
        <w:rPr>
          <w:rFonts w:ascii="Arial" w:hAnsi="Arial" w:cs="Arial"/>
          <w:sz w:val="21"/>
          <w:szCs w:val="21"/>
        </w:rPr>
        <w:t xml:space="preserve"> </w:t>
      </w:r>
      <w:r w:rsidR="008E2F11">
        <w:rPr>
          <w:rFonts w:ascii="Arial" w:hAnsi="Arial" w:cs="Arial"/>
          <w:sz w:val="21"/>
          <w:szCs w:val="21"/>
        </w:rPr>
        <w:t xml:space="preserve">often </w:t>
      </w:r>
      <w:r w:rsidR="00BF1D7A" w:rsidRPr="006C11E3">
        <w:rPr>
          <w:rFonts w:ascii="Arial" w:hAnsi="Arial" w:cs="Arial"/>
          <w:sz w:val="21"/>
          <w:szCs w:val="21"/>
        </w:rPr>
        <w:t xml:space="preserve">challenging for </w:t>
      </w:r>
      <w:r w:rsidR="00BF1D7A">
        <w:rPr>
          <w:rFonts w:ascii="Arial" w:hAnsi="Arial" w:cs="Arial"/>
          <w:sz w:val="21"/>
          <w:szCs w:val="21"/>
        </w:rPr>
        <w:t>children</w:t>
      </w:r>
      <w:r w:rsidR="00BF1D7A" w:rsidRPr="006C11E3">
        <w:rPr>
          <w:rFonts w:ascii="Arial" w:hAnsi="Arial" w:cs="Arial"/>
          <w:sz w:val="21"/>
          <w:szCs w:val="21"/>
        </w:rPr>
        <w:t xml:space="preserve"> to obtain remedy when</w:t>
      </w:r>
      <w:r w:rsidR="00BF1D7A">
        <w:rPr>
          <w:rFonts w:ascii="Arial" w:hAnsi="Arial" w:cs="Arial"/>
          <w:sz w:val="21"/>
          <w:szCs w:val="21"/>
        </w:rPr>
        <w:t xml:space="preserve"> businesses </w:t>
      </w:r>
      <w:r w:rsidR="00BF1D7A" w:rsidRPr="006C11E3">
        <w:rPr>
          <w:rFonts w:ascii="Arial" w:hAnsi="Arial" w:cs="Arial"/>
          <w:sz w:val="21"/>
          <w:szCs w:val="21"/>
        </w:rPr>
        <w:t>violate their rights</w:t>
      </w:r>
      <w:r w:rsidR="008E2F11">
        <w:rPr>
          <w:rFonts w:ascii="Arial" w:hAnsi="Arial" w:cs="Arial"/>
          <w:sz w:val="21"/>
          <w:szCs w:val="21"/>
        </w:rPr>
        <w:t>,</w:t>
      </w:r>
      <w:r w:rsidR="00BF1D7A">
        <w:rPr>
          <w:rFonts w:ascii="Arial" w:hAnsi="Arial" w:cs="Arial"/>
          <w:sz w:val="21"/>
          <w:szCs w:val="21"/>
        </w:rPr>
        <w:t xml:space="preserve"> reinforc</w:t>
      </w:r>
      <w:r w:rsidR="008E2F11">
        <w:rPr>
          <w:rFonts w:ascii="Arial" w:hAnsi="Arial" w:cs="Arial"/>
          <w:sz w:val="21"/>
          <w:szCs w:val="21"/>
        </w:rPr>
        <w:t>ing</w:t>
      </w:r>
      <w:r w:rsidR="00BF1D7A">
        <w:rPr>
          <w:rFonts w:ascii="Arial" w:hAnsi="Arial" w:cs="Arial"/>
          <w:sz w:val="21"/>
          <w:szCs w:val="21"/>
        </w:rPr>
        <w:t xml:space="preserve"> that there is a clear and growing need for increased State </w:t>
      </w:r>
      <w:r w:rsidR="00BF1D7A">
        <w:rPr>
          <w:rFonts w:ascii="Arial" w:hAnsi="Arial" w:cs="Arial"/>
          <w:sz w:val="21"/>
          <w:szCs w:val="21"/>
        </w:rPr>
        <w:t>intervention</w:t>
      </w:r>
      <w:r w:rsidR="008E2F11">
        <w:rPr>
          <w:rFonts w:ascii="Arial" w:hAnsi="Arial" w:cs="Arial"/>
          <w:sz w:val="21"/>
          <w:szCs w:val="21"/>
        </w:rPr>
        <w:t xml:space="preserve"> in this area, and that the burden of negotiating unfair commercial practices should not be delegated to </w:t>
      </w:r>
      <w:r w:rsidR="008E2F11">
        <w:rPr>
          <w:rFonts w:ascii="Arial" w:hAnsi="Arial" w:cs="Arial"/>
          <w:sz w:val="21"/>
          <w:szCs w:val="21"/>
        </w:rPr>
        <w:t xml:space="preserve">children </w:t>
      </w:r>
      <w:r w:rsidR="008E2F11">
        <w:rPr>
          <w:rFonts w:ascii="Arial" w:hAnsi="Arial" w:cs="Arial"/>
          <w:sz w:val="21"/>
          <w:szCs w:val="21"/>
        </w:rPr>
        <w:t>and their parents/caregivers.</w:t>
      </w:r>
    </w:p>
    <w:p w14:paraId="53581BC8" w14:textId="77777777" w:rsidR="009B6805" w:rsidRDefault="009B6805">
      <w:pPr>
        <w:rPr>
          <w:rFonts w:ascii="Arial" w:hAnsi="Arial" w:cs="Arial"/>
          <w:sz w:val="21"/>
          <w:szCs w:val="21"/>
        </w:rPr>
      </w:pPr>
    </w:p>
    <w:p w14:paraId="60751005" w14:textId="5A932485" w:rsidR="00B40285" w:rsidRPr="00516639" w:rsidRDefault="005F40ED">
      <w:pPr>
        <w:rPr>
          <w:rFonts w:ascii="Arial" w:hAnsi="Arial" w:cs="Arial"/>
          <w:b/>
          <w:bCs/>
          <w:sz w:val="21"/>
          <w:szCs w:val="21"/>
          <w:u w:val="single"/>
        </w:rPr>
      </w:pPr>
      <w:r>
        <w:rPr>
          <w:rFonts w:ascii="Arial" w:hAnsi="Arial" w:cs="Arial"/>
          <w:b/>
          <w:bCs/>
          <w:sz w:val="21"/>
          <w:szCs w:val="21"/>
          <w:u w:val="single"/>
        </w:rPr>
        <w:t>Protect</w:t>
      </w:r>
      <w:r w:rsidR="006335AD">
        <w:rPr>
          <w:rFonts w:ascii="Arial" w:hAnsi="Arial" w:cs="Arial"/>
          <w:b/>
          <w:bCs/>
          <w:sz w:val="21"/>
          <w:szCs w:val="21"/>
          <w:u w:val="single"/>
        </w:rPr>
        <w:t>ing</w:t>
      </w:r>
      <w:r>
        <w:rPr>
          <w:rFonts w:ascii="Arial" w:hAnsi="Arial" w:cs="Arial"/>
          <w:b/>
          <w:bCs/>
          <w:sz w:val="21"/>
          <w:szCs w:val="21"/>
          <w:u w:val="single"/>
        </w:rPr>
        <w:t xml:space="preserve"> c</w:t>
      </w:r>
      <w:r w:rsidR="00516639" w:rsidRPr="00516639">
        <w:rPr>
          <w:rFonts w:ascii="Arial" w:hAnsi="Arial" w:cs="Arial"/>
          <w:b/>
          <w:bCs/>
          <w:sz w:val="21"/>
          <w:szCs w:val="21"/>
          <w:u w:val="single"/>
        </w:rPr>
        <w:t xml:space="preserve">hildren’s </w:t>
      </w:r>
      <w:r>
        <w:rPr>
          <w:rFonts w:ascii="Arial" w:hAnsi="Arial" w:cs="Arial"/>
          <w:b/>
          <w:bCs/>
          <w:sz w:val="21"/>
          <w:szCs w:val="21"/>
          <w:u w:val="single"/>
        </w:rPr>
        <w:t>p</w:t>
      </w:r>
      <w:r w:rsidR="00516639" w:rsidRPr="00516639">
        <w:rPr>
          <w:rFonts w:ascii="Arial" w:hAnsi="Arial" w:cs="Arial"/>
          <w:b/>
          <w:bCs/>
          <w:sz w:val="21"/>
          <w:szCs w:val="21"/>
          <w:u w:val="single"/>
        </w:rPr>
        <w:t>rivacy</w:t>
      </w:r>
      <w:r w:rsidR="00F1216D">
        <w:rPr>
          <w:rFonts w:ascii="Arial" w:hAnsi="Arial" w:cs="Arial"/>
          <w:b/>
          <w:bCs/>
          <w:sz w:val="21"/>
          <w:szCs w:val="21"/>
          <w:u w:val="single"/>
        </w:rPr>
        <w:t xml:space="preserve"> and data</w:t>
      </w:r>
    </w:p>
    <w:p w14:paraId="75A9EA2A" w14:textId="4AD865F3" w:rsidR="0035666B" w:rsidRPr="001F6187" w:rsidRDefault="00D64F83">
      <w:pPr>
        <w:rPr>
          <w:rFonts w:ascii="Arial" w:hAnsi="Arial" w:cs="Arial"/>
          <w:sz w:val="21"/>
          <w:szCs w:val="21"/>
        </w:rPr>
      </w:pPr>
      <w:r>
        <w:rPr>
          <w:rFonts w:ascii="Arial" w:hAnsi="Arial" w:cs="Arial"/>
          <w:sz w:val="21"/>
          <w:szCs w:val="21"/>
        </w:rPr>
        <w:t xml:space="preserve">Section VI: E </w:t>
      </w:r>
      <w:r w:rsidR="001A5316">
        <w:rPr>
          <w:rFonts w:ascii="Arial" w:hAnsi="Arial" w:cs="Arial"/>
          <w:sz w:val="21"/>
          <w:szCs w:val="21"/>
        </w:rPr>
        <w:t>includes several requirements for States to strengthen the protection of children’s personal information and privacy rights</w:t>
      </w:r>
      <w:r>
        <w:rPr>
          <w:rFonts w:ascii="Arial" w:hAnsi="Arial" w:cs="Arial"/>
          <w:sz w:val="21"/>
          <w:szCs w:val="21"/>
        </w:rPr>
        <w:t xml:space="preserve">. </w:t>
      </w:r>
      <w:r w:rsidR="006368DD" w:rsidRPr="006368DD">
        <w:rPr>
          <w:rFonts w:ascii="Arial" w:hAnsi="Arial" w:cs="Arial"/>
          <w:b/>
          <w:bCs/>
          <w:i/>
          <w:iCs/>
          <w:sz w:val="21"/>
          <w:szCs w:val="21"/>
        </w:rPr>
        <w:t>Paragraph 69</w:t>
      </w:r>
      <w:r>
        <w:rPr>
          <w:rFonts w:ascii="Arial" w:hAnsi="Arial" w:cs="Arial"/>
          <w:sz w:val="21"/>
          <w:szCs w:val="21"/>
        </w:rPr>
        <w:t xml:space="preserve"> </w:t>
      </w:r>
      <w:r w:rsidR="006368DD">
        <w:rPr>
          <w:rFonts w:ascii="Arial" w:hAnsi="Arial" w:cs="Arial"/>
          <w:sz w:val="21"/>
          <w:szCs w:val="21"/>
        </w:rPr>
        <w:t xml:space="preserve">provides a </w:t>
      </w:r>
      <w:r w:rsidR="001A5316">
        <w:rPr>
          <w:rFonts w:ascii="Arial" w:hAnsi="Arial" w:cs="Arial"/>
          <w:sz w:val="21"/>
          <w:szCs w:val="21"/>
        </w:rPr>
        <w:t xml:space="preserve">nuanced </w:t>
      </w:r>
      <w:r>
        <w:rPr>
          <w:rFonts w:ascii="Arial" w:hAnsi="Arial" w:cs="Arial"/>
          <w:sz w:val="21"/>
          <w:szCs w:val="21"/>
        </w:rPr>
        <w:t>overview</w:t>
      </w:r>
      <w:r w:rsidR="001A5316">
        <w:rPr>
          <w:rFonts w:ascii="Arial" w:hAnsi="Arial" w:cs="Arial"/>
          <w:sz w:val="21"/>
          <w:szCs w:val="21"/>
        </w:rPr>
        <w:t xml:space="preserve"> </w:t>
      </w:r>
      <w:r>
        <w:rPr>
          <w:rFonts w:ascii="Arial" w:hAnsi="Arial" w:cs="Arial"/>
          <w:sz w:val="21"/>
          <w:szCs w:val="21"/>
        </w:rPr>
        <w:t>of the</w:t>
      </w:r>
      <w:r w:rsidR="006368DD">
        <w:rPr>
          <w:rFonts w:ascii="Arial" w:hAnsi="Arial" w:cs="Arial"/>
          <w:sz w:val="21"/>
          <w:szCs w:val="21"/>
        </w:rPr>
        <w:t xml:space="preserve"> </w:t>
      </w:r>
      <w:r>
        <w:rPr>
          <w:rFonts w:ascii="Arial" w:hAnsi="Arial" w:cs="Arial"/>
          <w:sz w:val="21"/>
          <w:szCs w:val="21"/>
        </w:rPr>
        <w:t xml:space="preserve">various and complex </w:t>
      </w:r>
      <w:r w:rsidR="001A5316">
        <w:rPr>
          <w:rFonts w:ascii="Arial" w:hAnsi="Arial" w:cs="Arial"/>
          <w:sz w:val="21"/>
          <w:szCs w:val="21"/>
        </w:rPr>
        <w:t xml:space="preserve">ways children’s privacy </w:t>
      </w:r>
      <w:r w:rsidR="006368DD">
        <w:rPr>
          <w:rFonts w:ascii="Arial" w:hAnsi="Arial" w:cs="Arial"/>
          <w:sz w:val="21"/>
          <w:szCs w:val="21"/>
        </w:rPr>
        <w:t>rights are threatened within digital context</w:t>
      </w:r>
      <w:r>
        <w:rPr>
          <w:rFonts w:ascii="Arial" w:hAnsi="Arial" w:cs="Arial"/>
          <w:sz w:val="21"/>
          <w:szCs w:val="21"/>
        </w:rPr>
        <w:t>s.</w:t>
      </w:r>
      <w:r w:rsidR="006368DD">
        <w:rPr>
          <w:rFonts w:ascii="Arial" w:hAnsi="Arial" w:cs="Arial"/>
          <w:sz w:val="21"/>
          <w:szCs w:val="21"/>
        </w:rPr>
        <w:t xml:space="preserve"> </w:t>
      </w:r>
      <w:r>
        <w:rPr>
          <w:rFonts w:ascii="Arial" w:hAnsi="Arial" w:cs="Arial"/>
          <w:sz w:val="21"/>
          <w:szCs w:val="21"/>
        </w:rPr>
        <w:t>The Draft</w:t>
      </w:r>
      <w:r w:rsidR="006368DD">
        <w:rPr>
          <w:rFonts w:ascii="Arial" w:hAnsi="Arial" w:cs="Arial"/>
          <w:sz w:val="21"/>
          <w:szCs w:val="21"/>
        </w:rPr>
        <w:t xml:space="preserve"> reflects the concerns children themselves have about how their information is used, and by whom, once it enters the digital environment (</w:t>
      </w:r>
      <w:r w:rsidR="006368DD" w:rsidRPr="006368DD">
        <w:rPr>
          <w:rFonts w:ascii="Arial" w:hAnsi="Arial" w:cs="Arial"/>
          <w:b/>
          <w:bCs/>
          <w:i/>
          <w:iCs/>
          <w:sz w:val="21"/>
          <w:szCs w:val="21"/>
        </w:rPr>
        <w:t>Paragraph 70</w:t>
      </w:r>
      <w:r w:rsidR="006368DD">
        <w:rPr>
          <w:rFonts w:ascii="Arial" w:hAnsi="Arial" w:cs="Arial"/>
          <w:sz w:val="21"/>
          <w:szCs w:val="21"/>
        </w:rPr>
        <w:t xml:space="preserve">). </w:t>
      </w:r>
      <w:r>
        <w:rPr>
          <w:rFonts w:ascii="Arial" w:hAnsi="Arial" w:cs="Arial"/>
          <w:sz w:val="21"/>
          <w:szCs w:val="21"/>
        </w:rPr>
        <w:t>The warning in</w:t>
      </w:r>
      <w:r w:rsidR="00F1216D">
        <w:rPr>
          <w:rFonts w:ascii="Arial" w:hAnsi="Arial" w:cs="Arial"/>
          <w:sz w:val="21"/>
          <w:szCs w:val="21"/>
        </w:rPr>
        <w:t xml:space="preserve"> </w:t>
      </w:r>
      <w:r w:rsidR="00F1216D" w:rsidRPr="0041667A">
        <w:rPr>
          <w:rFonts w:ascii="Arial" w:hAnsi="Arial" w:cs="Arial"/>
          <w:b/>
          <w:bCs/>
          <w:i/>
          <w:iCs/>
          <w:sz w:val="21"/>
          <w:szCs w:val="21"/>
        </w:rPr>
        <w:t>Paragraph 75</w:t>
      </w:r>
      <w:r w:rsidR="00F1216D">
        <w:rPr>
          <w:rFonts w:ascii="Arial" w:hAnsi="Arial" w:cs="Arial"/>
          <w:sz w:val="21"/>
          <w:szCs w:val="21"/>
        </w:rPr>
        <w:t xml:space="preserve"> that legislation created (or expanded upon) to better protect children’s privacy must not “</w:t>
      </w:r>
      <w:r w:rsidR="0035666B" w:rsidRPr="001F6187">
        <w:rPr>
          <w:rFonts w:ascii="Arial" w:hAnsi="Arial" w:cs="Arial"/>
          <w:sz w:val="21"/>
          <w:szCs w:val="21"/>
        </w:rPr>
        <w:t>arbitrarily limit children’s other rights, for example their right to freedom of expression</w:t>
      </w:r>
      <w:r>
        <w:rPr>
          <w:rFonts w:ascii="Arial" w:hAnsi="Arial" w:cs="Arial"/>
          <w:sz w:val="21"/>
          <w:szCs w:val="21"/>
        </w:rPr>
        <w:t>” is incredibly important.</w:t>
      </w:r>
      <w:r w:rsidR="00F1216D">
        <w:rPr>
          <w:rFonts w:ascii="Arial" w:hAnsi="Arial" w:cs="Arial"/>
          <w:sz w:val="21"/>
          <w:szCs w:val="21"/>
        </w:rPr>
        <w:t xml:space="preserve"> It would be useful to also include </w:t>
      </w:r>
      <w:r w:rsidR="001500E5">
        <w:rPr>
          <w:rFonts w:ascii="Arial" w:hAnsi="Arial" w:cs="Arial"/>
          <w:sz w:val="21"/>
          <w:szCs w:val="21"/>
        </w:rPr>
        <w:t xml:space="preserve">some </w:t>
      </w:r>
      <w:r w:rsidR="00370BF3">
        <w:rPr>
          <w:rFonts w:ascii="Arial" w:hAnsi="Arial" w:cs="Arial"/>
          <w:sz w:val="21"/>
          <w:szCs w:val="21"/>
        </w:rPr>
        <w:t xml:space="preserve">explanation </w:t>
      </w:r>
      <w:r w:rsidR="001500E5">
        <w:rPr>
          <w:rFonts w:ascii="Arial" w:hAnsi="Arial" w:cs="Arial"/>
          <w:sz w:val="21"/>
          <w:szCs w:val="21"/>
        </w:rPr>
        <w:t>of</w:t>
      </w:r>
      <w:r w:rsidR="00F1216D">
        <w:rPr>
          <w:rFonts w:ascii="Arial" w:hAnsi="Arial" w:cs="Arial"/>
          <w:sz w:val="21"/>
          <w:szCs w:val="21"/>
        </w:rPr>
        <w:t xml:space="preserve"> how </w:t>
      </w:r>
      <w:r>
        <w:rPr>
          <w:rFonts w:ascii="Arial" w:hAnsi="Arial" w:cs="Arial"/>
          <w:sz w:val="21"/>
          <w:szCs w:val="21"/>
        </w:rPr>
        <w:t>these</w:t>
      </w:r>
      <w:r w:rsidR="00370BF3">
        <w:rPr>
          <w:rFonts w:ascii="Arial" w:hAnsi="Arial" w:cs="Arial"/>
          <w:sz w:val="21"/>
          <w:szCs w:val="21"/>
        </w:rPr>
        <w:t xml:space="preserve"> rights can at times conflict and </w:t>
      </w:r>
      <w:r>
        <w:rPr>
          <w:rFonts w:ascii="Arial" w:hAnsi="Arial" w:cs="Arial"/>
          <w:sz w:val="21"/>
          <w:szCs w:val="21"/>
        </w:rPr>
        <w:t xml:space="preserve">provide </w:t>
      </w:r>
      <w:r w:rsidR="001500E5">
        <w:rPr>
          <w:rFonts w:ascii="Arial" w:hAnsi="Arial" w:cs="Arial"/>
          <w:sz w:val="21"/>
          <w:szCs w:val="21"/>
        </w:rPr>
        <w:t xml:space="preserve">steps </w:t>
      </w:r>
      <w:r w:rsidR="00370BF3">
        <w:rPr>
          <w:rFonts w:ascii="Arial" w:hAnsi="Arial" w:cs="Arial"/>
          <w:sz w:val="21"/>
          <w:szCs w:val="21"/>
        </w:rPr>
        <w:t xml:space="preserve">that </w:t>
      </w:r>
      <w:proofErr w:type="gramStart"/>
      <w:r w:rsidR="00370BF3">
        <w:rPr>
          <w:rFonts w:ascii="Arial" w:hAnsi="Arial" w:cs="Arial"/>
          <w:sz w:val="21"/>
          <w:szCs w:val="21"/>
        </w:rPr>
        <w:t>States</w:t>
      </w:r>
      <w:proofErr w:type="gramEnd"/>
      <w:r w:rsidR="00370BF3">
        <w:rPr>
          <w:rFonts w:ascii="Arial" w:hAnsi="Arial" w:cs="Arial"/>
          <w:sz w:val="21"/>
          <w:szCs w:val="21"/>
        </w:rPr>
        <w:t xml:space="preserve"> and businesses </w:t>
      </w:r>
      <w:r>
        <w:rPr>
          <w:rFonts w:ascii="Arial" w:hAnsi="Arial" w:cs="Arial"/>
          <w:sz w:val="21"/>
          <w:szCs w:val="21"/>
        </w:rPr>
        <w:t>can</w:t>
      </w:r>
      <w:r w:rsidR="00370BF3">
        <w:rPr>
          <w:rFonts w:ascii="Arial" w:hAnsi="Arial" w:cs="Arial"/>
          <w:sz w:val="21"/>
          <w:szCs w:val="21"/>
        </w:rPr>
        <w:t xml:space="preserve"> take to resolve such conflicts</w:t>
      </w:r>
      <w:r>
        <w:rPr>
          <w:rFonts w:ascii="Arial" w:hAnsi="Arial" w:cs="Arial"/>
          <w:sz w:val="21"/>
          <w:szCs w:val="21"/>
        </w:rPr>
        <w:t>.</w:t>
      </w:r>
    </w:p>
    <w:p w14:paraId="30360F76" w14:textId="77777777" w:rsidR="00CF1EF8" w:rsidRPr="001F6187" w:rsidRDefault="00CF1EF8">
      <w:pPr>
        <w:rPr>
          <w:rFonts w:ascii="Arial" w:hAnsi="Arial" w:cs="Arial"/>
          <w:sz w:val="21"/>
          <w:szCs w:val="21"/>
        </w:rPr>
      </w:pPr>
    </w:p>
    <w:p w14:paraId="17C56E57" w14:textId="5580FB43" w:rsidR="0057600C" w:rsidRDefault="00CF1EF8">
      <w:pPr>
        <w:rPr>
          <w:rFonts w:ascii="Arial" w:hAnsi="Arial" w:cs="Arial"/>
          <w:sz w:val="21"/>
          <w:szCs w:val="21"/>
        </w:rPr>
      </w:pPr>
      <w:r w:rsidRPr="00024594">
        <w:rPr>
          <w:rFonts w:ascii="Arial" w:hAnsi="Arial" w:cs="Arial"/>
          <w:b/>
          <w:bCs/>
          <w:i/>
          <w:iCs/>
          <w:sz w:val="21"/>
          <w:szCs w:val="21"/>
        </w:rPr>
        <w:t>Paragraph</w:t>
      </w:r>
      <w:r w:rsidR="006425A8" w:rsidRPr="00024594">
        <w:rPr>
          <w:rFonts w:ascii="Arial" w:hAnsi="Arial" w:cs="Arial"/>
          <w:b/>
          <w:bCs/>
          <w:i/>
          <w:iCs/>
          <w:sz w:val="21"/>
          <w:szCs w:val="21"/>
        </w:rPr>
        <w:t>s</w:t>
      </w:r>
      <w:r w:rsidRPr="00024594">
        <w:rPr>
          <w:rFonts w:ascii="Arial" w:hAnsi="Arial" w:cs="Arial"/>
          <w:b/>
          <w:bCs/>
          <w:i/>
          <w:iCs/>
          <w:sz w:val="21"/>
          <w:szCs w:val="21"/>
        </w:rPr>
        <w:t xml:space="preserve"> 78</w:t>
      </w:r>
      <w:r w:rsidR="007200C4" w:rsidRPr="00024594">
        <w:rPr>
          <w:rFonts w:ascii="Arial" w:hAnsi="Arial" w:cs="Arial"/>
          <w:b/>
          <w:bCs/>
          <w:i/>
          <w:iCs/>
          <w:sz w:val="21"/>
          <w:szCs w:val="21"/>
        </w:rPr>
        <w:t>, 119 and 123</w:t>
      </w:r>
      <w:r w:rsidR="007200C4" w:rsidRPr="00024594">
        <w:rPr>
          <w:rFonts w:ascii="Arial" w:hAnsi="Arial" w:cs="Arial"/>
          <w:b/>
          <w:bCs/>
          <w:sz w:val="21"/>
          <w:szCs w:val="21"/>
        </w:rPr>
        <w:t xml:space="preserve"> </w:t>
      </w:r>
      <w:r w:rsidR="00370BF3" w:rsidRPr="00024594">
        <w:rPr>
          <w:rFonts w:ascii="Arial" w:hAnsi="Arial" w:cs="Arial"/>
          <w:sz w:val="21"/>
          <w:szCs w:val="21"/>
        </w:rPr>
        <w:t>recommend a</w:t>
      </w:r>
      <w:r w:rsidR="00370BF3" w:rsidRPr="00370BF3">
        <w:rPr>
          <w:rFonts w:ascii="Arial" w:hAnsi="Arial" w:cs="Arial"/>
          <w:sz w:val="21"/>
          <w:szCs w:val="21"/>
        </w:rPr>
        <w:t xml:space="preserve"> “safety-by-design approach” </w:t>
      </w:r>
      <w:r w:rsidR="00370BF3">
        <w:rPr>
          <w:rFonts w:ascii="Arial" w:hAnsi="Arial" w:cs="Arial"/>
          <w:sz w:val="21"/>
          <w:szCs w:val="21"/>
        </w:rPr>
        <w:t xml:space="preserve">as an effective means of ensuring that rights are protected systematically </w:t>
      </w:r>
      <w:r w:rsidR="008868F0">
        <w:rPr>
          <w:rFonts w:ascii="Arial" w:hAnsi="Arial" w:cs="Arial"/>
          <w:sz w:val="21"/>
          <w:szCs w:val="21"/>
        </w:rPr>
        <w:t xml:space="preserve">or </w:t>
      </w:r>
      <w:r w:rsidR="00370BF3">
        <w:rPr>
          <w:rFonts w:ascii="Arial" w:hAnsi="Arial" w:cs="Arial"/>
          <w:sz w:val="21"/>
          <w:szCs w:val="21"/>
        </w:rPr>
        <w:t xml:space="preserve">“from the ground up.” </w:t>
      </w:r>
      <w:r w:rsidR="009F0D5A">
        <w:rPr>
          <w:rFonts w:ascii="Arial" w:hAnsi="Arial" w:cs="Arial"/>
          <w:sz w:val="21"/>
          <w:szCs w:val="21"/>
        </w:rPr>
        <w:t xml:space="preserve">However, safety-by-design is defined </w:t>
      </w:r>
      <w:r w:rsidR="006425A8">
        <w:rPr>
          <w:rFonts w:ascii="Arial" w:hAnsi="Arial" w:cs="Arial"/>
          <w:sz w:val="21"/>
          <w:szCs w:val="21"/>
        </w:rPr>
        <w:t>and applied differently in</w:t>
      </w:r>
      <w:r w:rsidR="009F0D5A">
        <w:rPr>
          <w:rFonts w:ascii="Arial" w:hAnsi="Arial" w:cs="Arial"/>
          <w:sz w:val="21"/>
          <w:szCs w:val="21"/>
        </w:rPr>
        <w:t xml:space="preserve"> different fields</w:t>
      </w:r>
      <w:r w:rsidR="006425A8">
        <w:rPr>
          <w:rFonts w:ascii="Arial" w:hAnsi="Arial" w:cs="Arial"/>
          <w:sz w:val="21"/>
          <w:szCs w:val="21"/>
        </w:rPr>
        <w:t xml:space="preserve"> and can include applications designed to automate decision-making in ways that discriminate, misidentify and over-simplify user interactions and intentions. </w:t>
      </w:r>
      <w:r w:rsidR="009F0D5A">
        <w:rPr>
          <w:rFonts w:ascii="Arial" w:hAnsi="Arial" w:cs="Arial"/>
          <w:sz w:val="21"/>
          <w:szCs w:val="21"/>
        </w:rPr>
        <w:t xml:space="preserve">For instance, responsibility for supporting children’s rights within a digital platform could be delegated to the program’s code, </w:t>
      </w:r>
      <w:r w:rsidR="0041667A">
        <w:rPr>
          <w:rFonts w:ascii="Arial" w:hAnsi="Arial" w:cs="Arial"/>
          <w:sz w:val="21"/>
          <w:szCs w:val="21"/>
        </w:rPr>
        <w:t>through which algorithms become</w:t>
      </w:r>
      <w:r w:rsidR="009F0D5A">
        <w:rPr>
          <w:rFonts w:ascii="Arial" w:hAnsi="Arial" w:cs="Arial"/>
          <w:sz w:val="21"/>
          <w:szCs w:val="21"/>
        </w:rPr>
        <w:t xml:space="preserve"> tasked with monitoring</w:t>
      </w:r>
      <w:r w:rsidR="006425A8">
        <w:rPr>
          <w:rFonts w:ascii="Arial" w:hAnsi="Arial" w:cs="Arial"/>
          <w:sz w:val="21"/>
          <w:szCs w:val="21"/>
        </w:rPr>
        <w:t xml:space="preserve"> and labelling </w:t>
      </w:r>
      <w:r w:rsidR="00E76029">
        <w:rPr>
          <w:rFonts w:ascii="Arial" w:hAnsi="Arial" w:cs="Arial"/>
          <w:sz w:val="21"/>
          <w:szCs w:val="21"/>
        </w:rPr>
        <w:t xml:space="preserve">user interactions </w:t>
      </w:r>
      <w:r w:rsidR="006425A8">
        <w:rPr>
          <w:rFonts w:ascii="Arial" w:hAnsi="Arial" w:cs="Arial"/>
          <w:sz w:val="21"/>
          <w:szCs w:val="21"/>
        </w:rPr>
        <w:t xml:space="preserve">in order to </w:t>
      </w:r>
      <w:r w:rsidR="00E76029">
        <w:rPr>
          <w:rFonts w:ascii="Arial" w:hAnsi="Arial" w:cs="Arial"/>
          <w:sz w:val="21"/>
          <w:szCs w:val="21"/>
        </w:rPr>
        <w:t>flag or omit behaviours</w:t>
      </w:r>
      <w:r w:rsidR="009F0D5A">
        <w:rPr>
          <w:rFonts w:ascii="Arial" w:hAnsi="Arial" w:cs="Arial"/>
          <w:sz w:val="21"/>
          <w:szCs w:val="21"/>
        </w:rPr>
        <w:t xml:space="preserve"> </w:t>
      </w:r>
      <w:r w:rsidR="00E76029">
        <w:rPr>
          <w:rFonts w:ascii="Arial" w:hAnsi="Arial" w:cs="Arial"/>
          <w:sz w:val="21"/>
          <w:szCs w:val="21"/>
        </w:rPr>
        <w:t>deemed to be non-compliant. Such systems are well known to be highly limited</w:t>
      </w:r>
      <w:r w:rsidR="008868F0">
        <w:rPr>
          <w:rFonts w:ascii="Arial" w:hAnsi="Arial" w:cs="Arial"/>
          <w:sz w:val="21"/>
          <w:szCs w:val="21"/>
        </w:rPr>
        <w:t xml:space="preserve">, </w:t>
      </w:r>
      <w:r w:rsidR="00E76029">
        <w:rPr>
          <w:rFonts w:ascii="Arial" w:hAnsi="Arial" w:cs="Arial"/>
          <w:sz w:val="21"/>
          <w:szCs w:val="21"/>
        </w:rPr>
        <w:t xml:space="preserve">implicitly biased, and </w:t>
      </w:r>
      <w:r w:rsidR="008868F0">
        <w:rPr>
          <w:rFonts w:ascii="Arial" w:hAnsi="Arial" w:cs="Arial"/>
          <w:sz w:val="21"/>
          <w:szCs w:val="21"/>
        </w:rPr>
        <w:t xml:space="preserve">are often </w:t>
      </w:r>
      <w:r w:rsidR="00E76029">
        <w:rPr>
          <w:rFonts w:ascii="Arial" w:hAnsi="Arial" w:cs="Arial"/>
          <w:sz w:val="21"/>
          <w:szCs w:val="21"/>
        </w:rPr>
        <w:t>lackin</w:t>
      </w:r>
      <w:r w:rsidR="008868F0">
        <w:rPr>
          <w:rFonts w:ascii="Arial" w:hAnsi="Arial" w:cs="Arial"/>
          <w:sz w:val="21"/>
          <w:szCs w:val="21"/>
        </w:rPr>
        <w:t>g</w:t>
      </w:r>
      <w:r w:rsidR="00E76029">
        <w:rPr>
          <w:rFonts w:ascii="Arial" w:hAnsi="Arial" w:cs="Arial"/>
          <w:sz w:val="21"/>
          <w:szCs w:val="21"/>
        </w:rPr>
        <w:t xml:space="preserve"> in the type of contextual nuance required to effectively support </w:t>
      </w:r>
      <w:proofErr w:type="gramStart"/>
      <w:r w:rsidR="00E76029">
        <w:rPr>
          <w:rFonts w:ascii="Arial" w:hAnsi="Arial" w:cs="Arial"/>
          <w:sz w:val="21"/>
          <w:szCs w:val="21"/>
        </w:rPr>
        <w:t>children’s</w:t>
      </w:r>
      <w:proofErr w:type="gramEnd"/>
      <w:r w:rsidR="00E76029">
        <w:rPr>
          <w:rFonts w:ascii="Arial" w:hAnsi="Arial" w:cs="Arial"/>
          <w:sz w:val="21"/>
          <w:szCs w:val="21"/>
        </w:rPr>
        <w:t xml:space="preserve"> </w:t>
      </w:r>
      <w:r w:rsidR="006425A8">
        <w:rPr>
          <w:rFonts w:ascii="Arial" w:hAnsi="Arial" w:cs="Arial"/>
          <w:sz w:val="21"/>
          <w:szCs w:val="21"/>
        </w:rPr>
        <w:t>at times conflicting rights</w:t>
      </w:r>
      <w:r w:rsidR="008868F0">
        <w:rPr>
          <w:rFonts w:ascii="Arial" w:hAnsi="Arial" w:cs="Arial"/>
          <w:sz w:val="21"/>
          <w:szCs w:val="21"/>
        </w:rPr>
        <w:t xml:space="preserve">, such as </w:t>
      </w:r>
      <w:r w:rsidR="00E76029">
        <w:rPr>
          <w:rFonts w:ascii="Arial" w:hAnsi="Arial" w:cs="Arial"/>
          <w:sz w:val="21"/>
          <w:szCs w:val="21"/>
        </w:rPr>
        <w:t xml:space="preserve">the right to non-discrimination (Article 2) </w:t>
      </w:r>
      <w:r w:rsidR="00E76029" w:rsidRPr="008868F0">
        <w:rPr>
          <w:rFonts w:ascii="Arial" w:hAnsi="Arial" w:cs="Arial"/>
          <w:i/>
          <w:iCs/>
          <w:sz w:val="21"/>
          <w:szCs w:val="21"/>
        </w:rPr>
        <w:t>and</w:t>
      </w:r>
      <w:r w:rsidR="00E76029">
        <w:rPr>
          <w:rFonts w:ascii="Arial" w:hAnsi="Arial" w:cs="Arial"/>
          <w:sz w:val="21"/>
          <w:szCs w:val="21"/>
        </w:rPr>
        <w:t xml:space="preserve"> the right to freedom of expression (Article 13). The General Comment should include a more robust description of what exactly is meant by </w:t>
      </w:r>
      <w:r w:rsidR="002A21BE">
        <w:rPr>
          <w:rFonts w:ascii="Arial" w:hAnsi="Arial" w:cs="Arial"/>
          <w:sz w:val="21"/>
          <w:szCs w:val="21"/>
        </w:rPr>
        <w:t>“</w:t>
      </w:r>
      <w:r w:rsidR="00E76029">
        <w:rPr>
          <w:rFonts w:ascii="Arial" w:hAnsi="Arial" w:cs="Arial"/>
          <w:sz w:val="21"/>
          <w:szCs w:val="21"/>
        </w:rPr>
        <w:t>safety-by-design</w:t>
      </w:r>
      <w:r w:rsidR="002A21BE">
        <w:rPr>
          <w:rFonts w:ascii="Arial" w:hAnsi="Arial" w:cs="Arial"/>
          <w:sz w:val="21"/>
          <w:szCs w:val="21"/>
        </w:rPr>
        <w:t>”</w:t>
      </w:r>
      <w:r w:rsidR="0041667A">
        <w:rPr>
          <w:rFonts w:ascii="Arial" w:hAnsi="Arial" w:cs="Arial"/>
          <w:sz w:val="21"/>
          <w:szCs w:val="21"/>
        </w:rPr>
        <w:t xml:space="preserve"> </w:t>
      </w:r>
      <w:r w:rsidR="006425A8">
        <w:rPr>
          <w:rFonts w:ascii="Arial" w:hAnsi="Arial" w:cs="Arial"/>
          <w:sz w:val="21"/>
          <w:szCs w:val="21"/>
        </w:rPr>
        <w:t xml:space="preserve">in this context </w:t>
      </w:r>
      <w:r w:rsidR="0041667A">
        <w:rPr>
          <w:rFonts w:ascii="Arial" w:hAnsi="Arial" w:cs="Arial"/>
          <w:sz w:val="21"/>
          <w:szCs w:val="21"/>
        </w:rPr>
        <w:t xml:space="preserve">and take a </w:t>
      </w:r>
      <w:r w:rsidR="002A21BE">
        <w:rPr>
          <w:rFonts w:ascii="Arial" w:hAnsi="Arial" w:cs="Arial"/>
          <w:sz w:val="21"/>
          <w:szCs w:val="21"/>
        </w:rPr>
        <w:t xml:space="preserve">clear </w:t>
      </w:r>
      <w:r w:rsidR="0041667A">
        <w:rPr>
          <w:rFonts w:ascii="Arial" w:hAnsi="Arial" w:cs="Arial"/>
          <w:sz w:val="21"/>
          <w:szCs w:val="21"/>
        </w:rPr>
        <w:t>position against the delegation of authority and responsibility for upholding children’s rights to algorithms</w:t>
      </w:r>
      <w:r w:rsidR="00393CBC">
        <w:rPr>
          <w:rFonts w:ascii="Arial" w:hAnsi="Arial" w:cs="Arial"/>
          <w:sz w:val="21"/>
          <w:szCs w:val="21"/>
        </w:rPr>
        <w:t xml:space="preserve"> and </w:t>
      </w:r>
      <w:r w:rsidR="002A21BE">
        <w:rPr>
          <w:rFonts w:ascii="Arial" w:hAnsi="Arial" w:cs="Arial"/>
          <w:sz w:val="21"/>
          <w:szCs w:val="21"/>
        </w:rPr>
        <w:t>other forms of automation</w:t>
      </w:r>
      <w:r w:rsidR="00393CBC">
        <w:rPr>
          <w:rFonts w:ascii="Arial" w:hAnsi="Arial" w:cs="Arial"/>
          <w:sz w:val="21"/>
          <w:szCs w:val="21"/>
        </w:rPr>
        <w:t xml:space="preserve">. </w:t>
      </w:r>
    </w:p>
    <w:p w14:paraId="3D17E2CE" w14:textId="77777777" w:rsidR="00B51EAE" w:rsidRDefault="00B51EAE" w:rsidP="00B51EAE">
      <w:pPr>
        <w:rPr>
          <w:rFonts w:ascii="Arial" w:hAnsi="Arial" w:cs="Arial"/>
          <w:b/>
          <w:bCs/>
          <w:sz w:val="21"/>
          <w:szCs w:val="21"/>
        </w:rPr>
      </w:pPr>
    </w:p>
    <w:p w14:paraId="5864D1A0" w14:textId="77777777" w:rsidR="00B51EAE" w:rsidRPr="00813EFB" w:rsidRDefault="00B51EAE" w:rsidP="00B51EAE">
      <w:pPr>
        <w:rPr>
          <w:rFonts w:ascii="Arial" w:hAnsi="Arial" w:cs="Arial"/>
          <w:b/>
          <w:bCs/>
          <w:sz w:val="21"/>
          <w:szCs w:val="21"/>
          <w:u w:val="single"/>
        </w:rPr>
      </w:pPr>
      <w:r w:rsidRPr="00813EFB">
        <w:rPr>
          <w:rFonts w:ascii="Arial" w:hAnsi="Arial" w:cs="Arial"/>
          <w:b/>
          <w:bCs/>
          <w:sz w:val="21"/>
          <w:szCs w:val="21"/>
          <w:u w:val="single"/>
        </w:rPr>
        <w:t>Age</w:t>
      </w:r>
      <w:r>
        <w:rPr>
          <w:rFonts w:ascii="Arial" w:hAnsi="Arial" w:cs="Arial"/>
          <w:b/>
          <w:bCs/>
          <w:sz w:val="21"/>
          <w:szCs w:val="21"/>
          <w:u w:val="single"/>
        </w:rPr>
        <w:t>-based</w:t>
      </w:r>
      <w:r w:rsidRPr="00813EFB">
        <w:rPr>
          <w:rFonts w:ascii="Arial" w:hAnsi="Arial" w:cs="Arial"/>
          <w:b/>
          <w:bCs/>
          <w:sz w:val="21"/>
          <w:szCs w:val="21"/>
          <w:u w:val="single"/>
        </w:rPr>
        <w:t xml:space="preserve"> </w:t>
      </w:r>
      <w:r>
        <w:rPr>
          <w:rFonts w:ascii="Arial" w:hAnsi="Arial" w:cs="Arial"/>
          <w:b/>
          <w:bCs/>
          <w:sz w:val="21"/>
          <w:szCs w:val="21"/>
          <w:u w:val="single"/>
        </w:rPr>
        <w:t>r</w:t>
      </w:r>
      <w:r w:rsidRPr="00813EFB">
        <w:rPr>
          <w:rFonts w:ascii="Arial" w:hAnsi="Arial" w:cs="Arial"/>
          <w:b/>
          <w:bCs/>
          <w:sz w:val="21"/>
          <w:szCs w:val="21"/>
          <w:u w:val="single"/>
        </w:rPr>
        <w:t xml:space="preserve">atings </w:t>
      </w:r>
      <w:r>
        <w:rPr>
          <w:rFonts w:ascii="Arial" w:hAnsi="Arial" w:cs="Arial"/>
          <w:b/>
          <w:bCs/>
          <w:sz w:val="21"/>
          <w:szCs w:val="21"/>
          <w:u w:val="single"/>
        </w:rPr>
        <w:t xml:space="preserve">systems </w:t>
      </w:r>
      <w:r w:rsidRPr="00813EFB">
        <w:rPr>
          <w:rFonts w:ascii="Arial" w:hAnsi="Arial" w:cs="Arial"/>
          <w:b/>
          <w:bCs/>
          <w:sz w:val="21"/>
          <w:szCs w:val="21"/>
          <w:u w:val="single"/>
        </w:rPr>
        <w:t xml:space="preserve">and </w:t>
      </w:r>
      <w:r>
        <w:rPr>
          <w:rFonts w:ascii="Arial" w:hAnsi="Arial" w:cs="Arial"/>
          <w:b/>
          <w:bCs/>
          <w:sz w:val="21"/>
          <w:szCs w:val="21"/>
          <w:u w:val="single"/>
        </w:rPr>
        <w:t>a</w:t>
      </w:r>
      <w:r w:rsidRPr="00813EFB">
        <w:rPr>
          <w:rFonts w:ascii="Arial" w:hAnsi="Arial" w:cs="Arial"/>
          <w:b/>
          <w:bCs/>
          <w:sz w:val="21"/>
          <w:szCs w:val="21"/>
          <w:u w:val="single"/>
        </w:rPr>
        <w:t>ccess</w:t>
      </w:r>
    </w:p>
    <w:p w14:paraId="2ECACA55" w14:textId="3B7825E8" w:rsidR="00B51EAE" w:rsidRDefault="00B51EAE" w:rsidP="00B51EAE">
      <w:pPr>
        <w:rPr>
          <w:rFonts w:ascii="Arial" w:hAnsi="Arial" w:cs="Arial"/>
          <w:sz w:val="21"/>
          <w:szCs w:val="21"/>
        </w:rPr>
      </w:pPr>
      <w:r>
        <w:rPr>
          <w:rFonts w:ascii="Arial" w:hAnsi="Arial" w:cs="Arial"/>
          <w:sz w:val="21"/>
          <w:szCs w:val="21"/>
        </w:rPr>
        <w:t xml:space="preserve">As </w:t>
      </w:r>
      <w:r w:rsidR="006425A8">
        <w:rPr>
          <w:rFonts w:ascii="Arial" w:hAnsi="Arial" w:cs="Arial"/>
          <w:sz w:val="21"/>
          <w:szCs w:val="21"/>
        </w:rPr>
        <w:t xml:space="preserve">established in </w:t>
      </w:r>
      <w:r>
        <w:rPr>
          <w:rFonts w:ascii="Arial" w:hAnsi="Arial" w:cs="Arial"/>
          <w:sz w:val="21"/>
          <w:szCs w:val="21"/>
        </w:rPr>
        <w:t>Article</w:t>
      </w:r>
      <w:r w:rsidRPr="00813EFB">
        <w:rPr>
          <w:rFonts w:ascii="Arial" w:hAnsi="Arial" w:cs="Arial"/>
          <w:sz w:val="21"/>
          <w:szCs w:val="21"/>
        </w:rPr>
        <w:t xml:space="preserve"> 31</w:t>
      </w:r>
      <w:r>
        <w:rPr>
          <w:rFonts w:ascii="Arial" w:hAnsi="Arial" w:cs="Arial"/>
          <w:sz w:val="21"/>
          <w:szCs w:val="21"/>
        </w:rPr>
        <w:t xml:space="preserve">, play and games are an incredibly important part of children’s lives. </w:t>
      </w:r>
      <w:r w:rsidR="006425A8">
        <w:rPr>
          <w:rFonts w:ascii="Arial" w:hAnsi="Arial" w:cs="Arial"/>
          <w:sz w:val="21"/>
          <w:szCs w:val="21"/>
        </w:rPr>
        <w:t xml:space="preserve">Today, </w:t>
      </w:r>
      <w:r w:rsidR="00925CB3">
        <w:rPr>
          <w:rFonts w:ascii="Arial" w:hAnsi="Arial" w:cs="Arial"/>
          <w:sz w:val="21"/>
          <w:szCs w:val="21"/>
        </w:rPr>
        <w:t xml:space="preserve">this increasingly includes </w:t>
      </w:r>
      <w:r>
        <w:rPr>
          <w:rFonts w:ascii="Arial" w:hAnsi="Arial" w:cs="Arial"/>
          <w:sz w:val="21"/>
          <w:szCs w:val="21"/>
        </w:rPr>
        <w:t xml:space="preserve">digital games and other forms of leisure involving digital </w:t>
      </w:r>
      <w:r w:rsidR="00925CB3">
        <w:rPr>
          <w:rFonts w:ascii="Arial" w:hAnsi="Arial" w:cs="Arial"/>
          <w:sz w:val="21"/>
          <w:szCs w:val="21"/>
        </w:rPr>
        <w:t>technologies</w:t>
      </w:r>
      <w:r>
        <w:rPr>
          <w:rFonts w:ascii="Arial" w:hAnsi="Arial" w:cs="Arial"/>
          <w:sz w:val="21"/>
          <w:szCs w:val="21"/>
        </w:rPr>
        <w:t xml:space="preserve">. In </w:t>
      </w:r>
      <w:r w:rsidR="00925CB3">
        <w:rPr>
          <w:rFonts w:ascii="Arial" w:hAnsi="Arial" w:cs="Arial"/>
          <w:sz w:val="21"/>
          <w:szCs w:val="21"/>
        </w:rPr>
        <w:t>many places</w:t>
      </w:r>
      <w:r>
        <w:rPr>
          <w:rFonts w:ascii="Arial" w:hAnsi="Arial" w:cs="Arial"/>
          <w:sz w:val="21"/>
          <w:szCs w:val="21"/>
        </w:rPr>
        <w:t xml:space="preserve">, children’s access to games is regulated to some extent by ratings </w:t>
      </w:r>
      <w:r w:rsidR="00925CB3">
        <w:rPr>
          <w:rFonts w:ascii="Arial" w:hAnsi="Arial" w:cs="Arial"/>
          <w:sz w:val="21"/>
          <w:szCs w:val="21"/>
        </w:rPr>
        <w:t>or</w:t>
      </w:r>
      <w:r>
        <w:rPr>
          <w:rFonts w:ascii="Arial" w:hAnsi="Arial" w:cs="Arial"/>
          <w:sz w:val="21"/>
          <w:szCs w:val="21"/>
        </w:rPr>
        <w:t xml:space="preserve"> classification systems, which provide rules or guidelines on the “age appropriateness” of the themes or imagery contained </w:t>
      </w:r>
      <w:r w:rsidR="00925CB3">
        <w:rPr>
          <w:rFonts w:ascii="Arial" w:hAnsi="Arial" w:cs="Arial"/>
          <w:sz w:val="21"/>
          <w:szCs w:val="21"/>
        </w:rPr>
        <w:t>with</w:t>
      </w:r>
      <w:r>
        <w:rPr>
          <w:rFonts w:ascii="Arial" w:hAnsi="Arial" w:cs="Arial"/>
          <w:sz w:val="21"/>
          <w:szCs w:val="21"/>
        </w:rPr>
        <w:t>in individual games, apps or websites. The Draft recognizes the usefulness of such systems, while calling on States and businesses to make sure they do not</w:t>
      </w:r>
      <w:r w:rsidRPr="006C11E3">
        <w:rPr>
          <w:rFonts w:ascii="Arial" w:hAnsi="Arial" w:cs="Arial"/>
          <w:sz w:val="21"/>
          <w:szCs w:val="21"/>
        </w:rPr>
        <w:t xml:space="preserve"> </w:t>
      </w:r>
      <w:r>
        <w:rPr>
          <w:rFonts w:ascii="Arial" w:hAnsi="Arial" w:cs="Arial"/>
          <w:sz w:val="21"/>
          <w:szCs w:val="21"/>
        </w:rPr>
        <w:t xml:space="preserve">“curtail </w:t>
      </w:r>
      <w:r w:rsidRPr="006C11E3">
        <w:rPr>
          <w:rFonts w:ascii="Arial" w:hAnsi="Arial" w:cs="Arial"/>
          <w:sz w:val="21"/>
          <w:szCs w:val="21"/>
        </w:rPr>
        <w:t>children’s access to the digital environment as a whole or interfere with their leisure opportunities”</w:t>
      </w:r>
      <w:r>
        <w:rPr>
          <w:rFonts w:ascii="Arial" w:hAnsi="Arial" w:cs="Arial"/>
          <w:sz w:val="21"/>
          <w:szCs w:val="21"/>
        </w:rPr>
        <w:t xml:space="preserve"> </w:t>
      </w:r>
      <w:r w:rsidRPr="006C11E3">
        <w:rPr>
          <w:rFonts w:ascii="Arial" w:hAnsi="Arial" w:cs="Arial"/>
          <w:sz w:val="21"/>
          <w:szCs w:val="21"/>
        </w:rPr>
        <w:t>(</w:t>
      </w:r>
      <w:r w:rsidRPr="000A15DD">
        <w:rPr>
          <w:rFonts w:ascii="Arial" w:hAnsi="Arial" w:cs="Arial"/>
          <w:b/>
          <w:bCs/>
          <w:i/>
          <w:iCs/>
          <w:sz w:val="21"/>
          <w:szCs w:val="21"/>
        </w:rPr>
        <w:t>Paragraph 120</w:t>
      </w:r>
      <w:r w:rsidRPr="006C11E3">
        <w:rPr>
          <w:rFonts w:ascii="Arial" w:hAnsi="Arial" w:cs="Arial"/>
          <w:sz w:val="21"/>
          <w:szCs w:val="21"/>
        </w:rPr>
        <w:t>).</w:t>
      </w:r>
      <w:r>
        <w:rPr>
          <w:rFonts w:ascii="Arial" w:hAnsi="Arial" w:cs="Arial"/>
          <w:sz w:val="21"/>
          <w:szCs w:val="21"/>
        </w:rPr>
        <w:t xml:space="preserve"> This requirement is vital</w:t>
      </w:r>
      <w:r w:rsidR="006425A8">
        <w:rPr>
          <w:rFonts w:ascii="Arial" w:hAnsi="Arial" w:cs="Arial"/>
          <w:sz w:val="21"/>
          <w:szCs w:val="21"/>
        </w:rPr>
        <w:t xml:space="preserve"> and </w:t>
      </w:r>
      <w:r>
        <w:rPr>
          <w:rFonts w:ascii="Arial" w:hAnsi="Arial" w:cs="Arial"/>
          <w:sz w:val="21"/>
          <w:szCs w:val="21"/>
        </w:rPr>
        <w:t xml:space="preserve">addresses </w:t>
      </w:r>
      <w:r w:rsidR="006425A8">
        <w:rPr>
          <w:rFonts w:ascii="Arial" w:hAnsi="Arial" w:cs="Arial"/>
          <w:sz w:val="21"/>
          <w:szCs w:val="21"/>
        </w:rPr>
        <w:t xml:space="preserve">an </w:t>
      </w:r>
      <w:r>
        <w:rPr>
          <w:rFonts w:ascii="Arial" w:hAnsi="Arial" w:cs="Arial"/>
          <w:sz w:val="21"/>
          <w:szCs w:val="21"/>
        </w:rPr>
        <w:t xml:space="preserve">overlooked consequence of </w:t>
      </w:r>
      <w:r w:rsidR="00925CB3">
        <w:rPr>
          <w:rFonts w:ascii="Arial" w:hAnsi="Arial" w:cs="Arial"/>
          <w:sz w:val="21"/>
          <w:szCs w:val="21"/>
        </w:rPr>
        <w:t xml:space="preserve">age-based </w:t>
      </w:r>
      <w:r>
        <w:rPr>
          <w:rFonts w:ascii="Arial" w:hAnsi="Arial" w:cs="Arial"/>
          <w:sz w:val="21"/>
          <w:szCs w:val="21"/>
        </w:rPr>
        <w:t>ratings systems</w:t>
      </w:r>
      <w:r w:rsidR="006425A8">
        <w:rPr>
          <w:rFonts w:ascii="Arial" w:hAnsi="Arial" w:cs="Arial"/>
          <w:sz w:val="21"/>
          <w:szCs w:val="21"/>
        </w:rPr>
        <w:t xml:space="preserve">, </w:t>
      </w:r>
      <w:r w:rsidR="00925CB3">
        <w:rPr>
          <w:rFonts w:ascii="Arial" w:hAnsi="Arial" w:cs="Arial"/>
          <w:sz w:val="21"/>
          <w:szCs w:val="21"/>
        </w:rPr>
        <w:t>which is the</w:t>
      </w:r>
      <w:r>
        <w:rPr>
          <w:rFonts w:ascii="Arial" w:hAnsi="Arial" w:cs="Arial"/>
          <w:sz w:val="21"/>
          <w:szCs w:val="21"/>
        </w:rPr>
        <w:t xml:space="preserve"> systematic exclusion of children from meaningful </w:t>
      </w:r>
      <w:r w:rsidR="00925CB3">
        <w:rPr>
          <w:rFonts w:ascii="Arial" w:hAnsi="Arial" w:cs="Arial"/>
          <w:sz w:val="21"/>
          <w:szCs w:val="21"/>
        </w:rPr>
        <w:t xml:space="preserve">leisure </w:t>
      </w:r>
      <w:r>
        <w:rPr>
          <w:rFonts w:ascii="Arial" w:hAnsi="Arial" w:cs="Arial"/>
          <w:sz w:val="21"/>
          <w:szCs w:val="21"/>
        </w:rPr>
        <w:t xml:space="preserve">experiences. </w:t>
      </w:r>
    </w:p>
    <w:p w14:paraId="34C0E53D" w14:textId="77777777" w:rsidR="00B51EAE" w:rsidRDefault="00B51EAE" w:rsidP="00B51EAE">
      <w:pPr>
        <w:rPr>
          <w:rFonts w:ascii="Arial" w:hAnsi="Arial" w:cs="Arial"/>
          <w:sz w:val="21"/>
          <w:szCs w:val="21"/>
        </w:rPr>
      </w:pPr>
    </w:p>
    <w:p w14:paraId="67271E23" w14:textId="5AE11AC2" w:rsidR="00B51EAE" w:rsidRDefault="00925CB3" w:rsidP="00B51EAE">
      <w:pPr>
        <w:rPr>
          <w:rFonts w:ascii="Arial" w:hAnsi="Arial" w:cs="Arial"/>
          <w:sz w:val="21"/>
          <w:szCs w:val="21"/>
        </w:rPr>
      </w:pPr>
      <w:r>
        <w:rPr>
          <w:rFonts w:ascii="Arial" w:hAnsi="Arial" w:cs="Arial"/>
          <w:sz w:val="21"/>
          <w:szCs w:val="21"/>
        </w:rPr>
        <w:t>I</w:t>
      </w:r>
      <w:r w:rsidR="00B51EAE">
        <w:rPr>
          <w:rFonts w:ascii="Arial" w:hAnsi="Arial" w:cs="Arial"/>
          <w:sz w:val="21"/>
          <w:szCs w:val="21"/>
        </w:rPr>
        <w:t xml:space="preserve">n addition to interfering with leisure opportunities, age-based ratings systems can also restrict children’s access to important forums for self-expression, information, and </w:t>
      </w:r>
      <w:r>
        <w:rPr>
          <w:rFonts w:ascii="Arial" w:hAnsi="Arial" w:cs="Arial"/>
          <w:sz w:val="21"/>
          <w:szCs w:val="21"/>
        </w:rPr>
        <w:t>content creation</w:t>
      </w:r>
      <w:r w:rsidR="00B51EAE">
        <w:rPr>
          <w:rFonts w:ascii="Arial" w:hAnsi="Arial" w:cs="Arial"/>
          <w:sz w:val="21"/>
          <w:szCs w:val="21"/>
        </w:rPr>
        <w:t xml:space="preserve">. </w:t>
      </w:r>
      <w:r>
        <w:rPr>
          <w:rFonts w:ascii="Arial" w:hAnsi="Arial" w:cs="Arial"/>
          <w:sz w:val="21"/>
          <w:szCs w:val="21"/>
        </w:rPr>
        <w:t>D</w:t>
      </w:r>
      <w:r w:rsidR="00B51EAE">
        <w:rPr>
          <w:rFonts w:ascii="Arial" w:hAnsi="Arial" w:cs="Arial"/>
          <w:sz w:val="21"/>
          <w:szCs w:val="21"/>
        </w:rPr>
        <w:t xml:space="preserve">igital games and apps are increasingly connected and social, </w:t>
      </w:r>
      <w:r>
        <w:rPr>
          <w:rFonts w:ascii="Arial" w:hAnsi="Arial" w:cs="Arial"/>
          <w:sz w:val="21"/>
          <w:szCs w:val="21"/>
        </w:rPr>
        <w:t xml:space="preserve">and </w:t>
      </w:r>
      <w:r w:rsidR="00B51EAE">
        <w:rPr>
          <w:rFonts w:ascii="Arial" w:hAnsi="Arial" w:cs="Arial"/>
          <w:sz w:val="21"/>
          <w:szCs w:val="21"/>
        </w:rPr>
        <w:t>their</w:t>
      </w:r>
      <w:r>
        <w:rPr>
          <w:rFonts w:ascii="Arial" w:hAnsi="Arial" w:cs="Arial"/>
          <w:sz w:val="21"/>
          <w:szCs w:val="21"/>
        </w:rPr>
        <w:t xml:space="preserve"> role </w:t>
      </w:r>
      <w:r w:rsidR="00B51EAE">
        <w:rPr>
          <w:rFonts w:ascii="Arial" w:hAnsi="Arial" w:cs="Arial"/>
          <w:sz w:val="21"/>
          <w:szCs w:val="21"/>
        </w:rPr>
        <w:t xml:space="preserve">in children’s lives </w:t>
      </w:r>
      <w:r>
        <w:rPr>
          <w:rFonts w:ascii="Arial" w:hAnsi="Arial" w:cs="Arial"/>
          <w:sz w:val="21"/>
          <w:szCs w:val="21"/>
        </w:rPr>
        <w:t>continues to expand</w:t>
      </w:r>
      <w:r w:rsidR="00B51EAE">
        <w:rPr>
          <w:rFonts w:ascii="Arial" w:hAnsi="Arial" w:cs="Arial"/>
          <w:sz w:val="21"/>
          <w:szCs w:val="21"/>
        </w:rPr>
        <w:t xml:space="preserve">. Ratings </w:t>
      </w:r>
      <w:r w:rsidR="00B51EAE">
        <w:rPr>
          <w:rFonts w:ascii="Arial" w:hAnsi="Arial" w:cs="Arial"/>
          <w:sz w:val="21"/>
          <w:szCs w:val="21"/>
        </w:rPr>
        <w:lastRenderedPageBreak/>
        <w:t>systems and other forms of industry regulation,</w:t>
      </w:r>
      <w:r>
        <w:rPr>
          <w:rFonts w:ascii="Arial" w:hAnsi="Arial" w:cs="Arial"/>
          <w:sz w:val="21"/>
          <w:szCs w:val="21"/>
        </w:rPr>
        <w:t xml:space="preserve"> including</w:t>
      </w:r>
      <w:r w:rsidR="00B51EAE">
        <w:rPr>
          <w:rFonts w:ascii="Arial" w:hAnsi="Arial" w:cs="Arial"/>
          <w:sz w:val="21"/>
          <w:szCs w:val="21"/>
        </w:rPr>
        <w:t xml:space="preserve"> industry codes and terms of services, should </w:t>
      </w:r>
      <w:r>
        <w:rPr>
          <w:rFonts w:ascii="Arial" w:hAnsi="Arial" w:cs="Arial"/>
          <w:sz w:val="21"/>
          <w:szCs w:val="21"/>
        </w:rPr>
        <w:t xml:space="preserve">thus be required to </w:t>
      </w:r>
      <w:r w:rsidR="00B51EAE">
        <w:rPr>
          <w:rFonts w:ascii="Arial" w:hAnsi="Arial" w:cs="Arial"/>
          <w:sz w:val="21"/>
          <w:szCs w:val="21"/>
        </w:rPr>
        <w:t xml:space="preserve">support </w:t>
      </w:r>
      <w:r>
        <w:rPr>
          <w:rFonts w:ascii="Arial" w:hAnsi="Arial" w:cs="Arial"/>
          <w:sz w:val="21"/>
          <w:szCs w:val="21"/>
        </w:rPr>
        <w:t xml:space="preserve">a more comprehensive range of </w:t>
      </w:r>
      <w:r w:rsidR="00B51EAE">
        <w:rPr>
          <w:rFonts w:ascii="Arial" w:hAnsi="Arial" w:cs="Arial"/>
          <w:sz w:val="21"/>
          <w:szCs w:val="21"/>
        </w:rPr>
        <w:t>children’s rights</w:t>
      </w:r>
      <w:r w:rsidR="00B51EAE" w:rsidRPr="00024594">
        <w:rPr>
          <w:rFonts w:ascii="Arial" w:hAnsi="Arial" w:cs="Arial"/>
          <w:sz w:val="21"/>
          <w:szCs w:val="21"/>
        </w:rPr>
        <w:t xml:space="preserve">. </w:t>
      </w:r>
      <w:r w:rsidR="00024594" w:rsidRPr="00024594">
        <w:rPr>
          <w:rFonts w:ascii="Arial" w:hAnsi="Arial" w:cs="Arial"/>
          <w:sz w:val="21"/>
          <w:szCs w:val="21"/>
        </w:rPr>
        <w:t>Similarly</w:t>
      </w:r>
      <w:r w:rsidRPr="00024594">
        <w:rPr>
          <w:rFonts w:ascii="Arial" w:hAnsi="Arial" w:cs="Arial"/>
          <w:sz w:val="21"/>
          <w:szCs w:val="21"/>
        </w:rPr>
        <w:t>,</w:t>
      </w:r>
      <w:r w:rsidR="00B51EAE" w:rsidRPr="00024594">
        <w:rPr>
          <w:rFonts w:ascii="Arial" w:hAnsi="Arial" w:cs="Arial"/>
          <w:sz w:val="21"/>
          <w:szCs w:val="21"/>
        </w:rPr>
        <w:t xml:space="preserve"> </w:t>
      </w:r>
      <w:r w:rsidRPr="00024594">
        <w:rPr>
          <w:rFonts w:ascii="Arial" w:hAnsi="Arial" w:cs="Arial"/>
          <w:sz w:val="21"/>
          <w:szCs w:val="21"/>
        </w:rPr>
        <w:t>in</w:t>
      </w:r>
      <w:r>
        <w:rPr>
          <w:rFonts w:ascii="Arial" w:hAnsi="Arial" w:cs="Arial"/>
          <w:sz w:val="21"/>
          <w:szCs w:val="21"/>
        </w:rPr>
        <w:t xml:space="preserve"> </w:t>
      </w:r>
      <w:r w:rsidR="00B51EAE" w:rsidRPr="008B5164">
        <w:rPr>
          <w:rFonts w:ascii="Arial" w:hAnsi="Arial" w:cs="Arial"/>
          <w:b/>
          <w:bCs/>
          <w:i/>
          <w:iCs/>
          <w:sz w:val="21"/>
          <w:szCs w:val="21"/>
        </w:rPr>
        <w:t>Paragraph 39</w:t>
      </w:r>
      <w:r w:rsidR="00B51EAE">
        <w:rPr>
          <w:rFonts w:ascii="Arial" w:hAnsi="Arial" w:cs="Arial"/>
          <w:sz w:val="21"/>
          <w:szCs w:val="21"/>
        </w:rPr>
        <w:t xml:space="preserve"> </w:t>
      </w:r>
      <w:r>
        <w:rPr>
          <w:rFonts w:ascii="Arial" w:hAnsi="Arial" w:cs="Arial"/>
          <w:sz w:val="21"/>
          <w:szCs w:val="21"/>
        </w:rPr>
        <w:t xml:space="preserve">it should be clarified that the </w:t>
      </w:r>
      <w:r w:rsidR="00B51EAE">
        <w:rPr>
          <w:rFonts w:ascii="Arial" w:hAnsi="Arial" w:cs="Arial"/>
          <w:sz w:val="21"/>
          <w:szCs w:val="21"/>
        </w:rPr>
        <w:t>“best interests of children” includes opportunities for play</w:t>
      </w:r>
      <w:r>
        <w:rPr>
          <w:rFonts w:ascii="Arial" w:hAnsi="Arial" w:cs="Arial"/>
          <w:sz w:val="21"/>
          <w:szCs w:val="21"/>
        </w:rPr>
        <w:t xml:space="preserve"> </w:t>
      </w:r>
      <w:r w:rsidR="00B51EAE">
        <w:rPr>
          <w:rFonts w:ascii="Arial" w:hAnsi="Arial" w:cs="Arial"/>
          <w:sz w:val="21"/>
          <w:szCs w:val="21"/>
        </w:rPr>
        <w:t xml:space="preserve">and cultural life.  </w:t>
      </w:r>
    </w:p>
    <w:p w14:paraId="1DF43813" w14:textId="77777777" w:rsidR="00B51EAE" w:rsidRPr="006C11E3" w:rsidRDefault="00B51EAE">
      <w:pPr>
        <w:rPr>
          <w:rFonts w:ascii="Arial" w:hAnsi="Arial" w:cs="Arial"/>
          <w:sz w:val="21"/>
          <w:szCs w:val="21"/>
        </w:rPr>
      </w:pPr>
    </w:p>
    <w:p w14:paraId="55A4C0C5" w14:textId="59A462E1" w:rsidR="00ED601C" w:rsidRPr="00705903" w:rsidRDefault="005F40ED" w:rsidP="00705903">
      <w:pPr>
        <w:rPr>
          <w:rFonts w:ascii="Arial" w:hAnsi="Arial" w:cs="Arial"/>
          <w:b/>
          <w:bCs/>
          <w:sz w:val="21"/>
          <w:szCs w:val="21"/>
          <w:u w:val="single"/>
        </w:rPr>
      </w:pPr>
      <w:r>
        <w:rPr>
          <w:rFonts w:ascii="Arial" w:hAnsi="Arial" w:cs="Arial"/>
          <w:b/>
          <w:bCs/>
          <w:sz w:val="21"/>
          <w:szCs w:val="21"/>
          <w:u w:val="single"/>
        </w:rPr>
        <w:t>Foster</w:t>
      </w:r>
      <w:r w:rsidR="006335AD">
        <w:rPr>
          <w:rFonts w:ascii="Arial" w:hAnsi="Arial" w:cs="Arial"/>
          <w:b/>
          <w:bCs/>
          <w:sz w:val="21"/>
          <w:szCs w:val="21"/>
          <w:u w:val="single"/>
        </w:rPr>
        <w:t>ing</w:t>
      </w:r>
      <w:r>
        <w:rPr>
          <w:rFonts w:ascii="Arial" w:hAnsi="Arial" w:cs="Arial"/>
          <w:b/>
          <w:bCs/>
          <w:sz w:val="21"/>
          <w:szCs w:val="21"/>
          <w:u w:val="single"/>
        </w:rPr>
        <w:t xml:space="preserve"> i</w:t>
      </w:r>
      <w:r w:rsidR="00516639" w:rsidRPr="0057600C">
        <w:rPr>
          <w:rFonts w:ascii="Arial" w:hAnsi="Arial" w:cs="Arial"/>
          <w:b/>
          <w:bCs/>
          <w:sz w:val="21"/>
          <w:szCs w:val="21"/>
          <w:u w:val="single"/>
        </w:rPr>
        <w:t>ndustry</w:t>
      </w:r>
      <w:r>
        <w:rPr>
          <w:rFonts w:ascii="Arial" w:hAnsi="Arial" w:cs="Arial"/>
          <w:b/>
          <w:bCs/>
          <w:sz w:val="21"/>
          <w:szCs w:val="21"/>
          <w:u w:val="single"/>
        </w:rPr>
        <w:t xml:space="preserve"> support </w:t>
      </w:r>
      <w:r w:rsidR="00516639" w:rsidRPr="0057600C">
        <w:rPr>
          <w:rFonts w:ascii="Arial" w:hAnsi="Arial" w:cs="Arial"/>
          <w:b/>
          <w:bCs/>
          <w:sz w:val="21"/>
          <w:szCs w:val="21"/>
          <w:u w:val="single"/>
        </w:rPr>
        <w:t>and cross-sector collaboration</w:t>
      </w:r>
    </w:p>
    <w:p w14:paraId="342FF4EE" w14:textId="69AF6CEC" w:rsidR="00E2639C" w:rsidRDefault="001438C1" w:rsidP="00516639">
      <w:pPr>
        <w:rPr>
          <w:rFonts w:ascii="Arial" w:hAnsi="Arial" w:cs="Arial"/>
          <w:sz w:val="21"/>
          <w:szCs w:val="21"/>
        </w:rPr>
      </w:pPr>
      <w:r>
        <w:rPr>
          <w:rFonts w:ascii="Arial" w:hAnsi="Arial" w:cs="Arial"/>
          <w:sz w:val="21"/>
          <w:szCs w:val="21"/>
        </w:rPr>
        <w:t xml:space="preserve">Now more than ever, the </w:t>
      </w:r>
      <w:r w:rsidR="00E2639C">
        <w:rPr>
          <w:rFonts w:ascii="Arial" w:hAnsi="Arial" w:cs="Arial"/>
          <w:sz w:val="21"/>
          <w:szCs w:val="21"/>
        </w:rPr>
        <w:t>“</w:t>
      </w:r>
      <w:r>
        <w:rPr>
          <w:rFonts w:ascii="Arial" w:hAnsi="Arial" w:cs="Arial"/>
          <w:sz w:val="21"/>
          <w:szCs w:val="21"/>
        </w:rPr>
        <w:t>m</w:t>
      </w:r>
      <w:r w:rsidR="00ED601C">
        <w:rPr>
          <w:rFonts w:ascii="Arial" w:hAnsi="Arial" w:cs="Arial"/>
          <w:sz w:val="21"/>
          <w:szCs w:val="21"/>
        </w:rPr>
        <w:t>ass media</w:t>
      </w:r>
      <w:r w:rsidR="00E2639C">
        <w:rPr>
          <w:rFonts w:ascii="Arial" w:hAnsi="Arial" w:cs="Arial"/>
          <w:sz w:val="21"/>
          <w:szCs w:val="21"/>
        </w:rPr>
        <w:t>”</w:t>
      </w:r>
      <w:r w:rsidR="00ED601C">
        <w:rPr>
          <w:rFonts w:ascii="Arial" w:hAnsi="Arial" w:cs="Arial"/>
          <w:sz w:val="21"/>
          <w:szCs w:val="21"/>
        </w:rPr>
        <w:t xml:space="preserve"> </w:t>
      </w:r>
      <w:r w:rsidR="00E2639C">
        <w:rPr>
          <w:rFonts w:ascii="Arial" w:hAnsi="Arial" w:cs="Arial"/>
          <w:sz w:val="21"/>
          <w:szCs w:val="21"/>
        </w:rPr>
        <w:t xml:space="preserve">(media </w:t>
      </w:r>
      <w:r w:rsidR="00ED601C">
        <w:rPr>
          <w:rFonts w:ascii="Arial" w:hAnsi="Arial" w:cs="Arial"/>
          <w:sz w:val="21"/>
          <w:szCs w:val="21"/>
        </w:rPr>
        <w:t>and associated industries</w:t>
      </w:r>
      <w:r w:rsidR="00E2639C">
        <w:rPr>
          <w:rFonts w:ascii="Arial" w:hAnsi="Arial" w:cs="Arial"/>
          <w:sz w:val="21"/>
          <w:szCs w:val="21"/>
        </w:rPr>
        <w:t xml:space="preserve">, such as </w:t>
      </w:r>
      <w:r w:rsidR="001F5524">
        <w:rPr>
          <w:rFonts w:ascii="Arial" w:hAnsi="Arial" w:cs="Arial"/>
          <w:sz w:val="21"/>
          <w:szCs w:val="21"/>
        </w:rPr>
        <w:t xml:space="preserve">the </w:t>
      </w:r>
      <w:r w:rsidR="00C13A69">
        <w:rPr>
          <w:rFonts w:ascii="Arial" w:hAnsi="Arial" w:cs="Arial"/>
          <w:sz w:val="21"/>
          <w:szCs w:val="21"/>
        </w:rPr>
        <w:t xml:space="preserve">digital </w:t>
      </w:r>
      <w:r w:rsidR="00ED601C">
        <w:rPr>
          <w:rFonts w:ascii="Arial" w:hAnsi="Arial" w:cs="Arial"/>
          <w:sz w:val="21"/>
          <w:szCs w:val="21"/>
        </w:rPr>
        <w:t xml:space="preserve">game industry) have </w:t>
      </w:r>
      <w:r>
        <w:rPr>
          <w:rFonts w:ascii="Arial" w:hAnsi="Arial" w:cs="Arial"/>
          <w:sz w:val="21"/>
          <w:szCs w:val="21"/>
        </w:rPr>
        <w:t xml:space="preserve">a </w:t>
      </w:r>
      <w:r w:rsidR="00ED601C">
        <w:rPr>
          <w:rFonts w:ascii="Arial" w:hAnsi="Arial" w:cs="Arial"/>
          <w:sz w:val="21"/>
          <w:szCs w:val="21"/>
        </w:rPr>
        <w:t xml:space="preserve">crucial role to play in </w:t>
      </w:r>
      <w:r w:rsidR="00C13A69">
        <w:rPr>
          <w:rFonts w:ascii="Arial" w:hAnsi="Arial" w:cs="Arial"/>
          <w:sz w:val="21"/>
          <w:szCs w:val="21"/>
        </w:rPr>
        <w:t xml:space="preserve">both </w:t>
      </w:r>
      <w:r w:rsidR="00ED601C">
        <w:rPr>
          <w:rFonts w:ascii="Arial" w:hAnsi="Arial" w:cs="Arial"/>
          <w:sz w:val="21"/>
          <w:szCs w:val="21"/>
        </w:rPr>
        <w:t xml:space="preserve">producing </w:t>
      </w:r>
      <w:r w:rsidR="001F5524">
        <w:rPr>
          <w:rFonts w:ascii="Arial" w:hAnsi="Arial" w:cs="Arial"/>
          <w:sz w:val="21"/>
          <w:szCs w:val="21"/>
        </w:rPr>
        <w:t>varied</w:t>
      </w:r>
      <w:r w:rsidR="00ED601C">
        <w:rPr>
          <w:rFonts w:ascii="Arial" w:hAnsi="Arial" w:cs="Arial"/>
          <w:sz w:val="21"/>
          <w:szCs w:val="21"/>
        </w:rPr>
        <w:t xml:space="preserve"> forms of content for children, as well as supporting child</w:t>
      </w:r>
      <w:r w:rsidR="000F378C">
        <w:rPr>
          <w:rFonts w:ascii="Arial" w:hAnsi="Arial" w:cs="Arial"/>
          <w:sz w:val="21"/>
          <w:szCs w:val="21"/>
        </w:rPr>
        <w:t xml:space="preserve">ren in the production and sharing of their </w:t>
      </w:r>
      <w:r w:rsidR="000F378C" w:rsidRPr="000F378C">
        <w:rPr>
          <w:rFonts w:ascii="Arial" w:hAnsi="Arial" w:cs="Arial"/>
          <w:i/>
          <w:iCs/>
          <w:sz w:val="21"/>
          <w:szCs w:val="21"/>
        </w:rPr>
        <w:t>own</w:t>
      </w:r>
      <w:r w:rsidR="000F378C">
        <w:rPr>
          <w:rFonts w:ascii="Arial" w:hAnsi="Arial" w:cs="Arial"/>
          <w:sz w:val="21"/>
          <w:szCs w:val="21"/>
        </w:rPr>
        <w:t xml:space="preserve"> content </w:t>
      </w:r>
      <w:r w:rsidR="00EC7E50">
        <w:rPr>
          <w:rFonts w:ascii="Arial" w:hAnsi="Arial" w:cs="Arial"/>
          <w:sz w:val="21"/>
          <w:szCs w:val="21"/>
        </w:rPr>
        <w:t>(</w:t>
      </w:r>
      <w:r w:rsidR="001500E5" w:rsidRPr="001F5524">
        <w:rPr>
          <w:rFonts w:ascii="Arial" w:hAnsi="Arial" w:cs="Arial"/>
          <w:b/>
          <w:bCs/>
          <w:i/>
          <w:iCs/>
          <w:sz w:val="21"/>
          <w:szCs w:val="21"/>
        </w:rPr>
        <w:t>Paragraph 51</w:t>
      </w:r>
      <w:r w:rsidR="00EC7E50">
        <w:rPr>
          <w:rFonts w:ascii="Arial" w:hAnsi="Arial" w:cs="Arial"/>
          <w:sz w:val="21"/>
          <w:szCs w:val="21"/>
        </w:rPr>
        <w:t>)</w:t>
      </w:r>
      <w:r>
        <w:rPr>
          <w:rFonts w:ascii="Arial" w:hAnsi="Arial" w:cs="Arial"/>
          <w:sz w:val="21"/>
          <w:szCs w:val="21"/>
        </w:rPr>
        <w:t>.</w:t>
      </w:r>
      <w:r w:rsidR="00B45A7C">
        <w:rPr>
          <w:rFonts w:ascii="Arial" w:hAnsi="Arial" w:cs="Arial"/>
          <w:sz w:val="21"/>
          <w:szCs w:val="21"/>
        </w:rPr>
        <w:t xml:space="preserve"> </w:t>
      </w:r>
      <w:r w:rsidR="00EC7E50">
        <w:rPr>
          <w:rFonts w:ascii="Arial" w:hAnsi="Arial" w:cs="Arial"/>
          <w:sz w:val="21"/>
          <w:szCs w:val="21"/>
        </w:rPr>
        <w:t>The importance of the relationship between children, children’s rights</w:t>
      </w:r>
      <w:r w:rsidR="00EC7E50">
        <w:rPr>
          <w:rFonts w:ascii="Arial" w:hAnsi="Arial" w:cs="Arial"/>
          <w:sz w:val="21"/>
          <w:szCs w:val="21"/>
        </w:rPr>
        <w:t>,</w:t>
      </w:r>
      <w:r w:rsidR="00EC7E50">
        <w:rPr>
          <w:rFonts w:ascii="Arial" w:hAnsi="Arial" w:cs="Arial"/>
          <w:sz w:val="21"/>
          <w:szCs w:val="21"/>
        </w:rPr>
        <w:t xml:space="preserve"> and the media</w:t>
      </w:r>
      <w:r w:rsidR="00EC7E50">
        <w:rPr>
          <w:rFonts w:ascii="Arial" w:hAnsi="Arial" w:cs="Arial"/>
          <w:sz w:val="21"/>
          <w:szCs w:val="21"/>
        </w:rPr>
        <w:t xml:space="preserve"> </w:t>
      </w:r>
      <w:r w:rsidR="000807A0">
        <w:rPr>
          <w:rFonts w:ascii="Arial" w:hAnsi="Arial" w:cs="Arial"/>
          <w:sz w:val="21"/>
          <w:szCs w:val="21"/>
        </w:rPr>
        <w:t xml:space="preserve">is </w:t>
      </w:r>
      <w:r w:rsidR="000A15DD">
        <w:rPr>
          <w:rFonts w:ascii="Arial" w:hAnsi="Arial" w:cs="Arial"/>
          <w:sz w:val="21"/>
          <w:szCs w:val="21"/>
        </w:rPr>
        <w:t xml:space="preserve">further supported by </w:t>
      </w:r>
      <w:r w:rsidR="000A15DD" w:rsidRPr="000A15DD">
        <w:rPr>
          <w:rFonts w:ascii="Arial" w:hAnsi="Arial" w:cs="Arial"/>
          <w:b/>
          <w:bCs/>
          <w:i/>
          <w:iCs/>
          <w:sz w:val="21"/>
          <w:szCs w:val="21"/>
        </w:rPr>
        <w:t>Paragraph 117</w:t>
      </w:r>
      <w:r w:rsidR="000A15DD">
        <w:rPr>
          <w:rFonts w:ascii="Arial" w:hAnsi="Arial" w:cs="Arial"/>
          <w:sz w:val="21"/>
          <w:szCs w:val="21"/>
        </w:rPr>
        <w:t xml:space="preserve">, which outlines that </w:t>
      </w:r>
      <w:r w:rsidR="008B5164">
        <w:rPr>
          <w:rFonts w:ascii="Arial" w:hAnsi="Arial" w:cs="Arial"/>
          <w:sz w:val="21"/>
          <w:szCs w:val="21"/>
        </w:rPr>
        <w:t>digital technologies and services made for and/or accessed by children must be “</w:t>
      </w:r>
      <w:r w:rsidR="000A15DD" w:rsidRPr="000A15DD">
        <w:rPr>
          <w:rFonts w:ascii="Arial" w:hAnsi="Arial" w:cs="Arial"/>
          <w:sz w:val="21"/>
          <w:szCs w:val="21"/>
        </w:rPr>
        <w:t>designed, distributed and used in ways that enhance children’s opportunities for culture, recreation and play.</w:t>
      </w:r>
      <w:r w:rsidR="000A15DD">
        <w:rPr>
          <w:rFonts w:ascii="Arial" w:hAnsi="Arial" w:cs="Arial"/>
          <w:sz w:val="21"/>
          <w:szCs w:val="21"/>
        </w:rPr>
        <w:t>”</w:t>
      </w:r>
      <w:r w:rsidR="008B5164">
        <w:rPr>
          <w:rFonts w:ascii="Arial" w:hAnsi="Arial" w:cs="Arial"/>
          <w:sz w:val="21"/>
          <w:szCs w:val="21"/>
        </w:rPr>
        <w:t xml:space="preserve"> </w:t>
      </w:r>
      <w:r w:rsidR="001500E5">
        <w:rPr>
          <w:rFonts w:ascii="Arial" w:hAnsi="Arial" w:cs="Arial"/>
          <w:sz w:val="21"/>
          <w:szCs w:val="21"/>
        </w:rPr>
        <w:t xml:space="preserve">As </w:t>
      </w:r>
      <w:r w:rsidR="00450ACE">
        <w:rPr>
          <w:rFonts w:ascii="Arial" w:hAnsi="Arial" w:cs="Arial"/>
          <w:sz w:val="21"/>
          <w:szCs w:val="21"/>
        </w:rPr>
        <w:t>described</w:t>
      </w:r>
      <w:r w:rsidR="001500E5">
        <w:rPr>
          <w:rFonts w:ascii="Arial" w:hAnsi="Arial" w:cs="Arial"/>
          <w:sz w:val="21"/>
          <w:szCs w:val="21"/>
        </w:rPr>
        <w:t xml:space="preserve"> in </w:t>
      </w:r>
      <w:r w:rsidR="001500E5" w:rsidRPr="001F5524">
        <w:rPr>
          <w:rFonts w:ascii="Arial" w:hAnsi="Arial" w:cs="Arial"/>
          <w:b/>
          <w:bCs/>
          <w:i/>
          <w:iCs/>
          <w:sz w:val="21"/>
          <w:szCs w:val="21"/>
        </w:rPr>
        <w:t>Paragraph 52</w:t>
      </w:r>
      <w:r w:rsidR="001500E5">
        <w:rPr>
          <w:rFonts w:ascii="Arial" w:hAnsi="Arial" w:cs="Arial"/>
          <w:sz w:val="21"/>
          <w:szCs w:val="21"/>
        </w:rPr>
        <w:t xml:space="preserve">, </w:t>
      </w:r>
      <w:r w:rsidR="000F378C">
        <w:rPr>
          <w:rFonts w:ascii="Arial" w:hAnsi="Arial" w:cs="Arial"/>
          <w:sz w:val="21"/>
          <w:szCs w:val="21"/>
        </w:rPr>
        <w:t>State support is often necessary to ensure a diversity of perspectives and a plurality of media producers, creators, platforms and service providers</w:t>
      </w:r>
      <w:r w:rsidR="00B45A7C">
        <w:rPr>
          <w:rFonts w:ascii="Arial" w:hAnsi="Arial" w:cs="Arial"/>
          <w:sz w:val="21"/>
          <w:szCs w:val="21"/>
        </w:rPr>
        <w:t>.</w:t>
      </w:r>
      <w:r w:rsidR="004C56B2">
        <w:rPr>
          <w:rFonts w:ascii="Arial" w:hAnsi="Arial" w:cs="Arial"/>
          <w:sz w:val="21"/>
          <w:szCs w:val="21"/>
        </w:rPr>
        <w:t xml:space="preserve"> </w:t>
      </w:r>
      <w:r w:rsidR="00B45A7C">
        <w:rPr>
          <w:rFonts w:ascii="Arial" w:hAnsi="Arial" w:cs="Arial"/>
          <w:sz w:val="21"/>
          <w:szCs w:val="21"/>
        </w:rPr>
        <w:t>T</w:t>
      </w:r>
      <w:r w:rsidR="004C56B2">
        <w:rPr>
          <w:rFonts w:ascii="Arial" w:hAnsi="Arial" w:cs="Arial"/>
          <w:sz w:val="21"/>
          <w:szCs w:val="21"/>
        </w:rPr>
        <w:t xml:space="preserve">his provision </w:t>
      </w:r>
      <w:r w:rsidR="00B45A7C">
        <w:rPr>
          <w:rFonts w:ascii="Arial" w:hAnsi="Arial" w:cs="Arial"/>
          <w:sz w:val="21"/>
          <w:szCs w:val="21"/>
        </w:rPr>
        <w:t xml:space="preserve">supports </w:t>
      </w:r>
      <w:r w:rsidR="004C56B2">
        <w:rPr>
          <w:rFonts w:ascii="Arial" w:hAnsi="Arial" w:cs="Arial"/>
          <w:sz w:val="21"/>
          <w:szCs w:val="21"/>
        </w:rPr>
        <w:t>the creation of robust and inclusive media ecosystems. However</w:t>
      </w:r>
      <w:r w:rsidR="002A364C">
        <w:rPr>
          <w:rFonts w:ascii="Arial" w:hAnsi="Arial" w:cs="Arial"/>
          <w:sz w:val="21"/>
          <w:szCs w:val="21"/>
        </w:rPr>
        <w:t>, i</w:t>
      </w:r>
      <w:r w:rsidR="00722AEC" w:rsidRPr="00722AEC">
        <w:rPr>
          <w:rFonts w:ascii="Arial" w:hAnsi="Arial" w:cs="Arial"/>
          <w:sz w:val="21"/>
          <w:szCs w:val="21"/>
        </w:rPr>
        <w:t xml:space="preserve">t is important to </w:t>
      </w:r>
      <w:r w:rsidR="004C56B2">
        <w:rPr>
          <w:rFonts w:ascii="Arial" w:hAnsi="Arial" w:cs="Arial"/>
          <w:sz w:val="21"/>
          <w:szCs w:val="21"/>
        </w:rPr>
        <w:t>remember</w:t>
      </w:r>
      <w:r w:rsidR="00722AEC" w:rsidRPr="00722AEC">
        <w:rPr>
          <w:rFonts w:ascii="Arial" w:hAnsi="Arial" w:cs="Arial"/>
          <w:sz w:val="21"/>
          <w:szCs w:val="21"/>
        </w:rPr>
        <w:t xml:space="preserve"> that</w:t>
      </w:r>
      <w:r w:rsidR="00BB2D40">
        <w:rPr>
          <w:rFonts w:ascii="Arial" w:hAnsi="Arial" w:cs="Arial"/>
          <w:sz w:val="21"/>
          <w:szCs w:val="21"/>
        </w:rPr>
        <w:t xml:space="preserve"> </w:t>
      </w:r>
      <w:r w:rsidR="00E2639C">
        <w:rPr>
          <w:rFonts w:ascii="Arial" w:hAnsi="Arial" w:cs="Arial"/>
          <w:sz w:val="21"/>
          <w:szCs w:val="21"/>
        </w:rPr>
        <w:t xml:space="preserve">mass </w:t>
      </w:r>
      <w:r w:rsidR="002A364C">
        <w:rPr>
          <w:rFonts w:ascii="Arial" w:hAnsi="Arial" w:cs="Arial"/>
          <w:sz w:val="21"/>
          <w:szCs w:val="21"/>
        </w:rPr>
        <w:t>media</w:t>
      </w:r>
      <w:r w:rsidR="004C56B2">
        <w:rPr>
          <w:rFonts w:ascii="Arial" w:hAnsi="Arial" w:cs="Arial"/>
          <w:sz w:val="21"/>
          <w:szCs w:val="21"/>
        </w:rPr>
        <w:t xml:space="preserve"> companies</w:t>
      </w:r>
      <w:r w:rsidR="00450ACE">
        <w:rPr>
          <w:rFonts w:ascii="Arial" w:hAnsi="Arial" w:cs="Arial"/>
          <w:sz w:val="21"/>
          <w:szCs w:val="21"/>
        </w:rPr>
        <w:t xml:space="preserve"> </w:t>
      </w:r>
      <w:r w:rsidR="00E2639C">
        <w:rPr>
          <w:rFonts w:ascii="Arial" w:hAnsi="Arial" w:cs="Arial"/>
          <w:sz w:val="21"/>
          <w:szCs w:val="21"/>
        </w:rPr>
        <w:t>are among those businesses that have been found infringing upon children’s rights</w:t>
      </w:r>
      <w:r w:rsidR="00EC7E50">
        <w:rPr>
          <w:rFonts w:ascii="Arial" w:hAnsi="Arial" w:cs="Arial"/>
          <w:sz w:val="21"/>
          <w:szCs w:val="21"/>
        </w:rPr>
        <w:t xml:space="preserve">. </w:t>
      </w:r>
      <w:r w:rsidR="00E2639C">
        <w:rPr>
          <w:rFonts w:ascii="Arial" w:hAnsi="Arial" w:cs="Arial"/>
          <w:sz w:val="21"/>
          <w:szCs w:val="21"/>
        </w:rPr>
        <w:t xml:space="preserve">For instance, some </w:t>
      </w:r>
      <w:r w:rsidR="00EC7E50">
        <w:rPr>
          <w:rFonts w:ascii="Arial" w:hAnsi="Arial" w:cs="Arial"/>
          <w:sz w:val="21"/>
          <w:szCs w:val="21"/>
        </w:rPr>
        <w:t xml:space="preserve">game companies provide rich and diverse </w:t>
      </w:r>
      <w:r w:rsidR="00E2639C">
        <w:rPr>
          <w:rFonts w:ascii="Arial" w:hAnsi="Arial" w:cs="Arial"/>
          <w:sz w:val="21"/>
          <w:szCs w:val="21"/>
        </w:rPr>
        <w:t xml:space="preserve">play </w:t>
      </w:r>
      <w:r w:rsidR="00EC7E50">
        <w:rPr>
          <w:rFonts w:ascii="Arial" w:hAnsi="Arial" w:cs="Arial"/>
          <w:sz w:val="21"/>
          <w:szCs w:val="21"/>
        </w:rPr>
        <w:t>experiences for children,</w:t>
      </w:r>
      <w:r w:rsidR="00722AEC">
        <w:rPr>
          <w:rFonts w:ascii="Arial" w:hAnsi="Arial" w:cs="Arial"/>
          <w:sz w:val="21"/>
          <w:szCs w:val="21"/>
        </w:rPr>
        <w:t xml:space="preserve"> </w:t>
      </w:r>
      <w:r w:rsidR="00EC7E50">
        <w:rPr>
          <w:rFonts w:ascii="Arial" w:hAnsi="Arial" w:cs="Arial"/>
          <w:sz w:val="21"/>
          <w:szCs w:val="21"/>
        </w:rPr>
        <w:t>that also feature</w:t>
      </w:r>
      <w:r w:rsidR="00722AEC">
        <w:rPr>
          <w:rFonts w:ascii="Arial" w:hAnsi="Arial" w:cs="Arial"/>
          <w:sz w:val="21"/>
          <w:szCs w:val="21"/>
        </w:rPr>
        <w:t xml:space="preserve"> gambling-like design </w:t>
      </w:r>
      <w:r w:rsidR="00EC7E50">
        <w:rPr>
          <w:rFonts w:ascii="Arial" w:hAnsi="Arial" w:cs="Arial"/>
          <w:sz w:val="21"/>
          <w:szCs w:val="21"/>
        </w:rPr>
        <w:t>mechanics.</w:t>
      </w:r>
      <w:r w:rsidR="00B45A7C">
        <w:rPr>
          <w:rFonts w:ascii="Arial" w:hAnsi="Arial" w:cs="Arial"/>
          <w:sz w:val="21"/>
          <w:szCs w:val="21"/>
        </w:rPr>
        <w:t xml:space="preserve"> </w:t>
      </w:r>
      <w:r w:rsidR="002C6D1A">
        <w:rPr>
          <w:rFonts w:ascii="Arial" w:hAnsi="Arial" w:cs="Arial"/>
          <w:sz w:val="21"/>
          <w:szCs w:val="21"/>
        </w:rPr>
        <w:t>Some</w:t>
      </w:r>
      <w:r w:rsidR="00B45A7C">
        <w:rPr>
          <w:rFonts w:ascii="Arial" w:hAnsi="Arial" w:cs="Arial"/>
          <w:sz w:val="21"/>
          <w:szCs w:val="21"/>
        </w:rPr>
        <w:t xml:space="preserve"> media companies </w:t>
      </w:r>
      <w:r w:rsidR="00E2639C">
        <w:rPr>
          <w:rFonts w:ascii="Arial" w:hAnsi="Arial" w:cs="Arial"/>
          <w:sz w:val="21"/>
          <w:szCs w:val="21"/>
        </w:rPr>
        <w:t>create</w:t>
      </w:r>
      <w:r w:rsidR="002C6D1A">
        <w:rPr>
          <w:rFonts w:ascii="Arial" w:hAnsi="Arial" w:cs="Arial"/>
          <w:sz w:val="21"/>
          <w:szCs w:val="21"/>
        </w:rPr>
        <w:t xml:space="preserve"> diverse and high-quality content for children</w:t>
      </w:r>
      <w:r w:rsidR="00E2639C">
        <w:rPr>
          <w:rFonts w:ascii="Arial" w:hAnsi="Arial" w:cs="Arial"/>
          <w:sz w:val="21"/>
          <w:szCs w:val="21"/>
        </w:rPr>
        <w:t>, while engaging</w:t>
      </w:r>
      <w:r w:rsidR="00B45A7C">
        <w:rPr>
          <w:rFonts w:ascii="Arial" w:hAnsi="Arial" w:cs="Arial"/>
          <w:sz w:val="21"/>
          <w:szCs w:val="21"/>
        </w:rPr>
        <w:t xml:space="preserve"> in</w:t>
      </w:r>
      <w:r w:rsidR="002A364C">
        <w:rPr>
          <w:rFonts w:ascii="Arial" w:hAnsi="Arial" w:cs="Arial"/>
          <w:sz w:val="21"/>
          <w:szCs w:val="21"/>
        </w:rPr>
        <w:t xml:space="preserve"> </w:t>
      </w:r>
      <w:r w:rsidR="00E2639C">
        <w:rPr>
          <w:rFonts w:ascii="Arial" w:hAnsi="Arial" w:cs="Arial"/>
          <w:sz w:val="21"/>
          <w:szCs w:val="21"/>
        </w:rPr>
        <w:t>invasive</w:t>
      </w:r>
      <w:r w:rsidR="00722AEC">
        <w:rPr>
          <w:rFonts w:ascii="Arial" w:hAnsi="Arial" w:cs="Arial"/>
          <w:sz w:val="21"/>
          <w:szCs w:val="21"/>
        </w:rPr>
        <w:t xml:space="preserve"> data collection practice</w:t>
      </w:r>
      <w:r w:rsidR="00E2639C">
        <w:rPr>
          <w:rFonts w:ascii="Arial" w:hAnsi="Arial" w:cs="Arial"/>
          <w:sz w:val="21"/>
          <w:szCs w:val="21"/>
        </w:rPr>
        <w:t>s</w:t>
      </w:r>
      <w:r w:rsidR="00722AEC">
        <w:rPr>
          <w:rFonts w:ascii="Arial" w:hAnsi="Arial" w:cs="Arial"/>
          <w:sz w:val="21"/>
          <w:szCs w:val="21"/>
        </w:rPr>
        <w:t xml:space="preserve">. </w:t>
      </w:r>
      <w:r w:rsidR="004C56B2">
        <w:rPr>
          <w:rFonts w:ascii="Arial" w:hAnsi="Arial" w:cs="Arial"/>
          <w:sz w:val="21"/>
          <w:szCs w:val="21"/>
        </w:rPr>
        <w:t>A clearer acknowledgement of this tension would be useful</w:t>
      </w:r>
      <w:r w:rsidR="001B219E">
        <w:rPr>
          <w:rFonts w:ascii="Arial" w:hAnsi="Arial" w:cs="Arial"/>
          <w:sz w:val="21"/>
          <w:szCs w:val="21"/>
        </w:rPr>
        <w:t xml:space="preserve"> for future State and cross-sector initiatives aimed at meeting the call to action for</w:t>
      </w:r>
      <w:r w:rsidR="002C6D1A">
        <w:rPr>
          <w:rFonts w:ascii="Arial" w:hAnsi="Arial" w:cs="Arial"/>
          <w:sz w:val="21"/>
          <w:szCs w:val="21"/>
        </w:rPr>
        <w:t xml:space="preserve"> the mass media to support the diverse and plural creation of media </w:t>
      </w:r>
      <w:r w:rsidR="002C6D1A" w:rsidRPr="00450ACE">
        <w:rPr>
          <w:rFonts w:ascii="Arial" w:hAnsi="Arial" w:cs="Arial"/>
          <w:i/>
          <w:iCs/>
          <w:sz w:val="21"/>
          <w:szCs w:val="21"/>
        </w:rPr>
        <w:t>for and by</w:t>
      </w:r>
      <w:r w:rsidR="002C6D1A">
        <w:rPr>
          <w:rFonts w:ascii="Arial" w:hAnsi="Arial" w:cs="Arial"/>
          <w:sz w:val="21"/>
          <w:szCs w:val="21"/>
        </w:rPr>
        <w:t xml:space="preserve"> children</w:t>
      </w:r>
      <w:r w:rsidR="004C56B2">
        <w:rPr>
          <w:rFonts w:ascii="Arial" w:hAnsi="Arial" w:cs="Arial"/>
          <w:sz w:val="21"/>
          <w:szCs w:val="21"/>
        </w:rPr>
        <w:t xml:space="preserve">. </w:t>
      </w:r>
    </w:p>
    <w:p w14:paraId="18498F9E" w14:textId="77777777" w:rsidR="00E2639C" w:rsidRDefault="00E2639C" w:rsidP="00516639">
      <w:pPr>
        <w:rPr>
          <w:rFonts w:ascii="Arial" w:hAnsi="Arial" w:cs="Arial"/>
          <w:sz w:val="21"/>
          <w:szCs w:val="21"/>
        </w:rPr>
      </w:pPr>
    </w:p>
    <w:p w14:paraId="1B5A6B99" w14:textId="6554E5A2" w:rsidR="004C56B2" w:rsidRDefault="004C56B2" w:rsidP="00516639">
      <w:pPr>
        <w:rPr>
          <w:rFonts w:ascii="Arial" w:hAnsi="Arial" w:cs="Arial"/>
          <w:sz w:val="21"/>
          <w:szCs w:val="21"/>
        </w:rPr>
      </w:pPr>
      <w:r>
        <w:rPr>
          <w:rFonts w:ascii="Arial" w:hAnsi="Arial" w:cs="Arial"/>
          <w:sz w:val="21"/>
          <w:szCs w:val="21"/>
        </w:rPr>
        <w:t xml:space="preserve">For instance, </w:t>
      </w:r>
      <w:r w:rsidR="00596D2E" w:rsidRPr="00596D2E">
        <w:rPr>
          <w:rFonts w:ascii="Arial" w:hAnsi="Arial" w:cs="Arial"/>
          <w:b/>
          <w:bCs/>
          <w:i/>
          <w:iCs/>
          <w:sz w:val="21"/>
          <w:szCs w:val="21"/>
        </w:rPr>
        <w:t>P</w:t>
      </w:r>
      <w:r w:rsidRPr="00596D2E">
        <w:rPr>
          <w:rFonts w:ascii="Arial" w:hAnsi="Arial" w:cs="Arial"/>
          <w:b/>
          <w:bCs/>
          <w:i/>
          <w:iCs/>
          <w:sz w:val="21"/>
          <w:szCs w:val="21"/>
        </w:rPr>
        <w:t>aragraph 52</w:t>
      </w:r>
      <w:r w:rsidR="002C6D1A">
        <w:rPr>
          <w:rFonts w:ascii="Arial" w:hAnsi="Arial" w:cs="Arial"/>
          <w:sz w:val="21"/>
          <w:szCs w:val="21"/>
        </w:rPr>
        <w:t xml:space="preserve"> </w:t>
      </w:r>
      <w:r w:rsidR="00E2639C">
        <w:rPr>
          <w:rFonts w:ascii="Arial" w:hAnsi="Arial" w:cs="Arial"/>
          <w:sz w:val="21"/>
          <w:szCs w:val="21"/>
        </w:rPr>
        <w:t xml:space="preserve">might specify that </w:t>
      </w:r>
      <w:r>
        <w:rPr>
          <w:rFonts w:ascii="Arial" w:hAnsi="Arial" w:cs="Arial"/>
          <w:sz w:val="21"/>
          <w:szCs w:val="21"/>
        </w:rPr>
        <w:t xml:space="preserve">“child-friendly, age-appropriate digital content” </w:t>
      </w:r>
      <w:r w:rsidR="00596D2E">
        <w:rPr>
          <w:rFonts w:ascii="Arial" w:hAnsi="Arial" w:cs="Arial"/>
          <w:sz w:val="21"/>
          <w:szCs w:val="21"/>
        </w:rPr>
        <w:t>should</w:t>
      </w:r>
      <w:r>
        <w:rPr>
          <w:rFonts w:ascii="Arial" w:hAnsi="Arial" w:cs="Arial"/>
          <w:sz w:val="21"/>
          <w:szCs w:val="21"/>
        </w:rPr>
        <w:t xml:space="preserve"> not feature highly</w:t>
      </w:r>
      <w:r w:rsidR="007F1724">
        <w:rPr>
          <w:rFonts w:ascii="Arial" w:hAnsi="Arial" w:cs="Arial"/>
          <w:sz w:val="21"/>
          <w:szCs w:val="21"/>
        </w:rPr>
        <w:t xml:space="preserve"> </w:t>
      </w:r>
      <w:r>
        <w:rPr>
          <w:rFonts w:ascii="Arial" w:hAnsi="Arial" w:cs="Arial"/>
          <w:sz w:val="21"/>
          <w:szCs w:val="21"/>
        </w:rPr>
        <w:t xml:space="preserve">persuasive advertising, gambling-like design features, or obscured data collection </w:t>
      </w:r>
      <w:r w:rsidR="00C906C0">
        <w:rPr>
          <w:rFonts w:ascii="Arial" w:hAnsi="Arial" w:cs="Arial"/>
          <w:sz w:val="21"/>
          <w:szCs w:val="21"/>
        </w:rPr>
        <w:t>practices</w:t>
      </w:r>
      <w:r>
        <w:rPr>
          <w:rFonts w:ascii="Arial" w:hAnsi="Arial" w:cs="Arial"/>
          <w:sz w:val="21"/>
          <w:szCs w:val="21"/>
        </w:rPr>
        <w:t xml:space="preserve">. </w:t>
      </w:r>
      <w:r w:rsidR="00705903">
        <w:rPr>
          <w:rFonts w:ascii="Arial" w:hAnsi="Arial" w:cs="Arial"/>
          <w:sz w:val="21"/>
          <w:szCs w:val="21"/>
        </w:rPr>
        <w:t xml:space="preserve">This section should reiterate the call to action outlined in </w:t>
      </w:r>
      <w:r w:rsidR="00705903" w:rsidRPr="00705903">
        <w:rPr>
          <w:rFonts w:ascii="Arial" w:hAnsi="Arial" w:cs="Arial"/>
          <w:b/>
          <w:bCs/>
          <w:i/>
          <w:iCs/>
          <w:sz w:val="21"/>
          <w:szCs w:val="21"/>
        </w:rPr>
        <w:t>Paragraph 36</w:t>
      </w:r>
      <w:r w:rsidR="00705903">
        <w:rPr>
          <w:rFonts w:ascii="Arial" w:hAnsi="Arial" w:cs="Arial"/>
          <w:sz w:val="21"/>
          <w:szCs w:val="21"/>
        </w:rPr>
        <w:t xml:space="preserve">, </w:t>
      </w:r>
      <w:r w:rsidR="00931648">
        <w:rPr>
          <w:rFonts w:ascii="Arial" w:hAnsi="Arial" w:cs="Arial"/>
          <w:sz w:val="21"/>
          <w:szCs w:val="21"/>
        </w:rPr>
        <w:t xml:space="preserve">put forth by </w:t>
      </w:r>
      <w:r w:rsidR="00C906C0">
        <w:rPr>
          <w:rFonts w:ascii="Arial" w:hAnsi="Arial" w:cs="Arial"/>
          <w:sz w:val="21"/>
          <w:szCs w:val="21"/>
        </w:rPr>
        <w:t>children</w:t>
      </w:r>
      <w:r w:rsidR="000807A0">
        <w:rPr>
          <w:rFonts w:ascii="Arial" w:hAnsi="Arial" w:cs="Arial"/>
          <w:sz w:val="21"/>
          <w:szCs w:val="21"/>
        </w:rPr>
        <w:t xml:space="preserve"> themselves</w:t>
      </w:r>
      <w:r w:rsidR="00D376AC">
        <w:rPr>
          <w:rFonts w:ascii="Arial" w:hAnsi="Arial" w:cs="Arial"/>
          <w:sz w:val="21"/>
          <w:szCs w:val="21"/>
        </w:rPr>
        <w:t>, “</w:t>
      </w:r>
      <w:r w:rsidR="00705903" w:rsidRPr="00705903">
        <w:rPr>
          <w:rFonts w:ascii="Arial" w:hAnsi="Arial" w:cs="Arial"/>
          <w:sz w:val="21"/>
          <w:szCs w:val="21"/>
        </w:rPr>
        <w:t xml:space="preserve">for businesses to better respect, protect and remedy their rights in relation to the digital environment.” </w:t>
      </w:r>
      <w:r w:rsidR="00B51EAE">
        <w:rPr>
          <w:rFonts w:ascii="Arial" w:hAnsi="Arial" w:cs="Arial"/>
          <w:sz w:val="21"/>
          <w:szCs w:val="21"/>
        </w:rPr>
        <w:t xml:space="preserve">Since media </w:t>
      </w:r>
      <w:r w:rsidR="00E2639C">
        <w:rPr>
          <w:rFonts w:ascii="Arial" w:hAnsi="Arial" w:cs="Arial"/>
          <w:sz w:val="21"/>
          <w:szCs w:val="21"/>
        </w:rPr>
        <w:t>industries</w:t>
      </w:r>
      <w:r w:rsidR="00B51EAE">
        <w:rPr>
          <w:rFonts w:ascii="Arial" w:hAnsi="Arial" w:cs="Arial"/>
          <w:sz w:val="21"/>
          <w:szCs w:val="21"/>
        </w:rPr>
        <w:t xml:space="preserve"> are often directly responsible for implementing age-based ratings systems, </w:t>
      </w:r>
      <w:r w:rsidR="00E2639C" w:rsidRPr="00F13DFB">
        <w:rPr>
          <w:rFonts w:ascii="Arial" w:hAnsi="Arial" w:cs="Arial"/>
          <w:b/>
          <w:bCs/>
          <w:i/>
          <w:iCs/>
          <w:sz w:val="21"/>
          <w:szCs w:val="21"/>
        </w:rPr>
        <w:t>Paragraph 120</w:t>
      </w:r>
      <w:r w:rsidR="00E2639C">
        <w:rPr>
          <w:rFonts w:ascii="Arial" w:hAnsi="Arial" w:cs="Arial"/>
          <w:sz w:val="21"/>
          <w:szCs w:val="21"/>
        </w:rPr>
        <w:t xml:space="preserve"> should include similar clarifications.</w:t>
      </w:r>
    </w:p>
    <w:p w14:paraId="1A8BDE08" w14:textId="77777777" w:rsidR="007F5E90" w:rsidRDefault="007F5E90" w:rsidP="00516639">
      <w:pPr>
        <w:rPr>
          <w:rFonts w:ascii="Arial" w:hAnsi="Arial" w:cs="Arial"/>
          <w:sz w:val="21"/>
          <w:szCs w:val="21"/>
        </w:rPr>
      </w:pPr>
    </w:p>
    <w:p w14:paraId="0DC32A62" w14:textId="165EB5A3" w:rsidR="00C906C0" w:rsidRDefault="00CC2F7E" w:rsidP="0048218F">
      <w:pPr>
        <w:rPr>
          <w:rFonts w:ascii="Arial" w:hAnsi="Arial" w:cs="Arial"/>
          <w:sz w:val="21"/>
          <w:szCs w:val="21"/>
        </w:rPr>
      </w:pPr>
      <w:r>
        <w:rPr>
          <w:rFonts w:ascii="Arial" w:hAnsi="Arial" w:cs="Arial"/>
          <w:sz w:val="21"/>
          <w:szCs w:val="21"/>
        </w:rPr>
        <w:t xml:space="preserve">Asking States to encourage the production and dissemination of a broad diversity of content </w:t>
      </w:r>
      <w:r w:rsidR="00557270">
        <w:rPr>
          <w:rFonts w:ascii="Arial" w:hAnsi="Arial" w:cs="Arial"/>
          <w:sz w:val="21"/>
          <w:szCs w:val="21"/>
        </w:rPr>
        <w:t xml:space="preserve">is </w:t>
      </w:r>
      <w:r w:rsidR="00E2639C">
        <w:rPr>
          <w:rFonts w:ascii="Arial" w:hAnsi="Arial" w:cs="Arial"/>
          <w:sz w:val="21"/>
          <w:szCs w:val="21"/>
        </w:rPr>
        <w:t xml:space="preserve">key to </w:t>
      </w:r>
      <w:r w:rsidR="00557270">
        <w:rPr>
          <w:rFonts w:ascii="Arial" w:hAnsi="Arial" w:cs="Arial"/>
          <w:sz w:val="21"/>
          <w:szCs w:val="21"/>
        </w:rPr>
        <w:t>fostering a robust and inclusive digital media ecosystem</w:t>
      </w:r>
      <w:r w:rsidR="00820C75">
        <w:rPr>
          <w:rFonts w:ascii="Arial" w:hAnsi="Arial" w:cs="Arial"/>
          <w:sz w:val="21"/>
          <w:szCs w:val="21"/>
        </w:rPr>
        <w:t xml:space="preserve"> (</w:t>
      </w:r>
      <w:r w:rsidR="00820C75" w:rsidRPr="00820C75">
        <w:rPr>
          <w:rFonts w:ascii="Arial" w:hAnsi="Arial" w:cs="Arial"/>
          <w:b/>
          <w:bCs/>
          <w:i/>
          <w:iCs/>
          <w:sz w:val="21"/>
          <w:szCs w:val="21"/>
        </w:rPr>
        <w:t>Paragraph 53</w:t>
      </w:r>
      <w:r w:rsidR="00820C75">
        <w:rPr>
          <w:rFonts w:ascii="Arial" w:hAnsi="Arial" w:cs="Arial"/>
          <w:sz w:val="21"/>
          <w:szCs w:val="21"/>
        </w:rPr>
        <w:t>)</w:t>
      </w:r>
      <w:r w:rsidR="00557270">
        <w:rPr>
          <w:rFonts w:ascii="Arial" w:hAnsi="Arial" w:cs="Arial"/>
          <w:sz w:val="21"/>
          <w:szCs w:val="21"/>
        </w:rPr>
        <w:t>. However, production and dissemination alone are unlikely to result in universal access among children</w:t>
      </w:r>
      <w:r w:rsidR="00820C75">
        <w:rPr>
          <w:rFonts w:ascii="Arial" w:hAnsi="Arial" w:cs="Arial"/>
          <w:sz w:val="21"/>
          <w:szCs w:val="21"/>
        </w:rPr>
        <w:t>, particularly children of lower income families and those living in rural or remote areas</w:t>
      </w:r>
      <w:r w:rsidR="00E2639C">
        <w:rPr>
          <w:rFonts w:ascii="Arial" w:hAnsi="Arial" w:cs="Arial"/>
          <w:sz w:val="21"/>
          <w:szCs w:val="21"/>
        </w:rPr>
        <w:t xml:space="preserve">, </w:t>
      </w:r>
      <w:r w:rsidR="00D376AC">
        <w:rPr>
          <w:rFonts w:ascii="Arial" w:hAnsi="Arial" w:cs="Arial"/>
          <w:sz w:val="21"/>
          <w:szCs w:val="21"/>
        </w:rPr>
        <w:t xml:space="preserve">who </w:t>
      </w:r>
      <w:r w:rsidR="00820C75">
        <w:rPr>
          <w:rFonts w:ascii="Arial" w:hAnsi="Arial" w:cs="Arial"/>
          <w:sz w:val="21"/>
          <w:szCs w:val="21"/>
        </w:rPr>
        <w:t>face</w:t>
      </w:r>
      <w:r w:rsidR="00D376AC">
        <w:rPr>
          <w:rFonts w:ascii="Arial" w:hAnsi="Arial" w:cs="Arial"/>
          <w:sz w:val="21"/>
          <w:szCs w:val="21"/>
        </w:rPr>
        <w:t xml:space="preserve"> barriers and</w:t>
      </w:r>
      <w:r w:rsidR="00820C75">
        <w:rPr>
          <w:rFonts w:ascii="Arial" w:hAnsi="Arial" w:cs="Arial"/>
          <w:sz w:val="21"/>
          <w:szCs w:val="21"/>
        </w:rPr>
        <w:t xml:space="preserve"> inequalities </w:t>
      </w:r>
      <w:r w:rsidR="00D376AC">
        <w:rPr>
          <w:rFonts w:ascii="Arial" w:hAnsi="Arial" w:cs="Arial"/>
          <w:sz w:val="21"/>
          <w:szCs w:val="21"/>
        </w:rPr>
        <w:t>in</w:t>
      </w:r>
      <w:r w:rsidR="00820C75">
        <w:rPr>
          <w:rFonts w:ascii="Arial" w:hAnsi="Arial" w:cs="Arial"/>
          <w:sz w:val="21"/>
          <w:szCs w:val="21"/>
        </w:rPr>
        <w:t xml:space="preserve"> </w:t>
      </w:r>
      <w:r w:rsidR="00D376AC">
        <w:rPr>
          <w:rFonts w:ascii="Arial" w:hAnsi="Arial" w:cs="Arial"/>
          <w:sz w:val="21"/>
          <w:szCs w:val="21"/>
        </w:rPr>
        <w:t xml:space="preserve">terms of </w:t>
      </w:r>
      <w:r w:rsidR="00820C75">
        <w:rPr>
          <w:rFonts w:ascii="Arial" w:hAnsi="Arial" w:cs="Arial"/>
          <w:sz w:val="21"/>
          <w:szCs w:val="21"/>
        </w:rPr>
        <w:t>access to digital technologies and services</w:t>
      </w:r>
      <w:r w:rsidR="00E2639C">
        <w:rPr>
          <w:rFonts w:ascii="Arial" w:hAnsi="Arial" w:cs="Arial"/>
          <w:sz w:val="21"/>
          <w:szCs w:val="21"/>
        </w:rPr>
        <w:t xml:space="preserve">. </w:t>
      </w:r>
      <w:r w:rsidR="00557270">
        <w:rPr>
          <w:rFonts w:ascii="Arial" w:hAnsi="Arial" w:cs="Arial"/>
          <w:sz w:val="21"/>
          <w:szCs w:val="21"/>
        </w:rPr>
        <w:t>I</w:t>
      </w:r>
      <w:r w:rsidR="004C56B2">
        <w:rPr>
          <w:rFonts w:ascii="Arial" w:hAnsi="Arial" w:cs="Arial"/>
          <w:sz w:val="21"/>
          <w:szCs w:val="21"/>
        </w:rPr>
        <w:t xml:space="preserve">t is </w:t>
      </w:r>
      <w:r w:rsidR="00E2639C">
        <w:rPr>
          <w:rFonts w:ascii="Arial" w:hAnsi="Arial" w:cs="Arial"/>
          <w:sz w:val="21"/>
          <w:szCs w:val="21"/>
        </w:rPr>
        <w:t xml:space="preserve">also </w:t>
      </w:r>
      <w:r w:rsidR="004C56B2">
        <w:rPr>
          <w:rFonts w:ascii="Arial" w:hAnsi="Arial" w:cs="Arial"/>
          <w:sz w:val="21"/>
          <w:szCs w:val="21"/>
        </w:rPr>
        <w:t>unclear how States w</w:t>
      </w:r>
      <w:r w:rsidR="00E2639C">
        <w:rPr>
          <w:rFonts w:ascii="Arial" w:hAnsi="Arial" w:cs="Arial"/>
          <w:sz w:val="21"/>
          <w:szCs w:val="21"/>
        </w:rPr>
        <w:t>ill</w:t>
      </w:r>
      <w:r w:rsidR="004C56B2">
        <w:rPr>
          <w:rFonts w:ascii="Arial" w:hAnsi="Arial" w:cs="Arial"/>
          <w:sz w:val="21"/>
          <w:szCs w:val="21"/>
        </w:rPr>
        <w:t xml:space="preserve"> ensure access to a plurality of digital content</w:t>
      </w:r>
      <w:r w:rsidR="00820C75">
        <w:rPr>
          <w:rFonts w:ascii="Arial" w:hAnsi="Arial" w:cs="Arial"/>
          <w:sz w:val="21"/>
          <w:szCs w:val="21"/>
        </w:rPr>
        <w:t xml:space="preserve"> </w:t>
      </w:r>
      <w:r w:rsidR="00E2639C">
        <w:rPr>
          <w:rFonts w:ascii="Arial" w:hAnsi="Arial" w:cs="Arial"/>
          <w:sz w:val="21"/>
          <w:szCs w:val="21"/>
        </w:rPr>
        <w:t xml:space="preserve">even </w:t>
      </w:r>
      <w:r w:rsidR="00820C75">
        <w:rPr>
          <w:rFonts w:ascii="Arial" w:hAnsi="Arial" w:cs="Arial"/>
          <w:sz w:val="21"/>
          <w:szCs w:val="21"/>
        </w:rPr>
        <w:t xml:space="preserve">among those who </w:t>
      </w:r>
      <w:r w:rsidR="00820C75" w:rsidRPr="00820C75">
        <w:rPr>
          <w:rFonts w:ascii="Arial" w:hAnsi="Arial" w:cs="Arial"/>
          <w:i/>
          <w:iCs/>
          <w:sz w:val="21"/>
          <w:szCs w:val="21"/>
        </w:rPr>
        <w:t xml:space="preserve">do </w:t>
      </w:r>
      <w:r w:rsidR="00820C75">
        <w:rPr>
          <w:rFonts w:ascii="Arial" w:hAnsi="Arial" w:cs="Arial"/>
          <w:sz w:val="21"/>
          <w:szCs w:val="21"/>
        </w:rPr>
        <w:t>have the devices and connections required</w:t>
      </w:r>
      <w:r w:rsidR="004C56B2">
        <w:rPr>
          <w:rFonts w:ascii="Arial" w:hAnsi="Arial" w:cs="Arial"/>
          <w:sz w:val="21"/>
          <w:szCs w:val="21"/>
        </w:rPr>
        <w:t xml:space="preserve">, given that so much </w:t>
      </w:r>
      <w:r w:rsidR="00820C75">
        <w:rPr>
          <w:rFonts w:ascii="Arial" w:hAnsi="Arial" w:cs="Arial"/>
          <w:sz w:val="21"/>
          <w:szCs w:val="21"/>
        </w:rPr>
        <w:t xml:space="preserve">of the content created </w:t>
      </w:r>
      <w:r w:rsidR="004C56B2">
        <w:rPr>
          <w:rFonts w:ascii="Arial" w:hAnsi="Arial" w:cs="Arial"/>
          <w:sz w:val="21"/>
          <w:szCs w:val="21"/>
        </w:rPr>
        <w:t xml:space="preserve">by commercial </w:t>
      </w:r>
      <w:r w:rsidR="00E2639C">
        <w:rPr>
          <w:rFonts w:ascii="Arial" w:hAnsi="Arial" w:cs="Arial"/>
          <w:sz w:val="21"/>
          <w:szCs w:val="21"/>
        </w:rPr>
        <w:t>mass media</w:t>
      </w:r>
      <w:r w:rsidR="004C56B2">
        <w:rPr>
          <w:rFonts w:ascii="Arial" w:hAnsi="Arial" w:cs="Arial"/>
          <w:sz w:val="21"/>
          <w:szCs w:val="21"/>
        </w:rPr>
        <w:t xml:space="preserve"> </w:t>
      </w:r>
      <w:r w:rsidR="00820C75">
        <w:rPr>
          <w:rFonts w:ascii="Arial" w:hAnsi="Arial" w:cs="Arial"/>
          <w:sz w:val="21"/>
          <w:szCs w:val="21"/>
        </w:rPr>
        <w:t xml:space="preserve">can only be accessed through paid subscription or purchase. </w:t>
      </w:r>
      <w:r w:rsidR="00313568">
        <w:rPr>
          <w:rFonts w:ascii="Arial" w:hAnsi="Arial" w:cs="Arial"/>
          <w:sz w:val="21"/>
          <w:szCs w:val="21"/>
        </w:rPr>
        <w:t xml:space="preserve">Some guidance on how States </w:t>
      </w:r>
      <w:r w:rsidR="00E2639C">
        <w:rPr>
          <w:rFonts w:ascii="Arial" w:hAnsi="Arial" w:cs="Arial"/>
          <w:sz w:val="21"/>
          <w:szCs w:val="21"/>
        </w:rPr>
        <w:t>should address access to</w:t>
      </w:r>
      <w:r w:rsidR="00313568">
        <w:rPr>
          <w:rFonts w:ascii="Arial" w:hAnsi="Arial" w:cs="Arial"/>
          <w:sz w:val="21"/>
          <w:szCs w:val="21"/>
        </w:rPr>
        <w:t xml:space="preserve"> “premium” content should be provided. </w:t>
      </w:r>
    </w:p>
    <w:p w14:paraId="419083CE" w14:textId="77777777" w:rsidR="00C906C0" w:rsidRDefault="00C906C0" w:rsidP="0048218F">
      <w:pPr>
        <w:rPr>
          <w:rFonts w:ascii="Arial" w:hAnsi="Arial" w:cs="Arial"/>
          <w:sz w:val="21"/>
          <w:szCs w:val="21"/>
        </w:rPr>
      </w:pPr>
    </w:p>
    <w:p w14:paraId="69B45D58" w14:textId="0C96CC74" w:rsidR="0048218F" w:rsidRPr="006C11E3" w:rsidRDefault="00313568" w:rsidP="0048218F">
      <w:pPr>
        <w:rPr>
          <w:rFonts w:ascii="Arial" w:hAnsi="Arial" w:cs="Arial"/>
          <w:sz w:val="21"/>
          <w:szCs w:val="21"/>
        </w:rPr>
      </w:pPr>
      <w:r>
        <w:rPr>
          <w:rFonts w:ascii="Arial" w:hAnsi="Arial" w:cs="Arial"/>
          <w:sz w:val="21"/>
          <w:szCs w:val="21"/>
        </w:rPr>
        <w:t xml:space="preserve">Similar questions emerge in regard to </w:t>
      </w:r>
      <w:r w:rsidRPr="00313568">
        <w:rPr>
          <w:rFonts w:ascii="Arial" w:hAnsi="Arial" w:cs="Arial"/>
          <w:b/>
          <w:bCs/>
          <w:i/>
          <w:iCs/>
          <w:sz w:val="21"/>
          <w:szCs w:val="21"/>
        </w:rPr>
        <w:t>Paragraph 59</w:t>
      </w:r>
      <w:r>
        <w:rPr>
          <w:rFonts w:ascii="Arial" w:hAnsi="Arial" w:cs="Arial"/>
          <w:sz w:val="21"/>
          <w:szCs w:val="21"/>
        </w:rPr>
        <w:t>, which states that children’s freedom of expression</w:t>
      </w:r>
      <w:r w:rsidR="0048218F" w:rsidRPr="006C11E3">
        <w:rPr>
          <w:rFonts w:ascii="Arial" w:hAnsi="Arial" w:cs="Arial"/>
          <w:sz w:val="21"/>
          <w:szCs w:val="21"/>
        </w:rPr>
        <w:t xml:space="preserve"> “includes freedom to seek, receive and impart information and ideas of all kinds, using any media of their choice</w:t>
      </w:r>
      <w:r>
        <w:rPr>
          <w:rFonts w:ascii="Arial" w:hAnsi="Arial" w:cs="Arial"/>
          <w:sz w:val="21"/>
          <w:szCs w:val="21"/>
        </w:rPr>
        <w:t>.</w:t>
      </w:r>
      <w:r w:rsidR="0048218F" w:rsidRPr="006C11E3">
        <w:rPr>
          <w:rFonts w:ascii="Arial" w:hAnsi="Arial" w:cs="Arial"/>
          <w:sz w:val="21"/>
          <w:szCs w:val="21"/>
        </w:rPr>
        <w:t>”</w:t>
      </w:r>
      <w:r>
        <w:rPr>
          <w:rFonts w:ascii="Arial" w:hAnsi="Arial" w:cs="Arial"/>
          <w:sz w:val="21"/>
          <w:szCs w:val="21"/>
        </w:rPr>
        <w:t xml:space="preserve"> This </w:t>
      </w:r>
      <w:r w:rsidR="00FF1D29">
        <w:rPr>
          <w:rFonts w:ascii="Arial" w:hAnsi="Arial" w:cs="Arial"/>
          <w:sz w:val="21"/>
          <w:szCs w:val="21"/>
        </w:rPr>
        <w:t xml:space="preserve">is a welcome confirmation of </w:t>
      </w:r>
      <w:r w:rsidR="00E2639C">
        <w:rPr>
          <w:rFonts w:ascii="Arial" w:hAnsi="Arial" w:cs="Arial"/>
          <w:sz w:val="21"/>
          <w:szCs w:val="21"/>
        </w:rPr>
        <w:t>children’s</w:t>
      </w:r>
      <w:r w:rsidR="00FF1D29">
        <w:rPr>
          <w:rFonts w:ascii="Arial" w:hAnsi="Arial" w:cs="Arial"/>
          <w:sz w:val="21"/>
          <w:szCs w:val="21"/>
        </w:rPr>
        <w:t xml:space="preserve"> role and agency as cultural producers and participants. Yet, it does not address the fact that children face many barriers in accessing tools and platforms for engaging in the production and distribution of media, that vary from the technical and the financial, to the logistical and the physical. Some acknowledgement of </w:t>
      </w:r>
      <w:r w:rsidR="00E2639C">
        <w:rPr>
          <w:rFonts w:ascii="Arial" w:hAnsi="Arial" w:cs="Arial"/>
          <w:sz w:val="21"/>
          <w:szCs w:val="21"/>
        </w:rPr>
        <w:t>varying</w:t>
      </w:r>
      <w:r w:rsidR="00FF1D29">
        <w:rPr>
          <w:rFonts w:ascii="Arial" w:hAnsi="Arial" w:cs="Arial"/>
          <w:sz w:val="21"/>
          <w:szCs w:val="21"/>
        </w:rPr>
        <w:t xml:space="preserve"> accessibility</w:t>
      </w:r>
      <w:r w:rsidR="00E2639C">
        <w:rPr>
          <w:rFonts w:ascii="Arial" w:hAnsi="Arial" w:cs="Arial"/>
          <w:sz w:val="21"/>
          <w:szCs w:val="21"/>
        </w:rPr>
        <w:t xml:space="preserve">, inequities, </w:t>
      </w:r>
      <w:r w:rsidR="00FF1D29">
        <w:rPr>
          <w:rFonts w:ascii="Arial" w:hAnsi="Arial" w:cs="Arial"/>
          <w:sz w:val="21"/>
          <w:szCs w:val="21"/>
        </w:rPr>
        <w:t xml:space="preserve">and </w:t>
      </w:r>
      <w:r w:rsidR="00E2639C">
        <w:rPr>
          <w:rFonts w:ascii="Arial" w:hAnsi="Arial" w:cs="Arial"/>
          <w:sz w:val="21"/>
          <w:szCs w:val="21"/>
        </w:rPr>
        <w:t xml:space="preserve">other </w:t>
      </w:r>
      <w:r w:rsidR="00FF1D29">
        <w:rPr>
          <w:rFonts w:ascii="Arial" w:hAnsi="Arial" w:cs="Arial"/>
          <w:sz w:val="21"/>
          <w:szCs w:val="21"/>
        </w:rPr>
        <w:t xml:space="preserve">barriers to access that exist across different media forms is recommended. </w:t>
      </w:r>
    </w:p>
    <w:p w14:paraId="52D72536" w14:textId="77777777" w:rsidR="00722AEC" w:rsidRDefault="00722AEC" w:rsidP="00516639">
      <w:pPr>
        <w:rPr>
          <w:rFonts w:ascii="Arial" w:hAnsi="Arial" w:cs="Arial"/>
          <w:sz w:val="21"/>
          <w:szCs w:val="21"/>
        </w:rPr>
      </w:pPr>
    </w:p>
    <w:p w14:paraId="5B9AAC2C" w14:textId="161D837B" w:rsidR="000F586A" w:rsidRPr="000F586A" w:rsidRDefault="009C0E82" w:rsidP="00516639">
      <w:pPr>
        <w:rPr>
          <w:rFonts w:ascii="Arial" w:hAnsi="Arial" w:cs="Arial"/>
          <w:sz w:val="21"/>
          <w:szCs w:val="21"/>
        </w:rPr>
      </w:pPr>
      <w:r w:rsidRPr="00823473">
        <w:rPr>
          <w:rFonts w:ascii="Arial" w:hAnsi="Arial" w:cs="Arial"/>
          <w:sz w:val="21"/>
          <w:szCs w:val="21"/>
        </w:rPr>
        <w:t xml:space="preserve">The expansion of children’s access to </w:t>
      </w:r>
      <w:r>
        <w:rPr>
          <w:rFonts w:ascii="Arial" w:hAnsi="Arial" w:cs="Arial"/>
          <w:sz w:val="21"/>
          <w:szCs w:val="21"/>
        </w:rPr>
        <w:t>the digital environment</w:t>
      </w:r>
      <w:r w:rsidRPr="00823473">
        <w:rPr>
          <w:rFonts w:ascii="Arial" w:hAnsi="Arial" w:cs="Arial"/>
          <w:sz w:val="21"/>
          <w:szCs w:val="21"/>
        </w:rPr>
        <w:t xml:space="preserve"> </w:t>
      </w:r>
      <w:r w:rsidR="00EE702C">
        <w:rPr>
          <w:rFonts w:ascii="Arial" w:hAnsi="Arial" w:cs="Arial"/>
          <w:sz w:val="21"/>
          <w:szCs w:val="21"/>
        </w:rPr>
        <w:t>introduces</w:t>
      </w:r>
      <w:r w:rsidRPr="00823473">
        <w:rPr>
          <w:rFonts w:ascii="Arial" w:hAnsi="Arial" w:cs="Arial"/>
          <w:sz w:val="21"/>
          <w:szCs w:val="21"/>
        </w:rPr>
        <w:t xml:space="preserve"> a wide range of exciting possibilities for literacy</w:t>
      </w:r>
      <w:r w:rsidR="00EE702C">
        <w:rPr>
          <w:rFonts w:ascii="Arial" w:hAnsi="Arial" w:cs="Arial"/>
          <w:sz w:val="21"/>
          <w:szCs w:val="21"/>
        </w:rPr>
        <w:t xml:space="preserve">, </w:t>
      </w:r>
      <w:r w:rsidRPr="00823473">
        <w:rPr>
          <w:rFonts w:ascii="Arial" w:hAnsi="Arial" w:cs="Arial"/>
          <w:sz w:val="21"/>
          <w:szCs w:val="21"/>
        </w:rPr>
        <w:t>skill development, agency</w:t>
      </w:r>
      <w:r w:rsidR="00EE702C">
        <w:rPr>
          <w:rFonts w:ascii="Arial" w:hAnsi="Arial" w:cs="Arial"/>
          <w:sz w:val="21"/>
          <w:szCs w:val="21"/>
        </w:rPr>
        <w:t xml:space="preserve">, </w:t>
      </w:r>
      <w:r w:rsidRPr="00823473">
        <w:rPr>
          <w:rFonts w:ascii="Arial" w:hAnsi="Arial" w:cs="Arial"/>
          <w:sz w:val="21"/>
          <w:szCs w:val="21"/>
        </w:rPr>
        <w:t xml:space="preserve">citizenship, and </w:t>
      </w:r>
      <w:r w:rsidR="00813EFB">
        <w:rPr>
          <w:rFonts w:ascii="Arial" w:hAnsi="Arial" w:cs="Arial"/>
          <w:sz w:val="21"/>
          <w:szCs w:val="21"/>
        </w:rPr>
        <w:t>“opportunities for culture, recreation and play” (</w:t>
      </w:r>
      <w:r w:rsidR="00813EFB" w:rsidRPr="00813EFB">
        <w:rPr>
          <w:rFonts w:ascii="Arial" w:hAnsi="Arial" w:cs="Arial"/>
          <w:b/>
          <w:bCs/>
          <w:i/>
          <w:iCs/>
          <w:sz w:val="21"/>
          <w:szCs w:val="21"/>
        </w:rPr>
        <w:t>Paragraph 117</w:t>
      </w:r>
      <w:r w:rsidR="00813EFB">
        <w:rPr>
          <w:rFonts w:ascii="Arial" w:hAnsi="Arial" w:cs="Arial"/>
          <w:sz w:val="21"/>
          <w:szCs w:val="21"/>
        </w:rPr>
        <w:t>)</w:t>
      </w:r>
      <w:r w:rsidRPr="00823473">
        <w:rPr>
          <w:rFonts w:ascii="Arial" w:hAnsi="Arial" w:cs="Arial"/>
          <w:sz w:val="21"/>
          <w:szCs w:val="21"/>
        </w:rPr>
        <w:t xml:space="preserve">. It clear that the responsibility for realizing this potential cannot be delegated to </w:t>
      </w:r>
      <w:r>
        <w:rPr>
          <w:rFonts w:ascii="Arial" w:hAnsi="Arial" w:cs="Arial"/>
          <w:sz w:val="21"/>
          <w:szCs w:val="21"/>
        </w:rPr>
        <w:t xml:space="preserve">the </w:t>
      </w:r>
      <w:r w:rsidRPr="00823473">
        <w:rPr>
          <w:rFonts w:ascii="Arial" w:hAnsi="Arial" w:cs="Arial"/>
          <w:sz w:val="21"/>
          <w:szCs w:val="21"/>
        </w:rPr>
        <w:t>industry alone</w:t>
      </w:r>
      <w:r>
        <w:rPr>
          <w:rFonts w:ascii="Arial" w:hAnsi="Arial" w:cs="Arial"/>
          <w:sz w:val="21"/>
          <w:szCs w:val="21"/>
        </w:rPr>
        <w:t xml:space="preserve">, just as it is clear that businesses have a central role to play in ensuring that children’s rights are </w:t>
      </w:r>
      <w:r w:rsidR="00EE702C">
        <w:rPr>
          <w:rFonts w:ascii="Arial" w:hAnsi="Arial" w:cs="Arial"/>
          <w:sz w:val="21"/>
          <w:szCs w:val="21"/>
        </w:rPr>
        <w:t>prioritized</w:t>
      </w:r>
      <w:r w:rsidR="00813EFB">
        <w:rPr>
          <w:rFonts w:ascii="Arial" w:hAnsi="Arial" w:cs="Arial"/>
          <w:sz w:val="21"/>
          <w:szCs w:val="21"/>
        </w:rPr>
        <w:t xml:space="preserve"> within commercial digital platforms</w:t>
      </w:r>
      <w:r w:rsidRPr="00823473">
        <w:rPr>
          <w:rFonts w:ascii="Arial" w:hAnsi="Arial" w:cs="Arial"/>
          <w:sz w:val="21"/>
          <w:szCs w:val="21"/>
        </w:rPr>
        <w:t xml:space="preserve">. </w:t>
      </w:r>
      <w:r w:rsidR="00FF1D29">
        <w:rPr>
          <w:rFonts w:ascii="Arial" w:hAnsi="Arial" w:cs="Arial"/>
          <w:sz w:val="21"/>
          <w:szCs w:val="21"/>
        </w:rPr>
        <w:t xml:space="preserve">In </w:t>
      </w:r>
      <w:r w:rsidR="000F586A" w:rsidRPr="00B12423">
        <w:rPr>
          <w:rFonts w:ascii="Arial" w:hAnsi="Arial" w:cs="Arial"/>
          <w:b/>
          <w:bCs/>
          <w:i/>
          <w:iCs/>
          <w:sz w:val="21"/>
          <w:szCs w:val="21"/>
        </w:rPr>
        <w:t>Paragraphs 36, 37, and 38</w:t>
      </w:r>
      <w:r w:rsidR="00FF1D29">
        <w:rPr>
          <w:rFonts w:ascii="Arial" w:hAnsi="Arial" w:cs="Arial"/>
          <w:sz w:val="21"/>
          <w:szCs w:val="21"/>
        </w:rPr>
        <w:t xml:space="preserve">, the Draft </w:t>
      </w:r>
      <w:r w:rsidR="00EE702C">
        <w:rPr>
          <w:rFonts w:ascii="Arial" w:hAnsi="Arial" w:cs="Arial"/>
          <w:sz w:val="21"/>
          <w:szCs w:val="21"/>
        </w:rPr>
        <w:t xml:space="preserve">provides </w:t>
      </w:r>
      <w:r w:rsidR="000F586A">
        <w:rPr>
          <w:rFonts w:ascii="Arial" w:hAnsi="Arial" w:cs="Arial"/>
          <w:sz w:val="21"/>
          <w:szCs w:val="21"/>
        </w:rPr>
        <w:t xml:space="preserve">a series of actions that States should take in requiring businesses to support </w:t>
      </w:r>
      <w:r w:rsidR="00EE702C">
        <w:rPr>
          <w:rFonts w:ascii="Arial" w:hAnsi="Arial" w:cs="Arial"/>
          <w:sz w:val="21"/>
          <w:szCs w:val="21"/>
        </w:rPr>
        <w:t xml:space="preserve">and protect </w:t>
      </w:r>
      <w:r w:rsidR="000F586A">
        <w:rPr>
          <w:rFonts w:ascii="Arial" w:hAnsi="Arial" w:cs="Arial"/>
          <w:sz w:val="21"/>
          <w:szCs w:val="21"/>
        </w:rPr>
        <w:t>children’s rights</w:t>
      </w:r>
      <w:r w:rsidR="00EE702C">
        <w:rPr>
          <w:rFonts w:ascii="Arial" w:hAnsi="Arial" w:cs="Arial"/>
          <w:sz w:val="21"/>
          <w:szCs w:val="21"/>
        </w:rPr>
        <w:t xml:space="preserve"> </w:t>
      </w:r>
      <w:r w:rsidR="000F586A">
        <w:rPr>
          <w:rFonts w:ascii="Arial" w:hAnsi="Arial" w:cs="Arial"/>
          <w:sz w:val="21"/>
          <w:szCs w:val="21"/>
        </w:rPr>
        <w:t xml:space="preserve">within their networks and services. Many of these actions involve developing new legislation (or extending existing legislation) aimed at better regulating </w:t>
      </w:r>
      <w:r w:rsidR="00EE702C">
        <w:rPr>
          <w:rFonts w:ascii="Arial" w:hAnsi="Arial" w:cs="Arial"/>
          <w:sz w:val="21"/>
          <w:szCs w:val="21"/>
        </w:rPr>
        <w:t>businesses</w:t>
      </w:r>
      <w:r w:rsidR="000F586A">
        <w:rPr>
          <w:rFonts w:ascii="Arial" w:hAnsi="Arial" w:cs="Arial"/>
          <w:sz w:val="21"/>
          <w:szCs w:val="21"/>
        </w:rPr>
        <w:t xml:space="preserve"> in their dealings with children</w:t>
      </w:r>
      <w:r w:rsidR="00E01C9B">
        <w:rPr>
          <w:rFonts w:ascii="Arial" w:hAnsi="Arial" w:cs="Arial"/>
          <w:sz w:val="21"/>
          <w:szCs w:val="21"/>
        </w:rPr>
        <w:t xml:space="preserve">. </w:t>
      </w:r>
      <w:r w:rsidR="00FF1D29">
        <w:rPr>
          <w:rFonts w:ascii="Arial" w:hAnsi="Arial" w:cs="Arial"/>
          <w:sz w:val="21"/>
          <w:szCs w:val="21"/>
        </w:rPr>
        <w:t>A</w:t>
      </w:r>
      <w:r w:rsidR="00EE702C">
        <w:rPr>
          <w:rFonts w:ascii="Arial" w:hAnsi="Arial" w:cs="Arial"/>
          <w:sz w:val="21"/>
          <w:szCs w:val="21"/>
        </w:rPr>
        <w:t xml:space="preserve"> vital </w:t>
      </w:r>
      <w:r w:rsidR="00C906C0">
        <w:rPr>
          <w:rFonts w:ascii="Arial" w:hAnsi="Arial" w:cs="Arial"/>
          <w:sz w:val="21"/>
          <w:szCs w:val="21"/>
        </w:rPr>
        <w:t>starting point</w:t>
      </w:r>
      <w:r w:rsidR="00FF1D29">
        <w:rPr>
          <w:rFonts w:ascii="Arial" w:hAnsi="Arial" w:cs="Arial"/>
          <w:sz w:val="21"/>
          <w:szCs w:val="21"/>
        </w:rPr>
        <w:t xml:space="preserve"> </w:t>
      </w:r>
      <w:r w:rsidR="00E01C9B">
        <w:rPr>
          <w:rFonts w:ascii="Arial" w:hAnsi="Arial" w:cs="Arial"/>
          <w:sz w:val="21"/>
          <w:szCs w:val="21"/>
        </w:rPr>
        <w:t xml:space="preserve">for </w:t>
      </w:r>
      <w:r w:rsidR="00C906C0">
        <w:rPr>
          <w:rFonts w:ascii="Arial" w:hAnsi="Arial" w:cs="Arial"/>
          <w:sz w:val="21"/>
          <w:szCs w:val="21"/>
        </w:rPr>
        <w:t>a</w:t>
      </w:r>
      <w:r w:rsidR="00FF1D29">
        <w:rPr>
          <w:rFonts w:ascii="Arial" w:hAnsi="Arial" w:cs="Arial"/>
          <w:sz w:val="21"/>
          <w:szCs w:val="21"/>
        </w:rPr>
        <w:t>ccomplish</w:t>
      </w:r>
      <w:r w:rsidR="00C906C0">
        <w:rPr>
          <w:rFonts w:ascii="Arial" w:hAnsi="Arial" w:cs="Arial"/>
          <w:sz w:val="21"/>
          <w:szCs w:val="21"/>
        </w:rPr>
        <w:t>ing</w:t>
      </w:r>
      <w:r w:rsidR="00FF1D29">
        <w:rPr>
          <w:rFonts w:ascii="Arial" w:hAnsi="Arial" w:cs="Arial"/>
          <w:sz w:val="21"/>
          <w:szCs w:val="21"/>
        </w:rPr>
        <w:t xml:space="preserve"> this task is outlined in </w:t>
      </w:r>
      <w:r w:rsidR="00722AEC" w:rsidRPr="009E549D">
        <w:rPr>
          <w:rFonts w:ascii="Arial" w:hAnsi="Arial" w:cs="Arial"/>
          <w:b/>
          <w:bCs/>
          <w:i/>
          <w:iCs/>
          <w:sz w:val="21"/>
          <w:szCs w:val="21"/>
        </w:rPr>
        <w:t>Paragraph 28</w:t>
      </w:r>
      <w:r w:rsidR="00FF1D29">
        <w:rPr>
          <w:rFonts w:ascii="Arial" w:hAnsi="Arial" w:cs="Arial"/>
          <w:sz w:val="21"/>
          <w:szCs w:val="21"/>
        </w:rPr>
        <w:t xml:space="preserve">, which requires States to identify a government body responsible for coordinating </w:t>
      </w:r>
      <w:r w:rsidR="00722AEC" w:rsidRPr="00722AEC">
        <w:rPr>
          <w:rFonts w:ascii="Arial" w:hAnsi="Arial" w:cs="Arial"/>
          <w:sz w:val="21"/>
          <w:szCs w:val="21"/>
        </w:rPr>
        <w:t xml:space="preserve">policies and programmes </w:t>
      </w:r>
      <w:r w:rsidR="00FF1D29">
        <w:rPr>
          <w:rFonts w:ascii="Arial" w:hAnsi="Arial" w:cs="Arial"/>
          <w:sz w:val="21"/>
          <w:szCs w:val="21"/>
        </w:rPr>
        <w:t xml:space="preserve">aimed at supporting </w:t>
      </w:r>
      <w:r w:rsidR="00722AEC" w:rsidRPr="00722AEC">
        <w:rPr>
          <w:rFonts w:ascii="Arial" w:hAnsi="Arial" w:cs="Arial"/>
          <w:sz w:val="21"/>
          <w:szCs w:val="21"/>
        </w:rPr>
        <w:t>children’s rights in the digital environment</w:t>
      </w:r>
      <w:r w:rsidR="00ED547B">
        <w:rPr>
          <w:rFonts w:ascii="Arial" w:hAnsi="Arial" w:cs="Arial"/>
          <w:sz w:val="21"/>
          <w:szCs w:val="21"/>
        </w:rPr>
        <w:t>, among other government departments and levels of government, as well as with businesses, organizations</w:t>
      </w:r>
      <w:r w:rsidR="008627CA">
        <w:rPr>
          <w:rFonts w:ascii="Arial" w:hAnsi="Arial" w:cs="Arial"/>
          <w:sz w:val="21"/>
          <w:szCs w:val="21"/>
        </w:rPr>
        <w:t xml:space="preserve">, </w:t>
      </w:r>
      <w:r w:rsidR="00EE702C">
        <w:rPr>
          <w:rFonts w:ascii="Arial" w:hAnsi="Arial" w:cs="Arial"/>
          <w:sz w:val="21"/>
          <w:szCs w:val="21"/>
        </w:rPr>
        <w:t xml:space="preserve">experts, </w:t>
      </w:r>
      <w:r w:rsidR="00ED547B">
        <w:rPr>
          <w:rFonts w:ascii="Arial" w:hAnsi="Arial" w:cs="Arial"/>
          <w:sz w:val="21"/>
          <w:szCs w:val="21"/>
        </w:rPr>
        <w:t>and entities</w:t>
      </w:r>
      <w:r w:rsidR="00EE702C">
        <w:rPr>
          <w:rFonts w:ascii="Arial" w:hAnsi="Arial" w:cs="Arial"/>
          <w:sz w:val="21"/>
          <w:szCs w:val="21"/>
        </w:rPr>
        <w:t>,</w:t>
      </w:r>
      <w:r w:rsidR="00ED547B">
        <w:rPr>
          <w:rFonts w:ascii="Arial" w:hAnsi="Arial" w:cs="Arial"/>
          <w:sz w:val="21"/>
          <w:szCs w:val="21"/>
        </w:rPr>
        <w:t xml:space="preserve"> across sectors. </w:t>
      </w:r>
      <w:r w:rsidR="00EE702C">
        <w:rPr>
          <w:rFonts w:ascii="Arial" w:hAnsi="Arial" w:cs="Arial"/>
          <w:sz w:val="21"/>
          <w:szCs w:val="21"/>
        </w:rPr>
        <w:t>However, t</w:t>
      </w:r>
      <w:r w:rsidR="00C906C0">
        <w:rPr>
          <w:rFonts w:ascii="Arial" w:hAnsi="Arial" w:cs="Arial"/>
          <w:sz w:val="21"/>
          <w:szCs w:val="21"/>
        </w:rPr>
        <w:t xml:space="preserve">he Draft </w:t>
      </w:r>
      <w:r w:rsidR="00EE702C">
        <w:rPr>
          <w:rFonts w:ascii="Arial" w:hAnsi="Arial" w:cs="Arial"/>
          <w:sz w:val="21"/>
          <w:szCs w:val="21"/>
        </w:rPr>
        <w:t>should</w:t>
      </w:r>
      <w:r w:rsidR="00C906C0">
        <w:rPr>
          <w:rFonts w:ascii="Arial" w:hAnsi="Arial" w:cs="Arial"/>
          <w:sz w:val="21"/>
          <w:szCs w:val="21"/>
        </w:rPr>
        <w:t xml:space="preserve"> provide </w:t>
      </w:r>
      <w:r w:rsidR="00EE702C">
        <w:rPr>
          <w:rFonts w:ascii="Arial" w:hAnsi="Arial" w:cs="Arial"/>
          <w:sz w:val="21"/>
          <w:szCs w:val="21"/>
        </w:rPr>
        <w:lastRenderedPageBreak/>
        <w:t xml:space="preserve">more </w:t>
      </w:r>
      <w:r w:rsidR="00E01C9B">
        <w:rPr>
          <w:rFonts w:ascii="Arial" w:hAnsi="Arial" w:cs="Arial"/>
          <w:sz w:val="21"/>
          <w:szCs w:val="21"/>
        </w:rPr>
        <w:t xml:space="preserve">guidance </w:t>
      </w:r>
      <w:r w:rsidR="00C906C0">
        <w:rPr>
          <w:rFonts w:ascii="Arial" w:hAnsi="Arial" w:cs="Arial"/>
          <w:sz w:val="21"/>
          <w:szCs w:val="21"/>
        </w:rPr>
        <w:t xml:space="preserve">on </w:t>
      </w:r>
      <w:r w:rsidR="00C906C0" w:rsidRPr="00E01C9B">
        <w:rPr>
          <w:rFonts w:ascii="Arial" w:hAnsi="Arial" w:cs="Arial"/>
          <w:i/>
          <w:iCs/>
          <w:sz w:val="21"/>
          <w:szCs w:val="21"/>
        </w:rPr>
        <w:t>how</w:t>
      </w:r>
      <w:r w:rsidR="00C906C0">
        <w:rPr>
          <w:rFonts w:ascii="Arial" w:hAnsi="Arial" w:cs="Arial"/>
          <w:sz w:val="21"/>
          <w:szCs w:val="21"/>
        </w:rPr>
        <w:t xml:space="preserve"> States, businesses</w:t>
      </w:r>
      <w:r w:rsidR="00EE702C">
        <w:rPr>
          <w:rFonts w:ascii="Arial" w:hAnsi="Arial" w:cs="Arial"/>
          <w:sz w:val="21"/>
          <w:szCs w:val="21"/>
        </w:rPr>
        <w:t xml:space="preserve">, </w:t>
      </w:r>
      <w:r w:rsidR="00C906C0">
        <w:rPr>
          <w:rFonts w:ascii="Arial" w:hAnsi="Arial" w:cs="Arial"/>
          <w:sz w:val="21"/>
          <w:szCs w:val="21"/>
        </w:rPr>
        <w:t>and stakeholders</w:t>
      </w:r>
      <w:r w:rsidR="00EE702C">
        <w:rPr>
          <w:rFonts w:ascii="Arial" w:hAnsi="Arial" w:cs="Arial"/>
          <w:sz w:val="21"/>
          <w:szCs w:val="21"/>
        </w:rPr>
        <w:t xml:space="preserve"> </w:t>
      </w:r>
      <w:r w:rsidR="00C906C0">
        <w:rPr>
          <w:rFonts w:ascii="Arial" w:hAnsi="Arial" w:cs="Arial"/>
          <w:sz w:val="21"/>
          <w:szCs w:val="21"/>
        </w:rPr>
        <w:t>including regulators, NGOs, parents</w:t>
      </w:r>
      <w:r w:rsidR="00E01C9B">
        <w:rPr>
          <w:rFonts w:ascii="Arial" w:hAnsi="Arial" w:cs="Arial"/>
          <w:sz w:val="21"/>
          <w:szCs w:val="21"/>
        </w:rPr>
        <w:t>, academic researchers, educators,</w:t>
      </w:r>
      <w:r w:rsidR="00C906C0">
        <w:rPr>
          <w:rFonts w:ascii="Arial" w:hAnsi="Arial" w:cs="Arial"/>
          <w:sz w:val="21"/>
          <w:szCs w:val="21"/>
        </w:rPr>
        <w:t xml:space="preserve"> and </w:t>
      </w:r>
      <w:r w:rsidR="00E01C9B">
        <w:rPr>
          <w:rFonts w:ascii="Arial" w:hAnsi="Arial" w:cs="Arial"/>
          <w:sz w:val="21"/>
          <w:szCs w:val="21"/>
        </w:rPr>
        <w:t xml:space="preserve">of course </w:t>
      </w:r>
      <w:r w:rsidR="00C906C0">
        <w:rPr>
          <w:rFonts w:ascii="Arial" w:hAnsi="Arial" w:cs="Arial"/>
          <w:sz w:val="21"/>
          <w:szCs w:val="21"/>
        </w:rPr>
        <w:t>children themselves</w:t>
      </w:r>
      <w:r w:rsidR="00E01C9B">
        <w:rPr>
          <w:rFonts w:ascii="Arial" w:hAnsi="Arial" w:cs="Arial"/>
          <w:sz w:val="21"/>
          <w:szCs w:val="21"/>
        </w:rPr>
        <w:t xml:space="preserve"> (outlined in </w:t>
      </w:r>
      <w:r w:rsidR="00E01C9B" w:rsidRPr="00E01C9B">
        <w:rPr>
          <w:rFonts w:ascii="Arial" w:hAnsi="Arial" w:cs="Arial"/>
          <w:b/>
          <w:bCs/>
          <w:i/>
          <w:iCs/>
          <w:sz w:val="21"/>
          <w:szCs w:val="21"/>
        </w:rPr>
        <w:t>Paragraph 19</w:t>
      </w:r>
      <w:r w:rsidR="00E01C9B">
        <w:rPr>
          <w:rFonts w:ascii="Arial" w:hAnsi="Arial" w:cs="Arial"/>
          <w:sz w:val="21"/>
          <w:szCs w:val="21"/>
        </w:rPr>
        <w:t>)</w:t>
      </w:r>
      <w:r w:rsidR="00C906C0">
        <w:rPr>
          <w:rFonts w:ascii="Arial" w:hAnsi="Arial" w:cs="Arial"/>
          <w:sz w:val="21"/>
          <w:szCs w:val="21"/>
        </w:rPr>
        <w:t>,</w:t>
      </w:r>
      <w:r w:rsidR="00E01C9B">
        <w:rPr>
          <w:rFonts w:ascii="Arial" w:hAnsi="Arial" w:cs="Arial"/>
          <w:sz w:val="21"/>
          <w:szCs w:val="21"/>
        </w:rPr>
        <w:t xml:space="preserve"> </w:t>
      </w:r>
      <w:r w:rsidR="00EE702C">
        <w:rPr>
          <w:rFonts w:ascii="Arial" w:hAnsi="Arial" w:cs="Arial"/>
          <w:sz w:val="21"/>
          <w:szCs w:val="21"/>
        </w:rPr>
        <w:t xml:space="preserve">can be brought </w:t>
      </w:r>
      <w:r w:rsidR="00E01C9B">
        <w:rPr>
          <w:rFonts w:ascii="Arial" w:hAnsi="Arial" w:cs="Arial"/>
          <w:sz w:val="21"/>
          <w:szCs w:val="21"/>
        </w:rPr>
        <w:t xml:space="preserve">together to engage in the </w:t>
      </w:r>
      <w:r w:rsidR="00EE702C">
        <w:rPr>
          <w:rFonts w:ascii="Arial" w:hAnsi="Arial" w:cs="Arial"/>
          <w:sz w:val="21"/>
          <w:szCs w:val="21"/>
        </w:rPr>
        <w:t xml:space="preserve">collaborative </w:t>
      </w:r>
      <w:r w:rsidR="00E01C9B">
        <w:rPr>
          <w:rFonts w:ascii="Arial" w:hAnsi="Arial" w:cs="Arial"/>
          <w:sz w:val="21"/>
          <w:szCs w:val="21"/>
        </w:rPr>
        <w:t xml:space="preserve">work </w:t>
      </w:r>
      <w:r w:rsidR="00EE702C">
        <w:rPr>
          <w:rFonts w:ascii="Arial" w:hAnsi="Arial" w:cs="Arial"/>
          <w:sz w:val="21"/>
          <w:szCs w:val="21"/>
        </w:rPr>
        <w:t xml:space="preserve">required to </w:t>
      </w:r>
      <w:r w:rsidR="00E01C9B">
        <w:rPr>
          <w:rFonts w:ascii="Arial" w:hAnsi="Arial" w:cs="Arial"/>
          <w:sz w:val="21"/>
          <w:szCs w:val="21"/>
        </w:rPr>
        <w:t xml:space="preserve">develop </w:t>
      </w:r>
      <w:r w:rsidR="00EE702C">
        <w:rPr>
          <w:rFonts w:ascii="Arial" w:hAnsi="Arial" w:cs="Arial"/>
          <w:sz w:val="21"/>
          <w:szCs w:val="21"/>
        </w:rPr>
        <w:t xml:space="preserve">this </w:t>
      </w:r>
      <w:r w:rsidR="00E01C9B">
        <w:rPr>
          <w:rFonts w:ascii="Arial" w:hAnsi="Arial" w:cs="Arial"/>
          <w:sz w:val="21"/>
          <w:szCs w:val="21"/>
        </w:rPr>
        <w:t>legislation</w:t>
      </w:r>
      <w:r w:rsidR="00EE702C">
        <w:rPr>
          <w:rFonts w:ascii="Arial" w:hAnsi="Arial" w:cs="Arial"/>
          <w:sz w:val="21"/>
          <w:szCs w:val="21"/>
        </w:rPr>
        <w:t>.</w:t>
      </w:r>
    </w:p>
    <w:p w14:paraId="1AB48653" w14:textId="1A91DEE5" w:rsidR="001F6187" w:rsidRDefault="001F6187">
      <w:pPr>
        <w:rPr>
          <w:rFonts w:ascii="Arial" w:hAnsi="Arial" w:cs="Arial"/>
          <w:sz w:val="21"/>
          <w:szCs w:val="21"/>
        </w:rPr>
      </w:pPr>
    </w:p>
    <w:p w14:paraId="2C8F6EFC" w14:textId="545F12C6" w:rsidR="005F40ED" w:rsidRPr="008B5164" w:rsidRDefault="008B5164" w:rsidP="001F6187">
      <w:pPr>
        <w:rPr>
          <w:rFonts w:ascii="Arial" w:hAnsi="Arial" w:cs="Arial"/>
          <w:b/>
          <w:bCs/>
          <w:sz w:val="21"/>
          <w:szCs w:val="21"/>
          <w:u w:val="single"/>
        </w:rPr>
      </w:pPr>
      <w:r>
        <w:rPr>
          <w:rFonts w:ascii="Arial" w:hAnsi="Arial" w:cs="Arial"/>
          <w:b/>
          <w:bCs/>
          <w:sz w:val="21"/>
          <w:szCs w:val="21"/>
          <w:u w:val="single"/>
        </w:rPr>
        <w:t>The</w:t>
      </w:r>
      <w:r w:rsidR="001F6187">
        <w:rPr>
          <w:rFonts w:ascii="Arial" w:hAnsi="Arial" w:cs="Arial"/>
          <w:b/>
          <w:bCs/>
          <w:sz w:val="21"/>
          <w:szCs w:val="21"/>
          <w:u w:val="single"/>
        </w:rPr>
        <w:t xml:space="preserve"> </w:t>
      </w:r>
      <w:r w:rsidR="001F6C4C">
        <w:rPr>
          <w:rFonts w:ascii="Arial" w:hAnsi="Arial" w:cs="Arial"/>
          <w:b/>
          <w:bCs/>
          <w:sz w:val="21"/>
          <w:szCs w:val="21"/>
          <w:u w:val="single"/>
        </w:rPr>
        <w:t>r</w:t>
      </w:r>
      <w:r w:rsidR="001F6187">
        <w:rPr>
          <w:rFonts w:ascii="Arial" w:hAnsi="Arial" w:cs="Arial"/>
          <w:b/>
          <w:bCs/>
          <w:sz w:val="21"/>
          <w:szCs w:val="21"/>
          <w:u w:val="single"/>
        </w:rPr>
        <w:t xml:space="preserve">ole of </w:t>
      </w:r>
      <w:r w:rsidR="001F6C4C">
        <w:rPr>
          <w:rFonts w:ascii="Arial" w:hAnsi="Arial" w:cs="Arial"/>
          <w:b/>
          <w:bCs/>
          <w:sz w:val="21"/>
          <w:szCs w:val="21"/>
          <w:u w:val="single"/>
        </w:rPr>
        <w:t>c</w:t>
      </w:r>
      <w:r w:rsidR="00BE1D68">
        <w:rPr>
          <w:rFonts w:ascii="Arial" w:hAnsi="Arial" w:cs="Arial"/>
          <w:b/>
          <w:bCs/>
          <w:sz w:val="21"/>
          <w:szCs w:val="21"/>
          <w:u w:val="single"/>
        </w:rPr>
        <w:t xml:space="preserve">ultural </w:t>
      </w:r>
      <w:r w:rsidR="001F6C4C">
        <w:rPr>
          <w:rFonts w:ascii="Arial" w:hAnsi="Arial" w:cs="Arial"/>
          <w:b/>
          <w:bCs/>
          <w:sz w:val="21"/>
          <w:szCs w:val="21"/>
          <w:u w:val="single"/>
        </w:rPr>
        <w:t>i</w:t>
      </w:r>
      <w:r w:rsidR="00BE1D68">
        <w:rPr>
          <w:rFonts w:ascii="Arial" w:hAnsi="Arial" w:cs="Arial"/>
          <w:b/>
          <w:bCs/>
          <w:sz w:val="21"/>
          <w:szCs w:val="21"/>
          <w:u w:val="single"/>
        </w:rPr>
        <w:t>nstitutions</w:t>
      </w:r>
      <w:r w:rsidR="001F6187">
        <w:rPr>
          <w:rFonts w:ascii="Arial" w:hAnsi="Arial" w:cs="Arial"/>
          <w:b/>
          <w:bCs/>
          <w:sz w:val="21"/>
          <w:szCs w:val="21"/>
          <w:u w:val="single"/>
        </w:rPr>
        <w:t xml:space="preserve"> in </w:t>
      </w:r>
      <w:r w:rsidR="001F6C4C">
        <w:rPr>
          <w:rFonts w:ascii="Arial" w:hAnsi="Arial" w:cs="Arial"/>
          <w:b/>
          <w:bCs/>
          <w:sz w:val="21"/>
          <w:szCs w:val="21"/>
          <w:u w:val="single"/>
        </w:rPr>
        <w:t>s</w:t>
      </w:r>
      <w:r>
        <w:rPr>
          <w:rFonts w:ascii="Arial" w:hAnsi="Arial" w:cs="Arial"/>
          <w:b/>
          <w:bCs/>
          <w:sz w:val="21"/>
          <w:szCs w:val="21"/>
          <w:u w:val="single"/>
        </w:rPr>
        <w:t xml:space="preserve">upporting </w:t>
      </w:r>
      <w:r w:rsidR="001F6C4C">
        <w:rPr>
          <w:rFonts w:ascii="Arial" w:hAnsi="Arial" w:cs="Arial"/>
          <w:b/>
          <w:bCs/>
          <w:sz w:val="21"/>
          <w:szCs w:val="21"/>
          <w:u w:val="single"/>
        </w:rPr>
        <w:t>c</w:t>
      </w:r>
      <w:r>
        <w:rPr>
          <w:rFonts w:ascii="Arial" w:hAnsi="Arial" w:cs="Arial"/>
          <w:b/>
          <w:bCs/>
          <w:sz w:val="21"/>
          <w:szCs w:val="21"/>
          <w:u w:val="single"/>
        </w:rPr>
        <w:t xml:space="preserve">hildren’s </w:t>
      </w:r>
      <w:r w:rsidR="001F6C4C">
        <w:rPr>
          <w:rFonts w:ascii="Arial" w:hAnsi="Arial" w:cs="Arial"/>
          <w:b/>
          <w:bCs/>
          <w:sz w:val="21"/>
          <w:szCs w:val="21"/>
          <w:u w:val="single"/>
        </w:rPr>
        <w:t>r</w:t>
      </w:r>
      <w:r>
        <w:rPr>
          <w:rFonts w:ascii="Arial" w:hAnsi="Arial" w:cs="Arial"/>
          <w:b/>
          <w:bCs/>
          <w:sz w:val="21"/>
          <w:szCs w:val="21"/>
          <w:u w:val="single"/>
        </w:rPr>
        <w:t xml:space="preserve">ights in the </w:t>
      </w:r>
      <w:r w:rsidR="001F6C4C">
        <w:rPr>
          <w:rFonts w:ascii="Arial" w:hAnsi="Arial" w:cs="Arial"/>
          <w:b/>
          <w:bCs/>
          <w:sz w:val="21"/>
          <w:szCs w:val="21"/>
          <w:u w:val="single"/>
        </w:rPr>
        <w:t>d</w:t>
      </w:r>
      <w:r>
        <w:rPr>
          <w:rFonts w:ascii="Arial" w:hAnsi="Arial" w:cs="Arial"/>
          <w:b/>
          <w:bCs/>
          <w:sz w:val="21"/>
          <w:szCs w:val="21"/>
          <w:u w:val="single"/>
        </w:rPr>
        <w:t xml:space="preserve">igital </w:t>
      </w:r>
      <w:r w:rsidR="001F6C4C">
        <w:rPr>
          <w:rFonts w:ascii="Arial" w:hAnsi="Arial" w:cs="Arial"/>
          <w:b/>
          <w:bCs/>
          <w:sz w:val="21"/>
          <w:szCs w:val="21"/>
          <w:u w:val="single"/>
        </w:rPr>
        <w:t>e</w:t>
      </w:r>
      <w:r>
        <w:rPr>
          <w:rFonts w:ascii="Arial" w:hAnsi="Arial" w:cs="Arial"/>
          <w:b/>
          <w:bCs/>
          <w:sz w:val="21"/>
          <w:szCs w:val="21"/>
          <w:u w:val="single"/>
        </w:rPr>
        <w:t>nvironment</w:t>
      </w:r>
    </w:p>
    <w:p w14:paraId="2B4D710F" w14:textId="75E0DB13" w:rsidR="00BE1D68" w:rsidRDefault="00917BF9" w:rsidP="00917BF9">
      <w:pPr>
        <w:rPr>
          <w:rFonts w:ascii="Arial" w:hAnsi="Arial" w:cs="Arial"/>
          <w:sz w:val="21"/>
          <w:szCs w:val="21"/>
        </w:rPr>
      </w:pPr>
      <w:r w:rsidRPr="00917BF9">
        <w:rPr>
          <w:rFonts w:ascii="Arial" w:hAnsi="Arial" w:cs="Arial"/>
          <w:sz w:val="21"/>
          <w:szCs w:val="21"/>
        </w:rPr>
        <w:t xml:space="preserve">There are several paragraphs in the Draft </w:t>
      </w:r>
      <w:r w:rsidR="00984891">
        <w:rPr>
          <w:rFonts w:ascii="Arial" w:hAnsi="Arial" w:cs="Arial"/>
          <w:sz w:val="21"/>
          <w:szCs w:val="21"/>
        </w:rPr>
        <w:t>that encourage</w:t>
      </w:r>
      <w:r w:rsidRPr="00917BF9">
        <w:rPr>
          <w:rFonts w:ascii="Arial" w:hAnsi="Arial" w:cs="Arial"/>
          <w:sz w:val="21"/>
          <w:szCs w:val="21"/>
        </w:rPr>
        <w:t xml:space="preserve"> States to provide resources, technologies</w:t>
      </w:r>
      <w:r>
        <w:rPr>
          <w:rFonts w:ascii="Arial" w:hAnsi="Arial" w:cs="Arial"/>
          <w:sz w:val="21"/>
          <w:szCs w:val="21"/>
        </w:rPr>
        <w:t>, services,</w:t>
      </w:r>
      <w:r w:rsidRPr="00917BF9">
        <w:rPr>
          <w:rFonts w:ascii="Arial" w:hAnsi="Arial" w:cs="Arial"/>
          <w:sz w:val="21"/>
          <w:szCs w:val="21"/>
        </w:rPr>
        <w:t xml:space="preserve"> and content </w:t>
      </w:r>
      <w:r>
        <w:rPr>
          <w:rFonts w:ascii="Arial" w:hAnsi="Arial" w:cs="Arial"/>
          <w:sz w:val="21"/>
          <w:szCs w:val="21"/>
        </w:rPr>
        <w:t>aimed at</w:t>
      </w:r>
      <w:r w:rsidRPr="00917BF9">
        <w:rPr>
          <w:rFonts w:ascii="Arial" w:hAnsi="Arial" w:cs="Arial"/>
          <w:sz w:val="21"/>
          <w:szCs w:val="21"/>
        </w:rPr>
        <w:t xml:space="preserve"> support</w:t>
      </w:r>
      <w:r>
        <w:rPr>
          <w:rFonts w:ascii="Arial" w:hAnsi="Arial" w:cs="Arial"/>
          <w:sz w:val="21"/>
          <w:szCs w:val="21"/>
        </w:rPr>
        <w:t>ing</w:t>
      </w:r>
      <w:r w:rsidRPr="00917BF9">
        <w:rPr>
          <w:rFonts w:ascii="Arial" w:hAnsi="Arial" w:cs="Arial"/>
          <w:sz w:val="21"/>
          <w:szCs w:val="21"/>
        </w:rPr>
        <w:t xml:space="preserve"> children </w:t>
      </w:r>
      <w:r>
        <w:rPr>
          <w:rFonts w:ascii="Arial" w:hAnsi="Arial" w:cs="Arial"/>
          <w:sz w:val="21"/>
          <w:szCs w:val="21"/>
        </w:rPr>
        <w:t xml:space="preserve">and enabling a greater number of children to engage with a fuller range of diverse and enriching digital experiences. This includes </w:t>
      </w:r>
      <w:r w:rsidRPr="00917BF9">
        <w:rPr>
          <w:rFonts w:ascii="Arial" w:hAnsi="Arial" w:cs="Arial"/>
          <w:b/>
          <w:bCs/>
          <w:i/>
          <w:iCs/>
          <w:sz w:val="21"/>
          <w:szCs w:val="21"/>
        </w:rPr>
        <w:t>Paragraph 29</w:t>
      </w:r>
      <w:r>
        <w:rPr>
          <w:rFonts w:ascii="Arial" w:hAnsi="Arial" w:cs="Arial"/>
          <w:sz w:val="21"/>
          <w:szCs w:val="21"/>
        </w:rPr>
        <w:t xml:space="preserve">, which specifically addresses digital inclusion, equality of access, and affordability of connectivity; </w:t>
      </w:r>
      <w:r w:rsidRPr="00917BF9">
        <w:rPr>
          <w:rFonts w:ascii="Arial" w:hAnsi="Arial" w:cs="Arial"/>
          <w:b/>
          <w:bCs/>
          <w:i/>
          <w:iCs/>
          <w:sz w:val="21"/>
          <w:szCs w:val="21"/>
        </w:rPr>
        <w:t>Paragraph 108</w:t>
      </w:r>
      <w:r>
        <w:rPr>
          <w:rFonts w:ascii="Arial" w:hAnsi="Arial" w:cs="Arial"/>
          <w:sz w:val="21"/>
          <w:szCs w:val="21"/>
        </w:rPr>
        <w:t xml:space="preserve">, which asks States to ensure access to digital technologies for informal learning and extracurriculars, leisure and cultural activities that support children’s engagement </w:t>
      </w:r>
      <w:r w:rsidR="00A56F5C">
        <w:rPr>
          <w:rFonts w:ascii="Arial" w:hAnsi="Arial" w:cs="Arial"/>
          <w:sz w:val="21"/>
          <w:szCs w:val="21"/>
        </w:rPr>
        <w:t>in</w:t>
      </w:r>
      <w:r>
        <w:rPr>
          <w:rFonts w:ascii="Arial" w:hAnsi="Arial" w:cs="Arial"/>
          <w:sz w:val="21"/>
          <w:szCs w:val="21"/>
        </w:rPr>
        <w:t xml:space="preserve"> their own creative practices and those of others; </w:t>
      </w:r>
      <w:r w:rsidRPr="00BE1D68">
        <w:rPr>
          <w:rFonts w:ascii="Arial" w:hAnsi="Arial" w:cs="Arial"/>
          <w:b/>
          <w:bCs/>
          <w:i/>
          <w:iCs/>
          <w:sz w:val="21"/>
          <w:szCs w:val="21"/>
        </w:rPr>
        <w:t>Paragraph 111</w:t>
      </w:r>
      <w:r>
        <w:rPr>
          <w:rFonts w:ascii="Arial" w:hAnsi="Arial" w:cs="Arial"/>
          <w:sz w:val="21"/>
          <w:szCs w:val="21"/>
        </w:rPr>
        <w:t xml:space="preserve">, which requires States to provide equitable high-quality technologies and content to schools; </w:t>
      </w:r>
      <w:r w:rsidRPr="006C11E3">
        <w:rPr>
          <w:rFonts w:ascii="Arial" w:hAnsi="Arial" w:cs="Arial"/>
          <w:sz w:val="21"/>
          <w:szCs w:val="21"/>
        </w:rPr>
        <w:t xml:space="preserve"> </w:t>
      </w:r>
      <w:r>
        <w:rPr>
          <w:rFonts w:ascii="Arial" w:hAnsi="Arial" w:cs="Arial"/>
          <w:sz w:val="21"/>
          <w:szCs w:val="21"/>
        </w:rPr>
        <w:t xml:space="preserve">and </w:t>
      </w:r>
      <w:r w:rsidRPr="00BE1D68">
        <w:rPr>
          <w:rFonts w:ascii="Arial" w:hAnsi="Arial" w:cs="Arial"/>
          <w:b/>
          <w:bCs/>
          <w:i/>
          <w:iCs/>
          <w:sz w:val="21"/>
          <w:szCs w:val="21"/>
        </w:rPr>
        <w:t>Paragraphs 115-117</w:t>
      </w:r>
      <w:r>
        <w:rPr>
          <w:rFonts w:ascii="Arial" w:hAnsi="Arial" w:cs="Arial"/>
          <w:sz w:val="21"/>
          <w:szCs w:val="21"/>
        </w:rPr>
        <w:t xml:space="preserve">, which </w:t>
      </w:r>
      <w:r w:rsidR="00A56F5C">
        <w:rPr>
          <w:rFonts w:ascii="Arial" w:hAnsi="Arial" w:cs="Arial"/>
          <w:sz w:val="21"/>
          <w:szCs w:val="21"/>
        </w:rPr>
        <w:t>call</w:t>
      </w:r>
      <w:r w:rsidR="008953F2">
        <w:rPr>
          <w:rFonts w:ascii="Arial" w:hAnsi="Arial" w:cs="Arial"/>
          <w:sz w:val="21"/>
          <w:szCs w:val="21"/>
        </w:rPr>
        <w:t xml:space="preserve"> </w:t>
      </w:r>
      <w:r w:rsidR="00A56F5C">
        <w:rPr>
          <w:rFonts w:ascii="Arial" w:hAnsi="Arial" w:cs="Arial"/>
          <w:sz w:val="21"/>
          <w:szCs w:val="21"/>
        </w:rPr>
        <w:t>on States to work with professionals, parents and digital providers to ensure children have access to technologies and services made for play, fun and culture.</w:t>
      </w:r>
      <w:r w:rsidR="00BE1D68">
        <w:rPr>
          <w:rFonts w:ascii="Arial" w:hAnsi="Arial" w:cs="Arial"/>
          <w:sz w:val="21"/>
          <w:szCs w:val="21"/>
        </w:rPr>
        <w:t xml:space="preserve"> Moreover, </w:t>
      </w:r>
      <w:r w:rsidR="00BE1D68" w:rsidRPr="00BE1D68">
        <w:rPr>
          <w:rFonts w:ascii="Arial" w:hAnsi="Arial" w:cs="Arial"/>
          <w:b/>
          <w:bCs/>
          <w:i/>
          <w:iCs/>
          <w:sz w:val="21"/>
          <w:szCs w:val="21"/>
        </w:rPr>
        <w:t>Paragraph 118</w:t>
      </w:r>
      <w:r w:rsidR="00BE1D68">
        <w:rPr>
          <w:rFonts w:ascii="Arial" w:hAnsi="Arial" w:cs="Arial"/>
          <w:sz w:val="21"/>
          <w:szCs w:val="21"/>
        </w:rPr>
        <w:t xml:space="preserve"> requires States to ensure that opportunities for digital culture and play are “balanced with the provision of </w:t>
      </w:r>
      <w:r w:rsidR="00BE1D68" w:rsidRPr="006C11E3">
        <w:rPr>
          <w:rFonts w:ascii="Arial" w:hAnsi="Arial" w:cs="Arial"/>
          <w:sz w:val="21"/>
          <w:szCs w:val="21"/>
        </w:rPr>
        <w:t>attractive alternatives in the physical locations where children live</w:t>
      </w:r>
      <w:r w:rsidR="00BE1D68">
        <w:rPr>
          <w:rFonts w:ascii="Arial" w:hAnsi="Arial" w:cs="Arial"/>
          <w:sz w:val="21"/>
          <w:szCs w:val="21"/>
        </w:rPr>
        <w:t>.</w:t>
      </w:r>
      <w:r w:rsidR="00BE1D68" w:rsidRPr="006C11E3">
        <w:rPr>
          <w:rFonts w:ascii="Arial" w:hAnsi="Arial" w:cs="Arial"/>
          <w:sz w:val="21"/>
          <w:szCs w:val="21"/>
        </w:rPr>
        <w:t>”</w:t>
      </w:r>
      <w:r w:rsidR="00BE1D68">
        <w:rPr>
          <w:rFonts w:ascii="Arial" w:hAnsi="Arial" w:cs="Arial"/>
          <w:sz w:val="21"/>
          <w:szCs w:val="21"/>
        </w:rPr>
        <w:t xml:space="preserve"> All of these represent valuable interventions that </w:t>
      </w:r>
      <w:r w:rsidR="00984891">
        <w:rPr>
          <w:rFonts w:ascii="Arial" w:hAnsi="Arial" w:cs="Arial"/>
          <w:sz w:val="21"/>
          <w:szCs w:val="21"/>
        </w:rPr>
        <w:t>will</w:t>
      </w:r>
      <w:r w:rsidR="00BE1D68">
        <w:rPr>
          <w:rFonts w:ascii="Arial" w:hAnsi="Arial" w:cs="Arial"/>
          <w:sz w:val="21"/>
          <w:szCs w:val="21"/>
        </w:rPr>
        <w:t xml:space="preserve"> greatly benefit children and </w:t>
      </w:r>
      <w:r w:rsidR="00984891">
        <w:rPr>
          <w:rFonts w:ascii="Arial" w:hAnsi="Arial" w:cs="Arial"/>
          <w:sz w:val="21"/>
          <w:szCs w:val="21"/>
        </w:rPr>
        <w:t xml:space="preserve">advance </w:t>
      </w:r>
      <w:r w:rsidR="00BE1D68">
        <w:rPr>
          <w:rFonts w:ascii="Arial" w:hAnsi="Arial" w:cs="Arial"/>
          <w:sz w:val="21"/>
          <w:szCs w:val="21"/>
        </w:rPr>
        <w:t>children’s rights in the digital environment. However,</w:t>
      </w:r>
      <w:r w:rsidR="00984891">
        <w:rPr>
          <w:rFonts w:ascii="Arial" w:hAnsi="Arial" w:cs="Arial"/>
          <w:sz w:val="21"/>
          <w:szCs w:val="21"/>
        </w:rPr>
        <w:t xml:space="preserve"> </w:t>
      </w:r>
      <w:r w:rsidR="00BE1D68">
        <w:rPr>
          <w:rFonts w:ascii="Arial" w:hAnsi="Arial" w:cs="Arial"/>
          <w:sz w:val="21"/>
          <w:szCs w:val="21"/>
        </w:rPr>
        <w:t xml:space="preserve">little detail </w:t>
      </w:r>
      <w:r w:rsidR="00984891">
        <w:rPr>
          <w:rFonts w:ascii="Arial" w:hAnsi="Arial" w:cs="Arial"/>
          <w:sz w:val="21"/>
          <w:szCs w:val="21"/>
        </w:rPr>
        <w:t xml:space="preserve">is </w:t>
      </w:r>
      <w:r w:rsidR="00BE1D68">
        <w:rPr>
          <w:rFonts w:ascii="Arial" w:hAnsi="Arial" w:cs="Arial"/>
          <w:sz w:val="21"/>
          <w:szCs w:val="21"/>
        </w:rPr>
        <w:t>provided about how these changes should be implemented, what role commercial</w:t>
      </w:r>
      <w:r w:rsidR="00984891">
        <w:rPr>
          <w:rFonts w:ascii="Arial" w:hAnsi="Arial" w:cs="Arial"/>
          <w:sz w:val="21"/>
          <w:szCs w:val="21"/>
        </w:rPr>
        <w:t>/</w:t>
      </w:r>
      <w:r w:rsidR="00BE1D68">
        <w:rPr>
          <w:rFonts w:ascii="Arial" w:hAnsi="Arial" w:cs="Arial"/>
          <w:sz w:val="21"/>
          <w:szCs w:val="21"/>
        </w:rPr>
        <w:t xml:space="preserve">for-profit businesses </w:t>
      </w:r>
      <w:r w:rsidR="00984891">
        <w:rPr>
          <w:rFonts w:ascii="Arial" w:hAnsi="Arial" w:cs="Arial"/>
          <w:sz w:val="21"/>
          <w:szCs w:val="21"/>
        </w:rPr>
        <w:t>should</w:t>
      </w:r>
      <w:r w:rsidR="00BE1D68">
        <w:rPr>
          <w:rFonts w:ascii="Arial" w:hAnsi="Arial" w:cs="Arial"/>
          <w:sz w:val="21"/>
          <w:szCs w:val="21"/>
        </w:rPr>
        <w:t xml:space="preserve"> play, and who </w:t>
      </w:r>
      <w:r w:rsidR="00984891">
        <w:rPr>
          <w:rFonts w:ascii="Arial" w:hAnsi="Arial" w:cs="Arial"/>
          <w:sz w:val="21"/>
          <w:szCs w:val="21"/>
        </w:rPr>
        <w:t>sh</w:t>
      </w:r>
      <w:r w:rsidR="00BE1D68">
        <w:rPr>
          <w:rFonts w:ascii="Arial" w:hAnsi="Arial" w:cs="Arial"/>
          <w:sz w:val="21"/>
          <w:szCs w:val="21"/>
        </w:rPr>
        <w:t xml:space="preserve">ould be responsible for their provision. </w:t>
      </w:r>
    </w:p>
    <w:p w14:paraId="26377111" w14:textId="77777777" w:rsidR="00BE1D68" w:rsidRDefault="00BE1D68" w:rsidP="00917BF9">
      <w:pPr>
        <w:rPr>
          <w:rFonts w:ascii="Arial" w:hAnsi="Arial" w:cs="Arial"/>
          <w:sz w:val="21"/>
          <w:szCs w:val="21"/>
        </w:rPr>
      </w:pPr>
    </w:p>
    <w:p w14:paraId="774EC956" w14:textId="12F2C06A" w:rsidR="00E935CF" w:rsidRPr="00917BF9" w:rsidRDefault="00BE1D68" w:rsidP="00E935CF">
      <w:pPr>
        <w:rPr>
          <w:rFonts w:ascii="Arial" w:hAnsi="Arial" w:cs="Arial"/>
          <w:sz w:val="21"/>
          <w:szCs w:val="21"/>
        </w:rPr>
      </w:pPr>
      <w:r>
        <w:rPr>
          <w:rFonts w:ascii="Arial" w:hAnsi="Arial" w:cs="Arial"/>
          <w:sz w:val="21"/>
          <w:szCs w:val="21"/>
        </w:rPr>
        <w:t>Notably, in many contexts, organizations belonging to the cultural institutions sector, which includes art galleries, libraries, archives, and museums, among others, are already established leaders in providing the</w:t>
      </w:r>
      <w:r w:rsidR="00984891">
        <w:rPr>
          <w:rFonts w:ascii="Arial" w:hAnsi="Arial" w:cs="Arial"/>
          <w:sz w:val="21"/>
          <w:szCs w:val="21"/>
        </w:rPr>
        <w:t xml:space="preserve"> types of</w:t>
      </w:r>
      <w:r>
        <w:rPr>
          <w:rFonts w:ascii="Arial" w:hAnsi="Arial" w:cs="Arial"/>
          <w:sz w:val="21"/>
          <w:szCs w:val="21"/>
        </w:rPr>
        <w:t xml:space="preserve"> services</w:t>
      </w:r>
      <w:r w:rsidR="00984891">
        <w:rPr>
          <w:rFonts w:ascii="Arial" w:hAnsi="Arial" w:cs="Arial"/>
          <w:sz w:val="21"/>
          <w:szCs w:val="21"/>
        </w:rPr>
        <w:t xml:space="preserve"> outlined in these paragraphs. Cultural institutions </w:t>
      </w:r>
      <w:r>
        <w:rPr>
          <w:rFonts w:ascii="Arial" w:hAnsi="Arial" w:cs="Arial"/>
          <w:sz w:val="21"/>
          <w:szCs w:val="21"/>
        </w:rPr>
        <w:t xml:space="preserve">are </w:t>
      </w:r>
      <w:r w:rsidR="00984891">
        <w:rPr>
          <w:rFonts w:ascii="Arial" w:hAnsi="Arial" w:cs="Arial"/>
          <w:sz w:val="21"/>
          <w:szCs w:val="21"/>
        </w:rPr>
        <w:t xml:space="preserve">also </w:t>
      </w:r>
      <w:r>
        <w:rPr>
          <w:rFonts w:ascii="Arial" w:hAnsi="Arial" w:cs="Arial"/>
          <w:sz w:val="21"/>
          <w:szCs w:val="21"/>
        </w:rPr>
        <w:t xml:space="preserve">often at the vanguard of technological innovation and cultural shifts. These institutions educate, promote culture, </w:t>
      </w:r>
      <w:r w:rsidR="00E935CF">
        <w:rPr>
          <w:rFonts w:ascii="Arial" w:hAnsi="Arial" w:cs="Arial"/>
          <w:sz w:val="21"/>
          <w:szCs w:val="21"/>
        </w:rPr>
        <w:t xml:space="preserve">enable hands-on engagement, and provide high-quality content in a range of areas. While the Draft does mention cultural institutions in </w:t>
      </w:r>
      <w:r w:rsidR="00E935CF" w:rsidRPr="00E935CF">
        <w:rPr>
          <w:rFonts w:ascii="Arial" w:hAnsi="Arial" w:cs="Arial"/>
          <w:b/>
          <w:bCs/>
          <w:i/>
          <w:iCs/>
          <w:sz w:val="21"/>
          <w:szCs w:val="21"/>
        </w:rPr>
        <w:t>Paragraph</w:t>
      </w:r>
      <w:r w:rsidR="004B04B8">
        <w:rPr>
          <w:rFonts w:ascii="Arial" w:hAnsi="Arial" w:cs="Arial"/>
          <w:b/>
          <w:bCs/>
          <w:i/>
          <w:iCs/>
          <w:sz w:val="21"/>
          <w:szCs w:val="21"/>
        </w:rPr>
        <w:t>s</w:t>
      </w:r>
      <w:r w:rsidR="00E935CF" w:rsidRPr="00E935CF">
        <w:rPr>
          <w:rFonts w:ascii="Arial" w:hAnsi="Arial" w:cs="Arial"/>
          <w:b/>
          <w:bCs/>
          <w:i/>
          <w:iCs/>
          <w:sz w:val="21"/>
          <w:szCs w:val="21"/>
        </w:rPr>
        <w:t xml:space="preserve"> 53</w:t>
      </w:r>
      <w:r w:rsidR="004B04B8">
        <w:rPr>
          <w:rFonts w:ascii="Arial" w:hAnsi="Arial" w:cs="Arial"/>
          <w:sz w:val="21"/>
          <w:szCs w:val="21"/>
        </w:rPr>
        <w:t xml:space="preserve"> </w:t>
      </w:r>
      <w:r w:rsidR="004B04B8">
        <w:rPr>
          <w:rFonts w:ascii="Arial" w:hAnsi="Arial" w:cs="Arial"/>
          <w:b/>
          <w:bCs/>
          <w:i/>
          <w:iCs/>
          <w:sz w:val="21"/>
          <w:szCs w:val="21"/>
        </w:rPr>
        <w:t xml:space="preserve">and </w:t>
      </w:r>
      <w:r w:rsidR="00E935CF" w:rsidRPr="00E935CF">
        <w:rPr>
          <w:rFonts w:ascii="Arial" w:hAnsi="Arial" w:cs="Arial"/>
          <w:b/>
          <w:bCs/>
          <w:i/>
          <w:iCs/>
          <w:sz w:val="21"/>
          <w:szCs w:val="21"/>
        </w:rPr>
        <w:t>109</w:t>
      </w:r>
      <w:r w:rsidR="00E935CF">
        <w:rPr>
          <w:rFonts w:ascii="Arial" w:hAnsi="Arial" w:cs="Arial"/>
          <w:sz w:val="21"/>
          <w:szCs w:val="21"/>
        </w:rPr>
        <w:t>, the cultural institutions sector does not currently appear to be seen as a key stakeholder or as an active participant in the work of designing and implementing new legislation and initiatives aimed at supporting children’s rights in the digital environment. Instead, cultural institutions are largely positioned as a desirable but supplementary source of resources</w:t>
      </w:r>
      <w:r w:rsidR="00742B9D">
        <w:rPr>
          <w:rFonts w:ascii="Arial" w:hAnsi="Arial" w:cs="Arial"/>
          <w:sz w:val="21"/>
          <w:szCs w:val="21"/>
        </w:rPr>
        <w:t xml:space="preserve"> and content. I believe this </w:t>
      </w:r>
      <w:r w:rsidR="00063C06">
        <w:rPr>
          <w:rFonts w:ascii="Arial" w:hAnsi="Arial" w:cs="Arial"/>
          <w:sz w:val="21"/>
          <w:szCs w:val="21"/>
        </w:rPr>
        <w:t>is</w:t>
      </w:r>
      <w:r w:rsidR="00742B9D">
        <w:rPr>
          <w:rFonts w:ascii="Arial" w:hAnsi="Arial" w:cs="Arial"/>
          <w:sz w:val="21"/>
          <w:szCs w:val="21"/>
        </w:rPr>
        <w:t xml:space="preserve"> </w:t>
      </w:r>
      <w:r w:rsidR="00E935CF">
        <w:rPr>
          <w:rFonts w:ascii="Arial" w:hAnsi="Arial" w:cs="Arial"/>
          <w:sz w:val="21"/>
          <w:szCs w:val="21"/>
        </w:rPr>
        <w:t>a major oversight</w:t>
      </w:r>
      <w:r w:rsidR="00742B9D">
        <w:rPr>
          <w:rFonts w:ascii="Arial" w:hAnsi="Arial" w:cs="Arial"/>
          <w:sz w:val="21"/>
          <w:szCs w:val="21"/>
        </w:rPr>
        <w:t xml:space="preserve">. </w:t>
      </w:r>
      <w:r w:rsidR="004B04B8">
        <w:rPr>
          <w:rFonts w:ascii="Arial" w:hAnsi="Arial" w:cs="Arial"/>
          <w:sz w:val="21"/>
          <w:szCs w:val="21"/>
        </w:rPr>
        <w:t>In many countries, the</w:t>
      </w:r>
      <w:r w:rsidR="00742B9D">
        <w:rPr>
          <w:rFonts w:ascii="Arial" w:hAnsi="Arial" w:cs="Arial"/>
          <w:sz w:val="21"/>
          <w:szCs w:val="21"/>
        </w:rPr>
        <w:t xml:space="preserve"> cultural institutions sector</w:t>
      </w:r>
      <w:r w:rsidR="00F673FF">
        <w:rPr>
          <w:rFonts w:ascii="Arial" w:hAnsi="Arial" w:cs="Arial"/>
          <w:sz w:val="21"/>
          <w:szCs w:val="21"/>
        </w:rPr>
        <w:t xml:space="preserve"> </w:t>
      </w:r>
      <w:r w:rsidR="004B04B8">
        <w:rPr>
          <w:rFonts w:ascii="Arial" w:hAnsi="Arial" w:cs="Arial"/>
          <w:sz w:val="21"/>
          <w:szCs w:val="21"/>
        </w:rPr>
        <w:t>fills</w:t>
      </w:r>
      <w:r w:rsidR="00F673FF">
        <w:rPr>
          <w:rFonts w:ascii="Arial" w:hAnsi="Arial" w:cs="Arial"/>
          <w:sz w:val="21"/>
          <w:szCs w:val="21"/>
        </w:rPr>
        <w:t xml:space="preserve"> a prominent and valuable function in children’s lives. Libraries are often </w:t>
      </w:r>
      <w:r w:rsidR="00BF5997">
        <w:rPr>
          <w:rFonts w:ascii="Arial" w:hAnsi="Arial" w:cs="Arial"/>
          <w:sz w:val="21"/>
          <w:szCs w:val="21"/>
        </w:rPr>
        <w:t xml:space="preserve">the </w:t>
      </w:r>
      <w:r w:rsidR="00F673FF">
        <w:rPr>
          <w:rFonts w:ascii="Arial" w:hAnsi="Arial" w:cs="Arial"/>
          <w:sz w:val="21"/>
          <w:szCs w:val="21"/>
        </w:rPr>
        <w:t xml:space="preserve">primary points of technology access and connectivity for children, especially children </w:t>
      </w:r>
      <w:r w:rsidR="00BF5997">
        <w:rPr>
          <w:rFonts w:ascii="Arial" w:hAnsi="Arial" w:cs="Arial"/>
          <w:sz w:val="21"/>
          <w:szCs w:val="21"/>
        </w:rPr>
        <w:t>of</w:t>
      </w:r>
      <w:r w:rsidR="00F673FF">
        <w:rPr>
          <w:rFonts w:ascii="Arial" w:hAnsi="Arial" w:cs="Arial"/>
          <w:sz w:val="21"/>
          <w:szCs w:val="21"/>
        </w:rPr>
        <w:t xml:space="preserve"> lower income families, while museums provide enormous amounts of educational support and cultural content to both schools and families. The cultural institutions sector</w:t>
      </w:r>
      <w:r w:rsidR="00742B9D">
        <w:rPr>
          <w:rFonts w:ascii="Arial" w:hAnsi="Arial" w:cs="Arial"/>
          <w:sz w:val="21"/>
          <w:szCs w:val="21"/>
        </w:rPr>
        <w:t xml:space="preserve"> has an important and potentially major role to play in helping States, children and the other identified stakeholders to meet many of the goals and requirements set forth in the Draft, particularly those relating to </w:t>
      </w:r>
      <w:r w:rsidR="00742B9D" w:rsidRPr="00742B9D">
        <w:rPr>
          <w:rFonts w:ascii="Arial" w:hAnsi="Arial" w:cs="Arial"/>
          <w:b/>
          <w:bCs/>
          <w:i/>
          <w:iCs/>
          <w:sz w:val="21"/>
          <w:szCs w:val="21"/>
        </w:rPr>
        <w:t>Section VI</w:t>
      </w:r>
      <w:r w:rsidR="00742B9D">
        <w:rPr>
          <w:rFonts w:ascii="Arial" w:hAnsi="Arial" w:cs="Arial"/>
          <w:b/>
          <w:bCs/>
          <w:i/>
          <w:iCs/>
          <w:sz w:val="21"/>
          <w:szCs w:val="21"/>
        </w:rPr>
        <w:t xml:space="preserve">. </w:t>
      </w:r>
      <w:r w:rsidR="00742B9D" w:rsidRPr="00742B9D">
        <w:rPr>
          <w:rFonts w:ascii="Arial" w:hAnsi="Arial" w:cs="Arial"/>
          <w:b/>
          <w:bCs/>
          <w:i/>
          <w:iCs/>
          <w:sz w:val="21"/>
          <w:szCs w:val="21"/>
        </w:rPr>
        <w:t>Civil rights and freedoms</w:t>
      </w:r>
      <w:r w:rsidR="00742B9D">
        <w:rPr>
          <w:rFonts w:ascii="Arial" w:hAnsi="Arial" w:cs="Arial"/>
          <w:sz w:val="21"/>
          <w:szCs w:val="21"/>
        </w:rPr>
        <w:t xml:space="preserve"> and </w:t>
      </w:r>
      <w:r w:rsidR="00742B9D" w:rsidRPr="00742B9D">
        <w:rPr>
          <w:rFonts w:ascii="Arial" w:hAnsi="Arial" w:cs="Arial"/>
          <w:b/>
          <w:bCs/>
          <w:i/>
          <w:iCs/>
          <w:sz w:val="21"/>
          <w:szCs w:val="21"/>
        </w:rPr>
        <w:t>Section XI. Education, leisure and cultural activities</w:t>
      </w:r>
      <w:r w:rsidR="00742B9D">
        <w:rPr>
          <w:rFonts w:ascii="Arial" w:hAnsi="Arial" w:cs="Arial"/>
          <w:sz w:val="21"/>
          <w:szCs w:val="21"/>
        </w:rPr>
        <w:t>.</w:t>
      </w:r>
      <w:r w:rsidR="00F673FF">
        <w:rPr>
          <w:rFonts w:ascii="Arial" w:hAnsi="Arial" w:cs="Arial"/>
          <w:sz w:val="21"/>
          <w:szCs w:val="21"/>
        </w:rPr>
        <w:t xml:space="preserve"> </w:t>
      </w:r>
    </w:p>
    <w:p w14:paraId="44056AE6" w14:textId="248ECF92" w:rsidR="00917BF9" w:rsidRPr="006C11E3" w:rsidRDefault="00917BF9" w:rsidP="00917BF9">
      <w:pPr>
        <w:rPr>
          <w:rFonts w:ascii="Arial" w:hAnsi="Arial" w:cs="Arial"/>
          <w:sz w:val="21"/>
          <w:szCs w:val="21"/>
        </w:rPr>
      </w:pPr>
    </w:p>
    <w:p w14:paraId="3408AED3" w14:textId="4C279E75" w:rsidR="00D725FA" w:rsidRDefault="00D725FA" w:rsidP="001F6187">
      <w:pPr>
        <w:rPr>
          <w:rFonts w:ascii="Arial" w:hAnsi="Arial" w:cs="Arial"/>
          <w:sz w:val="21"/>
          <w:szCs w:val="21"/>
        </w:rPr>
      </w:pPr>
    </w:p>
    <w:p w14:paraId="0BA4E0A0" w14:textId="7E972A16" w:rsidR="00E21398" w:rsidRDefault="00834E66" w:rsidP="001F6187">
      <w:pPr>
        <w:rPr>
          <w:rFonts w:ascii="Arial" w:hAnsi="Arial" w:cs="Arial"/>
          <w:sz w:val="21"/>
          <w:szCs w:val="21"/>
        </w:rPr>
      </w:pPr>
      <w:r>
        <w:rPr>
          <w:rFonts w:ascii="Arial" w:hAnsi="Arial" w:cs="Arial"/>
          <w:sz w:val="21"/>
          <w:szCs w:val="21"/>
        </w:rPr>
        <w:t>Along with these comments and suggested revisions,</w:t>
      </w:r>
      <w:r w:rsidRPr="006C11E3">
        <w:rPr>
          <w:rFonts w:ascii="Arial" w:hAnsi="Arial" w:cs="Arial"/>
          <w:sz w:val="21"/>
          <w:szCs w:val="21"/>
        </w:rPr>
        <w:t xml:space="preserve"> I </w:t>
      </w:r>
      <w:r>
        <w:rPr>
          <w:rFonts w:ascii="Arial" w:hAnsi="Arial" w:cs="Arial"/>
          <w:sz w:val="21"/>
          <w:szCs w:val="21"/>
        </w:rPr>
        <w:t xml:space="preserve">would like to </w:t>
      </w:r>
      <w:r w:rsidRPr="006C11E3">
        <w:rPr>
          <w:rFonts w:ascii="Arial" w:hAnsi="Arial" w:cs="Arial"/>
          <w:sz w:val="21"/>
          <w:szCs w:val="21"/>
        </w:rPr>
        <w:t xml:space="preserve">commend you on </w:t>
      </w:r>
      <w:r>
        <w:rPr>
          <w:rFonts w:ascii="Arial" w:hAnsi="Arial" w:cs="Arial"/>
          <w:sz w:val="21"/>
          <w:szCs w:val="21"/>
        </w:rPr>
        <w:t xml:space="preserve">the production of this incredibly important </w:t>
      </w:r>
      <w:r w:rsidR="008953F2">
        <w:rPr>
          <w:rFonts w:ascii="Arial" w:hAnsi="Arial" w:cs="Arial"/>
          <w:sz w:val="21"/>
          <w:szCs w:val="21"/>
        </w:rPr>
        <w:t>intervention</w:t>
      </w:r>
      <w:r>
        <w:rPr>
          <w:rFonts w:ascii="Arial" w:hAnsi="Arial" w:cs="Arial"/>
          <w:sz w:val="21"/>
          <w:szCs w:val="21"/>
        </w:rPr>
        <w:t xml:space="preserve">, </w:t>
      </w:r>
      <w:r w:rsidR="007E1666">
        <w:rPr>
          <w:rFonts w:ascii="Arial" w:hAnsi="Arial" w:cs="Arial"/>
          <w:sz w:val="21"/>
          <w:szCs w:val="21"/>
        </w:rPr>
        <w:t xml:space="preserve">which provides a </w:t>
      </w:r>
      <w:r w:rsidR="008953F2">
        <w:rPr>
          <w:rFonts w:ascii="Arial" w:hAnsi="Arial" w:cs="Arial"/>
          <w:sz w:val="21"/>
          <w:szCs w:val="21"/>
        </w:rPr>
        <w:t>comprehensive</w:t>
      </w:r>
      <w:r w:rsidR="007E1666">
        <w:rPr>
          <w:rFonts w:ascii="Arial" w:hAnsi="Arial" w:cs="Arial"/>
          <w:sz w:val="21"/>
          <w:szCs w:val="21"/>
        </w:rPr>
        <w:t xml:space="preserve"> and grounded roadmap </w:t>
      </w:r>
      <w:r w:rsidR="007E1666" w:rsidRPr="007E1666">
        <w:rPr>
          <w:rFonts w:ascii="Arial" w:hAnsi="Arial" w:cs="Arial"/>
          <w:sz w:val="21"/>
          <w:szCs w:val="21"/>
        </w:rPr>
        <w:t xml:space="preserve">for </w:t>
      </w:r>
      <w:r w:rsidR="007E1666" w:rsidRPr="007E1666">
        <w:rPr>
          <w:rFonts w:ascii="Arial" w:hAnsi="Arial" w:cs="Arial"/>
          <w:sz w:val="21"/>
          <w:szCs w:val="21"/>
        </w:rPr>
        <w:t>States around the world to better support and protect children’s rights in relation to the digital environment.</w:t>
      </w:r>
      <w:r w:rsidR="007E1666" w:rsidRPr="006C11E3">
        <w:rPr>
          <w:rFonts w:ascii="Arial" w:hAnsi="Arial" w:cs="Arial"/>
          <w:sz w:val="21"/>
          <w:szCs w:val="21"/>
        </w:rPr>
        <w:t xml:space="preserve"> </w:t>
      </w:r>
      <w:r w:rsidR="007E1666">
        <w:rPr>
          <w:rFonts w:ascii="Arial" w:hAnsi="Arial" w:cs="Arial"/>
          <w:sz w:val="21"/>
          <w:szCs w:val="21"/>
        </w:rPr>
        <w:t>I appreciate</w:t>
      </w:r>
      <w:r>
        <w:rPr>
          <w:rFonts w:ascii="Arial" w:hAnsi="Arial" w:cs="Arial"/>
          <w:sz w:val="21"/>
          <w:szCs w:val="21"/>
        </w:rPr>
        <w:t xml:space="preserve"> the</w:t>
      </w:r>
      <w:r w:rsidRPr="006C11E3">
        <w:rPr>
          <w:rFonts w:ascii="Arial" w:hAnsi="Arial" w:cs="Arial"/>
          <w:sz w:val="21"/>
          <w:szCs w:val="21"/>
        </w:rPr>
        <w:t xml:space="preserve"> emphasis </w:t>
      </w:r>
      <w:r>
        <w:rPr>
          <w:rFonts w:ascii="Arial" w:hAnsi="Arial" w:cs="Arial"/>
          <w:sz w:val="21"/>
          <w:szCs w:val="21"/>
        </w:rPr>
        <w:t xml:space="preserve">that was </w:t>
      </w:r>
      <w:r w:rsidRPr="006C11E3">
        <w:rPr>
          <w:rFonts w:ascii="Arial" w:hAnsi="Arial" w:cs="Arial"/>
          <w:sz w:val="21"/>
          <w:szCs w:val="21"/>
        </w:rPr>
        <w:t xml:space="preserve">placed on gathering a rich and diverse body of evidence, perspectives, and experiences, including </w:t>
      </w:r>
      <w:r w:rsidR="007E1666">
        <w:rPr>
          <w:rFonts w:ascii="Arial" w:hAnsi="Arial" w:cs="Arial"/>
          <w:sz w:val="21"/>
          <w:szCs w:val="21"/>
        </w:rPr>
        <w:t>the</w:t>
      </w:r>
      <w:r w:rsidRPr="006C11E3">
        <w:rPr>
          <w:rFonts w:ascii="Arial" w:hAnsi="Arial" w:cs="Arial"/>
          <w:sz w:val="21"/>
          <w:szCs w:val="21"/>
        </w:rPr>
        <w:t xml:space="preserve"> global children’s consultation. As the co-lead of the Canadian contingent of the children’s consultation</w:t>
      </w:r>
      <w:r w:rsidR="008953F2">
        <w:rPr>
          <w:rFonts w:ascii="Arial" w:hAnsi="Arial" w:cs="Arial"/>
          <w:sz w:val="21"/>
          <w:szCs w:val="21"/>
        </w:rPr>
        <w:t xml:space="preserve">, </w:t>
      </w:r>
      <w:r w:rsidRPr="006C11E3">
        <w:rPr>
          <w:rFonts w:ascii="Arial" w:hAnsi="Arial" w:cs="Arial"/>
          <w:sz w:val="21"/>
          <w:szCs w:val="21"/>
        </w:rPr>
        <w:t xml:space="preserve">I </w:t>
      </w:r>
      <w:r w:rsidR="00024594">
        <w:rPr>
          <w:rFonts w:ascii="Arial" w:hAnsi="Arial" w:cs="Arial"/>
          <w:sz w:val="21"/>
          <w:szCs w:val="21"/>
        </w:rPr>
        <w:t xml:space="preserve">also </w:t>
      </w:r>
      <w:r w:rsidRPr="006C11E3">
        <w:rPr>
          <w:rFonts w:ascii="Arial" w:hAnsi="Arial" w:cs="Arial"/>
          <w:sz w:val="21"/>
          <w:szCs w:val="21"/>
        </w:rPr>
        <w:t>commend you on the balanced approach adopted throughout the Draft, which does a great job of communicating the nuance and diversity of children’s needs, hopes and fears in relation to digital cultures, technologies, and processes.</w:t>
      </w:r>
      <w:r w:rsidRPr="00834E66">
        <w:rPr>
          <w:rFonts w:ascii="Arial" w:hAnsi="Arial" w:cs="Arial"/>
          <w:sz w:val="21"/>
          <w:szCs w:val="21"/>
        </w:rPr>
        <w:t xml:space="preserve"> </w:t>
      </w:r>
      <w:r>
        <w:rPr>
          <w:rFonts w:ascii="Arial" w:hAnsi="Arial" w:cs="Arial"/>
          <w:sz w:val="21"/>
          <w:szCs w:val="21"/>
        </w:rPr>
        <w:t xml:space="preserve">I look forward to </w:t>
      </w:r>
      <w:r w:rsidR="00125151">
        <w:rPr>
          <w:rFonts w:ascii="Arial" w:hAnsi="Arial" w:cs="Arial"/>
          <w:sz w:val="21"/>
          <w:szCs w:val="21"/>
        </w:rPr>
        <w:t>seeing</w:t>
      </w:r>
      <w:r>
        <w:rPr>
          <w:rFonts w:ascii="Arial" w:hAnsi="Arial" w:cs="Arial"/>
          <w:sz w:val="21"/>
          <w:szCs w:val="21"/>
        </w:rPr>
        <w:t xml:space="preserve"> the General Comment in its final form</w:t>
      </w:r>
      <w:r w:rsidR="00125151">
        <w:rPr>
          <w:rFonts w:ascii="Arial" w:hAnsi="Arial" w:cs="Arial"/>
          <w:sz w:val="21"/>
          <w:szCs w:val="21"/>
        </w:rPr>
        <w:t>, and</w:t>
      </w:r>
      <w:r w:rsidR="004672A1">
        <w:rPr>
          <w:rFonts w:ascii="Arial" w:hAnsi="Arial" w:cs="Arial"/>
          <w:sz w:val="21"/>
          <w:szCs w:val="21"/>
        </w:rPr>
        <w:t xml:space="preserve"> </w:t>
      </w:r>
      <w:r w:rsidR="00125151">
        <w:rPr>
          <w:rFonts w:ascii="Arial" w:hAnsi="Arial" w:cs="Arial"/>
          <w:sz w:val="21"/>
          <w:szCs w:val="21"/>
        </w:rPr>
        <w:t xml:space="preserve">all </w:t>
      </w:r>
      <w:r w:rsidR="004672A1">
        <w:rPr>
          <w:rFonts w:ascii="Arial" w:hAnsi="Arial" w:cs="Arial"/>
          <w:sz w:val="21"/>
          <w:szCs w:val="21"/>
        </w:rPr>
        <w:t xml:space="preserve">of </w:t>
      </w:r>
      <w:r w:rsidR="00125151">
        <w:rPr>
          <w:rFonts w:ascii="Arial" w:hAnsi="Arial" w:cs="Arial"/>
          <w:sz w:val="21"/>
          <w:szCs w:val="21"/>
        </w:rPr>
        <w:t xml:space="preserve">the initiatives, policies, and </w:t>
      </w:r>
      <w:r w:rsidR="00502A0F">
        <w:rPr>
          <w:rFonts w:ascii="Arial" w:hAnsi="Arial" w:cs="Arial"/>
          <w:sz w:val="21"/>
          <w:szCs w:val="21"/>
        </w:rPr>
        <w:t xml:space="preserve">innovations </w:t>
      </w:r>
      <w:r w:rsidR="007E1666">
        <w:rPr>
          <w:rFonts w:ascii="Arial" w:hAnsi="Arial" w:cs="Arial"/>
          <w:sz w:val="21"/>
          <w:szCs w:val="21"/>
        </w:rPr>
        <w:t>that will emerge as a result</w:t>
      </w:r>
      <w:r w:rsidR="00502A0F">
        <w:rPr>
          <w:rFonts w:ascii="Arial" w:hAnsi="Arial" w:cs="Arial"/>
          <w:sz w:val="21"/>
          <w:szCs w:val="21"/>
        </w:rPr>
        <w:t xml:space="preserve">. </w:t>
      </w:r>
    </w:p>
    <w:p w14:paraId="6CD714B2" w14:textId="77777777" w:rsidR="00D37482" w:rsidRPr="006C11E3" w:rsidRDefault="00D37482" w:rsidP="001F6187">
      <w:pPr>
        <w:rPr>
          <w:rFonts w:ascii="Arial" w:hAnsi="Arial" w:cs="Arial"/>
          <w:sz w:val="21"/>
          <w:szCs w:val="21"/>
        </w:rPr>
      </w:pPr>
    </w:p>
    <w:p w14:paraId="56EC397D" w14:textId="77777777" w:rsidR="001F6187" w:rsidRDefault="001F6187" w:rsidP="001F6187">
      <w:pPr>
        <w:rPr>
          <w:rFonts w:ascii="Arial" w:hAnsi="Arial" w:cs="Arial"/>
          <w:sz w:val="21"/>
          <w:szCs w:val="21"/>
        </w:rPr>
      </w:pPr>
    </w:p>
    <w:p w14:paraId="3311FCE9" w14:textId="77777777" w:rsidR="00E21398" w:rsidRDefault="00E21398" w:rsidP="00E21398">
      <w:pPr>
        <w:rPr>
          <w:rFonts w:ascii="Arial" w:hAnsi="Arial" w:cs="Arial"/>
        </w:rPr>
      </w:pPr>
      <w:r>
        <w:rPr>
          <w:rFonts w:ascii="Arial" w:hAnsi="Arial" w:cs="Arial"/>
          <w:noProof/>
          <w:lang w:val="en-US"/>
        </w:rPr>
        <w:drawing>
          <wp:inline distT="0" distB="0" distL="0" distR="0" wp14:anchorId="0AC3C0D0" wp14:editId="12C89779">
            <wp:extent cx="1266968" cy="376949"/>
            <wp:effectExtent l="0" t="0" r="3175" b="444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1075" cy="390072"/>
                    </a:xfrm>
                    <a:prstGeom prst="rect">
                      <a:avLst/>
                    </a:prstGeom>
                  </pic:spPr>
                </pic:pic>
              </a:graphicData>
            </a:graphic>
          </wp:inline>
        </w:drawing>
      </w:r>
    </w:p>
    <w:p w14:paraId="54205175" w14:textId="77777777" w:rsidR="00E21398" w:rsidRPr="00127370" w:rsidRDefault="00E21398" w:rsidP="00E21398">
      <w:pPr>
        <w:rPr>
          <w:rFonts w:ascii="Arial" w:hAnsi="Arial" w:cs="Arial"/>
          <w:sz w:val="21"/>
          <w:szCs w:val="21"/>
        </w:rPr>
      </w:pPr>
      <w:r w:rsidRPr="00127370">
        <w:rPr>
          <w:rFonts w:ascii="Arial" w:hAnsi="Arial" w:cs="Arial"/>
          <w:sz w:val="21"/>
          <w:szCs w:val="21"/>
        </w:rPr>
        <w:t>Dr. Sara M. Grimes</w:t>
      </w:r>
    </w:p>
    <w:p w14:paraId="76E1D509" w14:textId="77777777" w:rsidR="00E21398" w:rsidRPr="00127370" w:rsidRDefault="00E21398" w:rsidP="00E21398">
      <w:pPr>
        <w:rPr>
          <w:rFonts w:ascii="Arial" w:hAnsi="Arial" w:cs="Arial"/>
          <w:sz w:val="21"/>
          <w:szCs w:val="21"/>
        </w:rPr>
      </w:pPr>
      <w:r w:rsidRPr="00127370">
        <w:rPr>
          <w:rFonts w:ascii="Arial" w:hAnsi="Arial" w:cs="Arial"/>
          <w:sz w:val="21"/>
          <w:szCs w:val="21"/>
        </w:rPr>
        <w:t>Director, Knowledge Media Design Institute (KMDI)</w:t>
      </w:r>
    </w:p>
    <w:p w14:paraId="1BD917AE" w14:textId="1BE11443" w:rsidR="00424368" w:rsidRDefault="00424368" w:rsidP="00E21398">
      <w:pPr>
        <w:rPr>
          <w:rFonts w:ascii="Arial" w:hAnsi="Arial" w:cs="Arial"/>
          <w:sz w:val="21"/>
          <w:szCs w:val="21"/>
        </w:rPr>
      </w:pPr>
      <w:r>
        <w:rPr>
          <w:rFonts w:ascii="Arial" w:hAnsi="Arial" w:cs="Arial"/>
          <w:sz w:val="21"/>
          <w:szCs w:val="21"/>
        </w:rPr>
        <w:t>Faculty of Information</w:t>
      </w:r>
    </w:p>
    <w:p w14:paraId="50B6AAD0" w14:textId="4444BB7A" w:rsidR="00E21398" w:rsidRDefault="00E21398" w:rsidP="00E21398">
      <w:pPr>
        <w:rPr>
          <w:rFonts w:ascii="Arial" w:hAnsi="Arial" w:cs="Arial"/>
          <w:sz w:val="21"/>
          <w:szCs w:val="21"/>
        </w:rPr>
      </w:pPr>
      <w:r w:rsidRPr="00127370">
        <w:rPr>
          <w:rFonts w:ascii="Arial" w:hAnsi="Arial" w:cs="Arial"/>
          <w:sz w:val="21"/>
          <w:szCs w:val="21"/>
        </w:rPr>
        <w:t>University of Toronto</w:t>
      </w:r>
    </w:p>
    <w:p w14:paraId="6920A844" w14:textId="13E69EEE" w:rsidR="001F6187" w:rsidRPr="006C11E3" w:rsidRDefault="00424368">
      <w:pPr>
        <w:rPr>
          <w:rFonts w:ascii="Arial" w:hAnsi="Arial" w:cs="Arial"/>
          <w:sz w:val="21"/>
          <w:szCs w:val="21"/>
        </w:rPr>
      </w:pPr>
      <w:r>
        <w:rPr>
          <w:rFonts w:ascii="Arial" w:hAnsi="Arial" w:cs="Arial"/>
          <w:sz w:val="21"/>
          <w:szCs w:val="21"/>
        </w:rPr>
        <w:t>Toronto, Canad</w:t>
      </w:r>
      <w:r w:rsidR="00CC0D1F">
        <w:rPr>
          <w:rFonts w:ascii="Arial" w:hAnsi="Arial" w:cs="Arial"/>
          <w:sz w:val="21"/>
          <w:szCs w:val="21"/>
        </w:rPr>
        <w:t>a</w:t>
      </w:r>
    </w:p>
    <w:sectPr w:rsidR="001F6187" w:rsidRPr="006C11E3" w:rsidSect="00CC0D1F">
      <w:headerReference w:type="first" r:id="rId7"/>
      <w:pgSz w:w="11900" w:h="16840"/>
      <w:pgMar w:top="1701" w:right="964" w:bottom="113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85257" w14:textId="77777777" w:rsidR="0079557A" w:rsidRDefault="0079557A" w:rsidP="007D063A">
      <w:r>
        <w:separator/>
      </w:r>
    </w:p>
  </w:endnote>
  <w:endnote w:type="continuationSeparator" w:id="0">
    <w:p w14:paraId="3C9CE66C" w14:textId="77777777" w:rsidR="0079557A" w:rsidRDefault="0079557A" w:rsidP="007D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28705" w14:textId="77777777" w:rsidR="0079557A" w:rsidRDefault="0079557A" w:rsidP="007D063A">
      <w:r>
        <w:separator/>
      </w:r>
    </w:p>
  </w:footnote>
  <w:footnote w:type="continuationSeparator" w:id="0">
    <w:p w14:paraId="77B09C33" w14:textId="77777777" w:rsidR="0079557A" w:rsidRDefault="0079557A" w:rsidP="007D0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62C32" w14:textId="6E78C3F3" w:rsidR="00CC0D1F" w:rsidRDefault="00CC0D1F">
    <w:pPr>
      <w:pStyle w:val="Header"/>
    </w:pPr>
    <w:r>
      <w:rPr>
        <w:noProof/>
        <w:lang w:val="en-US"/>
      </w:rPr>
      <w:drawing>
        <wp:anchor distT="0" distB="0" distL="114300" distR="114300" simplePos="0" relativeHeight="251658240" behindDoc="0" locked="0" layoutInCell="1" allowOverlap="1" wp14:anchorId="2A0240E2" wp14:editId="338B2ADF">
          <wp:simplePos x="0" y="0"/>
          <wp:positionH relativeFrom="column">
            <wp:posOffset>-88135</wp:posOffset>
          </wp:positionH>
          <wp:positionV relativeFrom="paragraph">
            <wp:posOffset>0</wp:posOffset>
          </wp:positionV>
          <wp:extent cx="2803668" cy="663195"/>
          <wp:effectExtent l="0" t="0" r="3175" b="0"/>
          <wp:wrapNone/>
          <wp:docPr id="2" name="Picture 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3668" cy="6631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8F"/>
    <w:rsid w:val="00014690"/>
    <w:rsid w:val="00024594"/>
    <w:rsid w:val="00026010"/>
    <w:rsid w:val="0003242E"/>
    <w:rsid w:val="00037777"/>
    <w:rsid w:val="00063C06"/>
    <w:rsid w:val="000807A0"/>
    <w:rsid w:val="000A15DD"/>
    <w:rsid w:val="000B4776"/>
    <w:rsid w:val="000B6038"/>
    <w:rsid w:val="000C761A"/>
    <w:rsid w:val="000D357B"/>
    <w:rsid w:val="000E1681"/>
    <w:rsid w:val="000F378C"/>
    <w:rsid w:val="000F4809"/>
    <w:rsid w:val="000F586A"/>
    <w:rsid w:val="00125151"/>
    <w:rsid w:val="00135102"/>
    <w:rsid w:val="001438C1"/>
    <w:rsid w:val="001465B3"/>
    <w:rsid w:val="001500E5"/>
    <w:rsid w:val="001515C3"/>
    <w:rsid w:val="00164D93"/>
    <w:rsid w:val="00190191"/>
    <w:rsid w:val="001A5118"/>
    <w:rsid w:val="001A5316"/>
    <w:rsid w:val="001B219E"/>
    <w:rsid w:val="001E4DC3"/>
    <w:rsid w:val="001F102D"/>
    <w:rsid w:val="001F5524"/>
    <w:rsid w:val="001F6187"/>
    <w:rsid w:val="001F6299"/>
    <w:rsid w:val="001F6C4C"/>
    <w:rsid w:val="00210C54"/>
    <w:rsid w:val="00257398"/>
    <w:rsid w:val="0026560E"/>
    <w:rsid w:val="00292FE0"/>
    <w:rsid w:val="002A21BE"/>
    <w:rsid w:val="002A221A"/>
    <w:rsid w:val="002A364C"/>
    <w:rsid w:val="002C0E7B"/>
    <w:rsid w:val="002C6D1A"/>
    <w:rsid w:val="0030648F"/>
    <w:rsid w:val="00313568"/>
    <w:rsid w:val="00343ED6"/>
    <w:rsid w:val="00353D3A"/>
    <w:rsid w:val="0035666B"/>
    <w:rsid w:val="00362403"/>
    <w:rsid w:val="00370BF3"/>
    <w:rsid w:val="00377DAE"/>
    <w:rsid w:val="00393CBC"/>
    <w:rsid w:val="003D3FA1"/>
    <w:rsid w:val="003E20D2"/>
    <w:rsid w:val="003E232A"/>
    <w:rsid w:val="003F6551"/>
    <w:rsid w:val="003F6672"/>
    <w:rsid w:val="00401442"/>
    <w:rsid w:val="0041667A"/>
    <w:rsid w:val="00424368"/>
    <w:rsid w:val="00440236"/>
    <w:rsid w:val="00450ACE"/>
    <w:rsid w:val="00460AF8"/>
    <w:rsid w:val="004669F6"/>
    <w:rsid w:val="004672A1"/>
    <w:rsid w:val="004678C0"/>
    <w:rsid w:val="00474724"/>
    <w:rsid w:val="0048218F"/>
    <w:rsid w:val="004B04B8"/>
    <w:rsid w:val="004C56B2"/>
    <w:rsid w:val="004D0430"/>
    <w:rsid w:val="004E25C5"/>
    <w:rsid w:val="00502A0F"/>
    <w:rsid w:val="00516639"/>
    <w:rsid w:val="005353A0"/>
    <w:rsid w:val="0054115B"/>
    <w:rsid w:val="00557270"/>
    <w:rsid w:val="00564109"/>
    <w:rsid w:val="00575D13"/>
    <w:rsid w:val="0057600C"/>
    <w:rsid w:val="00587D51"/>
    <w:rsid w:val="00596A3B"/>
    <w:rsid w:val="00596D2E"/>
    <w:rsid w:val="005B156A"/>
    <w:rsid w:val="005F40ED"/>
    <w:rsid w:val="00601E69"/>
    <w:rsid w:val="00614E27"/>
    <w:rsid w:val="00625A58"/>
    <w:rsid w:val="00631D01"/>
    <w:rsid w:val="006335AD"/>
    <w:rsid w:val="006368DD"/>
    <w:rsid w:val="006425A8"/>
    <w:rsid w:val="006502D4"/>
    <w:rsid w:val="0065625B"/>
    <w:rsid w:val="00657EC5"/>
    <w:rsid w:val="0067167C"/>
    <w:rsid w:val="006723AA"/>
    <w:rsid w:val="00672777"/>
    <w:rsid w:val="00686137"/>
    <w:rsid w:val="006958F8"/>
    <w:rsid w:val="00697C41"/>
    <w:rsid w:val="006A1F65"/>
    <w:rsid w:val="006C11E3"/>
    <w:rsid w:val="006C62AE"/>
    <w:rsid w:val="006D5324"/>
    <w:rsid w:val="006D5463"/>
    <w:rsid w:val="006F3FEE"/>
    <w:rsid w:val="00705903"/>
    <w:rsid w:val="007200C4"/>
    <w:rsid w:val="00720CBB"/>
    <w:rsid w:val="00722AEC"/>
    <w:rsid w:val="00727217"/>
    <w:rsid w:val="00730BEC"/>
    <w:rsid w:val="00735218"/>
    <w:rsid w:val="00742B9D"/>
    <w:rsid w:val="007548E4"/>
    <w:rsid w:val="007629BA"/>
    <w:rsid w:val="00767DD7"/>
    <w:rsid w:val="0079557A"/>
    <w:rsid w:val="007A71D6"/>
    <w:rsid w:val="007A749F"/>
    <w:rsid w:val="007A7CD1"/>
    <w:rsid w:val="007C516F"/>
    <w:rsid w:val="007C7DED"/>
    <w:rsid w:val="007D063A"/>
    <w:rsid w:val="007E1666"/>
    <w:rsid w:val="007F1724"/>
    <w:rsid w:val="007F5E90"/>
    <w:rsid w:val="00813EFB"/>
    <w:rsid w:val="0081540D"/>
    <w:rsid w:val="00820C75"/>
    <w:rsid w:val="00834E66"/>
    <w:rsid w:val="008372C6"/>
    <w:rsid w:val="00841FB5"/>
    <w:rsid w:val="008627CA"/>
    <w:rsid w:val="00873999"/>
    <w:rsid w:val="00877A8C"/>
    <w:rsid w:val="008868F0"/>
    <w:rsid w:val="008953F2"/>
    <w:rsid w:val="008B5164"/>
    <w:rsid w:val="008C420E"/>
    <w:rsid w:val="008D40C7"/>
    <w:rsid w:val="008D68FB"/>
    <w:rsid w:val="008E2F11"/>
    <w:rsid w:val="00917BF9"/>
    <w:rsid w:val="00925CB3"/>
    <w:rsid w:val="00931648"/>
    <w:rsid w:val="00972FCE"/>
    <w:rsid w:val="00980933"/>
    <w:rsid w:val="00980F2A"/>
    <w:rsid w:val="00984891"/>
    <w:rsid w:val="00997E27"/>
    <w:rsid w:val="009A6BFE"/>
    <w:rsid w:val="009B6805"/>
    <w:rsid w:val="009C0E82"/>
    <w:rsid w:val="009C1497"/>
    <w:rsid w:val="009D29E5"/>
    <w:rsid w:val="009E549D"/>
    <w:rsid w:val="009E7753"/>
    <w:rsid w:val="009F017C"/>
    <w:rsid w:val="009F0D5A"/>
    <w:rsid w:val="00A07E8D"/>
    <w:rsid w:val="00A113A0"/>
    <w:rsid w:val="00A526CC"/>
    <w:rsid w:val="00A56F5C"/>
    <w:rsid w:val="00A63B77"/>
    <w:rsid w:val="00A77FD9"/>
    <w:rsid w:val="00AC17E8"/>
    <w:rsid w:val="00AC71F3"/>
    <w:rsid w:val="00AF51CB"/>
    <w:rsid w:val="00B06031"/>
    <w:rsid w:val="00B071FE"/>
    <w:rsid w:val="00B12423"/>
    <w:rsid w:val="00B267D2"/>
    <w:rsid w:val="00B40285"/>
    <w:rsid w:val="00B4073F"/>
    <w:rsid w:val="00B45A7C"/>
    <w:rsid w:val="00B46587"/>
    <w:rsid w:val="00B51EAE"/>
    <w:rsid w:val="00B67A7D"/>
    <w:rsid w:val="00B77FA2"/>
    <w:rsid w:val="00BA4563"/>
    <w:rsid w:val="00BA7355"/>
    <w:rsid w:val="00BB2D40"/>
    <w:rsid w:val="00BD40DC"/>
    <w:rsid w:val="00BE1D68"/>
    <w:rsid w:val="00BF1D7A"/>
    <w:rsid w:val="00BF5997"/>
    <w:rsid w:val="00BF6AAE"/>
    <w:rsid w:val="00C01BCF"/>
    <w:rsid w:val="00C021D1"/>
    <w:rsid w:val="00C13A69"/>
    <w:rsid w:val="00C34771"/>
    <w:rsid w:val="00C906C0"/>
    <w:rsid w:val="00CA6868"/>
    <w:rsid w:val="00CC0D1F"/>
    <w:rsid w:val="00CC2F7E"/>
    <w:rsid w:val="00CE2BF1"/>
    <w:rsid w:val="00CF1EF8"/>
    <w:rsid w:val="00CF7AA4"/>
    <w:rsid w:val="00D14C69"/>
    <w:rsid w:val="00D37482"/>
    <w:rsid w:val="00D376AC"/>
    <w:rsid w:val="00D4020A"/>
    <w:rsid w:val="00D64F83"/>
    <w:rsid w:val="00D725FA"/>
    <w:rsid w:val="00D76714"/>
    <w:rsid w:val="00D927B2"/>
    <w:rsid w:val="00DB7D3C"/>
    <w:rsid w:val="00DC071A"/>
    <w:rsid w:val="00DC60D8"/>
    <w:rsid w:val="00DD7153"/>
    <w:rsid w:val="00DF5088"/>
    <w:rsid w:val="00E01C9B"/>
    <w:rsid w:val="00E21398"/>
    <w:rsid w:val="00E21CB9"/>
    <w:rsid w:val="00E2639C"/>
    <w:rsid w:val="00E3550F"/>
    <w:rsid w:val="00E52B4D"/>
    <w:rsid w:val="00E66423"/>
    <w:rsid w:val="00E76029"/>
    <w:rsid w:val="00E935CF"/>
    <w:rsid w:val="00E93DD0"/>
    <w:rsid w:val="00E96163"/>
    <w:rsid w:val="00EB1B90"/>
    <w:rsid w:val="00EC0926"/>
    <w:rsid w:val="00EC1D44"/>
    <w:rsid w:val="00EC7E50"/>
    <w:rsid w:val="00ED31C8"/>
    <w:rsid w:val="00ED547B"/>
    <w:rsid w:val="00ED601C"/>
    <w:rsid w:val="00EE702C"/>
    <w:rsid w:val="00F05E21"/>
    <w:rsid w:val="00F07CED"/>
    <w:rsid w:val="00F1216D"/>
    <w:rsid w:val="00F13DFB"/>
    <w:rsid w:val="00F27D84"/>
    <w:rsid w:val="00F36D5D"/>
    <w:rsid w:val="00F45C94"/>
    <w:rsid w:val="00F673FF"/>
    <w:rsid w:val="00F942A1"/>
    <w:rsid w:val="00FC277C"/>
    <w:rsid w:val="00FC4B45"/>
    <w:rsid w:val="00FD41FA"/>
    <w:rsid w:val="00FE25A3"/>
    <w:rsid w:val="00FF19C7"/>
    <w:rsid w:val="00FF1D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1EBA2"/>
  <w15:chartTrackingRefBased/>
  <w15:docId w15:val="{2E242F6C-0C80-1F42-AA72-166F3843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1D1"/>
    <w:rPr>
      <w:color w:val="0563C1" w:themeColor="hyperlink"/>
      <w:u w:val="single"/>
    </w:rPr>
  </w:style>
  <w:style w:type="character" w:styleId="UnresolvedMention">
    <w:name w:val="Unresolved Mention"/>
    <w:basedOn w:val="DefaultParagraphFont"/>
    <w:uiPriority w:val="99"/>
    <w:semiHidden/>
    <w:unhideWhenUsed/>
    <w:rsid w:val="00C021D1"/>
    <w:rPr>
      <w:color w:val="605E5C"/>
      <w:shd w:val="clear" w:color="auto" w:fill="E1DFDD"/>
    </w:rPr>
  </w:style>
  <w:style w:type="paragraph" w:styleId="Header">
    <w:name w:val="header"/>
    <w:basedOn w:val="Normal"/>
    <w:link w:val="HeaderChar"/>
    <w:uiPriority w:val="99"/>
    <w:unhideWhenUsed/>
    <w:rsid w:val="007D063A"/>
    <w:pPr>
      <w:tabs>
        <w:tab w:val="center" w:pos="4680"/>
        <w:tab w:val="right" w:pos="9360"/>
      </w:tabs>
    </w:pPr>
  </w:style>
  <w:style w:type="character" w:customStyle="1" w:styleId="HeaderChar">
    <w:name w:val="Header Char"/>
    <w:basedOn w:val="DefaultParagraphFont"/>
    <w:link w:val="Header"/>
    <w:uiPriority w:val="99"/>
    <w:rsid w:val="007D063A"/>
  </w:style>
  <w:style w:type="paragraph" w:styleId="Footer">
    <w:name w:val="footer"/>
    <w:basedOn w:val="Normal"/>
    <w:link w:val="FooterChar"/>
    <w:uiPriority w:val="99"/>
    <w:unhideWhenUsed/>
    <w:rsid w:val="007D063A"/>
    <w:pPr>
      <w:tabs>
        <w:tab w:val="center" w:pos="4680"/>
        <w:tab w:val="right" w:pos="9360"/>
      </w:tabs>
    </w:pPr>
  </w:style>
  <w:style w:type="character" w:customStyle="1" w:styleId="FooterChar">
    <w:name w:val="Footer Char"/>
    <w:basedOn w:val="DefaultParagraphFont"/>
    <w:link w:val="Footer"/>
    <w:uiPriority w:val="99"/>
    <w:rsid w:val="007D063A"/>
  </w:style>
  <w:style w:type="character" w:styleId="CommentReference">
    <w:name w:val="annotation reference"/>
    <w:basedOn w:val="DefaultParagraphFont"/>
    <w:uiPriority w:val="99"/>
    <w:semiHidden/>
    <w:unhideWhenUsed/>
    <w:rsid w:val="00A07E8D"/>
    <w:rPr>
      <w:sz w:val="16"/>
      <w:szCs w:val="16"/>
    </w:rPr>
  </w:style>
  <w:style w:type="paragraph" w:styleId="CommentText">
    <w:name w:val="annotation text"/>
    <w:basedOn w:val="Normal"/>
    <w:link w:val="CommentTextChar"/>
    <w:uiPriority w:val="99"/>
    <w:semiHidden/>
    <w:unhideWhenUsed/>
    <w:rsid w:val="00A07E8D"/>
    <w:rPr>
      <w:sz w:val="20"/>
      <w:szCs w:val="20"/>
    </w:rPr>
  </w:style>
  <w:style w:type="character" w:customStyle="1" w:styleId="CommentTextChar">
    <w:name w:val="Comment Text Char"/>
    <w:basedOn w:val="DefaultParagraphFont"/>
    <w:link w:val="CommentText"/>
    <w:uiPriority w:val="99"/>
    <w:semiHidden/>
    <w:rsid w:val="00A07E8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07E8D"/>
    <w:rPr>
      <w:b/>
      <w:bCs/>
    </w:rPr>
  </w:style>
  <w:style w:type="character" w:customStyle="1" w:styleId="CommentSubjectChar">
    <w:name w:val="Comment Subject Char"/>
    <w:basedOn w:val="CommentTextChar"/>
    <w:link w:val="CommentSubject"/>
    <w:uiPriority w:val="99"/>
    <w:semiHidden/>
    <w:rsid w:val="00A07E8D"/>
    <w:rPr>
      <w:rFonts w:eastAsiaTheme="minorEastAsia"/>
      <w:b/>
      <w:bCs/>
      <w:sz w:val="20"/>
      <w:szCs w:val="20"/>
    </w:rPr>
  </w:style>
  <w:style w:type="paragraph" w:styleId="BalloonText">
    <w:name w:val="Balloon Text"/>
    <w:basedOn w:val="Normal"/>
    <w:link w:val="BalloonTextChar"/>
    <w:uiPriority w:val="99"/>
    <w:semiHidden/>
    <w:unhideWhenUsed/>
    <w:rsid w:val="00A07E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7E8D"/>
    <w:rPr>
      <w:rFonts w:ascii="Times New Roman" w:eastAsiaTheme="minorEastAsia" w:hAnsi="Times New Roman" w:cs="Times New Roman"/>
      <w:sz w:val="18"/>
      <w:szCs w:val="18"/>
    </w:rPr>
  </w:style>
  <w:style w:type="paragraph" w:styleId="Revision">
    <w:name w:val="Revision"/>
    <w:hidden/>
    <w:uiPriority w:val="99"/>
    <w:semiHidden/>
    <w:rsid w:val="00E21398"/>
    <w:rPr>
      <w:rFonts w:eastAsiaTheme="minorEastAsia"/>
    </w:rPr>
  </w:style>
  <w:style w:type="paragraph" w:customStyle="1" w:styleId="Default">
    <w:name w:val="Default"/>
    <w:rsid w:val="002A364C"/>
    <w:pPr>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8DAB3E-4B48-4237-BA21-67E3DF62B79D}"/>
</file>

<file path=customXml/itemProps2.xml><?xml version="1.0" encoding="utf-8"?>
<ds:datastoreItem xmlns:ds="http://schemas.openxmlformats.org/officeDocument/2006/customXml" ds:itemID="{55D0E308-6BF3-4BAC-83E1-DB2A0FCC933C}"/>
</file>

<file path=customXml/itemProps3.xml><?xml version="1.0" encoding="utf-8"?>
<ds:datastoreItem xmlns:ds="http://schemas.openxmlformats.org/officeDocument/2006/customXml" ds:itemID="{AE839AFB-865B-42A1-809D-DE797AE9FB7A}"/>
</file>

<file path=docProps/app.xml><?xml version="1.0" encoding="utf-8"?>
<Properties xmlns="http://schemas.openxmlformats.org/officeDocument/2006/extended-properties" xmlns:vt="http://schemas.openxmlformats.org/officeDocument/2006/docPropsVTypes">
  <Template>Normal.dotm</Template>
  <TotalTime>168</TotalTime>
  <Pages>4</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Grimes</dc:creator>
  <cp:keywords/>
  <dc:description/>
  <cp:lastModifiedBy>Sara Grimes</cp:lastModifiedBy>
  <cp:revision>27</cp:revision>
  <dcterms:created xsi:type="dcterms:W3CDTF">2020-11-14T15:23:00Z</dcterms:created>
  <dcterms:modified xsi:type="dcterms:W3CDTF">2020-11-14T19:02:00Z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