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BA180" w14:textId="3F71DE27" w:rsidR="00FA3E78" w:rsidRDefault="006F2529" w:rsidP="0067091E">
      <w:pPr>
        <w:pStyle w:val="BodyText"/>
        <w:jc w:val="both"/>
        <w:rPr>
          <w:rFonts w:ascii="Source Sans Pro" w:hAnsi="Source Sans Pro"/>
        </w:rPr>
      </w:pPr>
      <w:r w:rsidRPr="00C32914">
        <w:rPr>
          <w:rFonts w:ascii="Source Sans Pro" w:hAnsi="Source Sans Pro"/>
        </w:rPr>
        <w:t xml:space="preserve">Minderoo Foundation thanks the Committee on the Rights of the Child for leading timely and urgent work on children’s rights in the digital environment. </w:t>
      </w:r>
      <w:r w:rsidR="00060E11" w:rsidRPr="00C32914">
        <w:rPr>
          <w:rFonts w:ascii="Source Sans Pro" w:hAnsi="Source Sans Pro"/>
        </w:rPr>
        <w:t>Established by Dr Andrew Forrest AO and Nicola Forrest AO in 2001, Minderoo Foundation is an Australian philanthropic organisation that takes on tough, persistent issues with the potential to drive massive change. As one of Asia’s largest philanthropic organisations, with almost AU$2 billion in funding available for a range of global initiatives, Minderoo Foundation is independent, forward-thinking and seeks effective, scalable solutions.</w:t>
      </w:r>
      <w:r w:rsidRPr="00C32914">
        <w:rPr>
          <w:rFonts w:ascii="Source Sans Pro" w:hAnsi="Source Sans Pro"/>
        </w:rPr>
        <w:t xml:space="preserve"> T</w:t>
      </w:r>
      <w:r w:rsidR="005049C3" w:rsidRPr="00C32914">
        <w:rPr>
          <w:rFonts w:ascii="Source Sans Pro" w:hAnsi="Source Sans Pro"/>
        </w:rPr>
        <w:t xml:space="preserve">hrough the Frontier Technology Initiative, </w:t>
      </w:r>
      <w:r w:rsidRPr="00C32914">
        <w:rPr>
          <w:rFonts w:ascii="Source Sans Pro" w:hAnsi="Source Sans Pro"/>
        </w:rPr>
        <w:t xml:space="preserve">Minderoo Foundation </w:t>
      </w:r>
      <w:r w:rsidR="005049C3" w:rsidRPr="00C32914">
        <w:rPr>
          <w:rFonts w:ascii="Source Sans Pro" w:hAnsi="Source Sans Pro"/>
        </w:rPr>
        <w:t xml:space="preserve">is </w:t>
      </w:r>
      <w:r w:rsidR="00C13057" w:rsidRPr="00C32914">
        <w:rPr>
          <w:rFonts w:ascii="Source Sans Pro" w:hAnsi="Source Sans Pro"/>
        </w:rPr>
        <w:t xml:space="preserve">firmly committed to ensuring the rights and protections of the physical world carry into the digital world. </w:t>
      </w:r>
      <w:r w:rsidR="00F51E57" w:rsidRPr="00C32914">
        <w:rPr>
          <w:rFonts w:ascii="Source Sans Pro" w:hAnsi="Source Sans Pro"/>
        </w:rPr>
        <w:t xml:space="preserve">In the spirit </w:t>
      </w:r>
      <w:r w:rsidR="000E3747" w:rsidRPr="00C32914">
        <w:rPr>
          <w:rFonts w:ascii="Source Sans Pro" w:hAnsi="Source Sans Pro"/>
        </w:rPr>
        <w:t>of</w:t>
      </w:r>
      <w:r w:rsidR="00DB5E11" w:rsidRPr="00C32914">
        <w:rPr>
          <w:rFonts w:ascii="Source Sans Pro" w:hAnsi="Source Sans Pro"/>
        </w:rPr>
        <w:t xml:space="preserve"> elevating the voices and experiences of </w:t>
      </w:r>
      <w:r w:rsidRPr="00C32914">
        <w:rPr>
          <w:rFonts w:ascii="Source Sans Pro" w:hAnsi="Source Sans Pro"/>
        </w:rPr>
        <w:t>cohorts with lifelong digital experience</w:t>
      </w:r>
      <w:r w:rsidR="00DB5E11" w:rsidRPr="00C32914">
        <w:rPr>
          <w:rFonts w:ascii="Source Sans Pro" w:hAnsi="Source Sans Pro"/>
        </w:rPr>
        <w:t>, Minderoo Foundation has worked with three undergraduate students at the Australian National University’s College of Law</w:t>
      </w:r>
      <w:r w:rsidR="00D74E17" w:rsidRPr="00C32914">
        <w:rPr>
          <w:rFonts w:ascii="Source Sans Pro" w:hAnsi="Source Sans Pro"/>
        </w:rPr>
        <w:t xml:space="preserve">, who have </w:t>
      </w:r>
      <w:r w:rsidR="00320CB7" w:rsidRPr="00C32914">
        <w:rPr>
          <w:rFonts w:ascii="Source Sans Pro" w:hAnsi="Source Sans Pro"/>
        </w:rPr>
        <w:t xml:space="preserve">each </w:t>
      </w:r>
      <w:r w:rsidR="00D74E17" w:rsidRPr="00C32914">
        <w:rPr>
          <w:rFonts w:ascii="Source Sans Pro" w:hAnsi="Source Sans Pro"/>
        </w:rPr>
        <w:t>focussed on</w:t>
      </w:r>
      <w:r w:rsidR="00B024A9" w:rsidRPr="00C32914">
        <w:rPr>
          <w:rFonts w:ascii="Source Sans Pro" w:hAnsi="Source Sans Pro"/>
        </w:rPr>
        <w:t xml:space="preserve"> </w:t>
      </w:r>
      <w:r w:rsidR="000117E8" w:rsidRPr="00C32914">
        <w:rPr>
          <w:rFonts w:ascii="Source Sans Pro" w:hAnsi="Source Sans Pro"/>
        </w:rPr>
        <w:t>a core area</w:t>
      </w:r>
      <w:r w:rsidRPr="00C32914">
        <w:rPr>
          <w:rFonts w:ascii="Source Sans Pro" w:hAnsi="Source Sans Pro"/>
        </w:rPr>
        <w:t xml:space="preserve"> in technology policy</w:t>
      </w:r>
      <w:r w:rsidR="000117E8" w:rsidRPr="00C32914">
        <w:rPr>
          <w:rFonts w:ascii="Source Sans Pro" w:hAnsi="Source Sans Pro"/>
        </w:rPr>
        <w:t>.</w:t>
      </w:r>
      <w:r w:rsidRPr="00C32914">
        <w:rPr>
          <w:rFonts w:ascii="Source Sans Pro" w:hAnsi="Source Sans Pro"/>
        </w:rPr>
        <w:t xml:space="preserve"> Minderoo Foundation is delighted to help make their voices heard. </w:t>
      </w:r>
    </w:p>
    <w:p w14:paraId="0E644B33" w14:textId="38A58C84" w:rsidR="00E25E3D" w:rsidRDefault="00E25E3D" w:rsidP="0067091E">
      <w:pPr>
        <w:pStyle w:val="BodyText"/>
        <w:jc w:val="both"/>
        <w:rPr>
          <w:rFonts w:ascii="Source Sans Pro" w:hAnsi="Source Sans Pro"/>
        </w:rPr>
      </w:pPr>
    </w:p>
    <w:p w14:paraId="420C6524" w14:textId="02A2EE0B" w:rsidR="00E25E3D" w:rsidRPr="00E25E3D" w:rsidRDefault="00E25E3D" w:rsidP="0067091E">
      <w:pPr>
        <w:pStyle w:val="BodyText"/>
        <w:jc w:val="both"/>
        <w:rPr>
          <w:rFonts w:ascii="Source Sans Pro" w:hAnsi="Source Sans Pro"/>
          <w:i/>
          <w:iCs/>
        </w:rPr>
      </w:pPr>
      <w:r w:rsidRPr="00E25E3D">
        <w:rPr>
          <w:rFonts w:ascii="Source Sans Pro" w:hAnsi="Source Sans Pro"/>
          <w:i/>
          <w:iCs/>
        </w:rPr>
        <w:t>Please note, referencing has been hidden in this document to comply with strict word limits. Please contact the Frontier Technology Initiative for full bibliographic details.</w:t>
      </w:r>
    </w:p>
    <w:p w14:paraId="0ED2310C" w14:textId="77777777" w:rsidR="0067091E" w:rsidRPr="00C32914" w:rsidRDefault="0067091E" w:rsidP="0067091E">
      <w:pPr>
        <w:pStyle w:val="BodyText"/>
        <w:jc w:val="both"/>
        <w:rPr>
          <w:rFonts w:ascii="Source Sans Pro" w:hAnsi="Source Sans Pro"/>
        </w:rPr>
      </w:pPr>
    </w:p>
    <w:p w14:paraId="04D96ECF" w14:textId="7A7CED71" w:rsidR="006F2529" w:rsidRPr="00C32914" w:rsidRDefault="00C32914" w:rsidP="0058761C">
      <w:pPr>
        <w:pStyle w:val="BodyText"/>
        <w:rPr>
          <w:rFonts w:ascii="Source Sans Pro" w:hAnsi="Source Sans Pro"/>
          <w:b/>
          <w:bCs/>
        </w:rPr>
      </w:pPr>
      <w:r w:rsidRPr="00C32914">
        <w:rPr>
          <w:rFonts w:ascii="Source Sans Pro" w:hAnsi="Source Sans Pro"/>
          <w:b/>
          <w:bCs/>
        </w:rPr>
        <w:t>SUMMARY</w:t>
      </w:r>
    </w:p>
    <w:p w14:paraId="4B40034A" w14:textId="77777777" w:rsidR="00B65564" w:rsidRPr="00B65564" w:rsidRDefault="00B65564" w:rsidP="0067091E">
      <w:pPr>
        <w:jc w:val="both"/>
        <w:rPr>
          <w:rFonts w:ascii="Source Sans Pro" w:eastAsia="Calibri" w:hAnsi="Source Sans Pro" w:cs="Times New Roman"/>
          <w:lang w:val="en-US"/>
        </w:rPr>
      </w:pPr>
      <w:r w:rsidRPr="00B65564">
        <w:rPr>
          <w:rFonts w:ascii="Source Sans Pro" w:eastAsia="Calibri" w:hAnsi="Source Sans Pro" w:cs="Arial"/>
          <w:color w:val="000000"/>
          <w:lang w:val="en-US"/>
        </w:rPr>
        <w:t xml:space="preserve">This submission responds to the OHCHR Draft Comment with a particular focus on the way the digital world impacts on children’s right to privacy and development, by reference to Articles 6 and 16 of the </w:t>
      </w:r>
      <w:r w:rsidRPr="00B65564">
        <w:rPr>
          <w:rFonts w:ascii="Source Sans Pro" w:eastAsia="Calibri" w:hAnsi="Source Sans Pro" w:cs="Arial"/>
          <w:i/>
          <w:iCs/>
          <w:color w:val="000000"/>
          <w:lang w:val="en-US"/>
        </w:rPr>
        <w:t>Convention on the Rights of the Child.</w:t>
      </w:r>
    </w:p>
    <w:p w14:paraId="71CB1A9A" w14:textId="77777777" w:rsidR="00B65564" w:rsidRPr="00B65564" w:rsidRDefault="00B65564" w:rsidP="00B65564">
      <w:pPr>
        <w:rPr>
          <w:rFonts w:ascii="Source Sans Pro" w:eastAsia="Calibri" w:hAnsi="Source Sans Pro" w:cs="Times New Roman"/>
          <w:lang w:val="en-US"/>
        </w:rPr>
      </w:pPr>
      <w:r w:rsidRPr="00B65564">
        <w:rPr>
          <w:rFonts w:ascii="Source Sans Pro" w:eastAsia="Calibri" w:hAnsi="Source Sans Pro" w:cs="Arial"/>
          <w:color w:val="000000"/>
          <w:lang w:val="en-US"/>
        </w:rPr>
        <w:t> </w:t>
      </w:r>
    </w:p>
    <w:p w14:paraId="17C8754B" w14:textId="77777777" w:rsidR="00B65564" w:rsidRPr="00B65564" w:rsidRDefault="00B65564" w:rsidP="0067091E">
      <w:pPr>
        <w:jc w:val="both"/>
        <w:rPr>
          <w:rFonts w:ascii="Source Sans Pro" w:eastAsia="Calibri" w:hAnsi="Source Sans Pro" w:cs="Times New Roman"/>
          <w:lang w:val="en-US"/>
        </w:rPr>
      </w:pPr>
      <w:r w:rsidRPr="00B65564">
        <w:rPr>
          <w:rFonts w:ascii="Source Sans Pro" w:eastAsia="Calibri" w:hAnsi="Source Sans Pro" w:cs="Arial"/>
          <w:color w:val="000000"/>
          <w:lang w:val="en-US"/>
        </w:rPr>
        <w:t>This submission recommends:</w:t>
      </w:r>
    </w:p>
    <w:p w14:paraId="00486EBB" w14:textId="77777777" w:rsidR="00B65564" w:rsidRPr="00B65564" w:rsidRDefault="00B65564" w:rsidP="0067091E">
      <w:pPr>
        <w:jc w:val="both"/>
        <w:rPr>
          <w:rFonts w:ascii="Source Sans Pro" w:eastAsia="Times New Roman" w:hAnsi="Source Sans Pro" w:cs="Times New Roman"/>
          <w:lang w:val="en-US"/>
        </w:rPr>
      </w:pPr>
    </w:p>
    <w:p w14:paraId="75CC9D0D" w14:textId="77777777" w:rsidR="00B65564" w:rsidRPr="00B65564" w:rsidRDefault="00B65564" w:rsidP="0067091E">
      <w:pPr>
        <w:numPr>
          <w:ilvl w:val="0"/>
          <w:numId w:val="34"/>
        </w:numPr>
        <w:jc w:val="both"/>
        <w:textAlignment w:val="baseline"/>
        <w:rPr>
          <w:rFonts w:ascii="Source Sans Pro" w:eastAsia="Calibri" w:hAnsi="Source Sans Pro" w:cs="Arial"/>
          <w:color w:val="000000"/>
          <w:lang w:val="en-US"/>
        </w:rPr>
      </w:pPr>
      <w:r w:rsidRPr="00B65564">
        <w:rPr>
          <w:rFonts w:ascii="Source Sans Pro" w:eastAsia="Calibri" w:hAnsi="Source Sans Pro" w:cs="Arial"/>
          <w:color w:val="000000"/>
          <w:lang w:val="en-US"/>
        </w:rPr>
        <w:t xml:space="preserve">The Comment should </w:t>
      </w:r>
      <w:proofErr w:type="spellStart"/>
      <w:r w:rsidRPr="00B65564">
        <w:rPr>
          <w:rFonts w:ascii="Source Sans Pro" w:eastAsia="Calibri" w:hAnsi="Source Sans Pro" w:cs="Arial"/>
          <w:color w:val="000000"/>
          <w:lang w:val="en-US"/>
        </w:rPr>
        <w:t>recognise</w:t>
      </w:r>
      <w:proofErr w:type="spellEnd"/>
      <w:r w:rsidRPr="00B65564">
        <w:rPr>
          <w:rFonts w:ascii="Source Sans Pro" w:eastAsia="Calibri" w:hAnsi="Source Sans Pro" w:cs="Arial"/>
          <w:color w:val="000000"/>
          <w:lang w:val="en-US"/>
        </w:rPr>
        <w:t xml:space="preserve"> that under the current preferred legal framework of parental consent models, children’s rights are not adequately protected. Responsibility should not rest with children and their parents to manage the parameters of their rights in the digital world. To ensure States are upholding children’s rights, States should implement specific legal restrictions on companies, requirements for online platforms and new digital privacy rights.</w:t>
      </w:r>
    </w:p>
    <w:p w14:paraId="45B1E081" w14:textId="77777777" w:rsidR="00B65564" w:rsidRPr="00B65564" w:rsidRDefault="00B65564" w:rsidP="0067091E">
      <w:pPr>
        <w:numPr>
          <w:ilvl w:val="0"/>
          <w:numId w:val="34"/>
        </w:numPr>
        <w:jc w:val="both"/>
        <w:textAlignment w:val="baseline"/>
        <w:rPr>
          <w:rFonts w:ascii="Source Sans Pro" w:eastAsia="Calibri" w:hAnsi="Source Sans Pro" w:cs="Arial"/>
          <w:color w:val="000000"/>
          <w:lang w:val="en-US"/>
        </w:rPr>
      </w:pPr>
      <w:r w:rsidRPr="00B65564">
        <w:rPr>
          <w:rFonts w:ascii="Source Sans Pro" w:eastAsia="Calibri" w:hAnsi="Source Sans Pro" w:cs="Arial"/>
          <w:color w:val="000000"/>
          <w:lang w:val="en-US"/>
        </w:rPr>
        <w:t xml:space="preserve">The Comment should make clear that businesses trading in data are infringing children's rights and should highlight the dangers of data misuse on children’s future lives. States should be encouraged to States should seek to proactively legislate for a class of protected data that cannot be collected under any circumstances. This could include any data collected from a child that could foreseeably impact that child’s rights, now or in the future. </w:t>
      </w:r>
    </w:p>
    <w:p w14:paraId="53FE8290" w14:textId="77777777" w:rsidR="00B65564" w:rsidRPr="00B65564" w:rsidRDefault="00B65564" w:rsidP="0067091E">
      <w:pPr>
        <w:numPr>
          <w:ilvl w:val="0"/>
          <w:numId w:val="34"/>
        </w:numPr>
        <w:jc w:val="both"/>
        <w:textAlignment w:val="baseline"/>
        <w:rPr>
          <w:rFonts w:ascii="Source Sans Pro" w:eastAsia="Calibri" w:hAnsi="Source Sans Pro" w:cs="Arial"/>
          <w:color w:val="000000"/>
          <w:lang w:val="en-US"/>
        </w:rPr>
      </w:pPr>
      <w:r w:rsidRPr="00B65564">
        <w:rPr>
          <w:rFonts w:ascii="Source Sans Pro" w:eastAsia="Calibri" w:hAnsi="Source Sans Pro" w:cs="Arial"/>
          <w:color w:val="000000"/>
          <w:lang w:val="en-US"/>
        </w:rPr>
        <w:t xml:space="preserve">The Comment should provide additional guidance and examples of privacy and safety by design elements that States should require digital platforms to implement to better protect children. For </w:t>
      </w:r>
      <w:r w:rsidRPr="00B65564">
        <w:rPr>
          <w:rFonts w:ascii="Source Sans Pro" w:eastAsia="Calibri" w:hAnsi="Source Sans Pro" w:cs="Arial"/>
          <w:color w:val="000000"/>
          <w:lang w:val="en-US"/>
        </w:rPr>
        <w:lastRenderedPageBreak/>
        <w:t xml:space="preserve">example, States could mandate proactive </w:t>
      </w:r>
      <w:proofErr w:type="spellStart"/>
      <w:r w:rsidRPr="00B65564">
        <w:rPr>
          <w:rFonts w:ascii="Source Sans Pro" w:eastAsia="Calibri" w:hAnsi="Source Sans Pro" w:cs="Arial"/>
          <w:color w:val="000000"/>
          <w:lang w:val="en-US"/>
        </w:rPr>
        <w:t>inservice</w:t>
      </w:r>
      <w:proofErr w:type="spellEnd"/>
      <w:r w:rsidRPr="00B65564">
        <w:rPr>
          <w:rFonts w:ascii="Source Sans Pro" w:eastAsia="Calibri" w:hAnsi="Source Sans Pro" w:cs="Arial"/>
          <w:color w:val="000000"/>
          <w:lang w:val="en-US"/>
        </w:rPr>
        <w:t xml:space="preserve"> notification of children’s data collection and use by third parties as well as more understandable, </w:t>
      </w:r>
      <w:proofErr w:type="gramStart"/>
      <w:r w:rsidRPr="00B65564">
        <w:rPr>
          <w:rFonts w:ascii="Source Sans Pro" w:eastAsia="Calibri" w:hAnsi="Source Sans Pro" w:cs="Arial"/>
          <w:color w:val="000000"/>
          <w:lang w:val="en-US"/>
        </w:rPr>
        <w:t>short</w:t>
      </w:r>
      <w:proofErr w:type="gramEnd"/>
      <w:r w:rsidRPr="00B65564">
        <w:rPr>
          <w:rFonts w:ascii="Source Sans Pro" w:eastAsia="Calibri" w:hAnsi="Source Sans Pro" w:cs="Arial"/>
          <w:color w:val="000000"/>
          <w:lang w:val="en-US"/>
        </w:rPr>
        <w:t xml:space="preserve"> and clear terms of use policies.</w:t>
      </w:r>
    </w:p>
    <w:p w14:paraId="4F59CDB8" w14:textId="08CA16EE" w:rsidR="00855D04" w:rsidRDefault="00B65564" w:rsidP="0067091E">
      <w:pPr>
        <w:numPr>
          <w:ilvl w:val="0"/>
          <w:numId w:val="34"/>
        </w:numPr>
        <w:jc w:val="both"/>
        <w:textAlignment w:val="baseline"/>
        <w:rPr>
          <w:rFonts w:ascii="Source Sans Pro" w:eastAsia="Calibri" w:hAnsi="Source Sans Pro" w:cs="Arial"/>
          <w:color w:val="000000"/>
          <w:lang w:val="en-US"/>
        </w:rPr>
      </w:pPr>
      <w:r w:rsidRPr="00B65564">
        <w:rPr>
          <w:rFonts w:ascii="Source Sans Pro" w:eastAsia="Calibri" w:hAnsi="Source Sans Pro" w:cs="Arial"/>
          <w:color w:val="000000"/>
          <w:lang w:val="en-US"/>
        </w:rPr>
        <w:t>The Comment should also look towards an expansion of the right to privacy in the context of the digital world. This could include a ‘right to erase’ where children are able to compel digital platforms to erase any personal data they have collected and stored.</w:t>
      </w:r>
    </w:p>
    <w:p w14:paraId="4BDE659A" w14:textId="77777777" w:rsidR="00311378" w:rsidRPr="0067091E" w:rsidRDefault="00311378" w:rsidP="00311378">
      <w:pPr>
        <w:jc w:val="both"/>
        <w:textAlignment w:val="baseline"/>
        <w:rPr>
          <w:rFonts w:ascii="Source Sans Pro" w:eastAsia="Calibri" w:hAnsi="Source Sans Pro" w:cs="Arial"/>
          <w:color w:val="000000"/>
          <w:lang w:val="en-US"/>
        </w:rPr>
      </w:pPr>
    </w:p>
    <w:p w14:paraId="51B3E444" w14:textId="209D5886" w:rsidR="00B65564" w:rsidRPr="00B65564" w:rsidRDefault="00B65564" w:rsidP="0067091E">
      <w:pPr>
        <w:jc w:val="both"/>
        <w:rPr>
          <w:rFonts w:ascii="Source Sans Pro" w:eastAsia="Calibri" w:hAnsi="Source Sans Pro" w:cs="Times New Roman"/>
          <w:b/>
          <w:bCs/>
          <w:lang w:val="en-US"/>
        </w:rPr>
      </w:pPr>
      <w:r w:rsidRPr="00B65564">
        <w:rPr>
          <w:rFonts w:ascii="Source Sans Pro" w:eastAsia="Calibri" w:hAnsi="Source Sans Pro" w:cs="Times New Roman"/>
          <w:b/>
          <w:bCs/>
          <w:color w:val="000000"/>
          <w:lang w:val="en-US"/>
        </w:rPr>
        <w:t xml:space="preserve">I THE PROBLEM </w:t>
      </w:r>
    </w:p>
    <w:p w14:paraId="7D48F205" w14:textId="77777777" w:rsidR="00B65564" w:rsidRPr="00B65564" w:rsidRDefault="00B65564" w:rsidP="0067091E">
      <w:pPr>
        <w:jc w:val="both"/>
        <w:rPr>
          <w:rFonts w:ascii="Source Sans Pro" w:eastAsia="Times New Roman" w:hAnsi="Source Sans Pro" w:cs="Times New Roman"/>
          <w:lang w:val="en-US"/>
        </w:rPr>
      </w:pPr>
    </w:p>
    <w:p w14:paraId="7279AA8A" w14:textId="064D31AD" w:rsidR="00B65564" w:rsidRPr="00B65564" w:rsidRDefault="00B65564" w:rsidP="0067091E">
      <w:pPr>
        <w:jc w:val="both"/>
        <w:rPr>
          <w:rFonts w:ascii="Source Sans Pro" w:eastAsia="Calibri" w:hAnsi="Source Sans Pro" w:cs="Times New Roman"/>
          <w:lang w:val="en-US"/>
        </w:rPr>
      </w:pPr>
      <w:r w:rsidRPr="00B65564">
        <w:rPr>
          <w:rFonts w:ascii="Source Sans Pro" w:eastAsia="Calibri" w:hAnsi="Source Sans Pro" w:cs="Times New Roman"/>
          <w:color w:val="000000"/>
          <w:lang w:val="en-US"/>
        </w:rPr>
        <w:t xml:space="preserve">Imagine a child walks into a library. There is </w:t>
      </w:r>
      <w:r w:rsidR="00B30416">
        <w:rPr>
          <w:rFonts w:ascii="Source Sans Pro" w:eastAsia="Calibri" w:hAnsi="Source Sans Pro" w:cs="Times New Roman"/>
          <w:color w:val="000000"/>
          <w:lang w:val="en-US"/>
        </w:rPr>
        <w:t>someone</w:t>
      </w:r>
      <w:r w:rsidRPr="00B65564">
        <w:rPr>
          <w:rFonts w:ascii="Source Sans Pro" w:eastAsia="Calibri" w:hAnsi="Source Sans Pro" w:cs="Times New Roman"/>
          <w:color w:val="000000"/>
          <w:lang w:val="en-US"/>
        </w:rPr>
        <w:t xml:space="preserve"> watching their every move and writing down everything the child does in a notebook - what books they choose to read, which ones they choose to put back, how long they spend browsing the shelves. Once the child </w:t>
      </w:r>
      <w:r w:rsidR="00242275">
        <w:rPr>
          <w:rFonts w:ascii="Source Sans Pro" w:eastAsia="Calibri" w:hAnsi="Source Sans Pro" w:cs="Times New Roman"/>
          <w:color w:val="000000"/>
          <w:lang w:val="en-US"/>
        </w:rPr>
        <w:t>leaves</w:t>
      </w:r>
      <w:r w:rsidRPr="00B65564">
        <w:rPr>
          <w:rFonts w:ascii="Source Sans Pro" w:eastAsia="Calibri" w:hAnsi="Source Sans Pro" w:cs="Times New Roman"/>
          <w:color w:val="000000"/>
          <w:lang w:val="en-US"/>
        </w:rPr>
        <w:t xml:space="preserve"> the library,</w:t>
      </w:r>
      <w:r w:rsidR="00B30416">
        <w:rPr>
          <w:rFonts w:ascii="Source Sans Pro" w:eastAsia="Calibri" w:hAnsi="Source Sans Pro" w:cs="Times New Roman"/>
          <w:color w:val="000000"/>
          <w:lang w:val="en-US"/>
        </w:rPr>
        <w:t xml:space="preserve"> the same person follows them, noting location, habits, interactions. </w:t>
      </w:r>
      <w:r w:rsidRPr="00B65564">
        <w:rPr>
          <w:rFonts w:ascii="Source Sans Pro" w:eastAsia="Calibri" w:hAnsi="Source Sans Pro" w:cs="Times New Roman"/>
          <w:color w:val="000000"/>
          <w:lang w:val="en-US"/>
        </w:rPr>
        <w:t xml:space="preserve"> </w:t>
      </w:r>
      <w:r w:rsidR="00242275">
        <w:rPr>
          <w:rFonts w:ascii="Source Sans Pro" w:eastAsia="Calibri" w:hAnsi="Source Sans Pro" w:cs="Times New Roman"/>
          <w:color w:val="000000"/>
          <w:lang w:val="en-US"/>
        </w:rPr>
        <w:t xml:space="preserve">At the local playground, </w:t>
      </w:r>
      <w:r w:rsidR="009D6E83">
        <w:rPr>
          <w:rFonts w:ascii="Source Sans Pro" w:eastAsia="Calibri" w:hAnsi="Source Sans Pro" w:cs="Times New Roman"/>
          <w:color w:val="000000"/>
          <w:lang w:val="en-US"/>
        </w:rPr>
        <w:t>someone at the gate asks for sensitive personal information as a condition of entry</w:t>
      </w:r>
      <w:r w:rsidRPr="00B65564">
        <w:rPr>
          <w:rFonts w:ascii="Source Sans Pro" w:eastAsia="Calibri" w:hAnsi="Source Sans Pro" w:cs="Times New Roman"/>
          <w:color w:val="000000"/>
          <w:lang w:val="en-US"/>
        </w:rPr>
        <w:t xml:space="preserve">. They also ask the other children to share their information when they arrive. </w:t>
      </w:r>
      <w:r w:rsidR="009D6E83">
        <w:rPr>
          <w:rFonts w:ascii="Source Sans Pro" w:eastAsia="Calibri" w:hAnsi="Source Sans Pro" w:cs="Times New Roman"/>
          <w:color w:val="000000"/>
          <w:lang w:val="en-US"/>
        </w:rPr>
        <w:t>The person form the library</w:t>
      </w:r>
      <w:r w:rsidRPr="00B65564">
        <w:rPr>
          <w:rFonts w:ascii="Source Sans Pro" w:eastAsia="Calibri" w:hAnsi="Source Sans Pro" w:cs="Times New Roman"/>
          <w:color w:val="000000"/>
          <w:lang w:val="en-US"/>
        </w:rPr>
        <w:t xml:space="preserve"> joins </w:t>
      </w:r>
      <w:r w:rsidR="009D6E83">
        <w:rPr>
          <w:rFonts w:ascii="Source Sans Pro" w:eastAsia="Calibri" w:hAnsi="Source Sans Pro" w:cs="Times New Roman"/>
          <w:color w:val="000000"/>
          <w:lang w:val="en-US"/>
        </w:rPr>
        <w:t>the playground gatekeeper</w:t>
      </w:r>
      <w:r w:rsidRPr="00B65564">
        <w:rPr>
          <w:rFonts w:ascii="Source Sans Pro" w:eastAsia="Calibri" w:hAnsi="Source Sans Pro" w:cs="Times New Roman"/>
          <w:color w:val="000000"/>
          <w:lang w:val="en-US"/>
        </w:rPr>
        <w:t xml:space="preserve"> and together they watch </w:t>
      </w:r>
      <w:r w:rsidR="009D6E83">
        <w:rPr>
          <w:rFonts w:ascii="Source Sans Pro" w:eastAsia="Calibri" w:hAnsi="Source Sans Pro" w:cs="Times New Roman"/>
          <w:color w:val="000000"/>
          <w:lang w:val="en-US"/>
        </w:rPr>
        <w:t>all</w:t>
      </w:r>
      <w:r w:rsidRPr="00B65564">
        <w:rPr>
          <w:rFonts w:ascii="Source Sans Pro" w:eastAsia="Calibri" w:hAnsi="Source Sans Pro" w:cs="Times New Roman"/>
          <w:color w:val="000000"/>
          <w:lang w:val="en-US"/>
        </w:rPr>
        <w:t xml:space="preserve"> children in the playground, noting how they </w:t>
      </w:r>
      <w:r w:rsidR="009D6E83">
        <w:rPr>
          <w:rFonts w:ascii="Source Sans Pro" w:eastAsia="Calibri" w:hAnsi="Source Sans Pro" w:cs="Times New Roman"/>
          <w:color w:val="000000"/>
          <w:lang w:val="en-US"/>
        </w:rPr>
        <w:t>play</w:t>
      </w:r>
      <w:r w:rsidRPr="00B65564">
        <w:rPr>
          <w:rFonts w:ascii="Source Sans Pro" w:eastAsia="Calibri" w:hAnsi="Source Sans Pro" w:cs="Times New Roman"/>
          <w:color w:val="000000"/>
          <w:lang w:val="en-US"/>
        </w:rPr>
        <w:t xml:space="preserve">, what topics they talk about, how long they spend on each piece of equipment, </w:t>
      </w:r>
      <w:r w:rsidR="009D6E83">
        <w:rPr>
          <w:rFonts w:ascii="Source Sans Pro" w:eastAsia="Calibri" w:hAnsi="Source Sans Pro" w:cs="Times New Roman"/>
          <w:color w:val="000000"/>
          <w:lang w:val="en-US"/>
        </w:rPr>
        <w:t>noting</w:t>
      </w:r>
      <w:r w:rsidRPr="00B65564">
        <w:rPr>
          <w:rFonts w:ascii="Source Sans Pro" w:eastAsia="Calibri" w:hAnsi="Source Sans Pro" w:cs="Times New Roman"/>
          <w:color w:val="000000"/>
          <w:lang w:val="en-US"/>
        </w:rPr>
        <w:t xml:space="preserve"> down their observations extensively. </w:t>
      </w:r>
      <w:r w:rsidR="00E4325B">
        <w:rPr>
          <w:rFonts w:ascii="Source Sans Pro" w:eastAsia="Calibri" w:hAnsi="Source Sans Pro" w:cs="Times New Roman"/>
          <w:color w:val="000000"/>
          <w:lang w:val="en-US"/>
        </w:rPr>
        <w:t>T</w:t>
      </w:r>
      <w:r w:rsidRPr="00B65564">
        <w:rPr>
          <w:rFonts w:ascii="Source Sans Pro" w:eastAsia="Calibri" w:hAnsi="Source Sans Pro" w:cs="Times New Roman"/>
          <w:color w:val="000000"/>
          <w:lang w:val="en-US"/>
        </w:rPr>
        <w:t>he librarian and gatekeeper sell excerpts from the</w:t>
      </w:r>
      <w:r w:rsidR="00E4325B">
        <w:rPr>
          <w:rFonts w:ascii="Source Sans Pro" w:eastAsia="Calibri" w:hAnsi="Source Sans Pro" w:cs="Times New Roman"/>
          <w:color w:val="000000"/>
          <w:lang w:val="en-US"/>
        </w:rPr>
        <w:t>se</w:t>
      </w:r>
      <w:r w:rsidRPr="00B65564">
        <w:rPr>
          <w:rFonts w:ascii="Source Sans Pro" w:eastAsia="Calibri" w:hAnsi="Source Sans Pro" w:cs="Times New Roman"/>
          <w:color w:val="000000"/>
          <w:lang w:val="en-US"/>
        </w:rPr>
        <w:t xml:space="preserve"> notebooks to strangers the child has never met</w:t>
      </w:r>
      <w:r w:rsidR="00E4325B">
        <w:rPr>
          <w:rFonts w:ascii="Source Sans Pro" w:eastAsia="Calibri" w:hAnsi="Source Sans Pro" w:cs="Times New Roman"/>
          <w:color w:val="000000"/>
          <w:lang w:val="en-US"/>
        </w:rPr>
        <w:t>, hours, days, years after the event</w:t>
      </w:r>
      <w:r w:rsidRPr="00B65564">
        <w:rPr>
          <w:rFonts w:ascii="Source Sans Pro" w:eastAsia="Calibri" w:hAnsi="Source Sans Pro" w:cs="Times New Roman"/>
          <w:color w:val="000000"/>
          <w:lang w:val="en-US"/>
        </w:rPr>
        <w:t>. </w:t>
      </w:r>
    </w:p>
    <w:p w14:paraId="409072BC" w14:textId="77777777" w:rsidR="00B65564" w:rsidRPr="00B65564" w:rsidRDefault="00B65564" w:rsidP="0067091E">
      <w:pPr>
        <w:jc w:val="both"/>
        <w:rPr>
          <w:rFonts w:ascii="Source Sans Pro" w:eastAsia="Times New Roman" w:hAnsi="Source Sans Pro" w:cs="Times New Roman"/>
          <w:lang w:val="en-US"/>
        </w:rPr>
      </w:pPr>
    </w:p>
    <w:p w14:paraId="008E60DB" w14:textId="77777777" w:rsidR="00B65564" w:rsidRPr="00B65564" w:rsidRDefault="00B65564" w:rsidP="0067091E">
      <w:pPr>
        <w:jc w:val="both"/>
        <w:rPr>
          <w:rFonts w:ascii="Source Sans Pro" w:eastAsia="Calibri" w:hAnsi="Source Sans Pro" w:cs="Times New Roman"/>
          <w:color w:val="000000"/>
          <w:lang w:val="en-US"/>
        </w:rPr>
      </w:pPr>
      <w:r w:rsidRPr="00B65564">
        <w:rPr>
          <w:rFonts w:ascii="Source Sans Pro" w:eastAsia="Calibri" w:hAnsi="Source Sans Pro" w:cs="Times New Roman"/>
          <w:color w:val="000000"/>
          <w:lang w:val="en-US"/>
        </w:rPr>
        <w:t>We would never accept this level of intrusion into children’s privacy in the real world - so why do we accept it in the digital world? </w:t>
      </w:r>
    </w:p>
    <w:p w14:paraId="66CC8066" w14:textId="77777777" w:rsidR="00855D04" w:rsidRPr="0067091E" w:rsidRDefault="00855D04" w:rsidP="0067091E">
      <w:pPr>
        <w:jc w:val="both"/>
        <w:rPr>
          <w:rFonts w:ascii="Source Sans Pro" w:eastAsia="Calibri" w:hAnsi="Source Sans Pro" w:cs="Times New Roman"/>
          <w:color w:val="000000"/>
          <w:u w:val="single"/>
          <w:lang w:val="en-US"/>
        </w:rPr>
      </w:pPr>
    </w:p>
    <w:p w14:paraId="67750DA8" w14:textId="429B9C6B" w:rsidR="00B65564" w:rsidRPr="00B65564" w:rsidRDefault="00B65564" w:rsidP="0067091E">
      <w:pPr>
        <w:jc w:val="both"/>
        <w:rPr>
          <w:rFonts w:ascii="Source Sans Pro" w:eastAsia="Calibri" w:hAnsi="Source Sans Pro" w:cs="Times New Roman"/>
          <w:i/>
          <w:color w:val="000000"/>
          <w:lang w:val="en-US"/>
        </w:rPr>
      </w:pPr>
      <w:r w:rsidRPr="00B65564">
        <w:rPr>
          <w:rFonts w:ascii="Source Sans Pro" w:eastAsia="Calibri" w:hAnsi="Source Sans Pro" w:cs="Times New Roman"/>
          <w:i/>
          <w:color w:val="000000"/>
          <w:lang w:val="en-US"/>
        </w:rPr>
        <w:t>A Surveillance, Data Capture and Data Misuse</w:t>
      </w:r>
    </w:p>
    <w:p w14:paraId="1099E689" w14:textId="77777777" w:rsidR="00B65564" w:rsidRPr="00B65564" w:rsidRDefault="00B65564" w:rsidP="0067091E">
      <w:pPr>
        <w:jc w:val="both"/>
        <w:rPr>
          <w:rFonts w:ascii="Source Sans Pro" w:eastAsia="Calibri" w:hAnsi="Source Sans Pro" w:cs="Times New Roman"/>
          <w:color w:val="000000"/>
          <w:lang w:val="en-US"/>
        </w:rPr>
      </w:pPr>
    </w:p>
    <w:p w14:paraId="7B2DDCF3" w14:textId="00BFAA01" w:rsidR="00E25E3D" w:rsidRPr="00B65564" w:rsidRDefault="00B65564" w:rsidP="0067091E">
      <w:pPr>
        <w:jc w:val="both"/>
        <w:rPr>
          <w:rFonts w:ascii="Source Sans Pro" w:eastAsia="Calibri" w:hAnsi="Source Sans Pro" w:cs="Times New Roman"/>
          <w:lang w:val="en-US"/>
        </w:rPr>
      </w:pPr>
      <w:r w:rsidRPr="00B65564">
        <w:rPr>
          <w:rFonts w:ascii="Source Sans Pro" w:eastAsia="Calibri" w:hAnsi="Source Sans Pro" w:cs="Times New Roman"/>
          <w:color w:val="000000"/>
          <w:lang w:val="en-US"/>
        </w:rPr>
        <w:t>Digital platforms are constantly surveilling their users, including children. They routinely collect data through express disclosure and background tracking.</w:t>
      </w:r>
      <w:r w:rsidR="00E25E3D" w:rsidRPr="00B65564">
        <w:rPr>
          <w:rFonts w:ascii="Source Sans Pro" w:eastAsia="Calibri" w:hAnsi="Source Sans Pro" w:cs="Times New Roman"/>
          <w:color w:val="000000"/>
          <w:vertAlign w:val="superscript"/>
          <w:lang w:val="en-US"/>
        </w:rPr>
        <w:endnoteReference w:id="1"/>
      </w:r>
      <w:r w:rsidR="00E25E3D" w:rsidRPr="00B65564">
        <w:rPr>
          <w:rFonts w:ascii="Source Sans Pro" w:eastAsia="Calibri" w:hAnsi="Source Sans Pro" w:cs="Times New Roman"/>
          <w:color w:val="000000"/>
          <w:lang w:val="en-US"/>
        </w:rPr>
        <w:t xml:space="preserve"> The data targeted includes </w:t>
      </w:r>
      <w:proofErr w:type="spellStart"/>
      <w:r w:rsidR="00E25E3D" w:rsidRPr="00B65564">
        <w:rPr>
          <w:rFonts w:ascii="Source Sans Pro" w:eastAsia="Calibri" w:hAnsi="Source Sans Pro" w:cs="Times New Roman"/>
          <w:color w:val="000000"/>
          <w:lang w:val="en-US"/>
        </w:rPr>
        <w:t>behavioural</w:t>
      </w:r>
      <w:proofErr w:type="spellEnd"/>
      <w:r w:rsidR="00E25E3D" w:rsidRPr="00B65564">
        <w:rPr>
          <w:rFonts w:ascii="Source Sans Pro" w:eastAsia="Calibri" w:hAnsi="Source Sans Pro" w:cs="Times New Roman"/>
          <w:color w:val="000000"/>
          <w:lang w:val="en-US"/>
        </w:rPr>
        <w:t xml:space="preserve"> information on platform interaction, as well as web browsing history, and geolocation and extends to sensitive personal information such as ethnicity, religion, level of affluence and age group.</w:t>
      </w:r>
      <w:r w:rsidR="00E25E3D" w:rsidRPr="00B65564">
        <w:rPr>
          <w:rFonts w:ascii="Source Sans Pro" w:eastAsia="Calibri" w:hAnsi="Source Sans Pro" w:cs="Times New Roman"/>
          <w:color w:val="000000"/>
          <w:vertAlign w:val="superscript"/>
          <w:lang w:val="en-US"/>
        </w:rPr>
        <w:endnoteReference w:id="2"/>
      </w:r>
      <w:r w:rsidR="00E25E3D" w:rsidRPr="00B65564">
        <w:rPr>
          <w:rFonts w:ascii="Source Sans Pro" w:eastAsia="Calibri" w:hAnsi="Source Sans Pro" w:cs="Times New Roman"/>
          <w:color w:val="000000"/>
          <w:lang w:val="en-US"/>
        </w:rPr>
        <w:t xml:space="preserve">  </w:t>
      </w:r>
    </w:p>
    <w:p w14:paraId="2982458C" w14:textId="77777777" w:rsidR="00E25E3D" w:rsidRPr="00B65564" w:rsidRDefault="00E25E3D" w:rsidP="0067091E">
      <w:pPr>
        <w:jc w:val="both"/>
        <w:rPr>
          <w:rFonts w:ascii="Source Sans Pro" w:eastAsia="Times New Roman" w:hAnsi="Source Sans Pro" w:cs="Times New Roman"/>
          <w:lang w:val="en-US"/>
        </w:rPr>
      </w:pPr>
    </w:p>
    <w:p w14:paraId="05B2DBA9" w14:textId="77777777" w:rsidR="00E25E3D" w:rsidRPr="00B65564" w:rsidRDefault="00E25E3D" w:rsidP="0067091E">
      <w:pPr>
        <w:jc w:val="both"/>
        <w:rPr>
          <w:rFonts w:ascii="Source Sans Pro" w:eastAsia="Calibri" w:hAnsi="Source Sans Pro" w:cs="Times New Roman"/>
          <w:color w:val="000000"/>
          <w:lang w:val="en-US"/>
        </w:rPr>
      </w:pPr>
      <w:r w:rsidRPr="00B65564">
        <w:rPr>
          <w:rFonts w:ascii="Source Sans Pro" w:eastAsia="Calibri" w:hAnsi="Source Sans Pro" w:cs="Times New Roman"/>
          <w:color w:val="000000"/>
          <w:lang w:val="en-US"/>
        </w:rPr>
        <w:t>The accumulation of the data that users produce through interaction with the platform is an inherent component of the business model of digital platforms.</w:t>
      </w:r>
      <w:r w:rsidRPr="00B65564">
        <w:rPr>
          <w:rFonts w:ascii="Source Sans Pro" w:eastAsia="Calibri" w:hAnsi="Source Sans Pro" w:cs="Times New Roman"/>
          <w:color w:val="000000"/>
          <w:vertAlign w:val="superscript"/>
          <w:lang w:val="en-US"/>
        </w:rPr>
        <w:endnoteReference w:id="3"/>
      </w:r>
      <w:r w:rsidRPr="00B65564">
        <w:rPr>
          <w:rFonts w:ascii="Source Sans Pro" w:eastAsia="Calibri" w:hAnsi="Source Sans Pro" w:cs="Times New Roman"/>
          <w:color w:val="000000"/>
          <w:lang w:val="en-US"/>
        </w:rPr>
        <w:t xml:space="preserve"> The vast amounts of information gathered becomes the commodity digital platforms </w:t>
      </w:r>
      <w:proofErr w:type="spellStart"/>
      <w:r w:rsidRPr="00B65564">
        <w:rPr>
          <w:rFonts w:ascii="Source Sans Pro" w:eastAsia="Calibri" w:hAnsi="Source Sans Pro" w:cs="Times New Roman"/>
          <w:color w:val="000000"/>
          <w:lang w:val="en-US"/>
        </w:rPr>
        <w:t>utilise</w:t>
      </w:r>
      <w:proofErr w:type="spellEnd"/>
      <w:r w:rsidRPr="00B65564">
        <w:rPr>
          <w:rFonts w:ascii="Source Sans Pro" w:eastAsia="Calibri" w:hAnsi="Source Sans Pro" w:cs="Times New Roman"/>
          <w:color w:val="000000"/>
          <w:lang w:val="en-US"/>
        </w:rPr>
        <w:t xml:space="preserve"> to raise revenue.</w:t>
      </w:r>
      <w:r w:rsidRPr="00B65564">
        <w:rPr>
          <w:rFonts w:ascii="Source Sans Pro" w:eastAsia="Calibri" w:hAnsi="Source Sans Pro" w:cs="Times New Roman"/>
          <w:color w:val="000000"/>
          <w:vertAlign w:val="superscript"/>
          <w:lang w:val="en-US"/>
        </w:rPr>
        <w:endnoteReference w:id="4"/>
      </w:r>
      <w:r w:rsidRPr="00B65564">
        <w:rPr>
          <w:rFonts w:ascii="Source Sans Pro" w:eastAsia="Calibri" w:hAnsi="Source Sans Pro" w:cs="Times New Roman"/>
          <w:color w:val="000000"/>
          <w:lang w:val="en-US"/>
        </w:rPr>
        <w:t xml:space="preserve"> The data helps predict and modify human </w:t>
      </w:r>
      <w:proofErr w:type="spellStart"/>
      <w:r w:rsidRPr="00B65564">
        <w:rPr>
          <w:rFonts w:ascii="Source Sans Pro" w:eastAsia="Calibri" w:hAnsi="Source Sans Pro" w:cs="Times New Roman"/>
          <w:color w:val="000000"/>
          <w:lang w:val="en-US"/>
        </w:rPr>
        <w:t>behaviour</w:t>
      </w:r>
      <w:proofErr w:type="spellEnd"/>
      <w:r w:rsidRPr="00B65564">
        <w:rPr>
          <w:rFonts w:ascii="Source Sans Pro" w:eastAsia="Calibri" w:hAnsi="Source Sans Pro" w:cs="Times New Roman"/>
          <w:color w:val="000000"/>
          <w:lang w:val="en-US"/>
        </w:rPr>
        <w:t xml:space="preserve"> as a means of market control, so users become a product that technological companies can sell to advertisers.</w:t>
      </w:r>
      <w:r w:rsidRPr="00B65564">
        <w:rPr>
          <w:rFonts w:ascii="Source Sans Pro" w:eastAsia="Calibri" w:hAnsi="Source Sans Pro" w:cs="Times New Roman"/>
          <w:color w:val="000000"/>
          <w:vertAlign w:val="superscript"/>
          <w:lang w:val="en-US"/>
        </w:rPr>
        <w:endnoteReference w:id="5"/>
      </w:r>
      <w:r w:rsidRPr="00B65564">
        <w:rPr>
          <w:rFonts w:ascii="Source Sans Pro" w:eastAsia="Calibri" w:hAnsi="Source Sans Pro" w:cs="Times New Roman"/>
          <w:color w:val="000000"/>
          <w:lang w:val="en-US"/>
        </w:rPr>
        <w:t xml:space="preserve"> Companies can also sell and trade in user data to third parties with an interest in accessing personal information.</w:t>
      </w:r>
      <w:r w:rsidRPr="00B65564">
        <w:rPr>
          <w:rFonts w:ascii="Source Sans Pro" w:eastAsia="Calibri" w:hAnsi="Source Sans Pro" w:cs="Times New Roman"/>
          <w:color w:val="000000"/>
          <w:vertAlign w:val="superscript"/>
          <w:lang w:val="en-US"/>
        </w:rPr>
        <w:endnoteReference w:id="6"/>
      </w:r>
      <w:r w:rsidRPr="00B65564">
        <w:rPr>
          <w:rFonts w:ascii="Source Sans Pro" w:eastAsia="Calibri" w:hAnsi="Source Sans Pro" w:cs="Times New Roman"/>
          <w:color w:val="000000"/>
          <w:lang w:val="en-US"/>
        </w:rPr>
        <w:t xml:space="preserve"> This phenomenon has convincingly been described as “surveillance capitalism”.</w:t>
      </w:r>
      <w:r w:rsidRPr="00B65564">
        <w:rPr>
          <w:rFonts w:ascii="Source Sans Pro" w:eastAsia="Calibri" w:hAnsi="Source Sans Pro" w:cs="Times New Roman"/>
          <w:color w:val="000000"/>
          <w:vertAlign w:val="superscript"/>
          <w:lang w:val="en-US"/>
        </w:rPr>
        <w:endnoteReference w:id="7"/>
      </w:r>
      <w:r w:rsidRPr="00B65564">
        <w:rPr>
          <w:rFonts w:ascii="Source Sans Pro" w:eastAsia="Calibri" w:hAnsi="Source Sans Pro" w:cs="Times New Roman"/>
          <w:color w:val="000000"/>
          <w:lang w:val="en-US"/>
        </w:rPr>
        <w:t xml:space="preserve">  </w:t>
      </w:r>
    </w:p>
    <w:p w14:paraId="39A1A708" w14:textId="77777777" w:rsidR="00E25E3D" w:rsidRPr="00B65564" w:rsidRDefault="00E25E3D" w:rsidP="0067091E">
      <w:pPr>
        <w:jc w:val="both"/>
        <w:rPr>
          <w:rFonts w:ascii="Source Sans Pro" w:eastAsia="Times New Roman" w:hAnsi="Source Sans Pro" w:cs="Times New Roman"/>
          <w:lang w:val="en-US"/>
        </w:rPr>
      </w:pPr>
    </w:p>
    <w:p w14:paraId="0991A012" w14:textId="77777777" w:rsidR="00E25E3D" w:rsidRPr="00B65564" w:rsidRDefault="00E25E3D" w:rsidP="0067091E">
      <w:pPr>
        <w:jc w:val="both"/>
        <w:rPr>
          <w:rFonts w:ascii="Source Sans Pro" w:eastAsia="Calibri" w:hAnsi="Source Sans Pro" w:cs="Times New Roman"/>
          <w:color w:val="000000"/>
          <w:lang w:val="en-US"/>
        </w:rPr>
      </w:pPr>
      <w:r w:rsidRPr="00B65564">
        <w:rPr>
          <w:rFonts w:ascii="Source Sans Pro" w:eastAsia="Calibri" w:hAnsi="Source Sans Pro" w:cs="Times New Roman"/>
          <w:color w:val="000000"/>
          <w:lang w:val="en-US"/>
        </w:rPr>
        <w:t xml:space="preserve">Children are particularly vulnerable to these exploitative practices as they are in the primary developmental period of their lives. The nature of the data is highly sensitive and personal, and should not be subject to the trading, </w:t>
      </w:r>
      <w:proofErr w:type="gramStart"/>
      <w:r w:rsidRPr="00B65564">
        <w:rPr>
          <w:rFonts w:ascii="Source Sans Pro" w:eastAsia="Calibri" w:hAnsi="Source Sans Pro" w:cs="Times New Roman"/>
          <w:color w:val="000000"/>
          <w:lang w:val="en-US"/>
        </w:rPr>
        <w:t>selling</w:t>
      </w:r>
      <w:proofErr w:type="gramEnd"/>
      <w:r w:rsidRPr="00B65564">
        <w:rPr>
          <w:rFonts w:ascii="Source Sans Pro" w:eastAsia="Calibri" w:hAnsi="Source Sans Pro" w:cs="Times New Roman"/>
          <w:color w:val="000000"/>
          <w:lang w:val="en-US"/>
        </w:rPr>
        <w:t xml:space="preserve"> and sharing that digital platforms engage in to raise revenue. There is an unacceptable risk of this data being misused and potentially impacting their later life. </w:t>
      </w:r>
    </w:p>
    <w:p w14:paraId="32B694ED" w14:textId="77777777" w:rsidR="00E25E3D" w:rsidRPr="00B65564" w:rsidRDefault="00E25E3D" w:rsidP="0067091E">
      <w:pPr>
        <w:jc w:val="both"/>
        <w:rPr>
          <w:rFonts w:ascii="Source Sans Pro" w:eastAsia="Times New Roman" w:hAnsi="Source Sans Pro" w:cs="Times New Roman"/>
          <w:lang w:val="en-US"/>
        </w:rPr>
      </w:pPr>
    </w:p>
    <w:p w14:paraId="217C1F64" w14:textId="77777777" w:rsidR="00E25E3D" w:rsidRPr="00B65564" w:rsidRDefault="00E25E3D" w:rsidP="0067091E">
      <w:pPr>
        <w:jc w:val="both"/>
        <w:rPr>
          <w:rFonts w:ascii="Source Sans Pro" w:eastAsia="Calibri" w:hAnsi="Source Sans Pro" w:cs="Times New Roman"/>
          <w:color w:val="000000"/>
          <w:lang w:val="en-US"/>
        </w:rPr>
      </w:pPr>
      <w:r w:rsidRPr="00B65564">
        <w:rPr>
          <w:rFonts w:ascii="Source Sans Pro" w:eastAsia="Calibri" w:hAnsi="Source Sans Pro" w:cs="Times New Roman"/>
          <w:color w:val="000000"/>
          <w:lang w:val="en-US"/>
        </w:rPr>
        <w:t>Evidence of data misuse by digital platforms is prevalent. Ireland’s Data Protection Commission is currently investigating complaints about data misuse by Instagram, who made the email addresses and phone numbers of users under 18 public.</w:t>
      </w:r>
      <w:r w:rsidRPr="00B65564">
        <w:rPr>
          <w:rFonts w:ascii="Source Sans Pro" w:eastAsia="Calibri" w:hAnsi="Source Sans Pro" w:cs="Times New Roman"/>
          <w:color w:val="000000"/>
          <w:vertAlign w:val="superscript"/>
          <w:lang w:val="en-US"/>
        </w:rPr>
        <w:endnoteReference w:id="8"/>
      </w:r>
      <w:r w:rsidRPr="00B65564">
        <w:rPr>
          <w:rFonts w:ascii="Source Sans Pro" w:eastAsia="Calibri" w:hAnsi="Source Sans Pro" w:cs="Times New Roman"/>
          <w:color w:val="000000"/>
          <w:lang w:val="en-US"/>
        </w:rPr>
        <w:t xml:space="preserve"> Google has already faced a 170 million dollar fine for illegally gathering and distributing children’s data from </w:t>
      </w:r>
      <w:proofErr w:type="spellStart"/>
      <w:r w:rsidRPr="00B65564">
        <w:rPr>
          <w:rFonts w:ascii="Source Sans Pro" w:eastAsia="Calibri" w:hAnsi="Source Sans Pro" w:cs="Times New Roman"/>
          <w:color w:val="000000"/>
          <w:lang w:val="en-US"/>
        </w:rPr>
        <w:t>Youtube</w:t>
      </w:r>
      <w:proofErr w:type="spellEnd"/>
      <w:r w:rsidRPr="00B65564">
        <w:rPr>
          <w:rFonts w:ascii="Source Sans Pro" w:eastAsia="Calibri" w:hAnsi="Source Sans Pro" w:cs="Times New Roman"/>
          <w:color w:val="000000"/>
          <w:lang w:val="en-US"/>
        </w:rPr>
        <w:t xml:space="preserve"> to advertisers without parental consent.</w:t>
      </w:r>
      <w:r w:rsidRPr="00B65564">
        <w:rPr>
          <w:rFonts w:ascii="Source Sans Pro" w:eastAsia="Calibri" w:hAnsi="Source Sans Pro" w:cs="Times New Roman"/>
          <w:color w:val="000000"/>
          <w:vertAlign w:val="superscript"/>
          <w:lang w:val="en-US"/>
        </w:rPr>
        <w:endnoteReference w:id="9"/>
      </w:r>
    </w:p>
    <w:p w14:paraId="31CD0A42" w14:textId="77777777" w:rsidR="00E25E3D" w:rsidRPr="00B65564" w:rsidRDefault="00E25E3D" w:rsidP="0067091E">
      <w:pPr>
        <w:jc w:val="both"/>
        <w:rPr>
          <w:rFonts w:ascii="Source Sans Pro" w:eastAsia="Calibri" w:hAnsi="Source Sans Pro" w:cs="Times New Roman"/>
          <w:color w:val="000000"/>
          <w:lang w:val="en-US"/>
        </w:rPr>
      </w:pPr>
    </w:p>
    <w:p w14:paraId="220F5208" w14:textId="77777777" w:rsidR="00E25E3D" w:rsidRPr="00B65564" w:rsidRDefault="00E25E3D" w:rsidP="0067091E">
      <w:pPr>
        <w:jc w:val="both"/>
        <w:rPr>
          <w:rFonts w:ascii="Source Sans Pro" w:eastAsia="Calibri" w:hAnsi="Source Sans Pro" w:cs="Times New Roman"/>
          <w:color w:val="000000"/>
          <w:lang w:val="en-US"/>
        </w:rPr>
      </w:pPr>
      <w:r w:rsidRPr="00B65564">
        <w:rPr>
          <w:rFonts w:ascii="Source Sans Pro" w:eastAsia="Calibri" w:hAnsi="Source Sans Pro" w:cs="Times New Roman"/>
          <w:color w:val="000000"/>
          <w:lang w:val="en-US"/>
        </w:rPr>
        <w:t xml:space="preserve">The impact of the COVID-19 pandemic has only made these issues more pertinent. Children are required to use online education platforms to participate in their schooling. G Suite for Education apps and Chromebooks, both owned and operated by Google, have become increasingly popular with 80 million </w:t>
      </w:r>
      <w:r w:rsidRPr="00B65564">
        <w:rPr>
          <w:rFonts w:ascii="Source Sans Pro" w:eastAsia="Calibri" w:hAnsi="Source Sans Pro" w:cs="Times New Roman"/>
          <w:color w:val="000000"/>
          <w:lang w:val="en-US"/>
        </w:rPr>
        <w:lastRenderedPageBreak/>
        <w:t>students globally using G Suite for Education in 2018.</w:t>
      </w:r>
      <w:r w:rsidRPr="00B65564">
        <w:rPr>
          <w:rFonts w:ascii="Source Sans Pro" w:eastAsia="Calibri" w:hAnsi="Source Sans Pro" w:cs="Times New Roman"/>
          <w:color w:val="000000"/>
          <w:vertAlign w:val="superscript"/>
          <w:lang w:val="en-US"/>
        </w:rPr>
        <w:endnoteReference w:id="10"/>
      </w:r>
      <w:r w:rsidRPr="00B65564">
        <w:rPr>
          <w:rFonts w:ascii="Source Sans Pro" w:eastAsia="Calibri" w:hAnsi="Source Sans Pro" w:cs="Times New Roman"/>
          <w:color w:val="000000"/>
          <w:lang w:val="en-US"/>
        </w:rPr>
        <w:t xml:space="preserve"> Google has already been accused of data misuse in relation to these education tools, with lawsuits being filed against its use of student data to create face templates and voice prints of children.</w:t>
      </w:r>
      <w:r w:rsidRPr="00B65564">
        <w:rPr>
          <w:rFonts w:ascii="Source Sans Pro" w:eastAsia="Calibri" w:hAnsi="Source Sans Pro" w:cs="Times New Roman"/>
          <w:color w:val="000000"/>
          <w:vertAlign w:val="superscript"/>
          <w:lang w:val="en-US"/>
        </w:rPr>
        <w:endnoteReference w:id="11"/>
      </w:r>
      <w:r w:rsidRPr="00B65564">
        <w:rPr>
          <w:rFonts w:ascii="Source Sans Pro" w:eastAsia="Calibri" w:hAnsi="Source Sans Pro" w:cs="Times New Roman"/>
          <w:color w:val="000000"/>
          <w:lang w:val="en-US"/>
        </w:rPr>
        <w:t xml:space="preserve"> As the pandemic continues, the risk of data misuse increases due to the compulsory nature of participation through these online educational tools. </w:t>
      </w:r>
    </w:p>
    <w:p w14:paraId="2A7F5BCF" w14:textId="2032FC74" w:rsidR="00E25E3D" w:rsidRDefault="00E25E3D" w:rsidP="0067091E">
      <w:pPr>
        <w:jc w:val="both"/>
        <w:rPr>
          <w:rFonts w:ascii="Source Sans Pro" w:eastAsia="Calibri" w:hAnsi="Source Sans Pro" w:cs="Times New Roman"/>
          <w:color w:val="000000"/>
          <w:lang w:val="en-US"/>
        </w:rPr>
      </w:pPr>
    </w:p>
    <w:p w14:paraId="5F0BA0F1" w14:textId="77777777" w:rsidR="00E25E3D" w:rsidRPr="0067091E" w:rsidRDefault="00E25E3D" w:rsidP="0067091E">
      <w:pPr>
        <w:jc w:val="both"/>
        <w:rPr>
          <w:rFonts w:ascii="Source Sans Pro" w:eastAsia="Calibri" w:hAnsi="Source Sans Pro" w:cs="Times New Roman"/>
          <w:color w:val="000000"/>
          <w:lang w:val="en-US"/>
        </w:rPr>
      </w:pPr>
    </w:p>
    <w:p w14:paraId="3CF6F917" w14:textId="59BC5E6D" w:rsidR="00E25E3D" w:rsidRPr="00B65564" w:rsidRDefault="00E25E3D" w:rsidP="0067091E">
      <w:pPr>
        <w:jc w:val="both"/>
        <w:rPr>
          <w:rFonts w:ascii="Source Sans Pro" w:eastAsia="Calibri" w:hAnsi="Source Sans Pro" w:cs="Times New Roman"/>
          <w:b/>
          <w:bCs/>
          <w:color w:val="000000"/>
          <w:lang w:val="en-US"/>
        </w:rPr>
      </w:pPr>
      <w:r w:rsidRPr="00B65564">
        <w:rPr>
          <w:rFonts w:ascii="Source Sans Pro" w:eastAsia="Calibri" w:hAnsi="Source Sans Pro" w:cs="Times New Roman"/>
          <w:b/>
          <w:bCs/>
          <w:color w:val="000000"/>
          <w:lang w:val="en-US"/>
        </w:rPr>
        <w:t xml:space="preserve">II THREATS TO CHILDREN’S RIGHTS - ARTICLE 6 AND ARTICLE 16 </w:t>
      </w:r>
    </w:p>
    <w:p w14:paraId="2716613E" w14:textId="77777777" w:rsidR="00E25E3D" w:rsidRPr="0067091E" w:rsidRDefault="00E25E3D" w:rsidP="0067091E">
      <w:pPr>
        <w:jc w:val="both"/>
        <w:rPr>
          <w:rFonts w:ascii="Source Sans Pro" w:eastAsia="Calibri" w:hAnsi="Source Sans Pro" w:cs="Times New Roman"/>
          <w:color w:val="000000"/>
          <w:lang w:val="en-US"/>
        </w:rPr>
      </w:pPr>
    </w:p>
    <w:p w14:paraId="5573D36E" w14:textId="6910082C" w:rsidR="00E25E3D" w:rsidRPr="00B65564" w:rsidRDefault="00E25E3D" w:rsidP="0067091E">
      <w:pPr>
        <w:jc w:val="both"/>
        <w:rPr>
          <w:rFonts w:ascii="Source Sans Pro" w:eastAsia="Calibri" w:hAnsi="Source Sans Pro" w:cs="Times New Roman"/>
          <w:i/>
          <w:lang w:val="en-US"/>
        </w:rPr>
      </w:pPr>
      <w:proofErr w:type="spellStart"/>
      <w:proofErr w:type="gramStart"/>
      <w:r w:rsidRPr="00B65564">
        <w:rPr>
          <w:rFonts w:ascii="Source Sans Pro" w:eastAsia="Calibri" w:hAnsi="Source Sans Pro" w:cs="Times New Roman"/>
          <w:i/>
          <w:lang w:val="en-US"/>
        </w:rPr>
        <w:t>A</w:t>
      </w:r>
      <w:proofErr w:type="spellEnd"/>
      <w:proofErr w:type="gramEnd"/>
      <w:r w:rsidRPr="00B65564">
        <w:rPr>
          <w:rFonts w:ascii="Source Sans Pro" w:eastAsia="Calibri" w:hAnsi="Source Sans Pro" w:cs="Times New Roman"/>
          <w:i/>
          <w:lang w:val="en-US"/>
        </w:rPr>
        <w:t xml:space="preserve"> Article 6: Right to Life, Survival and Development</w:t>
      </w:r>
    </w:p>
    <w:p w14:paraId="57830EB5" w14:textId="77777777" w:rsidR="00E25E3D" w:rsidRPr="00B65564" w:rsidRDefault="00E25E3D" w:rsidP="0067091E">
      <w:pPr>
        <w:jc w:val="both"/>
        <w:rPr>
          <w:rFonts w:ascii="Source Sans Pro" w:eastAsia="Calibri" w:hAnsi="Source Sans Pro" w:cs="Times New Roman"/>
          <w:lang w:val="en-US"/>
        </w:rPr>
      </w:pPr>
    </w:p>
    <w:p w14:paraId="59D8173C" w14:textId="77777777" w:rsidR="00E25E3D" w:rsidRPr="00B65564" w:rsidRDefault="00E25E3D" w:rsidP="0067091E">
      <w:pPr>
        <w:jc w:val="both"/>
        <w:rPr>
          <w:rFonts w:ascii="Source Sans Pro" w:eastAsia="Calibri" w:hAnsi="Source Sans Pro" w:cs="Times New Roman"/>
          <w:lang w:val="en-US"/>
        </w:rPr>
      </w:pPr>
      <w:r w:rsidRPr="00B65564">
        <w:rPr>
          <w:rFonts w:ascii="Source Sans Pro" w:eastAsia="Calibri" w:hAnsi="Source Sans Pro" w:cs="Times New Roman"/>
          <w:lang w:val="en-US"/>
        </w:rPr>
        <w:t>Article 6 of the Convention outlines children’s right to life, survival and development.</w:t>
      </w:r>
      <w:r w:rsidRPr="00B65564">
        <w:rPr>
          <w:rFonts w:ascii="Source Sans Pro" w:eastAsia="Calibri" w:hAnsi="Source Sans Pro" w:cs="Times New Roman"/>
          <w:vertAlign w:val="superscript"/>
          <w:lang w:val="en-US"/>
        </w:rPr>
        <w:endnoteReference w:id="12"/>
      </w:r>
      <w:r w:rsidRPr="00B65564">
        <w:rPr>
          <w:rFonts w:ascii="Source Sans Pro" w:eastAsia="Calibri" w:hAnsi="Source Sans Pro" w:cs="Times New Roman"/>
          <w:lang w:val="en-US"/>
        </w:rPr>
        <w:t xml:space="preserve"> Various General Comments from the Committee on the Rights of the Children illustrate that development is a “holistic” concept that should be interpreted broadly.</w:t>
      </w:r>
      <w:r w:rsidRPr="00B65564">
        <w:rPr>
          <w:rFonts w:ascii="Source Sans Pro" w:eastAsia="Calibri" w:hAnsi="Source Sans Pro" w:cs="Times New Roman"/>
          <w:vertAlign w:val="superscript"/>
          <w:lang w:val="en-US"/>
        </w:rPr>
        <w:endnoteReference w:id="13"/>
      </w:r>
      <w:r w:rsidRPr="00B65564">
        <w:rPr>
          <w:rFonts w:ascii="Source Sans Pro" w:eastAsia="Calibri" w:hAnsi="Source Sans Pro" w:cs="Times New Roman"/>
          <w:lang w:val="en-US"/>
        </w:rPr>
        <w:t xml:space="preserve"> This includes the development of the ongoing “physical, mental, spiritual, moral, psychological and social” wellbeing of children.</w:t>
      </w:r>
      <w:r w:rsidRPr="00B65564">
        <w:rPr>
          <w:rFonts w:ascii="Source Sans Pro" w:eastAsia="Calibri" w:hAnsi="Source Sans Pro" w:cs="Times New Roman"/>
          <w:vertAlign w:val="superscript"/>
          <w:lang w:val="en-US"/>
        </w:rPr>
        <w:endnoteReference w:id="14"/>
      </w:r>
      <w:r w:rsidRPr="00B65564">
        <w:rPr>
          <w:rFonts w:ascii="Source Sans Pro" w:eastAsia="Calibri" w:hAnsi="Source Sans Pro" w:cs="Times New Roman"/>
          <w:lang w:val="en-US"/>
        </w:rPr>
        <w:t xml:space="preserve"> Thus, states under this right are required to actively create healthy and protected environments so children are able to grow to their fullest potential.</w:t>
      </w:r>
      <w:r w:rsidRPr="00B65564">
        <w:rPr>
          <w:rFonts w:ascii="Source Sans Pro" w:eastAsia="Calibri" w:hAnsi="Source Sans Pro" w:cs="Times New Roman"/>
          <w:vertAlign w:val="superscript"/>
          <w:lang w:val="en-US"/>
        </w:rPr>
        <w:endnoteReference w:id="15"/>
      </w:r>
      <w:r w:rsidRPr="00B65564">
        <w:rPr>
          <w:rFonts w:ascii="Source Sans Pro" w:eastAsia="Calibri" w:hAnsi="Source Sans Pro" w:cs="Times New Roman"/>
          <w:lang w:val="en-US"/>
        </w:rPr>
        <w:t xml:space="preserve"> As one of the guiding principles, Article 6 has paramount importance and is a baseline informing all the other rights outlined in the Convention.</w:t>
      </w:r>
      <w:r w:rsidRPr="00B65564">
        <w:rPr>
          <w:rFonts w:ascii="Source Sans Pro" w:eastAsia="Calibri" w:hAnsi="Source Sans Pro" w:cs="Times New Roman"/>
          <w:vertAlign w:val="superscript"/>
          <w:lang w:val="en-US"/>
        </w:rPr>
        <w:endnoteReference w:id="16"/>
      </w:r>
      <w:r w:rsidRPr="00B65564">
        <w:rPr>
          <w:rFonts w:ascii="Source Sans Pro" w:eastAsia="Calibri" w:hAnsi="Source Sans Pro" w:cs="Times New Roman"/>
          <w:lang w:val="en-US"/>
        </w:rPr>
        <w:t xml:space="preserve"> </w:t>
      </w:r>
    </w:p>
    <w:p w14:paraId="52003EB3" w14:textId="77777777" w:rsidR="00E25E3D" w:rsidRPr="00B65564" w:rsidRDefault="00E25E3D" w:rsidP="0067091E">
      <w:pPr>
        <w:jc w:val="both"/>
        <w:rPr>
          <w:rFonts w:ascii="Source Sans Pro" w:eastAsia="Calibri" w:hAnsi="Source Sans Pro" w:cs="Times New Roman"/>
          <w:lang w:val="en-US"/>
        </w:rPr>
      </w:pPr>
    </w:p>
    <w:p w14:paraId="6E723410" w14:textId="77777777" w:rsidR="00E25E3D" w:rsidRPr="00B65564" w:rsidRDefault="00E25E3D" w:rsidP="0067091E">
      <w:pPr>
        <w:jc w:val="both"/>
        <w:rPr>
          <w:rFonts w:ascii="Source Sans Pro" w:eastAsia="Times New Roman" w:hAnsi="Source Sans Pro" w:cs="Times New Roman"/>
          <w:color w:val="000000"/>
          <w:lang w:val="en-US"/>
        </w:rPr>
      </w:pPr>
      <w:r w:rsidRPr="00B65564">
        <w:rPr>
          <w:rFonts w:ascii="Source Sans Pro" w:eastAsia="Calibri" w:hAnsi="Source Sans Pro" w:cs="Times New Roman"/>
          <w:lang w:val="en-US"/>
        </w:rPr>
        <w:t>Considering the broad interpretation of this right, in the context of the digital environment, children should be protected from the potentially adverse effects that data collection and trade practices can have on their future. Routine</w:t>
      </w:r>
      <w:r w:rsidRPr="00B65564">
        <w:rPr>
          <w:rFonts w:ascii="Source Sans Pro" w:eastAsia="Calibri" w:hAnsi="Source Sans Pro" w:cs="Times New Roman"/>
        </w:rPr>
        <w:t xml:space="preserve"> surveillance, tracking and accumulation of data on users by technology companies has </w:t>
      </w:r>
      <w:proofErr w:type="gramStart"/>
      <w:r w:rsidRPr="00B65564">
        <w:rPr>
          <w:rFonts w:ascii="Source Sans Pro" w:eastAsia="Calibri" w:hAnsi="Source Sans Pro" w:cs="Times New Roman"/>
        </w:rPr>
        <w:t>particular risks</w:t>
      </w:r>
      <w:proofErr w:type="gramEnd"/>
      <w:r w:rsidRPr="00B65564">
        <w:rPr>
          <w:rFonts w:ascii="Source Sans Pro" w:eastAsia="Calibri" w:hAnsi="Source Sans Pro" w:cs="Times New Roman"/>
        </w:rPr>
        <w:t xml:space="preserve"> for children. Their practices have </w:t>
      </w:r>
      <w:r w:rsidRPr="00B65564">
        <w:rPr>
          <w:rFonts w:ascii="Source Sans Pro" w:eastAsia="Times New Roman" w:hAnsi="Source Sans Pro" w:cs="Times New Roman"/>
          <w:color w:val="000000"/>
          <w:lang w:val="en-US"/>
        </w:rPr>
        <w:t xml:space="preserve">the capacity to harm children’s development as information collected can be used against them later in life. </w:t>
      </w:r>
    </w:p>
    <w:p w14:paraId="2E443E41" w14:textId="77777777" w:rsidR="00E25E3D" w:rsidRPr="00B65564" w:rsidRDefault="00E25E3D" w:rsidP="0067091E">
      <w:pPr>
        <w:jc w:val="both"/>
        <w:rPr>
          <w:rFonts w:ascii="Source Sans Pro" w:eastAsia="Times New Roman" w:hAnsi="Source Sans Pro" w:cs="Times New Roman"/>
          <w:color w:val="000000"/>
          <w:lang w:val="en-US"/>
        </w:rPr>
      </w:pPr>
    </w:p>
    <w:p w14:paraId="0B150195" w14:textId="77777777" w:rsidR="00E25E3D" w:rsidRPr="00B65564" w:rsidRDefault="00E25E3D" w:rsidP="0067091E">
      <w:pPr>
        <w:jc w:val="both"/>
        <w:rPr>
          <w:rFonts w:ascii="Source Sans Pro" w:eastAsia="Times New Roman" w:hAnsi="Source Sans Pro" w:cs="Times New Roman"/>
          <w:lang w:val="en-US"/>
        </w:rPr>
      </w:pPr>
      <w:r w:rsidRPr="00B65564">
        <w:rPr>
          <w:rFonts w:ascii="Source Sans Pro" w:eastAsia="Times New Roman" w:hAnsi="Source Sans Pro" w:cs="Times New Roman"/>
          <w:color w:val="000000"/>
          <w:lang w:val="en-US"/>
        </w:rPr>
        <w:t>For example,</w:t>
      </w:r>
      <w:r w:rsidRPr="00B65564">
        <w:rPr>
          <w:rFonts w:ascii="Source Sans Pro" w:eastAsia="Calibri" w:hAnsi="Source Sans Pro" w:cs="Times New Roman"/>
          <w:color w:val="000000"/>
          <w:lang w:val="en-US"/>
        </w:rPr>
        <w:t xml:space="preserve"> Human Resource companies across the world are increasingly turning to AI to recruit workers and make hiring decisions.</w:t>
      </w:r>
      <w:r w:rsidRPr="00B65564">
        <w:rPr>
          <w:rFonts w:ascii="Source Sans Pro" w:eastAsia="Calibri" w:hAnsi="Source Sans Pro" w:cs="Times New Roman"/>
          <w:color w:val="000000"/>
          <w:vertAlign w:val="superscript"/>
          <w:lang w:val="en-US"/>
        </w:rPr>
        <w:endnoteReference w:id="17"/>
      </w:r>
      <w:r w:rsidRPr="00B65564">
        <w:rPr>
          <w:rFonts w:ascii="Source Sans Pro" w:eastAsia="Calibri" w:hAnsi="Source Sans Pro" w:cs="Times New Roman"/>
          <w:color w:val="000000"/>
          <w:lang w:val="en-US"/>
        </w:rPr>
        <w:t xml:space="preserve"> In a 2018 Gartner Inc. study, 23% of </w:t>
      </w:r>
      <w:proofErr w:type="spellStart"/>
      <w:r w:rsidRPr="00B65564">
        <w:rPr>
          <w:rFonts w:ascii="Source Sans Pro" w:eastAsia="Calibri" w:hAnsi="Source Sans Pro" w:cs="Times New Roman"/>
          <w:color w:val="000000"/>
          <w:lang w:val="en-US"/>
        </w:rPr>
        <w:t>organisations</w:t>
      </w:r>
      <w:proofErr w:type="spellEnd"/>
      <w:r w:rsidRPr="00B65564">
        <w:rPr>
          <w:rFonts w:ascii="Source Sans Pro" w:eastAsia="Calibri" w:hAnsi="Source Sans Pro" w:cs="Times New Roman"/>
          <w:color w:val="000000"/>
          <w:lang w:val="en-US"/>
        </w:rPr>
        <w:t xml:space="preserve"> were found to be using AI for recruiting purposes.</w:t>
      </w:r>
      <w:r w:rsidRPr="00B65564">
        <w:rPr>
          <w:rFonts w:ascii="Source Sans Pro" w:eastAsia="Calibri" w:hAnsi="Source Sans Pro" w:cs="Times New Roman"/>
          <w:color w:val="000000"/>
          <w:vertAlign w:val="superscript"/>
          <w:lang w:val="en-US"/>
        </w:rPr>
        <w:endnoteReference w:id="18"/>
      </w:r>
      <w:r w:rsidRPr="00B65564">
        <w:rPr>
          <w:rFonts w:ascii="Source Sans Pro" w:eastAsia="Calibri" w:hAnsi="Source Sans Pro" w:cs="Times New Roman"/>
          <w:color w:val="000000"/>
          <w:lang w:val="en-US"/>
        </w:rPr>
        <w:t xml:space="preserve"> With these AI tools becoming more focused on assisting with employment decision making, they are potentially </w:t>
      </w:r>
      <w:proofErr w:type="spellStart"/>
      <w:r w:rsidRPr="00B65564">
        <w:rPr>
          <w:rFonts w:ascii="Source Sans Pro" w:eastAsia="Calibri" w:hAnsi="Source Sans Pro" w:cs="Times New Roman"/>
          <w:color w:val="000000"/>
          <w:lang w:val="en-US"/>
        </w:rPr>
        <w:t>utilising</w:t>
      </w:r>
      <w:proofErr w:type="spellEnd"/>
      <w:r w:rsidRPr="00B65564">
        <w:rPr>
          <w:rFonts w:ascii="Source Sans Pro" w:eastAsia="Calibri" w:hAnsi="Source Sans Pro" w:cs="Times New Roman"/>
          <w:color w:val="000000"/>
          <w:lang w:val="en-US"/>
        </w:rPr>
        <w:t xml:space="preserve"> and buying sensitive user data from other digital platforms, such as academic and health data.</w:t>
      </w:r>
      <w:r w:rsidRPr="00B65564">
        <w:rPr>
          <w:rFonts w:ascii="Source Sans Pro" w:eastAsia="Calibri" w:hAnsi="Source Sans Pro" w:cs="Times New Roman"/>
          <w:color w:val="000000"/>
          <w:vertAlign w:val="superscript"/>
          <w:lang w:val="en-US"/>
        </w:rPr>
        <w:endnoteReference w:id="19"/>
      </w:r>
      <w:r w:rsidRPr="00B65564">
        <w:rPr>
          <w:rFonts w:ascii="Source Sans Pro" w:eastAsia="Calibri" w:hAnsi="Source Sans Pro" w:cs="Times New Roman"/>
          <w:color w:val="000000"/>
          <w:lang w:val="en-US"/>
        </w:rPr>
        <w:t xml:space="preserve"> Therefore, children’s data that is currently being collected on online platforms has the risk of being used by these AI programs later on in their lives to adversely affect their employment prospects. In future it also seems likely that insurers will draw on data like this for decisions on whether to offer insurance or not.</w:t>
      </w:r>
      <w:r w:rsidRPr="00B65564">
        <w:rPr>
          <w:rFonts w:ascii="Source Sans Pro" w:eastAsia="Calibri" w:hAnsi="Source Sans Pro" w:cs="Times New Roman"/>
          <w:color w:val="000000"/>
          <w:vertAlign w:val="superscript"/>
          <w:lang w:val="en-US"/>
        </w:rPr>
        <w:endnoteReference w:id="20"/>
      </w:r>
      <w:r w:rsidRPr="00B65564">
        <w:rPr>
          <w:rFonts w:ascii="Source Sans Pro" w:eastAsia="Times New Roman" w:hAnsi="Source Sans Pro" w:cs="Arial"/>
          <w:color w:val="000000"/>
          <w:shd w:val="clear" w:color="auto" w:fill="FFFF00"/>
          <w:lang w:val="en-US"/>
        </w:rPr>
        <w:t xml:space="preserve"> </w:t>
      </w:r>
    </w:p>
    <w:p w14:paraId="3FEA6CEC" w14:textId="77777777" w:rsidR="00E25E3D" w:rsidRPr="00B65564" w:rsidRDefault="00E25E3D" w:rsidP="0067091E">
      <w:pPr>
        <w:jc w:val="both"/>
        <w:rPr>
          <w:rFonts w:ascii="Source Sans Pro" w:eastAsia="Calibri" w:hAnsi="Source Sans Pro" w:cs="Times New Roman"/>
          <w:color w:val="000000"/>
          <w:lang w:val="en-US"/>
        </w:rPr>
      </w:pPr>
    </w:p>
    <w:p w14:paraId="1F6171A1" w14:textId="77777777" w:rsidR="00E25E3D" w:rsidRPr="00B65564" w:rsidRDefault="00E25E3D" w:rsidP="0067091E">
      <w:pPr>
        <w:jc w:val="both"/>
        <w:rPr>
          <w:rFonts w:ascii="Source Sans Pro" w:eastAsia="Calibri" w:hAnsi="Source Sans Pro" w:cs="Times New Roman"/>
          <w:color w:val="000000"/>
          <w:lang w:val="en-US"/>
        </w:rPr>
      </w:pPr>
      <w:proofErr w:type="gramStart"/>
      <w:r w:rsidRPr="00B65564">
        <w:rPr>
          <w:rFonts w:ascii="Source Sans Pro" w:eastAsia="Calibri" w:hAnsi="Source Sans Pro" w:cs="Times New Roman"/>
          <w:color w:val="000000"/>
          <w:lang w:val="en-US"/>
        </w:rPr>
        <w:t>Ideas,</w:t>
      </w:r>
      <w:proofErr w:type="gramEnd"/>
      <w:r w:rsidRPr="00B65564">
        <w:rPr>
          <w:rFonts w:ascii="Source Sans Pro" w:eastAsia="Calibri" w:hAnsi="Source Sans Pro" w:cs="Times New Roman"/>
          <w:color w:val="000000"/>
          <w:lang w:val="en-US"/>
        </w:rPr>
        <w:t xml:space="preserve"> thought and participation more readily shift in childhood and adolescence.</w:t>
      </w:r>
      <w:r w:rsidRPr="00B65564">
        <w:rPr>
          <w:rFonts w:ascii="Source Sans Pro" w:eastAsia="Calibri" w:hAnsi="Source Sans Pro" w:cs="Times New Roman"/>
          <w:color w:val="000000"/>
          <w:vertAlign w:val="superscript"/>
          <w:lang w:val="en-US"/>
        </w:rPr>
        <w:endnoteReference w:id="21"/>
      </w:r>
      <w:r w:rsidRPr="00B65564">
        <w:rPr>
          <w:rFonts w:ascii="Source Sans Pro" w:eastAsia="Calibri" w:hAnsi="Source Sans Pro" w:cs="Times New Roman"/>
          <w:color w:val="000000"/>
          <w:lang w:val="en-US"/>
        </w:rPr>
        <w:t xml:space="preserve"> Children should not be held to the views they have, groups they participate in or ideas they communicate as adults. This is a fundamental risk to their right to development and the </w:t>
      </w:r>
      <w:proofErr w:type="spellStart"/>
      <w:r w:rsidRPr="00B65564">
        <w:rPr>
          <w:rFonts w:ascii="Source Sans Pro" w:eastAsia="Calibri" w:hAnsi="Source Sans Pro" w:cs="Times New Roman"/>
          <w:color w:val="000000"/>
          <w:lang w:val="en-US"/>
        </w:rPr>
        <w:t>realisation</w:t>
      </w:r>
      <w:proofErr w:type="spellEnd"/>
      <w:r w:rsidRPr="00B65564">
        <w:rPr>
          <w:rFonts w:ascii="Source Sans Pro" w:eastAsia="Calibri" w:hAnsi="Source Sans Pro" w:cs="Times New Roman"/>
          <w:color w:val="000000"/>
          <w:lang w:val="en-US"/>
        </w:rPr>
        <w:t xml:space="preserve"> of their full potentials. </w:t>
      </w:r>
    </w:p>
    <w:p w14:paraId="7850E36F" w14:textId="77777777" w:rsidR="00E25E3D" w:rsidRPr="00B65564" w:rsidRDefault="00E25E3D" w:rsidP="0067091E">
      <w:pPr>
        <w:jc w:val="both"/>
        <w:rPr>
          <w:rFonts w:ascii="Source Sans Pro" w:eastAsia="Calibri" w:hAnsi="Source Sans Pro" w:cs="Times New Roman"/>
          <w:color w:val="000000"/>
          <w:lang w:val="en-US"/>
        </w:rPr>
      </w:pPr>
    </w:p>
    <w:p w14:paraId="03CAD27E" w14:textId="77777777" w:rsidR="00E25E3D" w:rsidRPr="0067091E" w:rsidRDefault="00E25E3D" w:rsidP="0067091E">
      <w:pPr>
        <w:jc w:val="both"/>
        <w:rPr>
          <w:rFonts w:ascii="Source Sans Pro" w:eastAsia="Calibri" w:hAnsi="Source Sans Pro" w:cs="Times New Roman"/>
          <w:i/>
          <w:lang w:val="en-US"/>
        </w:rPr>
      </w:pPr>
    </w:p>
    <w:p w14:paraId="52321122" w14:textId="4335D8CC" w:rsidR="00E25E3D" w:rsidRPr="00B65564" w:rsidRDefault="00E25E3D" w:rsidP="0067091E">
      <w:pPr>
        <w:jc w:val="both"/>
        <w:rPr>
          <w:rFonts w:ascii="Source Sans Pro" w:eastAsia="Calibri" w:hAnsi="Source Sans Pro" w:cs="Times New Roman"/>
          <w:i/>
          <w:lang w:val="en-US"/>
        </w:rPr>
      </w:pPr>
      <w:r w:rsidRPr="00B65564">
        <w:rPr>
          <w:rFonts w:ascii="Source Sans Pro" w:eastAsia="Calibri" w:hAnsi="Source Sans Pro" w:cs="Times New Roman"/>
          <w:i/>
          <w:lang w:val="en-US"/>
        </w:rPr>
        <w:t>B Article 16: Right to Privacy</w:t>
      </w:r>
    </w:p>
    <w:p w14:paraId="65C83046" w14:textId="77777777" w:rsidR="00E25E3D" w:rsidRPr="00B65564" w:rsidRDefault="00E25E3D" w:rsidP="0067091E">
      <w:pPr>
        <w:jc w:val="both"/>
        <w:rPr>
          <w:rFonts w:ascii="Source Sans Pro" w:eastAsia="Calibri" w:hAnsi="Source Sans Pro" w:cs="Times New Roman"/>
          <w:lang w:val="en-US"/>
        </w:rPr>
      </w:pPr>
    </w:p>
    <w:p w14:paraId="4BF0CEFC" w14:textId="77777777" w:rsidR="00E25E3D" w:rsidRPr="00B65564" w:rsidRDefault="00E25E3D" w:rsidP="0067091E">
      <w:pPr>
        <w:jc w:val="both"/>
        <w:rPr>
          <w:rFonts w:ascii="Source Sans Pro" w:eastAsia="Calibri" w:hAnsi="Source Sans Pro" w:cs="Times New Roman"/>
          <w:lang w:val="en-US"/>
        </w:rPr>
      </w:pPr>
      <w:r w:rsidRPr="00B65564">
        <w:rPr>
          <w:rFonts w:ascii="Source Sans Pro" w:eastAsia="Calibri" w:hAnsi="Source Sans Pro" w:cs="Times New Roman"/>
          <w:lang w:val="en-US"/>
        </w:rPr>
        <w:t>Article 16 states that children’s “privacy, family, home or correspondence” should be protected from “arbitrary or unlawful interference”.</w:t>
      </w:r>
      <w:r w:rsidRPr="00B65564">
        <w:rPr>
          <w:rFonts w:ascii="Source Sans Pro" w:eastAsia="Calibri" w:hAnsi="Source Sans Pro" w:cs="Times New Roman"/>
          <w:vertAlign w:val="superscript"/>
          <w:lang w:val="en-US"/>
        </w:rPr>
        <w:endnoteReference w:id="22"/>
      </w:r>
      <w:r w:rsidRPr="00B65564">
        <w:rPr>
          <w:rFonts w:ascii="Source Sans Pro" w:eastAsia="Calibri" w:hAnsi="Source Sans Pro" w:cs="Times New Roman"/>
          <w:lang w:val="en-US"/>
        </w:rPr>
        <w:t xml:space="preserve"> The scope of this right remains very broad, especially considering jurisprudence on Article 17 of the ICCPR (which reflects Article 6 of the CRC) has </w:t>
      </w:r>
      <w:proofErr w:type="spellStart"/>
      <w:r w:rsidRPr="00B65564">
        <w:rPr>
          <w:rFonts w:ascii="Source Sans Pro" w:eastAsia="Calibri" w:hAnsi="Source Sans Pro" w:cs="Times New Roman"/>
          <w:lang w:val="en-US"/>
        </w:rPr>
        <w:t>recognised</w:t>
      </w:r>
      <w:proofErr w:type="spellEnd"/>
      <w:r w:rsidRPr="00B65564">
        <w:rPr>
          <w:rFonts w:ascii="Source Sans Pro" w:eastAsia="Calibri" w:hAnsi="Source Sans Pro" w:cs="Times New Roman"/>
          <w:lang w:val="en-US"/>
        </w:rPr>
        <w:t xml:space="preserve"> that the right to privacy encompasses rights beyond those listed in the Convention. For example, the right to freely express one’s identity was extrapolated by the Human Right’s Council (HRC) from Article 17 in </w:t>
      </w:r>
      <w:proofErr w:type="spellStart"/>
      <w:r w:rsidRPr="00B65564">
        <w:rPr>
          <w:rFonts w:ascii="Source Sans Pro" w:eastAsia="Calibri" w:hAnsi="Source Sans Pro" w:cs="Times New Roman"/>
          <w:i/>
          <w:lang w:val="en-US"/>
        </w:rPr>
        <w:t>Coeriel</w:t>
      </w:r>
      <w:proofErr w:type="spellEnd"/>
      <w:r w:rsidRPr="00B65564">
        <w:rPr>
          <w:rFonts w:ascii="Source Sans Pro" w:eastAsia="Calibri" w:hAnsi="Source Sans Pro" w:cs="Times New Roman"/>
          <w:i/>
          <w:lang w:val="en-US"/>
        </w:rPr>
        <w:t xml:space="preserve"> and </w:t>
      </w:r>
      <w:proofErr w:type="spellStart"/>
      <w:r w:rsidRPr="00B65564">
        <w:rPr>
          <w:rFonts w:ascii="Source Sans Pro" w:eastAsia="Calibri" w:hAnsi="Source Sans Pro" w:cs="Times New Roman"/>
          <w:i/>
          <w:lang w:val="en-US"/>
        </w:rPr>
        <w:t>Aurik</w:t>
      </w:r>
      <w:proofErr w:type="spellEnd"/>
      <w:r w:rsidRPr="00B65564">
        <w:rPr>
          <w:rFonts w:ascii="Source Sans Pro" w:eastAsia="Calibri" w:hAnsi="Source Sans Pro" w:cs="Times New Roman"/>
          <w:i/>
          <w:lang w:val="en-US"/>
        </w:rPr>
        <w:t xml:space="preserve"> v The Netherlands</w:t>
      </w:r>
      <w:r w:rsidRPr="00B65564">
        <w:rPr>
          <w:rFonts w:ascii="Source Sans Pro" w:eastAsia="Calibri" w:hAnsi="Source Sans Pro" w:cs="Times New Roman"/>
          <w:lang w:val="en-US"/>
        </w:rPr>
        <w:t>.</w:t>
      </w:r>
      <w:r w:rsidRPr="00B65564">
        <w:rPr>
          <w:rFonts w:ascii="Source Sans Pro" w:eastAsia="Calibri" w:hAnsi="Source Sans Pro" w:cs="Times New Roman"/>
          <w:vertAlign w:val="superscript"/>
          <w:lang w:val="en-US"/>
        </w:rPr>
        <w:endnoteReference w:id="23"/>
      </w:r>
      <w:r w:rsidRPr="00B65564">
        <w:rPr>
          <w:rFonts w:ascii="Source Sans Pro" w:eastAsia="Calibri" w:hAnsi="Source Sans Pro" w:cs="Times New Roman"/>
          <w:lang w:val="en-US"/>
        </w:rPr>
        <w:t xml:space="preserve"> In applying this to the digital environment, the HRC outlined a similarly broad view, commenting that regardless of if the data is actually used, any interception, collection and capture of “communications data” infringes privacy.</w:t>
      </w:r>
      <w:r w:rsidRPr="00B65564">
        <w:rPr>
          <w:rFonts w:ascii="Source Sans Pro" w:eastAsia="Calibri" w:hAnsi="Source Sans Pro" w:cs="Times New Roman"/>
          <w:vertAlign w:val="superscript"/>
          <w:lang w:val="en-US"/>
        </w:rPr>
        <w:endnoteReference w:id="24"/>
      </w:r>
      <w:r w:rsidRPr="00B65564">
        <w:rPr>
          <w:rFonts w:ascii="Source Sans Pro" w:eastAsia="Calibri" w:hAnsi="Source Sans Pro" w:cs="Times New Roman"/>
          <w:lang w:val="en-US"/>
        </w:rPr>
        <w:t xml:space="preserve"> </w:t>
      </w:r>
    </w:p>
    <w:p w14:paraId="7041866A" w14:textId="77777777" w:rsidR="00E25E3D" w:rsidRPr="00B65564" w:rsidRDefault="00E25E3D" w:rsidP="0067091E">
      <w:pPr>
        <w:jc w:val="both"/>
        <w:rPr>
          <w:rFonts w:ascii="Source Sans Pro" w:eastAsia="Calibri" w:hAnsi="Source Sans Pro" w:cs="Times New Roman"/>
          <w:lang w:val="en-US"/>
        </w:rPr>
      </w:pPr>
    </w:p>
    <w:p w14:paraId="1CCE8DCA" w14:textId="5A034D9D" w:rsidR="00E25E3D" w:rsidRPr="00B65564" w:rsidRDefault="00E25E3D" w:rsidP="0067091E">
      <w:pPr>
        <w:jc w:val="both"/>
        <w:rPr>
          <w:rFonts w:ascii="Source Sans Pro" w:eastAsia="Calibri" w:hAnsi="Source Sans Pro" w:cs="Times New Roman"/>
          <w:color w:val="000000"/>
          <w:lang w:val="en-US"/>
        </w:rPr>
      </w:pPr>
      <w:r w:rsidRPr="00B65564">
        <w:rPr>
          <w:rFonts w:ascii="Source Sans Pro" w:eastAsia="Calibri" w:hAnsi="Source Sans Pro" w:cs="Times New Roman"/>
          <w:lang w:val="en-US"/>
        </w:rPr>
        <w:lastRenderedPageBreak/>
        <w:t xml:space="preserve">Invasive data capture and tracking practices are routine realities for digital platforms under surveillance capitalism. </w:t>
      </w:r>
      <w:r w:rsidRPr="00B65564">
        <w:rPr>
          <w:rFonts w:ascii="Source Sans Pro" w:eastAsia="Calibri" w:hAnsi="Source Sans Pro" w:cs="Times New Roman"/>
          <w:color w:val="000000"/>
          <w:lang w:val="en-US"/>
        </w:rPr>
        <w:t>Facebook and Google, the two most popular digital platforms amongst young Australians, have been the pioneers of this system.</w:t>
      </w:r>
      <w:r w:rsidRPr="00B65564">
        <w:rPr>
          <w:rFonts w:ascii="Source Sans Pro" w:eastAsia="Calibri" w:hAnsi="Source Sans Pro" w:cs="Times New Roman"/>
          <w:color w:val="000000"/>
          <w:vertAlign w:val="superscript"/>
          <w:lang w:val="en-US"/>
        </w:rPr>
        <w:endnoteReference w:id="25"/>
      </w:r>
      <w:r w:rsidRPr="00B65564">
        <w:rPr>
          <w:rFonts w:ascii="Source Sans Pro" w:eastAsia="Calibri" w:hAnsi="Source Sans Pro" w:cs="Times New Roman"/>
          <w:color w:val="000000"/>
          <w:lang w:val="en-US"/>
        </w:rPr>
        <w:t xml:space="preserve"> They offer the promise of a ‘free service’, whether that be a social media networking site or search engine. However, the hidden price has always been the collection, retention and selling of private and sensitive user information. The monopoly Google and Facebook </w:t>
      </w:r>
      <w:proofErr w:type="gramStart"/>
      <w:r w:rsidRPr="00B65564">
        <w:rPr>
          <w:rFonts w:ascii="Source Sans Pro" w:eastAsia="Calibri" w:hAnsi="Source Sans Pro" w:cs="Times New Roman"/>
          <w:color w:val="000000"/>
          <w:lang w:val="en-US"/>
        </w:rPr>
        <w:t>in particular retain</w:t>
      </w:r>
      <w:proofErr w:type="gramEnd"/>
      <w:r w:rsidRPr="00B65564">
        <w:rPr>
          <w:rFonts w:ascii="Source Sans Pro" w:eastAsia="Calibri" w:hAnsi="Source Sans Pro" w:cs="Times New Roman"/>
          <w:color w:val="000000"/>
          <w:lang w:val="en-US"/>
        </w:rPr>
        <w:t xml:space="preserve"> of the digital world</w:t>
      </w:r>
      <w:r w:rsidR="006005C3">
        <w:rPr>
          <w:rFonts w:ascii="Source Sans Pro" w:eastAsia="Calibri" w:hAnsi="Source Sans Pro" w:cs="Times New Roman"/>
          <w:color w:val="000000"/>
          <w:lang w:val="en-US"/>
        </w:rPr>
        <w:t xml:space="preserve"> </w:t>
      </w:r>
      <w:r w:rsidRPr="00B65564">
        <w:rPr>
          <w:rFonts w:ascii="Source Sans Pro" w:eastAsia="Calibri" w:hAnsi="Source Sans Pro" w:cs="Times New Roman"/>
          <w:color w:val="000000"/>
          <w:lang w:val="en-US"/>
        </w:rPr>
        <w:t xml:space="preserve">has only enlarged the information sharing and thus accumulation across these services. </w:t>
      </w:r>
    </w:p>
    <w:p w14:paraId="122B281D" w14:textId="77777777" w:rsidR="00E25E3D" w:rsidRPr="0067091E" w:rsidRDefault="00E25E3D" w:rsidP="0067091E">
      <w:pPr>
        <w:jc w:val="both"/>
        <w:rPr>
          <w:rFonts w:ascii="Source Sans Pro" w:eastAsia="Calibri" w:hAnsi="Source Sans Pro" w:cs="Times New Roman"/>
          <w:lang w:val="en-US"/>
        </w:rPr>
      </w:pPr>
    </w:p>
    <w:p w14:paraId="6F34D6FC" w14:textId="5C2A1D3C" w:rsidR="00E25E3D" w:rsidRDefault="00E25E3D" w:rsidP="0067091E">
      <w:pPr>
        <w:jc w:val="both"/>
        <w:rPr>
          <w:rFonts w:ascii="Source Sans Pro" w:eastAsia="Calibri" w:hAnsi="Source Sans Pro" w:cs="Times New Roman"/>
          <w:lang w:val="en-US"/>
        </w:rPr>
      </w:pPr>
    </w:p>
    <w:p w14:paraId="56B05EE9" w14:textId="77777777" w:rsidR="00E25E3D" w:rsidRPr="0067091E" w:rsidRDefault="00E25E3D" w:rsidP="0067091E">
      <w:pPr>
        <w:jc w:val="both"/>
        <w:rPr>
          <w:rFonts w:ascii="Source Sans Pro" w:eastAsia="Calibri" w:hAnsi="Source Sans Pro" w:cs="Times New Roman"/>
          <w:lang w:val="en-US"/>
        </w:rPr>
      </w:pPr>
    </w:p>
    <w:p w14:paraId="2DEA680A" w14:textId="1CAE8BC5" w:rsidR="00E25E3D" w:rsidRPr="00B65564" w:rsidRDefault="00E25E3D" w:rsidP="0067091E">
      <w:pPr>
        <w:jc w:val="both"/>
        <w:rPr>
          <w:rFonts w:ascii="Source Sans Pro" w:eastAsia="Calibri" w:hAnsi="Source Sans Pro" w:cs="Times New Roman"/>
          <w:b/>
          <w:bCs/>
          <w:lang w:val="en-US"/>
        </w:rPr>
      </w:pPr>
      <w:r w:rsidRPr="00B65564">
        <w:rPr>
          <w:rFonts w:ascii="Source Sans Pro" w:eastAsia="Calibri" w:hAnsi="Source Sans Pro" w:cs="Times New Roman"/>
          <w:b/>
          <w:bCs/>
          <w:color w:val="000000"/>
          <w:lang w:val="en-US"/>
        </w:rPr>
        <w:t xml:space="preserve">III PART OF THE PROBLEM - CONSENT MODELS </w:t>
      </w:r>
    </w:p>
    <w:p w14:paraId="14A60740" w14:textId="77777777" w:rsidR="00E25E3D" w:rsidRPr="00B65564" w:rsidRDefault="00E25E3D" w:rsidP="0067091E">
      <w:pPr>
        <w:jc w:val="both"/>
        <w:rPr>
          <w:rFonts w:ascii="Source Sans Pro" w:eastAsia="Calibri" w:hAnsi="Source Sans Pro" w:cs="Times New Roman"/>
        </w:rPr>
      </w:pPr>
    </w:p>
    <w:p w14:paraId="4070DDE5" w14:textId="3786BD2B" w:rsidR="00E25E3D" w:rsidRPr="00B65564" w:rsidRDefault="00DA0BE4" w:rsidP="0067091E">
      <w:pPr>
        <w:jc w:val="both"/>
        <w:rPr>
          <w:rFonts w:ascii="Source Sans Pro" w:eastAsia="Calibri" w:hAnsi="Source Sans Pro" w:cs="Times New Roman"/>
        </w:rPr>
      </w:pPr>
      <w:r>
        <w:rPr>
          <w:rFonts w:ascii="Source Sans Pro" w:eastAsia="Calibri" w:hAnsi="Source Sans Pro" w:cs="Times New Roman"/>
        </w:rPr>
        <w:t>T</w:t>
      </w:r>
      <w:r w:rsidR="00E25E3D" w:rsidRPr="00B65564">
        <w:rPr>
          <w:rFonts w:ascii="Source Sans Pro" w:eastAsia="Calibri" w:hAnsi="Source Sans Pro" w:cs="Times New Roman"/>
        </w:rPr>
        <w:t xml:space="preserve">he </w:t>
      </w:r>
      <w:r w:rsidR="004A3008">
        <w:rPr>
          <w:rFonts w:ascii="Source Sans Pro" w:eastAsia="Calibri" w:hAnsi="Source Sans Pro" w:cs="Times New Roman"/>
        </w:rPr>
        <w:t>‘</w:t>
      </w:r>
      <w:r w:rsidR="00E25E3D" w:rsidRPr="00B65564">
        <w:rPr>
          <w:rFonts w:ascii="Source Sans Pro" w:eastAsia="Calibri" w:hAnsi="Source Sans Pro" w:cs="Times New Roman"/>
        </w:rPr>
        <w:t>regulatory</w:t>
      </w:r>
      <w:r w:rsidR="004A3008">
        <w:rPr>
          <w:rFonts w:ascii="Source Sans Pro" w:eastAsia="Calibri" w:hAnsi="Source Sans Pro" w:cs="Times New Roman"/>
        </w:rPr>
        <w:t>’</w:t>
      </w:r>
      <w:r w:rsidR="00E25E3D" w:rsidRPr="00B65564">
        <w:rPr>
          <w:rFonts w:ascii="Source Sans Pro" w:eastAsia="Calibri" w:hAnsi="Source Sans Pro" w:cs="Times New Roman"/>
        </w:rPr>
        <w:t xml:space="preserve"> framework used to protect children’s rights against data collection </w:t>
      </w:r>
      <w:r w:rsidR="00B52146">
        <w:rPr>
          <w:rFonts w:ascii="Source Sans Pro" w:eastAsia="Calibri" w:hAnsi="Source Sans Pro" w:cs="Times New Roman"/>
        </w:rPr>
        <w:t>is typically</w:t>
      </w:r>
      <w:r w:rsidR="004A3008">
        <w:rPr>
          <w:rFonts w:ascii="Source Sans Pro" w:eastAsia="Calibri" w:hAnsi="Source Sans Pro" w:cs="Times New Roman"/>
        </w:rPr>
        <w:t xml:space="preserve"> a</w:t>
      </w:r>
      <w:r w:rsidR="00E25E3D" w:rsidRPr="00B65564">
        <w:rPr>
          <w:rFonts w:ascii="Source Sans Pro" w:eastAsia="Calibri" w:hAnsi="Source Sans Pro" w:cs="Times New Roman"/>
        </w:rPr>
        <w:t xml:space="preserve"> consent model. Key examples are the Children’s Online Privacy Protection Rule (COPPA) in the United States which prescribes that digital platforms must gain parental consent to their terms and conditions of use (including acceptance of their data collection practices) for users under 13 years before collecting data.</w:t>
      </w:r>
      <w:r w:rsidR="00E25E3D" w:rsidRPr="00B65564">
        <w:rPr>
          <w:rFonts w:ascii="Source Sans Pro" w:eastAsia="Calibri" w:hAnsi="Source Sans Pro" w:cs="Times New Roman"/>
          <w:vertAlign w:val="superscript"/>
        </w:rPr>
        <w:endnoteReference w:id="26"/>
      </w:r>
      <w:r w:rsidR="00E25E3D" w:rsidRPr="00B65564">
        <w:rPr>
          <w:rFonts w:ascii="Source Sans Pro" w:eastAsia="Calibri" w:hAnsi="Source Sans Pro" w:cs="Times New Roman"/>
        </w:rPr>
        <w:t xml:space="preserve"> The General Data Protection Regulation (GDPR) in the European Union has prescribed similar requirements for online platforms.</w:t>
      </w:r>
      <w:r w:rsidR="00E25E3D" w:rsidRPr="00B65564">
        <w:rPr>
          <w:rFonts w:ascii="Source Sans Pro" w:eastAsia="Calibri" w:hAnsi="Source Sans Pro" w:cs="Times New Roman"/>
          <w:vertAlign w:val="superscript"/>
        </w:rPr>
        <w:endnoteReference w:id="27"/>
      </w:r>
      <w:r w:rsidR="00E25E3D" w:rsidRPr="00B65564">
        <w:rPr>
          <w:rFonts w:ascii="Source Sans Pro" w:eastAsia="Calibri" w:hAnsi="Source Sans Pro" w:cs="Times New Roman"/>
        </w:rPr>
        <w:t xml:space="preserve"> Although the most common method employed by states, parental consent cannot adequately protect young people from the invasive online surveillance and harmful data collection practices of companies. </w:t>
      </w:r>
    </w:p>
    <w:p w14:paraId="44FD6425" w14:textId="77777777" w:rsidR="00E25E3D" w:rsidRPr="00B65564" w:rsidRDefault="00E25E3D" w:rsidP="0067091E">
      <w:pPr>
        <w:jc w:val="both"/>
        <w:rPr>
          <w:rFonts w:ascii="Source Sans Pro" w:eastAsia="Calibri" w:hAnsi="Source Sans Pro" w:cs="Times New Roman"/>
        </w:rPr>
      </w:pPr>
    </w:p>
    <w:p w14:paraId="47F7C3FF" w14:textId="77777777" w:rsidR="00E25E3D" w:rsidRPr="00B65564" w:rsidRDefault="00E25E3D" w:rsidP="0067091E">
      <w:pPr>
        <w:jc w:val="both"/>
        <w:rPr>
          <w:rFonts w:ascii="Source Sans Pro" w:eastAsia="Calibri" w:hAnsi="Source Sans Pro" w:cs="Times New Roman"/>
        </w:rPr>
      </w:pPr>
      <w:r w:rsidRPr="00B65564">
        <w:rPr>
          <w:rFonts w:ascii="Source Sans Pro" w:eastAsia="Calibri" w:hAnsi="Source Sans Pro" w:cs="Times New Roman"/>
        </w:rPr>
        <w:t>Critiques on parental consent have centred around the fact that the interests of the child cannot properly be taken to mean the interest of the parent.</w:t>
      </w:r>
      <w:r w:rsidRPr="00B65564">
        <w:rPr>
          <w:rFonts w:ascii="Source Sans Pro" w:eastAsia="Calibri" w:hAnsi="Source Sans Pro" w:cs="Times New Roman"/>
          <w:vertAlign w:val="superscript"/>
        </w:rPr>
        <w:endnoteReference w:id="28"/>
      </w:r>
      <w:r w:rsidRPr="00B65564">
        <w:rPr>
          <w:rFonts w:ascii="Source Sans Pro" w:eastAsia="Calibri" w:hAnsi="Source Sans Pro" w:cs="Times New Roman"/>
        </w:rPr>
        <w:t xml:space="preserve"> Indeed, equating the two seems to go against understandings of children’s right to be heard (Article 12 of the Convention).</w:t>
      </w:r>
      <w:r w:rsidRPr="00B65564">
        <w:rPr>
          <w:rFonts w:ascii="Source Sans Pro" w:eastAsia="Calibri" w:hAnsi="Source Sans Pro" w:cs="Times New Roman"/>
          <w:vertAlign w:val="superscript"/>
        </w:rPr>
        <w:endnoteReference w:id="29"/>
      </w:r>
      <w:r w:rsidRPr="00B65564">
        <w:rPr>
          <w:rFonts w:ascii="Source Sans Pro" w:eastAsia="Calibri" w:hAnsi="Source Sans Pro" w:cs="Times New Roman"/>
        </w:rPr>
        <w:t xml:space="preserve"> </w:t>
      </w:r>
    </w:p>
    <w:p w14:paraId="0726DE57" w14:textId="77777777" w:rsidR="00E25E3D" w:rsidRPr="00B65564" w:rsidRDefault="00E25E3D" w:rsidP="0067091E">
      <w:pPr>
        <w:jc w:val="both"/>
        <w:rPr>
          <w:rFonts w:ascii="Source Sans Pro" w:eastAsia="Calibri" w:hAnsi="Source Sans Pro" w:cs="Times New Roman"/>
        </w:rPr>
      </w:pPr>
    </w:p>
    <w:p w14:paraId="792C54C4" w14:textId="2C469592" w:rsidR="00E25E3D" w:rsidRPr="00B65564" w:rsidRDefault="00E25E3D" w:rsidP="0067091E">
      <w:pPr>
        <w:jc w:val="both"/>
        <w:rPr>
          <w:rFonts w:ascii="Source Sans Pro" w:eastAsia="Calibri" w:hAnsi="Source Sans Pro" w:cs="Times New Roman"/>
        </w:rPr>
      </w:pPr>
      <w:r w:rsidRPr="00B65564">
        <w:rPr>
          <w:rFonts w:ascii="Source Sans Pro" w:eastAsia="Calibri" w:hAnsi="Source Sans Pro" w:cs="Times New Roman"/>
        </w:rPr>
        <w:t>However, more than that, parental consent models assume that parents are more capable of making decisions around digital privacy than their children.</w:t>
      </w:r>
      <w:r w:rsidRPr="00B65564">
        <w:rPr>
          <w:rFonts w:ascii="Source Sans Pro" w:eastAsia="Calibri" w:hAnsi="Source Sans Pro" w:cs="Times New Roman"/>
          <w:vertAlign w:val="superscript"/>
        </w:rPr>
        <w:t xml:space="preserve"> </w:t>
      </w:r>
      <w:r w:rsidRPr="00B65564">
        <w:rPr>
          <w:rFonts w:ascii="Source Sans Pro" w:eastAsia="Calibri" w:hAnsi="Source Sans Pro" w:cs="Times New Roman"/>
          <w:vertAlign w:val="superscript"/>
        </w:rPr>
        <w:endnoteReference w:id="30"/>
      </w:r>
      <w:r w:rsidRPr="00B65564">
        <w:rPr>
          <w:rFonts w:ascii="Source Sans Pro" w:eastAsia="Calibri" w:hAnsi="Source Sans Pro" w:cs="Times New Roman"/>
        </w:rPr>
        <w:t xml:space="preserve"> </w:t>
      </w:r>
      <w:proofErr w:type="gramStart"/>
      <w:r w:rsidR="00B52146">
        <w:rPr>
          <w:rFonts w:ascii="Source Sans Pro" w:eastAsia="Calibri" w:hAnsi="Source Sans Pro" w:cs="Times New Roman"/>
        </w:rPr>
        <w:t>However</w:t>
      </w:r>
      <w:proofErr w:type="gramEnd"/>
      <w:r w:rsidRPr="00B65564">
        <w:rPr>
          <w:rFonts w:ascii="Source Sans Pro" w:eastAsia="Calibri" w:hAnsi="Source Sans Pro" w:cs="Times New Roman"/>
        </w:rPr>
        <w:t xml:space="preserve"> in the digital world, “informed” consent</w:t>
      </w:r>
      <w:r w:rsidR="00B52146">
        <w:rPr>
          <w:rFonts w:ascii="Source Sans Pro" w:eastAsia="Calibri" w:hAnsi="Source Sans Pro" w:cs="Times New Roman"/>
        </w:rPr>
        <w:t xml:space="preserve"> </w:t>
      </w:r>
      <w:r w:rsidRPr="00B65564">
        <w:rPr>
          <w:rFonts w:ascii="Source Sans Pro" w:eastAsia="Calibri" w:hAnsi="Source Sans Pro" w:cs="Times New Roman"/>
        </w:rPr>
        <w:t>is not possible.</w:t>
      </w:r>
      <w:r w:rsidRPr="00B65564">
        <w:rPr>
          <w:rFonts w:ascii="Source Sans Pro" w:eastAsia="Calibri" w:hAnsi="Source Sans Pro" w:cs="Times New Roman"/>
          <w:vertAlign w:val="superscript"/>
        </w:rPr>
        <w:endnoteReference w:id="31"/>
      </w:r>
      <w:r w:rsidRPr="00B65564">
        <w:rPr>
          <w:rFonts w:ascii="Source Sans Pro" w:eastAsia="Calibri" w:hAnsi="Source Sans Pro" w:cs="Times New Roman"/>
        </w:rPr>
        <w:t xml:space="preserve"> Digital platforms’ privacy policies are often extensive, vague and complex so individuals are not able to completely understand the implications of consenting to a particular policy.</w:t>
      </w:r>
      <w:r w:rsidRPr="00B65564">
        <w:rPr>
          <w:rFonts w:ascii="Source Sans Pro" w:eastAsia="Calibri" w:hAnsi="Source Sans Pro" w:cs="Times New Roman"/>
          <w:vertAlign w:val="superscript"/>
        </w:rPr>
        <w:t xml:space="preserve"> </w:t>
      </w:r>
      <w:r w:rsidRPr="00B65564">
        <w:rPr>
          <w:rFonts w:ascii="Source Sans Pro" w:eastAsia="Calibri" w:hAnsi="Source Sans Pro" w:cs="Times New Roman"/>
          <w:vertAlign w:val="superscript"/>
        </w:rPr>
        <w:endnoteReference w:id="32"/>
      </w:r>
    </w:p>
    <w:p w14:paraId="34BCE701" w14:textId="77777777" w:rsidR="00E25E3D" w:rsidRPr="00B65564" w:rsidRDefault="00E25E3D" w:rsidP="0067091E">
      <w:pPr>
        <w:jc w:val="both"/>
        <w:rPr>
          <w:rFonts w:ascii="Source Sans Pro" w:eastAsia="Calibri" w:hAnsi="Source Sans Pro" w:cs="Times New Roman"/>
        </w:rPr>
      </w:pPr>
    </w:p>
    <w:p w14:paraId="4DF6D852" w14:textId="6D169D2C" w:rsidR="00E25E3D" w:rsidRPr="00B65564" w:rsidRDefault="00E25E3D" w:rsidP="0067091E">
      <w:pPr>
        <w:jc w:val="both"/>
        <w:rPr>
          <w:rFonts w:ascii="Source Sans Pro" w:eastAsia="Calibri" w:hAnsi="Source Sans Pro" w:cs="Times New Roman"/>
        </w:rPr>
      </w:pPr>
      <w:r w:rsidRPr="00B65564">
        <w:rPr>
          <w:rFonts w:ascii="Source Sans Pro" w:eastAsia="Calibri" w:hAnsi="Source Sans Pro" w:cs="Times New Roman"/>
        </w:rPr>
        <w:t>Meaningful consent would also imply that it is ‘freely given’. Terms and conditions are usually presented as an ‘all or nothing’.</w:t>
      </w:r>
      <w:r w:rsidRPr="00B65564">
        <w:rPr>
          <w:rFonts w:ascii="Source Sans Pro" w:eastAsia="Calibri" w:hAnsi="Source Sans Pro" w:cs="Times New Roman"/>
          <w:vertAlign w:val="superscript"/>
        </w:rPr>
        <w:endnoteReference w:id="33"/>
      </w:r>
      <w:r w:rsidRPr="00B65564">
        <w:rPr>
          <w:rFonts w:ascii="Source Sans Pro" w:eastAsia="Calibri" w:hAnsi="Source Sans Pro" w:cs="Times New Roman"/>
        </w:rPr>
        <w:t xml:space="preserve"> Users who may agree with certain terms and not others cannot participate on these platforms at all unless they consent to the entirety of the data use practices outlined.</w:t>
      </w:r>
      <w:r w:rsidRPr="00B65564">
        <w:rPr>
          <w:rFonts w:ascii="Source Sans Pro" w:eastAsia="Calibri" w:hAnsi="Source Sans Pro" w:cs="Times New Roman"/>
          <w:vertAlign w:val="superscript"/>
        </w:rPr>
        <w:endnoteReference w:id="34"/>
      </w:r>
      <w:r w:rsidRPr="00B65564">
        <w:rPr>
          <w:rFonts w:ascii="Source Sans Pro" w:eastAsia="Calibri" w:hAnsi="Source Sans Pro" w:cs="Times New Roman"/>
        </w:rPr>
        <w:t xml:space="preserve"> The Australian Competition and Consumer Commission (ACCC) in their </w:t>
      </w:r>
      <w:r w:rsidRPr="00B65564">
        <w:rPr>
          <w:rFonts w:ascii="Source Sans Pro" w:eastAsia="Calibri" w:hAnsi="Source Sans Pro" w:cs="Times New Roman"/>
          <w:i/>
        </w:rPr>
        <w:t>‘Digital Platforms Inquiry’</w:t>
      </w:r>
      <w:r w:rsidRPr="00B65564">
        <w:rPr>
          <w:rFonts w:ascii="Source Sans Pro" w:eastAsia="Calibri" w:hAnsi="Source Sans Pro" w:cs="Times New Roman"/>
        </w:rPr>
        <w:t xml:space="preserve"> highlight that there is a fundamental bargaining power imbalance in this exchange.</w:t>
      </w:r>
      <w:r w:rsidRPr="00B65564">
        <w:rPr>
          <w:rFonts w:ascii="Source Sans Pro" w:eastAsia="Calibri" w:hAnsi="Source Sans Pro" w:cs="Times New Roman"/>
          <w:vertAlign w:val="superscript"/>
        </w:rPr>
        <w:endnoteReference w:id="35"/>
      </w:r>
      <w:r w:rsidRPr="00B65564">
        <w:rPr>
          <w:rFonts w:ascii="Source Sans Pro" w:eastAsia="Calibri" w:hAnsi="Source Sans Pro" w:cs="Times New Roman"/>
        </w:rPr>
        <w:t xml:space="preserve"> Large digital platforms, particularly social media sites, often offer a non-replaceable service. Clear examples are Instagram and Facebook which are the most popular social media platforms in Australia amongst young people.</w:t>
      </w:r>
      <w:r w:rsidRPr="00B65564">
        <w:rPr>
          <w:rFonts w:ascii="Source Sans Pro" w:eastAsia="Calibri" w:hAnsi="Source Sans Pro" w:cs="Times New Roman"/>
          <w:vertAlign w:val="superscript"/>
        </w:rPr>
        <w:endnoteReference w:id="36"/>
      </w:r>
      <w:r w:rsidRPr="00B65564">
        <w:rPr>
          <w:rFonts w:ascii="Source Sans Pro" w:eastAsia="Calibri" w:hAnsi="Source Sans Pro" w:cs="Times New Roman"/>
        </w:rPr>
        <w:t xml:space="preserve"> These platforms have a monopoly over the social networks of their peers. Without any viable alternative platforms, users are inclined to concede terms and conditions they may not completely agree with for the sake of access.</w:t>
      </w:r>
      <w:r w:rsidRPr="00B65564">
        <w:rPr>
          <w:rFonts w:ascii="Source Sans Pro" w:eastAsia="Calibri" w:hAnsi="Source Sans Pro" w:cs="Times New Roman"/>
          <w:vertAlign w:val="superscript"/>
        </w:rPr>
        <w:endnoteReference w:id="37"/>
      </w:r>
      <w:r w:rsidRPr="00B65564">
        <w:rPr>
          <w:rFonts w:ascii="Source Sans Pro" w:eastAsia="Calibri" w:hAnsi="Source Sans Pro" w:cs="Times New Roman"/>
        </w:rPr>
        <w:t xml:space="preserve">  </w:t>
      </w:r>
    </w:p>
    <w:p w14:paraId="11D59C28" w14:textId="77777777" w:rsidR="00E25E3D" w:rsidRPr="00B65564" w:rsidRDefault="00E25E3D" w:rsidP="0067091E">
      <w:pPr>
        <w:jc w:val="both"/>
        <w:rPr>
          <w:rFonts w:ascii="Source Sans Pro" w:eastAsia="Calibri" w:hAnsi="Source Sans Pro" w:cs="Times New Roman"/>
        </w:rPr>
      </w:pPr>
    </w:p>
    <w:p w14:paraId="4AD46041" w14:textId="2CFD0CA1" w:rsidR="00E25E3D" w:rsidRDefault="00E25E3D" w:rsidP="0067091E">
      <w:pPr>
        <w:jc w:val="both"/>
        <w:rPr>
          <w:rFonts w:ascii="Source Sans Pro" w:eastAsia="Calibri" w:hAnsi="Source Sans Pro" w:cs="Times New Roman"/>
        </w:rPr>
      </w:pPr>
      <w:r w:rsidRPr="00B65564">
        <w:rPr>
          <w:rFonts w:ascii="Source Sans Pro" w:eastAsia="Calibri" w:hAnsi="Source Sans Pro" w:cs="Times New Roman"/>
        </w:rPr>
        <w:t xml:space="preserve">In the physical world, this could be represented by a privately run shopping centre where children are customers. The shopping centre has also become the only place children can socialise and meet with all their friends. </w:t>
      </w:r>
      <w:r w:rsidR="009F196C">
        <w:rPr>
          <w:rFonts w:ascii="Source Sans Pro" w:eastAsia="Calibri" w:hAnsi="Source Sans Pro" w:cs="Times New Roman"/>
        </w:rPr>
        <w:t>Upon entry, a</w:t>
      </w:r>
      <w:r w:rsidRPr="00B65564">
        <w:rPr>
          <w:rFonts w:ascii="Source Sans Pro" w:eastAsia="Calibri" w:hAnsi="Source Sans Pro" w:cs="Times New Roman"/>
        </w:rPr>
        <w:t xml:space="preserve"> </w:t>
      </w:r>
      <w:r w:rsidR="009F196C">
        <w:rPr>
          <w:rFonts w:ascii="Source Sans Pro" w:eastAsia="Calibri" w:hAnsi="Source Sans Pro" w:cs="Times New Roman"/>
        </w:rPr>
        <w:t>gatekeeper</w:t>
      </w:r>
      <w:r w:rsidRPr="00B65564">
        <w:rPr>
          <w:rFonts w:ascii="Source Sans Pro" w:eastAsia="Calibri" w:hAnsi="Source Sans Pro" w:cs="Times New Roman"/>
        </w:rPr>
        <w:t xml:space="preserve"> demands </w:t>
      </w:r>
      <w:r w:rsidR="009F196C">
        <w:rPr>
          <w:rFonts w:ascii="Source Sans Pro" w:eastAsia="Calibri" w:hAnsi="Source Sans Pro" w:cs="Times New Roman"/>
        </w:rPr>
        <w:t>full surrendering of</w:t>
      </w:r>
      <w:r w:rsidRPr="00B65564">
        <w:rPr>
          <w:rFonts w:ascii="Source Sans Pro" w:eastAsia="Calibri" w:hAnsi="Source Sans Pro" w:cs="Times New Roman"/>
        </w:rPr>
        <w:t xml:space="preserve"> </w:t>
      </w:r>
      <w:r w:rsidR="003E7B1F">
        <w:rPr>
          <w:rFonts w:ascii="Source Sans Pro" w:eastAsia="Calibri" w:hAnsi="Source Sans Pro" w:cs="Times New Roman"/>
        </w:rPr>
        <w:t xml:space="preserve">their </w:t>
      </w:r>
      <w:r w:rsidRPr="00B65564">
        <w:rPr>
          <w:rFonts w:ascii="Source Sans Pro" w:eastAsia="Calibri" w:hAnsi="Source Sans Pro" w:cs="Times New Roman"/>
        </w:rPr>
        <w:t xml:space="preserve">rights </w:t>
      </w:r>
      <w:r w:rsidR="009F196C">
        <w:rPr>
          <w:rFonts w:ascii="Source Sans Pro" w:eastAsia="Calibri" w:hAnsi="Source Sans Pro" w:cs="Times New Roman"/>
        </w:rPr>
        <w:t>to personal information</w:t>
      </w:r>
      <w:r w:rsidRPr="00B65564">
        <w:rPr>
          <w:rFonts w:ascii="Source Sans Pro" w:eastAsia="Calibri" w:hAnsi="Source Sans Pro" w:cs="Times New Roman"/>
        </w:rPr>
        <w:t xml:space="preserve">. </w:t>
      </w:r>
      <w:r w:rsidR="003E7B1F">
        <w:rPr>
          <w:rFonts w:ascii="Source Sans Pro" w:eastAsia="Calibri" w:hAnsi="Source Sans Pro" w:cs="Times New Roman"/>
        </w:rPr>
        <w:t>Children</w:t>
      </w:r>
      <w:r w:rsidRPr="00B65564">
        <w:rPr>
          <w:rFonts w:ascii="Source Sans Pro" w:eastAsia="Calibri" w:hAnsi="Source Sans Pro" w:cs="Times New Roman"/>
        </w:rPr>
        <w:t xml:space="preserve"> also must provide a full locational history of where they have been before entering, and what their plans are after they exit the shopping centre. </w:t>
      </w:r>
      <w:r w:rsidR="003E7B1F">
        <w:rPr>
          <w:rFonts w:ascii="Source Sans Pro" w:eastAsia="Calibri" w:hAnsi="Source Sans Pro" w:cs="Times New Roman"/>
        </w:rPr>
        <w:t>On-selling this information</w:t>
      </w:r>
      <w:r w:rsidRPr="00B65564">
        <w:rPr>
          <w:rFonts w:ascii="Source Sans Pro" w:eastAsia="Calibri" w:hAnsi="Source Sans Pro" w:cs="Times New Roman"/>
        </w:rPr>
        <w:t xml:space="preserve"> is where 98% of the shopping centre’s revenue comes from.</w:t>
      </w:r>
      <w:r w:rsidRPr="00B65564">
        <w:rPr>
          <w:rFonts w:ascii="Source Sans Pro" w:eastAsia="Calibri" w:hAnsi="Source Sans Pro" w:cs="Times New Roman"/>
          <w:vertAlign w:val="superscript"/>
        </w:rPr>
        <w:endnoteReference w:id="38"/>
      </w:r>
      <w:r w:rsidRPr="00B65564">
        <w:rPr>
          <w:rFonts w:ascii="Source Sans Pro" w:eastAsia="Calibri" w:hAnsi="Source Sans Pro" w:cs="Times New Roman"/>
        </w:rPr>
        <w:t xml:space="preserve">  </w:t>
      </w:r>
    </w:p>
    <w:p w14:paraId="02DA526F" w14:textId="77777777" w:rsidR="003E7B1F" w:rsidRPr="00B65564" w:rsidRDefault="003E7B1F" w:rsidP="0067091E">
      <w:pPr>
        <w:jc w:val="both"/>
        <w:rPr>
          <w:rFonts w:ascii="Source Sans Pro" w:eastAsia="Calibri" w:hAnsi="Source Sans Pro" w:cs="Times New Roman"/>
        </w:rPr>
      </w:pPr>
    </w:p>
    <w:p w14:paraId="507D8085" w14:textId="77777777" w:rsidR="00E25E3D" w:rsidRPr="00B65564" w:rsidRDefault="00E25E3D" w:rsidP="0067091E">
      <w:pPr>
        <w:jc w:val="both"/>
        <w:rPr>
          <w:rFonts w:ascii="Source Sans Pro" w:eastAsia="Calibri" w:hAnsi="Source Sans Pro" w:cs="Times New Roman"/>
        </w:rPr>
      </w:pPr>
    </w:p>
    <w:p w14:paraId="79B83F29" w14:textId="5EA51772" w:rsidR="00E25E3D" w:rsidRPr="00B65564" w:rsidRDefault="00E25E3D" w:rsidP="0067091E">
      <w:pPr>
        <w:jc w:val="both"/>
        <w:rPr>
          <w:rFonts w:ascii="Source Sans Pro" w:eastAsia="Calibri" w:hAnsi="Source Sans Pro" w:cs="Times New Roman"/>
        </w:rPr>
      </w:pPr>
      <w:r w:rsidRPr="00B65564">
        <w:rPr>
          <w:rFonts w:ascii="Source Sans Pro" w:eastAsia="Calibri" w:hAnsi="Source Sans Pro" w:cs="Times New Roman"/>
        </w:rPr>
        <w:lastRenderedPageBreak/>
        <w:t xml:space="preserve">Furthermore, </w:t>
      </w:r>
      <w:r w:rsidR="003E7B1F">
        <w:rPr>
          <w:rFonts w:ascii="Source Sans Pro" w:eastAsia="Calibri" w:hAnsi="Source Sans Pro" w:cs="Times New Roman"/>
        </w:rPr>
        <w:t>children’s</w:t>
      </w:r>
      <w:r w:rsidR="001223BA">
        <w:rPr>
          <w:rFonts w:ascii="Source Sans Pro" w:eastAsia="Calibri" w:hAnsi="Source Sans Pro" w:cs="Times New Roman"/>
        </w:rPr>
        <w:t xml:space="preserve"> increasingly ingrained</w:t>
      </w:r>
      <w:r w:rsidR="003E7B1F">
        <w:rPr>
          <w:rFonts w:ascii="Source Sans Pro" w:eastAsia="Calibri" w:hAnsi="Source Sans Pro" w:cs="Times New Roman"/>
        </w:rPr>
        <w:t xml:space="preserve"> social media habits</w:t>
      </w:r>
      <w:r w:rsidRPr="00B65564">
        <w:rPr>
          <w:rFonts w:ascii="Source Sans Pro" w:eastAsia="Calibri" w:hAnsi="Source Sans Pro" w:cs="Times New Roman"/>
        </w:rPr>
        <w:t xml:space="preserve"> </w:t>
      </w:r>
      <w:r w:rsidR="003E7B1F">
        <w:rPr>
          <w:rFonts w:ascii="Source Sans Pro" w:eastAsia="Calibri" w:hAnsi="Source Sans Pro" w:cs="Times New Roman"/>
        </w:rPr>
        <w:t>is central to</w:t>
      </w:r>
      <w:r w:rsidRPr="00B65564">
        <w:rPr>
          <w:rFonts w:ascii="Source Sans Pro" w:eastAsia="Calibri" w:hAnsi="Source Sans Pro" w:cs="Times New Roman"/>
        </w:rPr>
        <w:t xml:space="preserve"> </w:t>
      </w:r>
      <w:r w:rsidR="003E7B1F">
        <w:rPr>
          <w:rFonts w:ascii="Source Sans Pro" w:eastAsia="Calibri" w:hAnsi="Source Sans Pro" w:cs="Times New Roman"/>
        </w:rPr>
        <w:t>platform companies’</w:t>
      </w:r>
      <w:r w:rsidRPr="00B65564">
        <w:rPr>
          <w:rFonts w:ascii="Source Sans Pro" w:eastAsia="Calibri" w:hAnsi="Source Sans Pro" w:cs="Times New Roman"/>
        </w:rPr>
        <w:t xml:space="preserve"> </w:t>
      </w:r>
      <w:r w:rsidR="003E7B1F">
        <w:rPr>
          <w:rFonts w:ascii="Source Sans Pro" w:eastAsia="Calibri" w:hAnsi="Source Sans Pro" w:cs="Times New Roman"/>
        </w:rPr>
        <w:t>monetisation models</w:t>
      </w:r>
      <w:r w:rsidRPr="00B65564">
        <w:rPr>
          <w:rFonts w:ascii="Source Sans Pro" w:eastAsia="Calibri" w:hAnsi="Source Sans Pro" w:cs="Times New Roman"/>
        </w:rPr>
        <w:t>.</w:t>
      </w:r>
      <w:r w:rsidRPr="00B65564">
        <w:rPr>
          <w:rFonts w:ascii="Source Sans Pro" w:eastAsia="Calibri" w:hAnsi="Source Sans Pro" w:cs="Times New Roman"/>
          <w:vertAlign w:val="superscript"/>
        </w:rPr>
        <w:endnoteReference w:id="39"/>
      </w:r>
      <w:r w:rsidRPr="00B65564">
        <w:rPr>
          <w:rFonts w:ascii="Source Sans Pro" w:eastAsia="Calibri" w:hAnsi="Source Sans Pro" w:cs="Times New Roman"/>
        </w:rPr>
        <w:t xml:space="preserve"> Social media platforms incline individuals towards routine and habitual information disclosure.</w:t>
      </w:r>
      <w:r w:rsidRPr="00B65564">
        <w:rPr>
          <w:rFonts w:ascii="Source Sans Pro" w:eastAsia="Calibri" w:hAnsi="Source Sans Pro" w:cs="Times New Roman"/>
          <w:vertAlign w:val="superscript"/>
        </w:rPr>
        <w:endnoteReference w:id="40"/>
      </w:r>
      <w:r w:rsidRPr="00B65564">
        <w:rPr>
          <w:rFonts w:ascii="Source Sans Pro" w:eastAsia="Calibri" w:hAnsi="Source Sans Pro" w:cs="Times New Roman"/>
        </w:rPr>
        <w:t xml:space="preserve"> Hence, individual responsibility put on users and their parents to manage and control their data through consent models is not ultimately effective. </w:t>
      </w:r>
    </w:p>
    <w:p w14:paraId="2C5C07B9" w14:textId="77777777" w:rsidR="00E25E3D" w:rsidRPr="00B65564" w:rsidRDefault="00E25E3D" w:rsidP="0067091E">
      <w:pPr>
        <w:jc w:val="both"/>
        <w:rPr>
          <w:rFonts w:ascii="Source Sans Pro" w:eastAsia="Calibri" w:hAnsi="Source Sans Pro" w:cs="Times New Roman"/>
        </w:rPr>
      </w:pPr>
    </w:p>
    <w:p w14:paraId="61A1198C" w14:textId="77777777" w:rsidR="00E25E3D" w:rsidRPr="00B65564" w:rsidRDefault="00E25E3D" w:rsidP="0067091E">
      <w:pPr>
        <w:jc w:val="both"/>
        <w:rPr>
          <w:rFonts w:ascii="Source Sans Pro" w:eastAsia="Calibri" w:hAnsi="Source Sans Pro" w:cs="Times New Roman"/>
        </w:rPr>
      </w:pPr>
      <w:proofErr w:type="spellStart"/>
      <w:r w:rsidRPr="00B65564">
        <w:rPr>
          <w:rFonts w:ascii="Source Sans Pro" w:eastAsia="Calibri" w:hAnsi="Source Sans Pro" w:cs="Times New Roman"/>
        </w:rPr>
        <w:t>Steeves</w:t>
      </w:r>
      <w:proofErr w:type="spellEnd"/>
      <w:r w:rsidRPr="00B65564">
        <w:rPr>
          <w:rFonts w:ascii="Source Sans Pro" w:eastAsia="Calibri" w:hAnsi="Source Sans Pro" w:cs="Times New Roman"/>
        </w:rPr>
        <w:t xml:space="preserve"> argues that all consent models have done is legitimise the collection and use of data by digital platforms.</w:t>
      </w:r>
      <w:r w:rsidRPr="00B65564">
        <w:rPr>
          <w:rFonts w:ascii="Source Sans Pro" w:eastAsia="Calibri" w:hAnsi="Source Sans Pro" w:cs="Times New Roman"/>
          <w:vertAlign w:val="superscript"/>
        </w:rPr>
        <w:endnoteReference w:id="41"/>
      </w:r>
      <w:r w:rsidRPr="00B65564">
        <w:rPr>
          <w:rFonts w:ascii="Source Sans Pro" w:eastAsia="Calibri" w:hAnsi="Source Sans Pro" w:cs="Times New Roman"/>
        </w:rPr>
        <w:t xml:space="preserve"> This is because despite implementation of parental consent, and general consent regulations by governments, surveillance and data capture have continued.</w:t>
      </w:r>
      <w:r w:rsidRPr="00B65564">
        <w:rPr>
          <w:rFonts w:ascii="Source Sans Pro" w:eastAsia="Calibri" w:hAnsi="Source Sans Pro" w:cs="Times New Roman"/>
          <w:vertAlign w:val="superscript"/>
        </w:rPr>
        <w:endnoteReference w:id="42"/>
      </w:r>
      <w:r w:rsidRPr="00B65564">
        <w:rPr>
          <w:rFonts w:ascii="Source Sans Pro" w:eastAsia="Calibri" w:hAnsi="Source Sans Pro" w:cs="Times New Roman"/>
        </w:rPr>
        <w:t xml:space="preserve"> It has done nothing to actively curb the invasive practices of online platforms, but merely allows it to occur under accepted terms.  </w:t>
      </w:r>
    </w:p>
    <w:p w14:paraId="7C5E0BCA" w14:textId="77777777" w:rsidR="00E25E3D" w:rsidRPr="00B65564" w:rsidRDefault="00E25E3D" w:rsidP="0067091E">
      <w:pPr>
        <w:jc w:val="both"/>
        <w:rPr>
          <w:rFonts w:ascii="Source Sans Pro" w:eastAsia="Calibri" w:hAnsi="Source Sans Pro" w:cs="Times New Roman"/>
        </w:rPr>
      </w:pPr>
    </w:p>
    <w:p w14:paraId="3EF72EDB" w14:textId="77777777" w:rsidR="00E25E3D" w:rsidRPr="00B65564" w:rsidRDefault="00E25E3D" w:rsidP="0067091E">
      <w:pPr>
        <w:jc w:val="both"/>
        <w:rPr>
          <w:rFonts w:ascii="Source Sans Pro" w:eastAsia="Calibri" w:hAnsi="Source Sans Pro" w:cs="Times New Roman"/>
        </w:rPr>
      </w:pPr>
      <w:r w:rsidRPr="00B65564">
        <w:rPr>
          <w:rFonts w:ascii="Source Sans Pro" w:eastAsia="Calibri" w:hAnsi="Source Sans Pro" w:cs="Times New Roman"/>
        </w:rPr>
        <w:t>Therefore, recommendations for regulatory frameworks should move away from consent systems of individual accountability and towards frameworks that shift responsibility back onto digital platforms themselves.</w:t>
      </w:r>
      <w:r w:rsidRPr="00B65564">
        <w:rPr>
          <w:rFonts w:ascii="Source Sans Pro" w:eastAsia="Calibri" w:hAnsi="Source Sans Pro" w:cs="Times New Roman"/>
          <w:vertAlign w:val="superscript"/>
        </w:rPr>
        <w:endnoteReference w:id="43"/>
      </w:r>
      <w:r w:rsidRPr="00B65564">
        <w:rPr>
          <w:rFonts w:ascii="Source Sans Pro" w:eastAsia="Calibri" w:hAnsi="Source Sans Pro" w:cs="Times New Roman"/>
        </w:rPr>
        <w:t xml:space="preserve"> </w:t>
      </w:r>
    </w:p>
    <w:p w14:paraId="2BCD65BF" w14:textId="473601DC" w:rsidR="00E25E3D" w:rsidRDefault="00E25E3D" w:rsidP="0067091E">
      <w:pPr>
        <w:jc w:val="both"/>
        <w:rPr>
          <w:rFonts w:ascii="Source Sans Pro" w:eastAsia="Calibri" w:hAnsi="Source Sans Pro" w:cs="Times New Roman"/>
          <w:lang w:val="en-US"/>
        </w:rPr>
      </w:pPr>
    </w:p>
    <w:p w14:paraId="7DF2405E" w14:textId="77777777" w:rsidR="00E25E3D" w:rsidRPr="00B65564" w:rsidRDefault="00E25E3D" w:rsidP="0067091E">
      <w:pPr>
        <w:jc w:val="both"/>
        <w:rPr>
          <w:rFonts w:ascii="Source Sans Pro" w:eastAsia="Calibri" w:hAnsi="Source Sans Pro" w:cs="Times New Roman"/>
          <w:lang w:val="en-US"/>
        </w:rPr>
      </w:pPr>
    </w:p>
    <w:p w14:paraId="01C5103B" w14:textId="77777777" w:rsidR="00E25E3D" w:rsidRPr="00B65564" w:rsidRDefault="00E25E3D" w:rsidP="0067091E">
      <w:pPr>
        <w:jc w:val="both"/>
        <w:rPr>
          <w:rFonts w:ascii="Source Sans Pro" w:eastAsia="Calibri" w:hAnsi="Source Sans Pro" w:cs="Times New Roman"/>
          <w:b/>
          <w:bCs/>
          <w:lang w:val="en-US"/>
        </w:rPr>
      </w:pPr>
      <w:r w:rsidRPr="00B65564">
        <w:rPr>
          <w:rFonts w:ascii="Source Sans Pro" w:eastAsia="Calibri" w:hAnsi="Source Sans Pro" w:cs="Times New Roman"/>
          <w:b/>
          <w:bCs/>
          <w:lang w:val="en-US"/>
        </w:rPr>
        <w:t>IV AN ALTERNATIVE FRAMEWORK</w:t>
      </w:r>
    </w:p>
    <w:p w14:paraId="000C519F" w14:textId="77777777" w:rsidR="00E25E3D" w:rsidRPr="00B65564" w:rsidRDefault="00E25E3D" w:rsidP="0067091E">
      <w:pPr>
        <w:jc w:val="both"/>
        <w:rPr>
          <w:rFonts w:ascii="Source Sans Pro" w:eastAsia="Calibri" w:hAnsi="Source Sans Pro" w:cs="Times New Roman"/>
          <w:b/>
          <w:u w:val="single"/>
          <w:lang w:val="en-US"/>
        </w:rPr>
      </w:pPr>
    </w:p>
    <w:p w14:paraId="73A3FE5A" w14:textId="77777777" w:rsidR="00E25E3D" w:rsidRPr="00B65564" w:rsidRDefault="00E25E3D" w:rsidP="0067091E">
      <w:pPr>
        <w:jc w:val="both"/>
        <w:rPr>
          <w:rFonts w:ascii="Source Sans Pro" w:eastAsia="Calibri" w:hAnsi="Source Sans Pro" w:cs="Times New Roman"/>
          <w:color w:val="000000"/>
        </w:rPr>
      </w:pPr>
      <w:r w:rsidRPr="00B65564">
        <w:rPr>
          <w:rFonts w:ascii="Source Sans Pro" w:eastAsia="Calibri" w:hAnsi="Source Sans Pro" w:cs="Times New Roman"/>
          <w:color w:val="000000"/>
        </w:rPr>
        <w:t xml:space="preserve">The ‘Safety by Design’ initiative of the Australian </w:t>
      </w:r>
      <w:proofErr w:type="spellStart"/>
      <w:r w:rsidRPr="00B65564">
        <w:rPr>
          <w:rFonts w:ascii="Source Sans Pro" w:eastAsia="Calibri" w:hAnsi="Source Sans Pro" w:cs="Times New Roman"/>
          <w:color w:val="000000"/>
        </w:rPr>
        <w:t>eSafetyComissioner</w:t>
      </w:r>
      <w:proofErr w:type="spellEnd"/>
      <w:r w:rsidRPr="00B65564">
        <w:rPr>
          <w:rFonts w:ascii="Source Sans Pro" w:eastAsia="Calibri" w:hAnsi="Source Sans Pro" w:cs="Times New Roman"/>
          <w:color w:val="000000"/>
        </w:rPr>
        <w:t xml:space="preserve"> is one example of a potential alternative approach. Created through extensive consultation with young Australians,</w:t>
      </w:r>
      <w:r w:rsidRPr="00B65564">
        <w:rPr>
          <w:rFonts w:ascii="Source Sans Pro" w:eastAsia="Calibri" w:hAnsi="Source Sans Pro" w:cs="Times New Roman"/>
          <w:color w:val="000000"/>
          <w:vertAlign w:val="superscript"/>
        </w:rPr>
        <w:endnoteReference w:id="44"/>
      </w:r>
      <w:r w:rsidRPr="00B65564">
        <w:rPr>
          <w:rFonts w:ascii="Source Sans Pro" w:eastAsia="Calibri" w:hAnsi="Source Sans Pro" w:cs="Times New Roman"/>
          <w:color w:val="000000"/>
        </w:rPr>
        <w:t xml:space="preserve"> the report outlines a series of voluntary design reforms for digital platforms.</w:t>
      </w:r>
      <w:r w:rsidRPr="00B65564">
        <w:rPr>
          <w:rFonts w:ascii="Source Sans Pro" w:eastAsia="Calibri" w:hAnsi="Source Sans Pro" w:cs="Times New Roman"/>
          <w:color w:val="000000"/>
          <w:vertAlign w:val="superscript"/>
        </w:rPr>
        <w:endnoteReference w:id="45"/>
      </w:r>
      <w:r w:rsidRPr="00B65564">
        <w:rPr>
          <w:rFonts w:ascii="Source Sans Pro" w:eastAsia="Calibri" w:hAnsi="Source Sans Pro" w:cs="Times New Roman"/>
          <w:color w:val="000000"/>
        </w:rPr>
        <w:t xml:space="preserve"> It seeks to shift the responsibility for safety away from children and onto technology companies.</w:t>
      </w:r>
      <w:r w:rsidRPr="00B65564">
        <w:rPr>
          <w:rFonts w:ascii="Source Sans Pro" w:eastAsia="Calibri" w:hAnsi="Source Sans Pro" w:cs="Times New Roman"/>
          <w:color w:val="000000"/>
          <w:vertAlign w:val="superscript"/>
        </w:rPr>
        <w:endnoteReference w:id="46"/>
      </w:r>
    </w:p>
    <w:p w14:paraId="7561BF5E" w14:textId="77777777" w:rsidR="00E25E3D" w:rsidRPr="00B65564" w:rsidRDefault="00E25E3D" w:rsidP="0067091E">
      <w:pPr>
        <w:jc w:val="both"/>
        <w:rPr>
          <w:rFonts w:ascii="Source Sans Pro" w:eastAsia="Calibri" w:hAnsi="Source Sans Pro" w:cs="Times New Roman"/>
          <w:color w:val="000000"/>
        </w:rPr>
      </w:pPr>
    </w:p>
    <w:p w14:paraId="41F77202" w14:textId="07F40AAA" w:rsidR="00E25E3D" w:rsidRPr="00B65564" w:rsidRDefault="00E25E3D" w:rsidP="0067091E">
      <w:pPr>
        <w:numPr>
          <w:ilvl w:val="0"/>
          <w:numId w:val="8"/>
        </w:numPr>
        <w:shd w:val="clear" w:color="auto" w:fill="FFFFFF"/>
        <w:tabs>
          <w:tab w:val="num" w:pos="360"/>
        </w:tabs>
        <w:spacing w:after="270"/>
        <w:ind w:left="0"/>
        <w:jc w:val="both"/>
        <w:textAlignment w:val="baseline"/>
        <w:rPr>
          <w:rFonts w:ascii="Source Sans Pro" w:eastAsia="Calibri" w:hAnsi="Source Sans Pro" w:cs="Times New Roman"/>
          <w:color w:val="000000"/>
          <w:lang w:val="en-US"/>
        </w:rPr>
      </w:pPr>
      <w:r w:rsidRPr="00B65564">
        <w:rPr>
          <w:rFonts w:ascii="Source Sans Pro" w:eastAsia="Calibri" w:hAnsi="Source Sans Pro" w:cs="Times New Roman"/>
          <w:color w:val="000000"/>
          <w:lang w:val="en-US"/>
        </w:rPr>
        <w:t>Key recommendations were focused around three principles: service provider responsibility, user empowerment and autonomy, and transparency and accountability.</w:t>
      </w:r>
      <w:r w:rsidRPr="00B65564">
        <w:rPr>
          <w:rFonts w:ascii="Source Sans Pro" w:eastAsia="Calibri" w:hAnsi="Source Sans Pro" w:cs="Times New Roman"/>
          <w:color w:val="000000"/>
          <w:vertAlign w:val="superscript"/>
          <w:lang w:val="en-US"/>
        </w:rPr>
        <w:endnoteReference w:id="47"/>
      </w:r>
      <w:r w:rsidRPr="00B65564">
        <w:rPr>
          <w:rFonts w:ascii="Source Sans Pro" w:eastAsia="Calibri" w:hAnsi="Source Sans Pro" w:cs="Times New Roman"/>
          <w:color w:val="000000"/>
          <w:lang w:val="en-US"/>
        </w:rPr>
        <w:t xml:space="preserve"> </w:t>
      </w:r>
      <w:r w:rsidR="002E43EE">
        <w:rPr>
          <w:rFonts w:ascii="Source Sans Pro" w:eastAsia="Calibri" w:hAnsi="Source Sans Pro" w:cs="Times New Roman"/>
          <w:color w:val="000000"/>
          <w:lang w:val="en-US"/>
        </w:rPr>
        <w:t>Privacy recommendations</w:t>
      </w:r>
      <w:r w:rsidRPr="00B65564">
        <w:rPr>
          <w:rFonts w:ascii="Source Sans Pro" w:eastAsia="Calibri" w:hAnsi="Source Sans Pro" w:cs="Times New Roman"/>
          <w:color w:val="000000"/>
          <w:lang w:val="en-US"/>
        </w:rPr>
        <w:t xml:space="preserve"> include ensuring terms and conditions of use, and data use policies are easy to find and understand and users should be notified directly of any changes through “in</w:t>
      </w:r>
      <w:r w:rsidR="001223BA">
        <w:rPr>
          <w:rFonts w:ascii="Source Sans Pro" w:eastAsia="Calibri" w:hAnsi="Source Sans Pro" w:cs="Times New Roman"/>
          <w:color w:val="000000"/>
          <w:lang w:val="en-US"/>
        </w:rPr>
        <w:t>-</w:t>
      </w:r>
      <w:r w:rsidRPr="00B65564">
        <w:rPr>
          <w:rFonts w:ascii="Source Sans Pro" w:eastAsia="Calibri" w:hAnsi="Source Sans Pro" w:cs="Times New Roman"/>
          <w:color w:val="000000"/>
          <w:lang w:val="en-US"/>
        </w:rPr>
        <w:t>service communications”.</w:t>
      </w:r>
      <w:r w:rsidRPr="00B65564">
        <w:rPr>
          <w:rFonts w:ascii="Source Sans Pro" w:eastAsia="Calibri" w:hAnsi="Source Sans Pro" w:cs="Times New Roman"/>
          <w:color w:val="000000"/>
          <w:vertAlign w:val="superscript"/>
          <w:lang w:val="en-US"/>
        </w:rPr>
        <w:endnoteReference w:id="48"/>
      </w:r>
      <w:r w:rsidRPr="00B65564">
        <w:rPr>
          <w:rFonts w:ascii="Source Sans Pro" w:eastAsia="Calibri" w:hAnsi="Source Sans Pro" w:cs="Times New Roman"/>
          <w:color w:val="000000"/>
          <w:lang w:val="en-US"/>
        </w:rPr>
        <w:t xml:space="preserve">  Furthermore, young people should be actively notified of which third party companies have access to their information and how their information is being used.</w:t>
      </w:r>
      <w:r w:rsidRPr="00B65564">
        <w:rPr>
          <w:rFonts w:ascii="Source Sans Pro" w:eastAsia="Calibri" w:hAnsi="Source Sans Pro" w:cs="Times New Roman"/>
          <w:color w:val="000000"/>
          <w:vertAlign w:val="superscript"/>
          <w:lang w:val="en-US"/>
        </w:rPr>
        <w:endnoteReference w:id="49"/>
      </w:r>
      <w:r w:rsidRPr="00B65564">
        <w:rPr>
          <w:rFonts w:ascii="Source Sans Pro" w:eastAsia="Calibri" w:hAnsi="Source Sans Pro" w:cs="Times New Roman"/>
          <w:color w:val="000000"/>
          <w:lang w:val="en-US"/>
        </w:rPr>
        <w:t xml:space="preserve"> Finally, children should be able to have more active control over what personal data is collected and stored.</w:t>
      </w:r>
      <w:r w:rsidRPr="00B65564">
        <w:rPr>
          <w:rFonts w:ascii="Source Sans Pro" w:eastAsia="Calibri" w:hAnsi="Source Sans Pro" w:cs="Times New Roman"/>
          <w:color w:val="000000"/>
          <w:vertAlign w:val="superscript"/>
          <w:lang w:val="en-US"/>
        </w:rPr>
        <w:endnoteReference w:id="50"/>
      </w:r>
      <w:r w:rsidRPr="00B65564">
        <w:rPr>
          <w:rFonts w:ascii="Source Sans Pro" w:eastAsia="Calibri" w:hAnsi="Source Sans Pro" w:cs="Times New Roman"/>
          <w:color w:val="000000"/>
          <w:lang w:val="en-US"/>
        </w:rPr>
        <w:t xml:space="preserve"> </w:t>
      </w:r>
    </w:p>
    <w:p w14:paraId="4CDD901E" w14:textId="6323B193" w:rsidR="00E25E3D" w:rsidRPr="00B65564" w:rsidRDefault="00E25E3D" w:rsidP="0067091E">
      <w:pPr>
        <w:jc w:val="both"/>
        <w:rPr>
          <w:rFonts w:ascii="Source Sans Pro" w:eastAsia="Calibri" w:hAnsi="Source Sans Pro" w:cs="Times New Roman"/>
        </w:rPr>
      </w:pPr>
      <w:r w:rsidRPr="00B65564">
        <w:rPr>
          <w:rFonts w:ascii="Source Sans Pro" w:eastAsia="Calibri" w:hAnsi="Source Sans Pro" w:cs="Times New Roman"/>
        </w:rPr>
        <w:t xml:space="preserve">These principles should apply not just </w:t>
      </w:r>
      <w:r w:rsidR="002E43EE">
        <w:rPr>
          <w:rFonts w:ascii="Source Sans Pro" w:eastAsia="Calibri" w:hAnsi="Source Sans Pro" w:cs="Times New Roman"/>
        </w:rPr>
        <w:t>for children, but across all ages</w:t>
      </w:r>
      <w:r w:rsidRPr="00B65564">
        <w:rPr>
          <w:rFonts w:ascii="Source Sans Pro" w:eastAsia="Calibri" w:hAnsi="Source Sans Pro" w:cs="Times New Roman"/>
        </w:rPr>
        <w:t xml:space="preserve">. As we begin to understand the pervasive nature of the problems of digital platform’s data capture and use practices, adequate protection for children involves the strengthening of privacy rights for </w:t>
      </w:r>
      <w:r w:rsidR="002E43EE">
        <w:rPr>
          <w:rFonts w:ascii="Source Sans Pro" w:eastAsia="Calibri" w:hAnsi="Source Sans Pro" w:cs="Times New Roman"/>
        </w:rPr>
        <w:t>everyone</w:t>
      </w:r>
      <w:r w:rsidRPr="00B65564">
        <w:rPr>
          <w:rFonts w:ascii="Source Sans Pro" w:eastAsia="Calibri" w:hAnsi="Source Sans Pro" w:cs="Times New Roman"/>
        </w:rPr>
        <w:t xml:space="preserve">. </w:t>
      </w:r>
    </w:p>
    <w:p w14:paraId="6AEE9D1F" w14:textId="77777777" w:rsidR="00E25E3D" w:rsidRPr="00B65564" w:rsidRDefault="00E25E3D" w:rsidP="0067091E">
      <w:pPr>
        <w:jc w:val="both"/>
        <w:rPr>
          <w:rFonts w:ascii="Source Sans Pro" w:eastAsia="Calibri" w:hAnsi="Source Sans Pro" w:cs="Times New Roman"/>
        </w:rPr>
      </w:pPr>
    </w:p>
    <w:p w14:paraId="72A16F5B" w14:textId="0A738F37" w:rsidR="00E25E3D" w:rsidRPr="0067091E" w:rsidRDefault="002E43EE" w:rsidP="0067091E">
      <w:pPr>
        <w:numPr>
          <w:ilvl w:val="0"/>
          <w:numId w:val="8"/>
        </w:numPr>
        <w:shd w:val="clear" w:color="auto" w:fill="FFFFFF"/>
        <w:tabs>
          <w:tab w:val="num" w:pos="360"/>
        </w:tabs>
        <w:spacing w:after="270"/>
        <w:ind w:left="0"/>
        <w:jc w:val="both"/>
        <w:textAlignment w:val="baseline"/>
        <w:rPr>
          <w:rFonts w:ascii="Source Sans Pro" w:eastAsia="Calibri" w:hAnsi="Source Sans Pro" w:cs="Times New Roman"/>
          <w:color w:val="000000"/>
          <w:lang w:val="en-US"/>
        </w:rPr>
      </w:pPr>
      <w:r>
        <w:rPr>
          <w:rFonts w:ascii="Source Sans Pro" w:eastAsia="Calibri" w:hAnsi="Source Sans Pro" w:cs="Times New Roman"/>
          <w:color w:val="000000"/>
          <w:lang w:val="en-US"/>
        </w:rPr>
        <w:t>T</w:t>
      </w:r>
      <w:r w:rsidR="00E25E3D" w:rsidRPr="00B65564">
        <w:rPr>
          <w:rFonts w:ascii="Source Sans Pro" w:eastAsia="Calibri" w:hAnsi="Source Sans Pro" w:cs="Times New Roman"/>
          <w:color w:val="000000"/>
          <w:lang w:val="en-US"/>
        </w:rPr>
        <w:t xml:space="preserve">he effectiveness of this proposed framework is undermined by the fact that implementation is voluntary for digital platforms. With digital platforms </w:t>
      </w:r>
      <w:proofErr w:type="spellStart"/>
      <w:r w:rsidR="00E25E3D" w:rsidRPr="00B65564">
        <w:rPr>
          <w:rFonts w:ascii="Source Sans Pro" w:eastAsia="Calibri" w:hAnsi="Source Sans Pro" w:cs="Times New Roman"/>
          <w:color w:val="000000"/>
          <w:lang w:val="en-US"/>
        </w:rPr>
        <w:t>incentivised</w:t>
      </w:r>
      <w:proofErr w:type="spellEnd"/>
      <w:r w:rsidR="00E25E3D" w:rsidRPr="00B65564">
        <w:rPr>
          <w:rFonts w:ascii="Source Sans Pro" w:eastAsia="Calibri" w:hAnsi="Source Sans Pro" w:cs="Times New Roman"/>
          <w:color w:val="000000"/>
          <w:lang w:val="en-US"/>
        </w:rPr>
        <w:t xml:space="preserve"> by existing business models to continue to capture, sell and trade as much user data as possible, it is unlikely that encouraging digital platforms to voluntarily incorporate these design reforms will effectively lead to widespread adoption. Nonetheless, these </w:t>
      </w:r>
      <w:r>
        <w:rPr>
          <w:rFonts w:ascii="Source Sans Pro" w:eastAsia="Calibri" w:hAnsi="Source Sans Pro" w:cs="Times New Roman"/>
          <w:color w:val="000000"/>
          <w:lang w:val="en-US"/>
        </w:rPr>
        <w:t>recommendations</w:t>
      </w:r>
      <w:r w:rsidR="00E25E3D" w:rsidRPr="00B65564">
        <w:rPr>
          <w:rFonts w:ascii="Source Sans Pro" w:eastAsia="Calibri" w:hAnsi="Source Sans Pro" w:cs="Times New Roman"/>
          <w:color w:val="000000"/>
          <w:lang w:val="en-US"/>
        </w:rPr>
        <w:t xml:space="preserve"> </w:t>
      </w:r>
      <w:r>
        <w:rPr>
          <w:rFonts w:ascii="Source Sans Pro" w:eastAsia="Calibri" w:hAnsi="Source Sans Pro" w:cs="Times New Roman"/>
          <w:color w:val="000000"/>
          <w:lang w:val="en-US"/>
        </w:rPr>
        <w:t>are a</w:t>
      </w:r>
      <w:r w:rsidR="00E25E3D" w:rsidRPr="00B65564">
        <w:rPr>
          <w:rFonts w:ascii="Source Sans Pro" w:eastAsia="Calibri" w:hAnsi="Source Sans Pro" w:cs="Times New Roman"/>
          <w:color w:val="000000"/>
          <w:lang w:val="en-US"/>
        </w:rPr>
        <w:t xml:space="preserve"> helpful starting point for ensuring online environment are safer for children. </w:t>
      </w:r>
    </w:p>
    <w:p w14:paraId="3C2E71B4" w14:textId="77777777" w:rsidR="00E25E3D" w:rsidRDefault="00E25E3D" w:rsidP="0067091E">
      <w:pPr>
        <w:numPr>
          <w:ilvl w:val="0"/>
          <w:numId w:val="8"/>
        </w:numPr>
        <w:shd w:val="clear" w:color="auto" w:fill="FFFFFF"/>
        <w:tabs>
          <w:tab w:val="num" w:pos="360"/>
        </w:tabs>
        <w:spacing w:after="270"/>
        <w:ind w:left="0"/>
        <w:jc w:val="both"/>
        <w:textAlignment w:val="baseline"/>
        <w:rPr>
          <w:rFonts w:ascii="Source Sans Pro" w:eastAsia="Calibri" w:hAnsi="Source Sans Pro" w:cs="Times New Roman"/>
          <w:b/>
          <w:bCs/>
          <w:color w:val="000000"/>
          <w:lang w:val="en-US"/>
        </w:rPr>
      </w:pPr>
    </w:p>
    <w:p w14:paraId="4F2B754A" w14:textId="22DE1092" w:rsidR="00E25E3D" w:rsidRPr="00B65564" w:rsidRDefault="00E25E3D" w:rsidP="0067091E">
      <w:pPr>
        <w:numPr>
          <w:ilvl w:val="0"/>
          <w:numId w:val="8"/>
        </w:numPr>
        <w:shd w:val="clear" w:color="auto" w:fill="FFFFFF"/>
        <w:tabs>
          <w:tab w:val="num" w:pos="360"/>
        </w:tabs>
        <w:spacing w:after="270"/>
        <w:ind w:left="0"/>
        <w:jc w:val="both"/>
        <w:textAlignment w:val="baseline"/>
        <w:rPr>
          <w:rFonts w:ascii="Source Sans Pro" w:eastAsia="Calibri" w:hAnsi="Source Sans Pro" w:cs="Times New Roman"/>
          <w:b/>
          <w:bCs/>
          <w:color w:val="000000"/>
          <w:lang w:val="en-US"/>
        </w:rPr>
      </w:pPr>
      <w:r w:rsidRPr="00B65564">
        <w:rPr>
          <w:rFonts w:ascii="Source Sans Pro" w:eastAsia="Calibri" w:hAnsi="Source Sans Pro" w:cs="Times New Roman"/>
          <w:b/>
          <w:bCs/>
          <w:color w:val="000000"/>
          <w:lang w:val="en-US"/>
        </w:rPr>
        <w:t>V RECOMMENDATIONS FOR THE DRAFT COMMENT</w:t>
      </w:r>
    </w:p>
    <w:p w14:paraId="513F7FBC" w14:textId="77777777" w:rsidR="00E25E3D" w:rsidRPr="00B65564" w:rsidRDefault="00E25E3D" w:rsidP="0067091E">
      <w:pPr>
        <w:jc w:val="both"/>
        <w:rPr>
          <w:rFonts w:ascii="Source Sans Pro" w:eastAsia="Times New Roman" w:hAnsi="Source Sans Pro" w:cs="Times New Roman"/>
          <w:i/>
          <w:strike/>
          <w:color w:val="000000"/>
          <w:lang w:val="en-US"/>
        </w:rPr>
      </w:pPr>
      <w:r w:rsidRPr="00B65564">
        <w:rPr>
          <w:rFonts w:ascii="Source Sans Pro" w:eastAsia="Calibri" w:hAnsi="Source Sans Pro" w:cs="Times New Roman"/>
          <w:i/>
          <w:lang w:val="en-US"/>
        </w:rPr>
        <w:t>A Recommendations Under Article 6</w:t>
      </w:r>
    </w:p>
    <w:p w14:paraId="0C141FB3" w14:textId="77777777" w:rsidR="00E25E3D" w:rsidRPr="00B65564" w:rsidRDefault="00E25E3D" w:rsidP="0067091E">
      <w:pPr>
        <w:jc w:val="both"/>
        <w:rPr>
          <w:rFonts w:ascii="Source Sans Pro" w:eastAsia="Calibri" w:hAnsi="Source Sans Pro" w:cs="Times New Roman"/>
          <w:lang w:val="en-US"/>
        </w:rPr>
      </w:pPr>
    </w:p>
    <w:p w14:paraId="7B10C5AE" w14:textId="77777777" w:rsidR="00E25E3D" w:rsidRPr="00B65564" w:rsidRDefault="00E25E3D" w:rsidP="0067091E">
      <w:pPr>
        <w:jc w:val="both"/>
        <w:rPr>
          <w:rFonts w:ascii="Source Sans Pro" w:eastAsia="Times New Roman" w:hAnsi="Source Sans Pro" w:cs="Arial"/>
          <w:color w:val="000000"/>
          <w:lang w:val="en-US"/>
        </w:rPr>
      </w:pPr>
      <w:r w:rsidRPr="00B65564">
        <w:rPr>
          <w:rFonts w:ascii="Source Sans Pro" w:eastAsia="Calibri" w:hAnsi="Source Sans Pro" w:cs="Times New Roman"/>
          <w:lang w:val="en-US"/>
        </w:rPr>
        <w:t xml:space="preserve">The Draft Comment does not include any discussion of how digital surveillance and data capture practices can impact children’s right to development and life in the long term. This is a significant gap. A paragraph </w:t>
      </w:r>
      <w:r w:rsidRPr="00B65564">
        <w:rPr>
          <w:rFonts w:ascii="Source Sans Pro" w:eastAsia="Calibri" w:hAnsi="Source Sans Pro" w:cs="Times New Roman"/>
          <w:lang w:val="en-US"/>
        </w:rPr>
        <w:lastRenderedPageBreak/>
        <w:t xml:space="preserve">should be inserted </w:t>
      </w:r>
      <w:r w:rsidRPr="00B65564">
        <w:rPr>
          <w:rFonts w:ascii="Source Sans Pro" w:eastAsia="Times New Roman" w:hAnsi="Source Sans Pro" w:cs="Arial"/>
          <w:color w:val="000000"/>
          <w:lang w:val="en-US"/>
        </w:rPr>
        <w:t>that actively acknowledges this risk and makes note of the potential areas of children’s lives where data misuse could be most harmful.</w:t>
      </w:r>
    </w:p>
    <w:p w14:paraId="4D7C9221" w14:textId="77777777" w:rsidR="00E25E3D" w:rsidRPr="00B65564" w:rsidRDefault="00E25E3D" w:rsidP="0067091E">
      <w:pPr>
        <w:jc w:val="both"/>
        <w:rPr>
          <w:rFonts w:ascii="Source Sans Pro" w:eastAsia="Calibri" w:hAnsi="Source Sans Pro" w:cs="Times New Roman"/>
          <w:lang w:val="en-US"/>
        </w:rPr>
      </w:pPr>
    </w:p>
    <w:p w14:paraId="3EFEE7CF" w14:textId="0F8F1A75" w:rsidR="00E25E3D" w:rsidRPr="00B65564" w:rsidRDefault="00E25E3D" w:rsidP="0067091E">
      <w:pPr>
        <w:jc w:val="both"/>
        <w:rPr>
          <w:rFonts w:ascii="Source Sans Pro" w:eastAsia="Times New Roman" w:hAnsi="Source Sans Pro" w:cs="Arial"/>
          <w:color w:val="000000"/>
          <w:lang w:val="en-US"/>
        </w:rPr>
      </w:pPr>
      <w:r w:rsidRPr="00B65564">
        <w:rPr>
          <w:rFonts w:ascii="Source Sans Pro" w:eastAsia="Calibri" w:hAnsi="Source Sans Pro" w:cs="Times New Roman"/>
          <w:lang w:val="en-US"/>
        </w:rPr>
        <w:t>We recommend that, b</w:t>
      </w:r>
      <w:r w:rsidRPr="00B65564">
        <w:rPr>
          <w:rFonts w:ascii="Source Sans Pro" w:eastAsia="Times New Roman" w:hAnsi="Source Sans Pro" w:cs="Arial"/>
          <w:color w:val="000000"/>
          <w:lang w:val="en-US"/>
        </w:rPr>
        <w:t>eyond the limitations already present in the GDPR and COPPA, states should legislate for a class of</w:t>
      </w:r>
      <w:r w:rsidR="00F33F12">
        <w:rPr>
          <w:rFonts w:ascii="Source Sans Pro" w:eastAsia="Times New Roman" w:hAnsi="Source Sans Pro" w:cs="Arial"/>
          <w:color w:val="000000"/>
          <w:lang w:val="en-US"/>
        </w:rPr>
        <w:t xml:space="preserve"> children’s</w:t>
      </w:r>
      <w:r w:rsidRPr="00B65564">
        <w:rPr>
          <w:rFonts w:ascii="Source Sans Pro" w:eastAsia="Times New Roman" w:hAnsi="Source Sans Pro" w:cs="Arial"/>
          <w:color w:val="000000"/>
          <w:lang w:val="en-US"/>
        </w:rPr>
        <w:t xml:space="preserve"> data</w:t>
      </w:r>
      <w:r w:rsidR="00F33F12">
        <w:rPr>
          <w:rFonts w:ascii="Source Sans Pro" w:eastAsia="Times New Roman" w:hAnsi="Source Sans Pro" w:cs="Arial"/>
          <w:color w:val="000000"/>
          <w:lang w:val="en-US"/>
        </w:rPr>
        <w:t xml:space="preserve"> forbidden </w:t>
      </w:r>
      <w:r w:rsidR="00934251">
        <w:rPr>
          <w:rFonts w:ascii="Source Sans Pro" w:eastAsia="Times New Roman" w:hAnsi="Source Sans Pro" w:cs="Arial"/>
          <w:color w:val="000000"/>
          <w:lang w:val="en-US"/>
        </w:rPr>
        <w:t xml:space="preserve">from retention, storage, on-selling, or sharing </w:t>
      </w:r>
      <w:r w:rsidRPr="00B65564">
        <w:rPr>
          <w:rFonts w:ascii="Source Sans Pro" w:eastAsia="Times New Roman" w:hAnsi="Source Sans Pro" w:cs="Arial"/>
          <w:color w:val="000000"/>
          <w:lang w:val="en-US"/>
        </w:rPr>
        <w:t xml:space="preserve">by digital platforms under any circumstances. This could include any data collected from a child that could foreseeably impact that child’s rights, now or in the future. This means there should be certain circumstances where “legitimate, overriding grounds” for the collection and processing of certain data is not a permissible </w:t>
      </w:r>
      <w:proofErr w:type="spellStart"/>
      <w:r w:rsidRPr="00B65564">
        <w:rPr>
          <w:rFonts w:ascii="Source Sans Pro" w:eastAsia="Times New Roman" w:hAnsi="Source Sans Pro" w:cs="Arial"/>
          <w:color w:val="000000"/>
          <w:lang w:val="en-US"/>
        </w:rPr>
        <w:t>defence</w:t>
      </w:r>
      <w:proofErr w:type="spellEnd"/>
      <w:r w:rsidRPr="00B65564">
        <w:rPr>
          <w:rFonts w:ascii="Source Sans Pro" w:eastAsia="Times New Roman" w:hAnsi="Source Sans Pro" w:cs="Arial"/>
          <w:color w:val="000000"/>
          <w:lang w:val="en-US"/>
        </w:rPr>
        <w:t xml:space="preserve"> for data controllers. </w:t>
      </w:r>
    </w:p>
    <w:p w14:paraId="540FD8A6" w14:textId="77777777" w:rsidR="00E25E3D" w:rsidRPr="00B65564" w:rsidRDefault="00E25E3D" w:rsidP="0067091E">
      <w:pPr>
        <w:jc w:val="both"/>
        <w:rPr>
          <w:rFonts w:ascii="Source Sans Pro" w:eastAsia="Times New Roman" w:hAnsi="Source Sans Pro" w:cs="Times New Roman"/>
          <w:lang w:val="en-US"/>
        </w:rPr>
      </w:pPr>
    </w:p>
    <w:p w14:paraId="7EF73A15" w14:textId="37562295" w:rsidR="00E25E3D" w:rsidRPr="00B65564" w:rsidRDefault="00E25E3D" w:rsidP="0067091E">
      <w:pPr>
        <w:jc w:val="both"/>
        <w:rPr>
          <w:rFonts w:ascii="Source Sans Pro" w:eastAsia="Calibri" w:hAnsi="Source Sans Pro" w:cs="Times New Roman"/>
          <w:lang w:val="en-US"/>
        </w:rPr>
      </w:pPr>
      <w:r w:rsidRPr="00B65564">
        <w:rPr>
          <w:rFonts w:ascii="Source Sans Pro" w:eastAsia="Calibri" w:hAnsi="Source Sans Pro" w:cs="Times New Roman"/>
          <w:lang w:val="en-US"/>
        </w:rPr>
        <w:t xml:space="preserve">We also suggest that states legislate to make many of the key design recommendations from above </w:t>
      </w:r>
      <w:r w:rsidRPr="00934251">
        <w:rPr>
          <w:rFonts w:ascii="Source Sans Pro" w:eastAsia="Calibri" w:hAnsi="Source Sans Pro" w:cs="Times New Roman"/>
          <w:b/>
          <w:bCs/>
          <w:lang w:val="en-US"/>
        </w:rPr>
        <w:t>compulsory</w:t>
      </w:r>
      <w:r w:rsidRPr="00B65564">
        <w:rPr>
          <w:rFonts w:ascii="Source Sans Pro" w:eastAsia="Calibri" w:hAnsi="Source Sans Pro" w:cs="Times New Roman"/>
          <w:lang w:val="en-US"/>
        </w:rPr>
        <w:t xml:space="preserve"> for digital platforms with children users. In particular, children and parents must be notified through in</w:t>
      </w:r>
      <w:r w:rsidR="00934251">
        <w:rPr>
          <w:rFonts w:ascii="Source Sans Pro" w:eastAsia="Calibri" w:hAnsi="Source Sans Pro" w:cs="Times New Roman"/>
          <w:lang w:val="en-US"/>
        </w:rPr>
        <w:t>-</w:t>
      </w:r>
      <w:r w:rsidRPr="00B65564">
        <w:rPr>
          <w:rFonts w:ascii="Source Sans Pro" w:eastAsia="Calibri" w:hAnsi="Source Sans Pro" w:cs="Times New Roman"/>
          <w:lang w:val="en-US"/>
        </w:rPr>
        <w:t xml:space="preserve">service communication when any </w:t>
      </w:r>
      <w:proofErr w:type="gramStart"/>
      <w:r w:rsidRPr="00B65564">
        <w:rPr>
          <w:rFonts w:ascii="Source Sans Pro" w:eastAsia="Calibri" w:hAnsi="Source Sans Pro" w:cs="Times New Roman"/>
          <w:lang w:val="en-US"/>
        </w:rPr>
        <w:t>third party</w:t>
      </w:r>
      <w:proofErr w:type="gramEnd"/>
      <w:r w:rsidRPr="00B65564">
        <w:rPr>
          <w:rFonts w:ascii="Source Sans Pro" w:eastAsia="Calibri" w:hAnsi="Source Sans Pro" w:cs="Times New Roman"/>
          <w:lang w:val="en-US"/>
        </w:rPr>
        <w:t xml:space="preserve"> company gains access to any of their information. Within that notification, third parties should also be required to proactively communicate how they intend to use their data. </w:t>
      </w:r>
    </w:p>
    <w:p w14:paraId="6D7C3967" w14:textId="77777777" w:rsidR="00E25E3D" w:rsidRPr="00B65564" w:rsidRDefault="00E25E3D" w:rsidP="0067091E">
      <w:pPr>
        <w:jc w:val="both"/>
        <w:rPr>
          <w:rFonts w:ascii="Source Sans Pro" w:eastAsia="Calibri" w:hAnsi="Source Sans Pro" w:cs="Times New Roman"/>
          <w:lang w:val="en-US"/>
        </w:rPr>
      </w:pPr>
    </w:p>
    <w:p w14:paraId="51B31556" w14:textId="77777777" w:rsidR="00E25E3D" w:rsidRPr="00B65564" w:rsidRDefault="00E25E3D" w:rsidP="0067091E">
      <w:pPr>
        <w:jc w:val="both"/>
        <w:rPr>
          <w:rFonts w:ascii="Source Sans Pro" w:eastAsia="Times New Roman" w:hAnsi="Source Sans Pro" w:cs="Times New Roman"/>
          <w:i/>
          <w:strike/>
          <w:color w:val="000000"/>
          <w:lang w:val="en-US"/>
        </w:rPr>
      </w:pPr>
      <w:r w:rsidRPr="00B65564">
        <w:rPr>
          <w:rFonts w:ascii="Source Sans Pro" w:eastAsia="Calibri" w:hAnsi="Source Sans Pro" w:cs="Times New Roman"/>
          <w:i/>
          <w:lang w:val="en-US"/>
        </w:rPr>
        <w:t>B Recommendations Under Article 16</w:t>
      </w:r>
    </w:p>
    <w:p w14:paraId="5E4653E4" w14:textId="77777777" w:rsidR="00E25E3D" w:rsidRPr="00B65564" w:rsidRDefault="00E25E3D" w:rsidP="0067091E">
      <w:pPr>
        <w:jc w:val="both"/>
        <w:rPr>
          <w:rFonts w:ascii="Source Sans Pro" w:eastAsia="Calibri" w:hAnsi="Source Sans Pro" w:cs="Times New Roman"/>
          <w:lang w:val="en-US"/>
        </w:rPr>
      </w:pPr>
    </w:p>
    <w:p w14:paraId="4B0D2EE4" w14:textId="77777777" w:rsidR="00E25E3D" w:rsidRPr="00B65564" w:rsidRDefault="00E25E3D" w:rsidP="0067091E">
      <w:pPr>
        <w:jc w:val="both"/>
        <w:rPr>
          <w:rFonts w:ascii="Source Sans Pro" w:eastAsia="Times New Roman" w:hAnsi="Source Sans Pro" w:cs="Times New Roman"/>
          <w:color w:val="000000"/>
          <w:lang w:val="en-US"/>
        </w:rPr>
      </w:pPr>
      <w:r w:rsidRPr="00B65564">
        <w:rPr>
          <w:rFonts w:ascii="Source Sans Pro" w:eastAsia="Calibri" w:hAnsi="Source Sans Pro" w:cs="Times New Roman"/>
          <w:color w:val="000000"/>
        </w:rPr>
        <w:t xml:space="preserve">The draft comment in its discussion of Article 16 recognises the existence of pervasive data collection and surveillance practices by digital platforms. </w:t>
      </w:r>
      <w:r w:rsidRPr="00B65564">
        <w:rPr>
          <w:rFonts w:ascii="Source Sans Pro" w:eastAsia="Times New Roman" w:hAnsi="Source Sans Pro" w:cs="Times New Roman"/>
          <w:color w:val="000000"/>
          <w:spacing w:val="3"/>
          <w:shd w:val="clear" w:color="auto" w:fill="FFFFFF"/>
          <w:lang w:val="en-US"/>
        </w:rPr>
        <w:t>The Draft Comment should further note that businesses that trade in children's personal data are inherently contravening the right to privacy under the CRC</w:t>
      </w:r>
      <w:r w:rsidRPr="00B65564">
        <w:rPr>
          <w:rFonts w:ascii="Source Sans Pro" w:eastAsia="Times New Roman" w:hAnsi="Source Sans Pro" w:cs="Times New Roman"/>
          <w:color w:val="000000"/>
          <w:lang w:val="en-US"/>
        </w:rPr>
        <w:t>.</w:t>
      </w:r>
    </w:p>
    <w:p w14:paraId="53CCAB3B" w14:textId="77777777" w:rsidR="00E25E3D" w:rsidRPr="00B65564" w:rsidRDefault="00E25E3D" w:rsidP="0067091E">
      <w:pPr>
        <w:jc w:val="both"/>
        <w:rPr>
          <w:rFonts w:ascii="Source Sans Pro" w:eastAsia="Calibri" w:hAnsi="Source Sans Pro" w:cs="Times New Roman"/>
          <w:color w:val="000000"/>
          <w:lang w:val="en-US"/>
        </w:rPr>
      </w:pPr>
    </w:p>
    <w:p w14:paraId="6DD1DE6E" w14:textId="77777777" w:rsidR="00E25E3D" w:rsidRPr="00B65564" w:rsidRDefault="00E25E3D" w:rsidP="0067091E">
      <w:pPr>
        <w:jc w:val="both"/>
        <w:rPr>
          <w:rFonts w:ascii="Source Sans Pro" w:eastAsia="Calibri" w:hAnsi="Source Sans Pro" w:cs="Times New Roman"/>
        </w:rPr>
      </w:pPr>
      <w:r w:rsidRPr="00B65564">
        <w:rPr>
          <w:rFonts w:ascii="Source Sans Pro" w:eastAsia="Calibri" w:hAnsi="Source Sans Pro" w:cs="Times New Roman"/>
          <w:color w:val="000000"/>
        </w:rPr>
        <w:t xml:space="preserve">The Draft comment also guides states to ensure parental and children’s consent is “freely given” and “informed”. Following on from the discussion </w:t>
      </w:r>
      <w:r w:rsidRPr="00B65564">
        <w:rPr>
          <w:rFonts w:ascii="Source Sans Pro" w:eastAsia="Calibri" w:hAnsi="Source Sans Pro" w:cs="Times New Roman"/>
        </w:rPr>
        <w:t xml:space="preserve">above, we suggest that this section of the comment should be revised to recognise that consent cannot be fully “informed and freely given” either by children or their parents. Furthermore, the Draft Comment should urge States to move away from parental consent models altogether. </w:t>
      </w:r>
    </w:p>
    <w:p w14:paraId="274F26A9" w14:textId="77777777" w:rsidR="00E25E3D" w:rsidRPr="00B65564" w:rsidRDefault="00E25E3D" w:rsidP="0067091E">
      <w:pPr>
        <w:jc w:val="both"/>
        <w:rPr>
          <w:rFonts w:ascii="Source Sans Pro" w:eastAsia="Calibri" w:hAnsi="Source Sans Pro" w:cs="Times New Roman"/>
          <w:lang w:val="en-US"/>
        </w:rPr>
      </w:pPr>
    </w:p>
    <w:p w14:paraId="228AEF3F" w14:textId="77777777" w:rsidR="00E25E3D" w:rsidRPr="00B65564" w:rsidRDefault="00E25E3D" w:rsidP="0067091E">
      <w:pPr>
        <w:jc w:val="both"/>
        <w:rPr>
          <w:rFonts w:ascii="Source Sans Pro" w:eastAsia="Calibri" w:hAnsi="Source Sans Pro" w:cs="Times New Roman"/>
          <w:lang w:val="en-US"/>
        </w:rPr>
      </w:pPr>
      <w:r w:rsidRPr="00B65564">
        <w:rPr>
          <w:rFonts w:ascii="Source Sans Pro" w:eastAsia="Calibri" w:hAnsi="Source Sans Pro" w:cs="Times New Roman"/>
          <w:lang w:val="en-US"/>
        </w:rPr>
        <w:t xml:space="preserve">Although the Draft Comment compels countries to “encourage…privacy by design”, we suggest that the Draft Comment should guide States to oversee the compulsory implementation of these </w:t>
      </w:r>
      <w:proofErr w:type="gramStart"/>
      <w:r w:rsidRPr="00B65564">
        <w:rPr>
          <w:rFonts w:ascii="Source Sans Pro" w:eastAsia="Calibri" w:hAnsi="Source Sans Pro" w:cs="Times New Roman"/>
          <w:lang w:val="en-US"/>
        </w:rPr>
        <w:t>particular design</w:t>
      </w:r>
      <w:proofErr w:type="gramEnd"/>
      <w:r w:rsidRPr="00B65564">
        <w:rPr>
          <w:rFonts w:ascii="Source Sans Pro" w:eastAsia="Calibri" w:hAnsi="Source Sans Pro" w:cs="Times New Roman"/>
          <w:lang w:val="en-US"/>
        </w:rPr>
        <w:t xml:space="preserve"> elements on digital platforms with children users. Specifically, having clear, short, </w:t>
      </w:r>
      <w:proofErr w:type="gramStart"/>
      <w:r w:rsidRPr="00B65564">
        <w:rPr>
          <w:rFonts w:ascii="Source Sans Pro" w:eastAsia="Calibri" w:hAnsi="Source Sans Pro" w:cs="Times New Roman"/>
          <w:lang w:val="en-US"/>
        </w:rPr>
        <w:t>accessible</w:t>
      </w:r>
      <w:proofErr w:type="gramEnd"/>
      <w:r w:rsidRPr="00B65564">
        <w:rPr>
          <w:rFonts w:ascii="Source Sans Pro" w:eastAsia="Calibri" w:hAnsi="Source Sans Pro" w:cs="Times New Roman"/>
          <w:lang w:val="en-US"/>
        </w:rPr>
        <w:t xml:space="preserve"> and easy to understand data use policies that cannot be changed arbitrarily without actively notifying users.  </w:t>
      </w:r>
    </w:p>
    <w:p w14:paraId="47091329" w14:textId="77777777" w:rsidR="00E25E3D" w:rsidRPr="00B65564" w:rsidRDefault="00E25E3D" w:rsidP="0067091E">
      <w:pPr>
        <w:jc w:val="both"/>
        <w:rPr>
          <w:rFonts w:ascii="Source Sans Pro" w:eastAsia="Calibri" w:hAnsi="Source Sans Pro" w:cs="Times New Roman"/>
          <w:lang w:val="en-US"/>
        </w:rPr>
      </w:pPr>
    </w:p>
    <w:p w14:paraId="4230EC7A" w14:textId="77777777" w:rsidR="00B65564" w:rsidRPr="00B65564" w:rsidRDefault="00E25E3D" w:rsidP="0067091E">
      <w:pPr>
        <w:jc w:val="both"/>
        <w:rPr>
          <w:rFonts w:ascii="Source Sans Pro" w:eastAsia="Times New Roman" w:hAnsi="Source Sans Pro" w:cs="Arial"/>
          <w:color w:val="000000"/>
          <w:lang w:val="en-US"/>
        </w:rPr>
      </w:pPr>
      <w:r w:rsidRPr="00B65564">
        <w:rPr>
          <w:rFonts w:ascii="Source Sans Pro" w:eastAsia="Calibri" w:hAnsi="Source Sans Pro" w:cs="Times New Roman"/>
          <w:lang w:val="en-US"/>
        </w:rPr>
        <w:t>The HRC has suggested that “individuals should have the right to request rectification or elimination” or any incorrect data that is retained or collected.</w:t>
      </w:r>
      <w:r w:rsidRPr="00B65564">
        <w:rPr>
          <w:rFonts w:ascii="Source Sans Pro" w:eastAsia="Calibri" w:hAnsi="Source Sans Pro" w:cs="Times New Roman"/>
          <w:vertAlign w:val="superscript"/>
          <w:lang w:val="en-US"/>
        </w:rPr>
        <w:endnoteReference w:id="51"/>
      </w:r>
      <w:r w:rsidRPr="00B65564">
        <w:rPr>
          <w:rFonts w:ascii="Source Sans Pro" w:eastAsia="Calibri" w:hAnsi="Source Sans Pro" w:cs="Times New Roman"/>
          <w:lang w:val="en-US"/>
        </w:rPr>
        <w:t xml:space="preserve"> </w:t>
      </w:r>
      <w:r w:rsidR="00B65564" w:rsidRPr="00B65564">
        <w:rPr>
          <w:rFonts w:ascii="Source Sans Pro" w:eastAsia="Calibri" w:hAnsi="Source Sans Pro" w:cs="Times New Roman"/>
          <w:lang w:val="en-US"/>
        </w:rPr>
        <w:t xml:space="preserve">The Draft comment further outlines that children and parents should have the right to “delete” data that is “unlawfully or unnecessarily” stored. We recommend that this be extrapolated further and </w:t>
      </w:r>
      <w:proofErr w:type="spellStart"/>
      <w:r w:rsidR="00B65564" w:rsidRPr="00B65564">
        <w:rPr>
          <w:rFonts w:ascii="Source Sans Pro" w:eastAsia="Calibri" w:hAnsi="Source Sans Pro" w:cs="Times New Roman"/>
          <w:lang w:val="en-US"/>
        </w:rPr>
        <w:t>formalised</w:t>
      </w:r>
      <w:proofErr w:type="spellEnd"/>
      <w:r w:rsidR="00B65564" w:rsidRPr="00B65564">
        <w:rPr>
          <w:rFonts w:ascii="Source Sans Pro" w:eastAsia="Calibri" w:hAnsi="Source Sans Pro" w:cs="Times New Roman"/>
          <w:lang w:val="en-US"/>
        </w:rPr>
        <w:t xml:space="preserve"> to become a ‘right to erase’.</w:t>
      </w:r>
      <w:r w:rsidR="00B65564" w:rsidRPr="00B65564">
        <w:rPr>
          <w:rFonts w:ascii="Source Sans Pro" w:eastAsia="Times New Roman" w:hAnsi="Source Sans Pro" w:cs="Arial"/>
          <w:color w:val="000000"/>
          <w:lang w:val="en-US"/>
        </w:rPr>
        <w:t xml:space="preserve"> States should legislate to</w:t>
      </w:r>
      <w:r w:rsidR="00B65564" w:rsidRPr="00B65564">
        <w:rPr>
          <w:rFonts w:ascii="Source Sans Pro" w:eastAsia="Calibri" w:hAnsi="Source Sans Pro" w:cs="Times New Roman"/>
          <w:lang w:val="en-US"/>
        </w:rPr>
        <w:t xml:space="preserve"> </w:t>
      </w:r>
      <w:r w:rsidR="00B65564" w:rsidRPr="00B65564">
        <w:rPr>
          <w:rFonts w:ascii="Source Sans Pro" w:eastAsia="Times New Roman" w:hAnsi="Source Sans Pro" w:cs="Arial"/>
          <w:color w:val="000000"/>
          <w:lang w:val="en-US"/>
        </w:rPr>
        <w:t>support this digital right where children and adults have the right to have any personal data collected by digital platforms erased by those platforms at any point in time.</w:t>
      </w:r>
    </w:p>
    <w:p w14:paraId="69ECE354" w14:textId="77777777" w:rsidR="00B65564" w:rsidRPr="00B65564" w:rsidRDefault="00B65564" w:rsidP="0067091E">
      <w:pPr>
        <w:jc w:val="both"/>
        <w:rPr>
          <w:rFonts w:ascii="Source Sans Pro" w:eastAsia="Times New Roman" w:hAnsi="Source Sans Pro" w:cs="Arial"/>
          <w:color w:val="000000"/>
          <w:lang w:val="en-US"/>
        </w:rPr>
      </w:pPr>
    </w:p>
    <w:p w14:paraId="3FD9F3A5" w14:textId="77777777" w:rsidR="00B65564" w:rsidRPr="00B65564" w:rsidRDefault="00B65564" w:rsidP="0067091E">
      <w:pPr>
        <w:jc w:val="both"/>
        <w:rPr>
          <w:rFonts w:ascii="Source Sans Pro" w:eastAsia="Calibri" w:hAnsi="Source Sans Pro" w:cs="Times New Roman"/>
          <w:b/>
          <w:lang w:val="en-US"/>
        </w:rPr>
      </w:pPr>
      <w:r w:rsidRPr="00B65564">
        <w:rPr>
          <w:rFonts w:ascii="Source Sans Pro" w:eastAsia="Calibri" w:hAnsi="Source Sans Pro" w:cs="Times New Roman"/>
          <w:b/>
          <w:lang w:val="en-US"/>
        </w:rPr>
        <w:t xml:space="preserve">Through implementing these recommendations, the Draft General Comment will be able to provide a more comprehensive and effective guide for States to support the protection of children’s rights in the digital world as it relates to Articles 6 and 16 of the CRC. </w:t>
      </w:r>
    </w:p>
    <w:p w14:paraId="61D7BCF7" w14:textId="035E4AFD" w:rsidR="0058761C" w:rsidRPr="00C32914" w:rsidRDefault="0058761C" w:rsidP="00312A4A">
      <w:pPr>
        <w:spacing w:after="160" w:line="259" w:lineRule="auto"/>
        <w:rPr>
          <w:rFonts w:ascii="Source Sans Pro" w:hAnsi="Source Sans Pro"/>
        </w:rPr>
      </w:pPr>
    </w:p>
    <w:sectPr w:rsidR="0058761C" w:rsidRPr="00C32914" w:rsidSect="00803D69">
      <w:headerReference w:type="default" r:id="rId14"/>
      <w:footerReference w:type="default" r:id="rId15"/>
      <w:headerReference w:type="first" r:id="rId16"/>
      <w:footerReference w:type="first" r:id="rId17"/>
      <w:pgSz w:w="11906" w:h="16838" w:code="9"/>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DE4CE" w14:textId="77777777" w:rsidR="00BC446A" w:rsidRDefault="00BC446A" w:rsidP="00C20C17">
      <w:r>
        <w:separator/>
      </w:r>
    </w:p>
    <w:p w14:paraId="50850671" w14:textId="77777777" w:rsidR="00CA3626" w:rsidRDefault="00CA3626"/>
    <w:p w14:paraId="7E0D1D9F" w14:textId="77777777" w:rsidR="00CA3626" w:rsidRDefault="00CA3626" w:rsidP="00856080"/>
  </w:endnote>
  <w:endnote w:type="continuationSeparator" w:id="0">
    <w:p w14:paraId="11B3E67B" w14:textId="77777777" w:rsidR="00BC446A" w:rsidRDefault="00BC446A" w:rsidP="00C20C17">
      <w:r>
        <w:continuationSeparator/>
      </w:r>
    </w:p>
    <w:p w14:paraId="6AAF69AB" w14:textId="77777777" w:rsidR="00CA3626" w:rsidRDefault="00CA3626"/>
    <w:p w14:paraId="77A54355" w14:textId="77777777" w:rsidR="00CA3626" w:rsidRDefault="00CA3626" w:rsidP="00856080"/>
  </w:endnote>
  <w:endnote w:id="1">
    <w:p w14:paraId="2764CA86" w14:textId="77777777" w:rsidR="00E25E3D" w:rsidRPr="00E25E3D" w:rsidRDefault="00E25E3D" w:rsidP="00B65564">
      <w:pPr>
        <w:pStyle w:val="EndnoteText"/>
        <w:rPr>
          <w:rFonts w:ascii="Source Sans Pro" w:hAnsi="Source Sans Pro"/>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Valerie Steeves, ‘Terra Cognita: The Surveillance of Young People’s Favourite Websites’ in Tonya Rooney &amp; Emmeline Taylor (ed), </w:t>
      </w:r>
      <w:r w:rsidRPr="00E25E3D">
        <w:rPr>
          <w:rFonts w:ascii="Source Sans Pro" w:hAnsi="Source Sans Pro"/>
          <w:i/>
          <w:vanish/>
          <w:sz w:val="18"/>
          <w:szCs w:val="18"/>
        </w:rPr>
        <w:t>Surveillance Futures: Social and Ethical Implications of New Technologies for Children and Young People</w:t>
      </w:r>
      <w:r w:rsidRPr="00E25E3D">
        <w:rPr>
          <w:rFonts w:ascii="Source Sans Pro" w:hAnsi="Source Sans Pro"/>
          <w:vanish/>
          <w:sz w:val="18"/>
          <w:szCs w:val="18"/>
        </w:rPr>
        <w:t xml:space="preserve"> (Routeledge, 1</w:t>
      </w:r>
      <w:r w:rsidRPr="00E25E3D">
        <w:rPr>
          <w:rFonts w:ascii="Source Sans Pro" w:hAnsi="Source Sans Pro"/>
          <w:vanish/>
          <w:sz w:val="18"/>
          <w:szCs w:val="18"/>
          <w:vertAlign w:val="superscript"/>
        </w:rPr>
        <w:t>st</w:t>
      </w:r>
      <w:r w:rsidRPr="00E25E3D">
        <w:rPr>
          <w:rFonts w:ascii="Source Sans Pro" w:hAnsi="Source Sans Pro"/>
          <w:vanish/>
          <w:sz w:val="18"/>
          <w:szCs w:val="18"/>
        </w:rPr>
        <w:t xml:space="preserve"> Edition, 2016).</w:t>
      </w:r>
    </w:p>
  </w:endnote>
  <w:endnote w:id="2">
    <w:p w14:paraId="60BA3864" w14:textId="77777777" w:rsidR="00E25E3D" w:rsidRPr="00E25E3D" w:rsidRDefault="00E25E3D" w:rsidP="00B65564">
      <w:pPr>
        <w:rPr>
          <w:rFonts w:ascii="Source Sans Pro" w:eastAsia="Times New Roman" w:hAnsi="Source Sans Pro" w:cs="Times New Roman"/>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w:t>
      </w:r>
      <w:r w:rsidRPr="00E25E3D">
        <w:rPr>
          <w:rFonts w:ascii="Source Sans Pro" w:eastAsia="Times New Roman" w:hAnsi="Source Sans Pro"/>
          <w:vanish/>
          <w:sz w:val="18"/>
          <w:szCs w:val="18"/>
        </w:rPr>
        <w:t xml:space="preserve">Valerie Strauss, ‘Legislators Ask 50-plus Firms to Explain How They Use the ‘Vast Amount of Data’ They Collect on Students’, </w:t>
      </w:r>
      <w:r w:rsidRPr="00E25E3D">
        <w:rPr>
          <w:rFonts w:ascii="Source Sans Pro" w:eastAsia="Times New Roman" w:hAnsi="Source Sans Pro"/>
          <w:i/>
          <w:vanish/>
          <w:sz w:val="18"/>
          <w:szCs w:val="18"/>
        </w:rPr>
        <w:t>The Washington Post</w:t>
      </w:r>
      <w:r w:rsidRPr="00E25E3D">
        <w:rPr>
          <w:rFonts w:ascii="Source Sans Pro" w:eastAsia="Times New Roman" w:hAnsi="Source Sans Pro"/>
          <w:vanish/>
          <w:sz w:val="18"/>
          <w:szCs w:val="18"/>
        </w:rPr>
        <w:t xml:space="preserve"> (online, 20 August 2019) &lt;</w:t>
      </w:r>
      <w:hyperlink r:id="rId1" w:history="1">
        <w:r w:rsidRPr="00E25E3D">
          <w:rPr>
            <w:rStyle w:val="Hyperlink"/>
            <w:rFonts w:ascii="Source Sans Pro" w:eastAsia="Times New Roman" w:hAnsi="Source Sans Pro"/>
            <w:vanish/>
            <w:sz w:val="18"/>
            <w:szCs w:val="18"/>
          </w:rPr>
          <w:t>https://www.washingtonpost.com/education/2019/08/20/legislators-ask-plus-firms-explain-how-they-use-vast-amount-data-they-collect-students-which-ones-facebook-google-blackboard-etc/</w:t>
        </w:r>
      </w:hyperlink>
      <w:r w:rsidRPr="00E25E3D">
        <w:rPr>
          <w:rFonts w:ascii="Source Sans Pro" w:eastAsia="Times New Roman" w:hAnsi="Source Sans Pro"/>
          <w:vanish/>
          <w:sz w:val="18"/>
          <w:szCs w:val="18"/>
        </w:rPr>
        <w:t xml:space="preserve">&gt;. </w:t>
      </w:r>
    </w:p>
  </w:endnote>
  <w:endnote w:id="3">
    <w:p w14:paraId="631239A1" w14:textId="77777777" w:rsidR="00E25E3D" w:rsidRPr="00E25E3D" w:rsidRDefault="00E25E3D" w:rsidP="00B65564">
      <w:pPr>
        <w:rPr>
          <w:rFonts w:ascii="Source Sans Pro" w:eastAsia="Times New Roman" w:hAnsi="Source Sans Pro" w:cs="Times New Roman"/>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w:t>
      </w:r>
      <w:r w:rsidRPr="00E25E3D">
        <w:rPr>
          <w:rFonts w:ascii="Source Sans Pro" w:eastAsia="Times New Roman" w:hAnsi="Source Sans Pro" w:cs="Times New Roman"/>
          <w:vanish/>
          <w:sz w:val="18"/>
          <w:szCs w:val="18"/>
        </w:rPr>
        <w:t xml:space="preserve">Shoshana Zuboff, ‘Big Other: Surveillance Capitalism and the Prospects of an Information Civilization’ (2015) 30(1) </w:t>
      </w:r>
      <w:r w:rsidRPr="00E25E3D">
        <w:rPr>
          <w:rFonts w:ascii="Source Sans Pro" w:eastAsia="Times New Roman" w:hAnsi="Source Sans Pro" w:cs="Times New Roman"/>
          <w:i/>
          <w:vanish/>
          <w:sz w:val="18"/>
          <w:szCs w:val="18"/>
        </w:rPr>
        <w:t>Journal of Information Technology</w:t>
      </w:r>
      <w:r w:rsidRPr="00E25E3D">
        <w:rPr>
          <w:rFonts w:ascii="Source Sans Pro" w:eastAsia="Times New Roman" w:hAnsi="Source Sans Pro" w:cs="Times New Roman"/>
          <w:vanish/>
          <w:sz w:val="18"/>
          <w:szCs w:val="18"/>
        </w:rPr>
        <w:t xml:space="preserve">, 75, 75. </w:t>
      </w:r>
    </w:p>
  </w:endnote>
  <w:endnote w:id="4">
    <w:p w14:paraId="4D39C581" w14:textId="77777777" w:rsidR="00E25E3D" w:rsidRPr="00E25E3D" w:rsidRDefault="00E25E3D" w:rsidP="00B65564">
      <w:pPr>
        <w:pStyle w:val="EndnoteText"/>
        <w:rPr>
          <w:rFonts w:ascii="Source Sans Pro" w:hAnsi="Source Sans Pro"/>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Ibid.</w:t>
      </w:r>
    </w:p>
  </w:endnote>
  <w:endnote w:id="5">
    <w:p w14:paraId="3C5AD4E8" w14:textId="77777777" w:rsidR="00E25E3D" w:rsidRPr="00E25E3D" w:rsidRDefault="00E25E3D" w:rsidP="00B65564">
      <w:pPr>
        <w:pStyle w:val="EndnoteText"/>
        <w:rPr>
          <w:rFonts w:ascii="Source Sans Pro" w:hAnsi="Source Sans Pro"/>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Ibid.</w:t>
      </w:r>
    </w:p>
  </w:endnote>
  <w:endnote w:id="6">
    <w:p w14:paraId="03A6A978" w14:textId="77777777" w:rsidR="00E25E3D" w:rsidRPr="00E25E3D" w:rsidRDefault="00E25E3D" w:rsidP="00B65564">
      <w:pPr>
        <w:pStyle w:val="EndnoteText"/>
        <w:rPr>
          <w:rFonts w:ascii="Source Sans Pro" w:hAnsi="Source Sans Pro"/>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Ibid 85. </w:t>
      </w:r>
    </w:p>
  </w:endnote>
  <w:endnote w:id="7">
    <w:p w14:paraId="2BC00443" w14:textId="77777777" w:rsidR="00E25E3D" w:rsidRPr="00E25E3D" w:rsidRDefault="00E25E3D" w:rsidP="00B65564">
      <w:pPr>
        <w:pStyle w:val="EndnoteText"/>
        <w:rPr>
          <w:vanish/>
          <w:sz w:val="22"/>
          <w:szCs w:val="22"/>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Ibid 75.</w:t>
      </w:r>
    </w:p>
  </w:endnote>
  <w:endnote w:id="8">
    <w:p w14:paraId="00704381" w14:textId="77777777" w:rsidR="00E25E3D" w:rsidRPr="00E25E3D" w:rsidRDefault="00E25E3D" w:rsidP="00B65564">
      <w:pPr>
        <w:rPr>
          <w:rFonts w:ascii="Source Sans Pro" w:hAnsi="Source Sans Pro"/>
          <w:vanish/>
          <w:color w:val="0563C1"/>
          <w:sz w:val="18"/>
          <w:szCs w:val="18"/>
          <w:u w:val="single"/>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Aishwarya Nair, ‘Irish Regulator Probes Facebook’s Handling of Children’s Data on Instagram’, </w:t>
      </w:r>
      <w:r w:rsidRPr="00E25E3D">
        <w:rPr>
          <w:rFonts w:ascii="Source Sans Pro" w:hAnsi="Source Sans Pro"/>
          <w:i/>
          <w:vanish/>
          <w:sz w:val="18"/>
          <w:szCs w:val="18"/>
        </w:rPr>
        <w:t>Reuters</w:t>
      </w:r>
      <w:r w:rsidRPr="00E25E3D">
        <w:rPr>
          <w:rFonts w:ascii="Source Sans Pro" w:hAnsi="Source Sans Pro"/>
          <w:vanish/>
          <w:sz w:val="18"/>
          <w:szCs w:val="18"/>
        </w:rPr>
        <w:t xml:space="preserve"> (online, 19 October 2020) &lt;</w:t>
      </w:r>
      <w:hyperlink r:id="rId2" w:history="1">
        <w:r w:rsidRPr="00E25E3D">
          <w:rPr>
            <w:rStyle w:val="Hyperlink"/>
            <w:rFonts w:ascii="Source Sans Pro" w:hAnsi="Source Sans Pro"/>
            <w:vanish/>
            <w:sz w:val="18"/>
            <w:szCs w:val="18"/>
          </w:rPr>
          <w:t>https://www.reuters.com/article/europe-privacy-facebook-idUSKBN27404M</w:t>
        </w:r>
      </w:hyperlink>
      <w:r w:rsidRPr="00E25E3D">
        <w:rPr>
          <w:rStyle w:val="Hyperlink"/>
          <w:rFonts w:ascii="Source Sans Pro" w:hAnsi="Source Sans Pro"/>
          <w:vanish/>
          <w:sz w:val="18"/>
          <w:szCs w:val="18"/>
        </w:rPr>
        <w:t xml:space="preserve">&gt;. </w:t>
      </w:r>
    </w:p>
  </w:endnote>
  <w:endnote w:id="9">
    <w:p w14:paraId="6DDA5213" w14:textId="77777777" w:rsidR="00E25E3D" w:rsidRPr="00E25E3D" w:rsidRDefault="00E25E3D" w:rsidP="00B65564">
      <w:pPr>
        <w:rPr>
          <w:rFonts w:ascii="Source Sans Pro" w:hAnsi="Source Sans Pro"/>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w:t>
      </w:r>
      <w:r w:rsidRPr="00E25E3D">
        <w:rPr>
          <w:rFonts w:ascii="Source Sans Pro" w:hAnsi="Source Sans Pro"/>
          <w:vanish/>
          <w:color w:val="000000"/>
          <w:sz w:val="18"/>
          <w:szCs w:val="18"/>
        </w:rPr>
        <w:t xml:space="preserve">Siobhan O’Flynn, ‘Protecting Children’s Data Privacy in the Smart City’, </w:t>
      </w:r>
      <w:r w:rsidRPr="00E25E3D">
        <w:rPr>
          <w:rFonts w:ascii="Source Sans Pro" w:hAnsi="Source Sans Pro"/>
          <w:i/>
          <w:vanish/>
          <w:color w:val="000000"/>
          <w:sz w:val="18"/>
          <w:szCs w:val="18"/>
        </w:rPr>
        <w:t>The Conversation</w:t>
      </w:r>
      <w:r w:rsidRPr="00E25E3D">
        <w:rPr>
          <w:rFonts w:ascii="Source Sans Pro" w:hAnsi="Source Sans Pro"/>
          <w:vanish/>
          <w:color w:val="000000"/>
          <w:sz w:val="18"/>
          <w:szCs w:val="18"/>
        </w:rPr>
        <w:t xml:space="preserve"> (online, 16 May 2019) </w:t>
      </w:r>
      <w:r w:rsidRPr="00E25E3D">
        <w:rPr>
          <w:rFonts w:ascii="Source Sans Pro" w:hAnsi="Source Sans Pro"/>
          <w:vanish/>
          <w:sz w:val="18"/>
          <w:szCs w:val="18"/>
        </w:rPr>
        <w:t>&lt;</w:t>
      </w:r>
      <w:hyperlink r:id="rId3" w:history="1">
        <w:r w:rsidRPr="00E25E3D">
          <w:rPr>
            <w:rStyle w:val="Hyperlink"/>
            <w:rFonts w:ascii="Source Sans Pro" w:hAnsi="Source Sans Pro"/>
            <w:vanish/>
            <w:sz w:val="18"/>
            <w:szCs w:val="18"/>
          </w:rPr>
          <w:t>https://theconversation.com/protecting-childrens-data-privacy-in-the-smart-city-113319</w:t>
        </w:r>
      </w:hyperlink>
      <w:r w:rsidRPr="00E25E3D">
        <w:rPr>
          <w:rFonts w:ascii="Source Sans Pro" w:hAnsi="Source Sans Pro"/>
          <w:vanish/>
          <w:sz w:val="18"/>
          <w:szCs w:val="18"/>
        </w:rPr>
        <w:t xml:space="preserve">&gt;. </w:t>
      </w:r>
    </w:p>
  </w:endnote>
  <w:endnote w:id="10">
    <w:p w14:paraId="6B8B952B" w14:textId="77777777" w:rsidR="00E25E3D" w:rsidRPr="00E25E3D" w:rsidRDefault="00E25E3D" w:rsidP="00B65564">
      <w:pPr>
        <w:rPr>
          <w:rFonts w:ascii="Source Sans Pro" w:hAnsi="Source Sans Pro" w:cs="Times New Roman"/>
          <w:vanish/>
          <w:color w:val="0563C1"/>
          <w:sz w:val="18"/>
          <w:szCs w:val="18"/>
          <w:u w:val="single"/>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w:t>
      </w:r>
      <w:r w:rsidRPr="00E25E3D">
        <w:rPr>
          <w:rFonts w:ascii="Source Sans Pro" w:eastAsia="Times New Roman" w:hAnsi="Source Sans Pro"/>
          <w:vanish/>
          <w:sz w:val="18"/>
          <w:szCs w:val="18"/>
        </w:rPr>
        <w:t>Rachel Premack, ‘Google is Filling High School Classrooms with Androids and Chromebooks – But the Kids Just Want iPhones’, Business Insider (online, Dec 18 2018). &lt;</w:t>
      </w:r>
      <w:hyperlink r:id="rId4" w:history="1">
        <w:r w:rsidRPr="00E25E3D">
          <w:rPr>
            <w:rStyle w:val="Hyperlink"/>
            <w:rFonts w:ascii="Source Sans Pro" w:hAnsi="Source Sans Pro"/>
            <w:vanish/>
            <w:sz w:val="18"/>
            <w:szCs w:val="18"/>
          </w:rPr>
          <w:t>https://www.businessinsider.com/google-classroom-dominating-schools-kids-want-apple-products-iphone-2018-12?r=AU&amp;IR=T</w:t>
        </w:r>
      </w:hyperlink>
      <w:r w:rsidRPr="00E25E3D">
        <w:rPr>
          <w:rStyle w:val="Hyperlink"/>
          <w:rFonts w:ascii="Source Sans Pro" w:hAnsi="Source Sans Pro"/>
          <w:vanish/>
          <w:sz w:val="18"/>
          <w:szCs w:val="18"/>
        </w:rPr>
        <w:t xml:space="preserve">&gt;. </w:t>
      </w:r>
    </w:p>
  </w:endnote>
  <w:endnote w:id="11">
    <w:p w14:paraId="64E67826" w14:textId="77777777" w:rsidR="00E25E3D" w:rsidRPr="00E25E3D" w:rsidRDefault="00E25E3D" w:rsidP="00B65564">
      <w:pPr>
        <w:rPr>
          <w:rFonts w:ascii="Source Sans Pro" w:eastAsia="Times New Roman" w:hAnsi="Source Sans Pro" w:cs="Times New Roman"/>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w:t>
      </w:r>
      <w:r w:rsidRPr="00E25E3D">
        <w:rPr>
          <w:rFonts w:ascii="Source Sans Pro" w:eastAsia="Times New Roman" w:hAnsi="Source Sans Pro"/>
          <w:vanish/>
          <w:sz w:val="18"/>
          <w:szCs w:val="18"/>
        </w:rPr>
        <w:t xml:space="preserve">Jane Bailey et. al, ‘Children’s Privacy is at Risk with Rapid Shifts to Online Schooling Under Coronavirus’, </w:t>
      </w:r>
      <w:r w:rsidRPr="00E25E3D">
        <w:rPr>
          <w:rFonts w:ascii="Source Sans Pro" w:eastAsia="Times New Roman" w:hAnsi="Source Sans Pro"/>
          <w:i/>
          <w:vanish/>
          <w:sz w:val="18"/>
          <w:szCs w:val="18"/>
        </w:rPr>
        <w:t>The Conversation</w:t>
      </w:r>
      <w:r w:rsidRPr="00E25E3D">
        <w:rPr>
          <w:rFonts w:ascii="Source Sans Pro" w:eastAsia="Times New Roman" w:hAnsi="Source Sans Pro"/>
          <w:vanish/>
          <w:sz w:val="18"/>
          <w:szCs w:val="18"/>
        </w:rPr>
        <w:t xml:space="preserve"> (online, 22 April 2020) &lt;</w:t>
      </w:r>
      <w:hyperlink r:id="rId5" w:history="1">
        <w:r w:rsidRPr="00E25E3D">
          <w:rPr>
            <w:rStyle w:val="Hyperlink"/>
            <w:rFonts w:ascii="Source Sans Pro" w:eastAsia="Times New Roman" w:hAnsi="Source Sans Pro"/>
            <w:vanish/>
            <w:sz w:val="18"/>
            <w:szCs w:val="18"/>
          </w:rPr>
          <w:t>https://theconversation.com/childrens-privacy-is-at-risk-with-rapid-shifts-to-online-schooling-under-coronavirus-135787</w:t>
        </w:r>
      </w:hyperlink>
      <w:r w:rsidRPr="00E25E3D">
        <w:rPr>
          <w:rFonts w:ascii="Source Sans Pro" w:eastAsia="Times New Roman" w:hAnsi="Source Sans Pro"/>
          <w:vanish/>
          <w:sz w:val="18"/>
          <w:szCs w:val="18"/>
        </w:rPr>
        <w:t xml:space="preserve">&gt;. </w:t>
      </w:r>
    </w:p>
  </w:endnote>
  <w:endnote w:id="12">
    <w:p w14:paraId="789C2870" w14:textId="77777777" w:rsidR="00E25E3D" w:rsidRPr="00E25E3D" w:rsidRDefault="00E25E3D" w:rsidP="00B65564">
      <w:pPr>
        <w:rPr>
          <w:rFonts w:ascii="Source Sans Pro" w:eastAsia="Times New Roman" w:hAnsi="Source Sans Pro"/>
          <w:vanish/>
          <w:color w:val="000000"/>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w:t>
      </w:r>
      <w:r w:rsidRPr="00E25E3D">
        <w:rPr>
          <w:rFonts w:ascii="Source Sans Pro" w:eastAsia="Times New Roman" w:hAnsi="Source Sans Pro"/>
          <w:i/>
          <w:vanish/>
          <w:color w:val="000000"/>
          <w:sz w:val="18"/>
          <w:szCs w:val="18"/>
        </w:rPr>
        <w:t>Convention on the Rights of the Child</w:t>
      </w:r>
      <w:r w:rsidRPr="00E25E3D">
        <w:rPr>
          <w:rFonts w:ascii="Source Sans Pro" w:eastAsia="Times New Roman" w:hAnsi="Source Sans Pro"/>
          <w:vanish/>
          <w:color w:val="000000"/>
          <w:sz w:val="18"/>
          <w:szCs w:val="18"/>
        </w:rPr>
        <w:t xml:space="preserve">, signed 20 November 1989, UNTS vol. 1577, p. 3, (entered into force 2 September 1990) art 6. </w:t>
      </w:r>
    </w:p>
  </w:endnote>
  <w:endnote w:id="13">
    <w:p w14:paraId="19C83A57" w14:textId="77777777" w:rsidR="00E25E3D" w:rsidRPr="00E25E3D" w:rsidRDefault="00E25E3D" w:rsidP="00B65564">
      <w:pPr>
        <w:rPr>
          <w:rFonts w:ascii="Source Sans Pro" w:eastAsia="Times New Roman" w:hAnsi="Source Sans Pro" w:cs="Times New Roman"/>
          <w:vanish/>
          <w:sz w:val="18"/>
          <w:szCs w:val="18"/>
        </w:rPr>
      </w:pPr>
      <w:r w:rsidRPr="00E25E3D">
        <w:rPr>
          <w:rStyle w:val="EndnoteReference"/>
          <w:rFonts w:ascii="Source Sans Pro" w:hAnsi="Source Sans Pro"/>
          <w:vanish/>
          <w:color w:val="000000"/>
          <w:sz w:val="18"/>
          <w:szCs w:val="18"/>
        </w:rPr>
        <w:endnoteRef/>
      </w:r>
      <w:r w:rsidRPr="00E25E3D">
        <w:rPr>
          <w:rFonts w:ascii="Source Sans Pro" w:hAnsi="Source Sans Pro"/>
          <w:vanish/>
          <w:color w:val="000000"/>
          <w:sz w:val="18"/>
          <w:szCs w:val="18"/>
        </w:rPr>
        <w:t xml:space="preserve"> </w:t>
      </w:r>
      <w:r w:rsidRPr="00E25E3D">
        <w:rPr>
          <w:rFonts w:ascii="Source Sans Pro" w:eastAsia="Times New Roman" w:hAnsi="Source Sans Pro" w:cs="Times New Roman"/>
          <w:vanish/>
          <w:color w:val="000000"/>
          <w:sz w:val="18"/>
          <w:szCs w:val="18"/>
          <w:bdr w:val="none" w:sz="0" w:space="0" w:color="auto" w:frame="1"/>
          <w:shd w:val="clear" w:color="auto" w:fill="FFFFFF"/>
        </w:rPr>
        <w:t>Committee on the Rights of the Child, </w:t>
      </w:r>
      <w:r w:rsidRPr="00E25E3D">
        <w:rPr>
          <w:rFonts w:ascii="Source Sans Pro" w:eastAsia="Times New Roman" w:hAnsi="Source Sans Pro" w:cs="Times New Roman"/>
          <w:i/>
          <w:iCs/>
          <w:vanish/>
          <w:color w:val="000000"/>
          <w:sz w:val="18"/>
          <w:szCs w:val="18"/>
          <w:bdr w:val="none" w:sz="0" w:space="0" w:color="auto" w:frame="1"/>
          <w:shd w:val="clear" w:color="auto" w:fill="FFFFFF"/>
        </w:rPr>
        <w:t>General Comment No. 14 On the Right of the Child to Have His or Her Best Interests Taken as a Primary Consideration (art 3, para 1),</w:t>
      </w:r>
      <w:r w:rsidRPr="00E25E3D">
        <w:rPr>
          <w:rFonts w:ascii="Source Sans Pro" w:eastAsia="Times New Roman" w:hAnsi="Source Sans Pro" w:cs="Times New Roman"/>
          <w:iCs/>
          <w:vanish/>
          <w:color w:val="000000"/>
          <w:sz w:val="18"/>
          <w:szCs w:val="18"/>
          <w:bdr w:val="none" w:sz="0" w:space="0" w:color="auto" w:frame="1"/>
          <w:shd w:val="clear" w:color="auto" w:fill="FFFFFF"/>
        </w:rPr>
        <w:t xml:space="preserve"> 62</w:t>
      </w:r>
      <w:r w:rsidRPr="00E25E3D">
        <w:rPr>
          <w:rFonts w:ascii="Source Sans Pro" w:eastAsia="Times New Roman" w:hAnsi="Source Sans Pro" w:cs="Times New Roman"/>
          <w:iCs/>
          <w:vanish/>
          <w:color w:val="000000"/>
          <w:sz w:val="18"/>
          <w:szCs w:val="18"/>
          <w:bdr w:val="none" w:sz="0" w:space="0" w:color="auto" w:frame="1"/>
          <w:shd w:val="clear" w:color="auto" w:fill="FFFFFF"/>
          <w:vertAlign w:val="superscript"/>
        </w:rPr>
        <w:t>nd</w:t>
      </w:r>
      <w:r w:rsidRPr="00E25E3D">
        <w:rPr>
          <w:rFonts w:ascii="Source Sans Pro" w:eastAsia="Times New Roman" w:hAnsi="Source Sans Pro" w:cs="Times New Roman"/>
          <w:iCs/>
          <w:vanish/>
          <w:color w:val="000000"/>
          <w:sz w:val="18"/>
          <w:szCs w:val="18"/>
          <w:bdr w:val="none" w:sz="0" w:space="0" w:color="auto" w:frame="1"/>
          <w:shd w:val="clear" w:color="auto" w:fill="FFFFFF"/>
        </w:rPr>
        <w:t xml:space="preserve"> sess, </w:t>
      </w:r>
      <w:r w:rsidRPr="00E25E3D">
        <w:rPr>
          <w:rFonts w:ascii="Source Sans Pro" w:eastAsia="Times New Roman" w:hAnsi="Source Sans Pro" w:cs="Times New Roman"/>
          <w:vanish/>
          <w:color w:val="000000"/>
          <w:sz w:val="18"/>
          <w:szCs w:val="18"/>
          <w:bdr w:val="none" w:sz="0" w:space="0" w:color="auto" w:frame="1"/>
          <w:shd w:val="clear" w:color="auto" w:fill="FFFFFF"/>
        </w:rPr>
        <w:t>UN Doc CRC/C/GC/14 (29 May 2013) (‘</w:t>
      </w:r>
      <w:r w:rsidRPr="00E25E3D">
        <w:rPr>
          <w:rFonts w:ascii="Source Sans Pro" w:eastAsia="Times New Roman" w:hAnsi="Source Sans Pro" w:cs="Times New Roman"/>
          <w:i/>
          <w:iCs/>
          <w:vanish/>
          <w:color w:val="000000"/>
          <w:sz w:val="18"/>
          <w:szCs w:val="18"/>
          <w:bdr w:val="none" w:sz="0" w:space="0" w:color="auto" w:frame="1"/>
          <w:shd w:val="clear" w:color="auto" w:fill="FFFFFF"/>
        </w:rPr>
        <w:t>GC 14</w:t>
      </w:r>
      <w:r w:rsidRPr="00E25E3D">
        <w:rPr>
          <w:rFonts w:ascii="Source Sans Pro" w:eastAsia="Times New Roman" w:hAnsi="Source Sans Pro" w:cs="Times New Roman"/>
          <w:vanish/>
          <w:color w:val="000000"/>
          <w:sz w:val="18"/>
          <w:szCs w:val="18"/>
          <w:bdr w:val="none" w:sz="0" w:space="0" w:color="auto" w:frame="1"/>
          <w:shd w:val="clear" w:color="auto" w:fill="FFFFFF"/>
        </w:rPr>
        <w:t>’). </w:t>
      </w:r>
    </w:p>
  </w:endnote>
  <w:endnote w:id="14">
    <w:p w14:paraId="3172D394" w14:textId="77777777" w:rsidR="00E25E3D" w:rsidRPr="00E25E3D" w:rsidRDefault="00E25E3D" w:rsidP="00B65564">
      <w:pPr>
        <w:rPr>
          <w:rFonts w:eastAsia="Times New Roman" w:cs="Times New Roman"/>
          <w:vanish/>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w:t>
      </w:r>
      <w:r w:rsidRPr="00E25E3D">
        <w:rPr>
          <w:rFonts w:ascii="Source Sans Pro" w:eastAsia="Times New Roman" w:hAnsi="Source Sans Pro" w:cs="Times New Roman"/>
          <w:vanish/>
          <w:color w:val="000000"/>
          <w:sz w:val="18"/>
          <w:szCs w:val="18"/>
          <w:bdr w:val="none" w:sz="0" w:space="0" w:color="auto" w:frame="1"/>
          <w:shd w:val="clear" w:color="auto" w:fill="FFFFFF"/>
        </w:rPr>
        <w:t xml:space="preserve">Committee on the Rights of the Child, General Comment No. 5 </w:t>
      </w:r>
      <w:r w:rsidRPr="00E25E3D">
        <w:rPr>
          <w:rFonts w:ascii="Source Sans Pro" w:eastAsia="Times New Roman" w:hAnsi="Source Sans Pro" w:cs="Times New Roman"/>
          <w:i/>
          <w:iCs/>
          <w:vanish/>
          <w:color w:val="000000"/>
          <w:sz w:val="18"/>
          <w:szCs w:val="18"/>
          <w:bdr w:val="none" w:sz="0" w:space="0" w:color="auto" w:frame="1"/>
          <w:shd w:val="clear" w:color="auto" w:fill="FFFFFF"/>
        </w:rPr>
        <w:t xml:space="preserve">General Measures of Implementation of the Convention on the Rights of the Child (arts. 4, 42 and 44, para 6) </w:t>
      </w:r>
      <w:r w:rsidRPr="00E25E3D">
        <w:rPr>
          <w:rFonts w:ascii="Source Sans Pro" w:eastAsia="Times New Roman" w:hAnsi="Source Sans Pro" w:cs="Times New Roman"/>
          <w:iCs/>
          <w:vanish/>
          <w:color w:val="000000"/>
          <w:sz w:val="18"/>
          <w:szCs w:val="18"/>
          <w:bdr w:val="none" w:sz="0" w:space="0" w:color="auto" w:frame="1"/>
          <w:shd w:val="clear" w:color="auto" w:fill="FFFFFF"/>
        </w:rPr>
        <w:t>34</w:t>
      </w:r>
      <w:r w:rsidRPr="00E25E3D">
        <w:rPr>
          <w:rFonts w:ascii="Source Sans Pro" w:eastAsia="Times New Roman" w:hAnsi="Source Sans Pro" w:cs="Times New Roman"/>
          <w:iCs/>
          <w:vanish/>
          <w:color w:val="000000"/>
          <w:sz w:val="18"/>
          <w:szCs w:val="18"/>
          <w:bdr w:val="none" w:sz="0" w:space="0" w:color="auto" w:frame="1"/>
          <w:shd w:val="clear" w:color="auto" w:fill="FFFFFF"/>
          <w:vertAlign w:val="superscript"/>
        </w:rPr>
        <w:t>th</w:t>
      </w:r>
      <w:r w:rsidRPr="00E25E3D">
        <w:rPr>
          <w:rFonts w:ascii="Source Sans Pro" w:eastAsia="Times New Roman" w:hAnsi="Source Sans Pro" w:cs="Times New Roman"/>
          <w:iCs/>
          <w:vanish/>
          <w:color w:val="000000"/>
          <w:sz w:val="18"/>
          <w:szCs w:val="18"/>
          <w:bdr w:val="none" w:sz="0" w:space="0" w:color="auto" w:frame="1"/>
          <w:shd w:val="clear" w:color="auto" w:fill="FFFFFF"/>
        </w:rPr>
        <w:t xml:space="preserve"> sess, </w:t>
      </w:r>
      <w:r w:rsidRPr="00E25E3D">
        <w:rPr>
          <w:rFonts w:ascii="Source Sans Pro" w:eastAsia="Times New Roman" w:hAnsi="Source Sans Pro" w:cs="Times New Roman"/>
          <w:vanish/>
          <w:color w:val="000000"/>
          <w:sz w:val="18"/>
          <w:szCs w:val="18"/>
          <w:bdr w:val="none" w:sz="0" w:space="0" w:color="auto" w:frame="1"/>
          <w:shd w:val="clear" w:color="auto" w:fill="FFFFFF"/>
        </w:rPr>
        <w:t>UN Doc CRC/C/GC/2003/514 (27 Nov 2003) (‘</w:t>
      </w:r>
      <w:r w:rsidRPr="00E25E3D">
        <w:rPr>
          <w:rFonts w:ascii="Source Sans Pro" w:eastAsia="Times New Roman" w:hAnsi="Source Sans Pro" w:cs="Times New Roman"/>
          <w:i/>
          <w:iCs/>
          <w:vanish/>
          <w:color w:val="000000"/>
          <w:sz w:val="18"/>
          <w:szCs w:val="18"/>
          <w:bdr w:val="none" w:sz="0" w:space="0" w:color="auto" w:frame="1"/>
          <w:shd w:val="clear" w:color="auto" w:fill="FFFFFF"/>
        </w:rPr>
        <w:t>GC 5</w:t>
      </w:r>
      <w:r w:rsidRPr="00E25E3D">
        <w:rPr>
          <w:rFonts w:ascii="Source Sans Pro" w:eastAsia="Times New Roman" w:hAnsi="Source Sans Pro" w:cs="Times New Roman"/>
          <w:vanish/>
          <w:color w:val="000000"/>
          <w:sz w:val="18"/>
          <w:szCs w:val="18"/>
          <w:bdr w:val="none" w:sz="0" w:space="0" w:color="auto" w:frame="1"/>
          <w:shd w:val="clear" w:color="auto" w:fill="FFFFFF"/>
        </w:rPr>
        <w:t>’).</w:t>
      </w:r>
      <w:r w:rsidRPr="00E25E3D">
        <w:rPr>
          <w:rFonts w:eastAsia="Times New Roman" w:cs="Times New Roman"/>
          <w:vanish/>
          <w:color w:val="000000"/>
          <w:bdr w:val="none" w:sz="0" w:space="0" w:color="auto" w:frame="1"/>
          <w:shd w:val="clear" w:color="auto" w:fill="FFFFFF"/>
        </w:rPr>
        <w:t> </w:t>
      </w:r>
    </w:p>
  </w:endnote>
  <w:endnote w:id="15">
    <w:p w14:paraId="1D2BA28B" w14:textId="77777777" w:rsidR="00E25E3D" w:rsidRPr="00E25E3D" w:rsidRDefault="00E25E3D" w:rsidP="00B65564">
      <w:pPr>
        <w:rPr>
          <w:rFonts w:ascii="Source Sans Pro" w:hAnsi="Source Sans Pro"/>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Nowak Manfred, </w:t>
      </w:r>
      <w:r w:rsidRPr="00E25E3D">
        <w:rPr>
          <w:rFonts w:ascii="Source Sans Pro" w:hAnsi="Source Sans Pro"/>
          <w:i/>
          <w:vanish/>
          <w:sz w:val="18"/>
          <w:szCs w:val="18"/>
        </w:rPr>
        <w:t>Commentary on UN Convention on the Rights of the Child: The Right to Life, Survival and Development</w:t>
      </w:r>
      <w:r w:rsidRPr="00E25E3D">
        <w:rPr>
          <w:rFonts w:ascii="Source Sans Pro" w:hAnsi="Source Sans Pro"/>
          <w:vanish/>
          <w:sz w:val="18"/>
          <w:szCs w:val="18"/>
        </w:rPr>
        <w:t>, (Brill 2005), 2.</w:t>
      </w:r>
    </w:p>
  </w:endnote>
  <w:endnote w:id="16">
    <w:p w14:paraId="2E0776CE" w14:textId="77777777" w:rsidR="00E25E3D" w:rsidRPr="00E25E3D" w:rsidRDefault="00E25E3D" w:rsidP="00B65564">
      <w:pPr>
        <w:pStyle w:val="EndnoteText"/>
        <w:rPr>
          <w:rFonts w:ascii="Source Sans Pro" w:hAnsi="Source Sans Pro"/>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Ibid 1. </w:t>
      </w:r>
    </w:p>
  </w:endnote>
  <w:endnote w:id="17">
    <w:p w14:paraId="6F657B2C" w14:textId="77777777" w:rsidR="00E25E3D" w:rsidRPr="00E25E3D" w:rsidRDefault="00E25E3D" w:rsidP="00B65564">
      <w:pPr>
        <w:rPr>
          <w:rFonts w:ascii="Source Sans Pro" w:eastAsia="Times New Roman" w:hAnsi="Source Sans Pro"/>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w:t>
      </w:r>
      <w:r w:rsidRPr="00E25E3D">
        <w:rPr>
          <w:rFonts w:ascii="Source Sans Pro" w:eastAsia="Times New Roman" w:hAnsi="Source Sans Pro"/>
          <w:vanish/>
          <w:sz w:val="18"/>
          <w:szCs w:val="18"/>
        </w:rPr>
        <w:t xml:space="preserve">Sara Castellanos, ‘HR Departments Turn to AI-Enabled Recruiting in Race for Talent’, </w:t>
      </w:r>
      <w:r w:rsidRPr="00E25E3D">
        <w:rPr>
          <w:rFonts w:ascii="Source Sans Pro" w:eastAsia="Times New Roman" w:hAnsi="Source Sans Pro"/>
          <w:i/>
          <w:vanish/>
          <w:sz w:val="18"/>
          <w:szCs w:val="18"/>
        </w:rPr>
        <w:t xml:space="preserve">The Wall Street Journal </w:t>
      </w:r>
      <w:r w:rsidRPr="00E25E3D">
        <w:rPr>
          <w:rFonts w:ascii="Source Sans Pro" w:eastAsia="Times New Roman" w:hAnsi="Source Sans Pro"/>
          <w:vanish/>
          <w:sz w:val="18"/>
          <w:szCs w:val="18"/>
        </w:rPr>
        <w:t>(online, 14 March 2019) &lt;</w:t>
      </w:r>
      <w:hyperlink r:id="rId6" w:history="1">
        <w:r w:rsidRPr="00E25E3D">
          <w:rPr>
            <w:rStyle w:val="Hyperlink"/>
            <w:rFonts w:ascii="Source Sans Pro" w:eastAsia="Times New Roman" w:hAnsi="Source Sans Pro"/>
            <w:vanish/>
            <w:sz w:val="18"/>
            <w:szCs w:val="18"/>
          </w:rPr>
          <w:t>https://www.wsj.com/articles/hr-departments-turn-to-ai-enabled-recruiting-in-race-for-talent-11552600459</w:t>
        </w:r>
      </w:hyperlink>
      <w:r w:rsidRPr="00E25E3D">
        <w:rPr>
          <w:rFonts w:ascii="Source Sans Pro" w:eastAsia="Times New Roman" w:hAnsi="Source Sans Pro"/>
          <w:vanish/>
          <w:sz w:val="18"/>
          <w:szCs w:val="18"/>
        </w:rPr>
        <w:t>&gt;.</w:t>
      </w:r>
    </w:p>
  </w:endnote>
  <w:endnote w:id="18">
    <w:p w14:paraId="23334BFC" w14:textId="77777777" w:rsidR="00E25E3D" w:rsidRPr="00E25E3D" w:rsidRDefault="00E25E3D" w:rsidP="00B65564">
      <w:pPr>
        <w:pStyle w:val="EndnoteText"/>
        <w:rPr>
          <w:rFonts w:ascii="Source Sans Pro" w:hAnsi="Source Sans Pro"/>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Ibid. </w:t>
      </w:r>
    </w:p>
  </w:endnote>
  <w:endnote w:id="19">
    <w:p w14:paraId="01F6C5E9" w14:textId="77777777" w:rsidR="00E25E3D" w:rsidRPr="00E25E3D" w:rsidRDefault="00E25E3D" w:rsidP="00B65564">
      <w:pPr>
        <w:rPr>
          <w:rFonts w:ascii="Source Sans Pro" w:hAnsi="Source Sans Pro"/>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O’Flynn (n 9). </w:t>
      </w:r>
    </w:p>
  </w:endnote>
  <w:endnote w:id="20">
    <w:p w14:paraId="73133A6F" w14:textId="77777777" w:rsidR="00E25E3D" w:rsidRPr="00E25E3D" w:rsidRDefault="00E25E3D" w:rsidP="00B65564">
      <w:pPr>
        <w:pStyle w:val="EndnoteText"/>
        <w:rPr>
          <w:rFonts w:ascii="Source Sans Pro" w:hAnsi="Source Sans Pro"/>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Zuboff (n 3) 85.</w:t>
      </w:r>
    </w:p>
  </w:endnote>
  <w:endnote w:id="21">
    <w:p w14:paraId="43B59668" w14:textId="77777777" w:rsidR="00E25E3D" w:rsidRPr="00E25E3D" w:rsidRDefault="00E25E3D" w:rsidP="00B65564">
      <w:pPr>
        <w:rPr>
          <w:rFonts w:ascii="Source Sans Pro" w:hAnsi="Source Sans Pro"/>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Marcia C Linn &amp; Nancy B Songer, ‘Cognitive and Conceptual Change in Adolescence’, 99(4) </w:t>
      </w:r>
      <w:r w:rsidRPr="00E25E3D">
        <w:rPr>
          <w:rFonts w:ascii="Source Sans Pro" w:hAnsi="Source Sans Pro"/>
          <w:i/>
          <w:vanish/>
          <w:sz w:val="18"/>
          <w:szCs w:val="18"/>
        </w:rPr>
        <w:t>American Journal of Education</w:t>
      </w:r>
      <w:r w:rsidRPr="00E25E3D">
        <w:rPr>
          <w:rFonts w:ascii="Source Sans Pro" w:hAnsi="Source Sans Pro"/>
          <w:vanish/>
          <w:sz w:val="18"/>
          <w:szCs w:val="18"/>
        </w:rPr>
        <w:t xml:space="preserve"> (1991) 379. </w:t>
      </w:r>
    </w:p>
  </w:endnote>
  <w:endnote w:id="22">
    <w:p w14:paraId="2857FBB5" w14:textId="77777777" w:rsidR="00E25E3D" w:rsidRPr="00E25E3D" w:rsidRDefault="00E25E3D" w:rsidP="00B65564">
      <w:pPr>
        <w:pStyle w:val="EndnoteText"/>
        <w:rPr>
          <w:rFonts w:ascii="Source Sans Pro" w:hAnsi="Source Sans Pro"/>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w:t>
      </w:r>
      <w:r w:rsidRPr="00E25E3D">
        <w:rPr>
          <w:rFonts w:ascii="Source Sans Pro" w:hAnsi="Source Sans Pro"/>
          <w:i/>
          <w:vanish/>
          <w:sz w:val="18"/>
          <w:szCs w:val="18"/>
        </w:rPr>
        <w:t>Convention on the Rights of the Child</w:t>
      </w:r>
      <w:r w:rsidRPr="00E25E3D">
        <w:rPr>
          <w:rFonts w:ascii="Source Sans Pro" w:hAnsi="Source Sans Pro"/>
          <w:vanish/>
          <w:sz w:val="18"/>
          <w:szCs w:val="18"/>
        </w:rPr>
        <w:t xml:space="preserve">, art 16. </w:t>
      </w:r>
    </w:p>
  </w:endnote>
  <w:endnote w:id="23">
    <w:p w14:paraId="5260261F" w14:textId="77777777" w:rsidR="00E25E3D" w:rsidRPr="00E25E3D" w:rsidRDefault="00E25E3D" w:rsidP="00B65564">
      <w:pPr>
        <w:rPr>
          <w:vanish/>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w:t>
      </w:r>
      <w:r w:rsidRPr="00E25E3D">
        <w:rPr>
          <w:rFonts w:ascii="Source Sans Pro" w:hAnsi="Source Sans Pro" w:cs="Helvetica"/>
          <w:vanish/>
          <w:color w:val="000000"/>
          <w:sz w:val="18"/>
          <w:szCs w:val="18"/>
        </w:rPr>
        <w:t xml:space="preserve">Human Rights Committee, </w:t>
      </w:r>
      <w:r w:rsidRPr="00E25E3D">
        <w:rPr>
          <w:rFonts w:ascii="Source Sans Pro" w:hAnsi="Source Sans Pro" w:cs="Helvetica"/>
          <w:i/>
          <w:vanish/>
          <w:color w:val="000000"/>
          <w:sz w:val="18"/>
          <w:szCs w:val="18"/>
        </w:rPr>
        <w:t>Views: Communication No 453/1991</w:t>
      </w:r>
      <w:r w:rsidRPr="00E25E3D">
        <w:rPr>
          <w:rFonts w:ascii="Source Sans Pro" w:hAnsi="Source Sans Pro" w:cs="Helvetica"/>
          <w:vanish/>
          <w:color w:val="000000"/>
          <w:sz w:val="18"/>
          <w:szCs w:val="18"/>
        </w:rPr>
        <w:t>, 52nd sess, UN Doc CCPR/C/52/D/453/1991 (9 December 1994) (</w:t>
      </w:r>
      <w:r w:rsidRPr="00E25E3D">
        <w:rPr>
          <w:rFonts w:ascii="Source Sans Pro" w:hAnsi="Source Sans Pro" w:cs="Helvetica"/>
          <w:i/>
          <w:iCs/>
          <w:vanish/>
          <w:color w:val="000000"/>
          <w:sz w:val="18"/>
          <w:szCs w:val="18"/>
        </w:rPr>
        <w:t>‘Coeriel and Aurik v The Netherlands</w:t>
      </w:r>
      <w:r w:rsidRPr="00E25E3D">
        <w:rPr>
          <w:rFonts w:ascii="Source Sans Pro" w:hAnsi="Source Sans Pro" w:cs="Helvetica"/>
          <w:vanish/>
          <w:color w:val="000000"/>
          <w:sz w:val="18"/>
          <w:szCs w:val="18"/>
        </w:rPr>
        <w:t>’)</w:t>
      </w:r>
      <w:r w:rsidRPr="00E25E3D">
        <w:rPr>
          <w:rFonts w:ascii="Source Sans Pro" w:hAnsi="Source Sans Pro"/>
          <w:vanish/>
          <w:color w:val="000000"/>
          <w:sz w:val="18"/>
          <w:szCs w:val="18"/>
        </w:rPr>
        <w:t xml:space="preserve">. See also Human Rights Committee, </w:t>
      </w:r>
      <w:r w:rsidRPr="00E25E3D">
        <w:rPr>
          <w:rFonts w:ascii="Source Sans Pro" w:hAnsi="Source Sans Pro"/>
          <w:i/>
          <w:vanish/>
          <w:color w:val="000000"/>
          <w:sz w:val="18"/>
          <w:szCs w:val="18"/>
        </w:rPr>
        <w:t>Views: Communication No 488/1992</w:t>
      </w:r>
      <w:r w:rsidRPr="00E25E3D">
        <w:rPr>
          <w:rFonts w:ascii="Source Sans Pro" w:hAnsi="Source Sans Pro"/>
          <w:vanish/>
          <w:color w:val="000000"/>
          <w:sz w:val="18"/>
          <w:szCs w:val="18"/>
        </w:rPr>
        <w:t>, 50</w:t>
      </w:r>
      <w:r w:rsidRPr="00E25E3D">
        <w:rPr>
          <w:rFonts w:ascii="Source Sans Pro" w:hAnsi="Source Sans Pro"/>
          <w:vanish/>
          <w:color w:val="000000"/>
          <w:sz w:val="18"/>
          <w:szCs w:val="18"/>
          <w:vertAlign w:val="superscript"/>
        </w:rPr>
        <w:t>th</w:t>
      </w:r>
      <w:r w:rsidRPr="00E25E3D">
        <w:rPr>
          <w:rFonts w:ascii="Source Sans Pro" w:hAnsi="Source Sans Pro"/>
          <w:vanish/>
          <w:color w:val="000000"/>
          <w:sz w:val="18"/>
          <w:szCs w:val="18"/>
        </w:rPr>
        <w:t xml:space="preserve"> sess, UN Doc CCPR/C/50/D/488/1992 (25 December 1991) (‘</w:t>
      </w:r>
      <w:r w:rsidRPr="00E25E3D">
        <w:rPr>
          <w:rFonts w:ascii="Source Sans Pro" w:hAnsi="Source Sans Pro"/>
          <w:i/>
          <w:vanish/>
          <w:color w:val="000000"/>
          <w:sz w:val="18"/>
          <w:szCs w:val="18"/>
        </w:rPr>
        <w:t>Toonen v Australia’</w:t>
      </w:r>
      <w:r w:rsidRPr="00E25E3D">
        <w:rPr>
          <w:rFonts w:ascii="Source Sans Pro" w:hAnsi="Source Sans Pro"/>
          <w:vanish/>
          <w:color w:val="000000"/>
          <w:sz w:val="18"/>
          <w:szCs w:val="18"/>
        </w:rPr>
        <w:t>).</w:t>
      </w:r>
      <w:r w:rsidRPr="00E25E3D">
        <w:rPr>
          <w:vanish/>
          <w:color w:val="000000"/>
        </w:rPr>
        <w:t xml:space="preserve"> </w:t>
      </w:r>
    </w:p>
  </w:endnote>
  <w:endnote w:id="24">
    <w:p w14:paraId="4DA34528" w14:textId="77777777" w:rsidR="00E25E3D" w:rsidRPr="00E25E3D" w:rsidRDefault="00E25E3D" w:rsidP="00B65564">
      <w:pPr>
        <w:rPr>
          <w:rFonts w:ascii="Source Sans Pro" w:eastAsia="Times New Roman" w:hAnsi="Source Sans Pro"/>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UN High Commissioner for Human Rights, </w:t>
      </w:r>
      <w:r w:rsidRPr="00E25E3D">
        <w:rPr>
          <w:rFonts w:ascii="Source Sans Pro" w:hAnsi="Source Sans Pro"/>
          <w:i/>
          <w:vanish/>
          <w:sz w:val="18"/>
          <w:szCs w:val="18"/>
        </w:rPr>
        <w:t>The Right to Privacy in the Digital Age</w:t>
      </w:r>
      <w:r w:rsidRPr="00E25E3D">
        <w:rPr>
          <w:rFonts w:ascii="Source Sans Pro" w:hAnsi="Source Sans Pro"/>
          <w:vanish/>
          <w:sz w:val="18"/>
          <w:szCs w:val="18"/>
        </w:rPr>
        <w:t>, 27</w:t>
      </w:r>
      <w:r w:rsidRPr="00E25E3D">
        <w:rPr>
          <w:rFonts w:ascii="Source Sans Pro" w:hAnsi="Source Sans Pro"/>
          <w:vanish/>
          <w:sz w:val="18"/>
          <w:szCs w:val="18"/>
          <w:vertAlign w:val="superscript"/>
        </w:rPr>
        <w:t>th</w:t>
      </w:r>
      <w:r w:rsidRPr="00E25E3D">
        <w:rPr>
          <w:rFonts w:ascii="Source Sans Pro" w:hAnsi="Source Sans Pro"/>
          <w:vanish/>
          <w:sz w:val="18"/>
          <w:szCs w:val="18"/>
        </w:rPr>
        <w:t xml:space="preserve"> sess, UN Doc A/HRC/27/37 (30 June 2014). </w:t>
      </w:r>
    </w:p>
  </w:endnote>
  <w:endnote w:id="25">
    <w:p w14:paraId="0BA0FDD4" w14:textId="77777777" w:rsidR="00E25E3D" w:rsidRPr="00E25E3D" w:rsidRDefault="00E25E3D" w:rsidP="00B65564">
      <w:pPr>
        <w:rPr>
          <w:rFonts w:ascii="Source Sans Pro" w:eastAsia="Times New Roman" w:hAnsi="Source Sans Pro" w:cs="Times New Roman"/>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w:t>
      </w:r>
      <w:r w:rsidRPr="00E25E3D">
        <w:rPr>
          <w:rFonts w:ascii="Source Sans Pro" w:eastAsia="Times New Roman" w:hAnsi="Source Sans Pro" w:cs="Times New Roman"/>
          <w:vanish/>
          <w:color w:val="000000"/>
          <w:sz w:val="18"/>
          <w:szCs w:val="18"/>
          <w:shd w:val="clear" w:color="auto" w:fill="FFFFFF"/>
        </w:rPr>
        <w:t xml:space="preserve">Zuboff (n 3) 77. </w:t>
      </w:r>
    </w:p>
  </w:endnote>
  <w:endnote w:id="26">
    <w:p w14:paraId="3A366FE1" w14:textId="77777777" w:rsidR="00E25E3D" w:rsidRPr="00E25E3D" w:rsidRDefault="00E25E3D" w:rsidP="00B65564">
      <w:pPr>
        <w:rPr>
          <w:rFonts w:ascii="Source Sans Pro" w:eastAsia="Times New Roman" w:hAnsi="Source Sans Pro" w:cs="Times New Roman"/>
          <w:vanish/>
          <w:color w:val="000000"/>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w:t>
      </w:r>
      <w:r w:rsidRPr="00E25E3D">
        <w:rPr>
          <w:rFonts w:ascii="Source Sans Pro" w:hAnsi="Source Sans Pro"/>
          <w:i/>
          <w:vanish/>
          <w:color w:val="000000"/>
          <w:sz w:val="18"/>
          <w:szCs w:val="18"/>
        </w:rPr>
        <w:t>Children’s Online Privacy Protection Act of 1988</w:t>
      </w:r>
      <w:r w:rsidRPr="00E25E3D">
        <w:rPr>
          <w:rFonts w:ascii="Source Sans Pro" w:hAnsi="Source Sans Pro"/>
          <w:vanish/>
          <w:color w:val="000000"/>
          <w:sz w:val="18"/>
          <w:szCs w:val="18"/>
        </w:rPr>
        <w:t xml:space="preserve">, 15 USC </w:t>
      </w:r>
      <w:r w:rsidRPr="00E25E3D">
        <w:rPr>
          <w:rFonts w:ascii="Source Sans Pro" w:eastAsia="Times New Roman" w:hAnsi="Source Sans Pro" w:cs="Arial"/>
          <w:vanish/>
          <w:color w:val="000000"/>
          <w:sz w:val="18"/>
          <w:szCs w:val="18"/>
          <w:shd w:val="clear" w:color="auto" w:fill="FFFFFF"/>
        </w:rPr>
        <w:t xml:space="preserve">§§ 6501–6506 (WestLaw 2020). </w:t>
      </w:r>
    </w:p>
  </w:endnote>
  <w:endnote w:id="27">
    <w:p w14:paraId="556ED79D" w14:textId="77777777" w:rsidR="00E25E3D" w:rsidRPr="00E25E3D" w:rsidRDefault="00E25E3D" w:rsidP="00B65564">
      <w:pPr>
        <w:rPr>
          <w:rFonts w:ascii="Source Sans Pro" w:hAnsi="Source Sans Pro" w:cs="Helvetica"/>
          <w:vanish/>
          <w:color w:val="000000"/>
          <w:sz w:val="18"/>
          <w:szCs w:val="18"/>
        </w:rPr>
      </w:pPr>
      <w:r w:rsidRPr="00E25E3D">
        <w:rPr>
          <w:rStyle w:val="EndnoteReference"/>
          <w:rFonts w:ascii="Source Sans Pro" w:hAnsi="Source Sans Pro"/>
          <w:vanish/>
          <w:color w:val="000000"/>
          <w:sz w:val="18"/>
          <w:szCs w:val="18"/>
        </w:rPr>
        <w:endnoteRef/>
      </w:r>
      <w:r w:rsidRPr="00E25E3D">
        <w:rPr>
          <w:rFonts w:ascii="Source Sans Pro" w:hAnsi="Source Sans Pro"/>
          <w:vanish/>
          <w:color w:val="000000"/>
          <w:sz w:val="18"/>
          <w:szCs w:val="18"/>
        </w:rPr>
        <w:t xml:space="preserve"> </w:t>
      </w:r>
      <w:r w:rsidRPr="00E25E3D">
        <w:rPr>
          <w:rFonts w:ascii="Source Sans Pro" w:hAnsi="Source Sans Pro" w:cs="Helvetica"/>
          <w:bCs/>
          <w:i/>
          <w:vanish/>
          <w:color w:val="000000"/>
          <w:sz w:val="18"/>
          <w:szCs w:val="18"/>
        </w:rPr>
        <w:t>Regulation (EU) 2016/679 of the European parliament and of the Council on the protection of natural persons with regard to the processing of personal data and on the free movement of such data, and repealing Directive 95/46/EC (General Data Protection Regulation)</w:t>
      </w:r>
      <w:r w:rsidRPr="00E25E3D">
        <w:rPr>
          <w:rFonts w:ascii="Source Sans Pro" w:hAnsi="Source Sans Pro" w:cs="Helvetica"/>
          <w:bCs/>
          <w:vanish/>
          <w:color w:val="000000"/>
          <w:sz w:val="18"/>
          <w:szCs w:val="18"/>
        </w:rPr>
        <w:t xml:space="preserve"> </w:t>
      </w:r>
      <w:r w:rsidRPr="00E25E3D">
        <w:rPr>
          <w:rFonts w:ascii="Source Sans Pro" w:hAnsi="Source Sans Pro" w:cs="Helvetica"/>
          <w:vanish/>
          <w:color w:val="000000"/>
          <w:sz w:val="18"/>
          <w:szCs w:val="18"/>
        </w:rPr>
        <w:t xml:space="preserve">[2016] OJ L 119/1. </w:t>
      </w:r>
    </w:p>
  </w:endnote>
  <w:endnote w:id="28">
    <w:p w14:paraId="185289D0" w14:textId="77777777" w:rsidR="00E25E3D" w:rsidRPr="00E25E3D" w:rsidRDefault="00E25E3D" w:rsidP="00B65564">
      <w:pPr>
        <w:rPr>
          <w:rFonts w:ascii="Source Sans Pro" w:hAnsi="Source Sans Pro"/>
          <w:vanish/>
          <w:color w:val="000000"/>
          <w:sz w:val="18"/>
          <w:szCs w:val="18"/>
        </w:rPr>
      </w:pPr>
      <w:r w:rsidRPr="00E25E3D">
        <w:rPr>
          <w:rStyle w:val="EndnoteReference"/>
          <w:rFonts w:ascii="Source Sans Pro" w:hAnsi="Source Sans Pro"/>
          <w:vanish/>
          <w:color w:val="000000"/>
          <w:sz w:val="18"/>
          <w:szCs w:val="18"/>
        </w:rPr>
        <w:endnoteRef/>
      </w:r>
      <w:r w:rsidRPr="00E25E3D">
        <w:rPr>
          <w:rFonts w:ascii="Source Sans Pro" w:hAnsi="Source Sans Pro"/>
          <w:vanish/>
          <w:color w:val="000000"/>
          <w:sz w:val="18"/>
          <w:szCs w:val="18"/>
        </w:rPr>
        <w:t xml:space="preserve"> Simone Van der Hof, ‘</w:t>
      </w:r>
      <w:r w:rsidRPr="00E25E3D">
        <w:rPr>
          <w:rFonts w:ascii="Source Sans Pro" w:eastAsia="Times New Roman" w:hAnsi="Source Sans Pro" w:cs="Times New Roman"/>
          <w:vanish/>
          <w:color w:val="000000"/>
          <w:sz w:val="18"/>
          <w:szCs w:val="18"/>
          <w:shd w:val="clear" w:color="auto" w:fill="FFFFFF"/>
        </w:rPr>
        <w:t>I Agree... Or Do I? A Rights-Based Analysis of the Law on Children's Consent in the Digital World</w:t>
      </w:r>
      <w:r w:rsidRPr="00E25E3D">
        <w:rPr>
          <w:rFonts w:ascii="Source Sans Pro" w:eastAsia="Times New Roman" w:hAnsi="Source Sans Pro" w:cs="Times New Roman"/>
          <w:vanish/>
          <w:color w:val="000000"/>
          <w:sz w:val="18"/>
          <w:szCs w:val="18"/>
        </w:rPr>
        <w:t xml:space="preserve">’ (2017) 34(2) </w:t>
      </w:r>
      <w:r w:rsidRPr="00E25E3D">
        <w:rPr>
          <w:rFonts w:ascii="Source Sans Pro" w:eastAsia="Times New Roman" w:hAnsi="Source Sans Pro" w:cs="Times New Roman"/>
          <w:i/>
          <w:vanish/>
          <w:color w:val="000000"/>
          <w:sz w:val="18"/>
          <w:szCs w:val="18"/>
        </w:rPr>
        <w:t>Wisconsin International Law Journa</w:t>
      </w:r>
      <w:r w:rsidRPr="00E25E3D">
        <w:rPr>
          <w:rFonts w:ascii="Source Sans Pro" w:eastAsia="Times New Roman" w:hAnsi="Source Sans Pro" w:cs="Times New Roman"/>
          <w:vanish/>
          <w:color w:val="000000"/>
          <w:sz w:val="18"/>
          <w:szCs w:val="18"/>
        </w:rPr>
        <w:t>l, 409;</w:t>
      </w:r>
      <w:r w:rsidRPr="00E25E3D">
        <w:rPr>
          <w:rFonts w:ascii="Source Sans Pro" w:hAnsi="Source Sans Pro"/>
          <w:vanish/>
          <w:color w:val="000000"/>
          <w:sz w:val="18"/>
          <w:szCs w:val="18"/>
        </w:rPr>
        <w:t xml:space="preserve"> </w:t>
      </w:r>
      <w:r w:rsidRPr="00E25E3D">
        <w:rPr>
          <w:rFonts w:ascii="Source Sans Pro" w:hAnsi="Source Sans Pro"/>
          <w:vanish/>
          <w:color w:val="000000"/>
          <w:sz w:val="18"/>
          <w:szCs w:val="18"/>
        </w:rPr>
        <w:fldChar w:fldCharType="begin"/>
      </w:r>
      <w:r w:rsidRPr="00E25E3D">
        <w:rPr>
          <w:rFonts w:ascii="Source Sans Pro" w:hAnsi="Source Sans Pro"/>
          <w:vanish/>
          <w:color w:val="000000"/>
          <w:sz w:val="18"/>
          <w:szCs w:val="18"/>
        </w:rPr>
        <w:instrText xml:space="preserve"> ADDIN ZOTERO_ITEM CSL_CITATION {"citationID":"a1sg6r7l1bq","properties":{"formattedCitation":"Jelena Gligorijevi\\uc0\\u263{}, \\uc0\\u8216{}Children\\uc0\\u8217{}s Privacy: The Role of Parental Control and Consent\\uc0\\u8217{} (2019) 19(2) {\\i{}Human Rights Law Review} 201, 202 (\\uc0\\u8216{}Children\\uc0\\u8217{}s Privacy\\uc0\\u8217{}).","plainCitation":"Jelena Gligorijević, ‘Children’s Privacy: The Role of Parental Control and Consent’ (2019) 19(2) Human Rights Law Review 201, 202 (‘Children’s Privacy’).","noteIndex":151},"citationItems":[{"id":2527,"uris":["http://zotero.org/groups/2512835/items/E5FAGAXN"],"uri":["http://zotero.org/groups/2512835/items/E5FAGAXN"],"itemData":{"id":2527,"type":"article-journal","abstract":"Abstract.  Protecting children’s informational privacy has never been more difficult. To what extent does it depend \nupon parental control and consent, and how","container-title":"Human Rights Law Review","DOI":"10.1093/hrlr/ngz004","ISSN":"1461-7781","issue":"2","journalAbbreviation":"Human Rights Law Review","language":"en","note":"publisher: Oxford Academic","page":"201-229","source":"academic.oup.com","title":"Children’s Privacy: The Role of Parental Control and Consent","title-short":"Children’s Privacy","volume":"19","author":[{"family":"Gligorijević","given":"Jelena"}],"issued":{"date-parts":[["2019",8,2]]}},"locator":"202"}],"schema":"https://github.com/citation-style-language/schema/raw/master/csl-citation.json"} </w:instrText>
      </w:r>
      <w:r w:rsidRPr="00E25E3D">
        <w:rPr>
          <w:rFonts w:ascii="Source Sans Pro" w:hAnsi="Source Sans Pro"/>
          <w:vanish/>
          <w:color w:val="000000"/>
          <w:sz w:val="18"/>
          <w:szCs w:val="18"/>
        </w:rPr>
        <w:fldChar w:fldCharType="separate"/>
      </w:r>
      <w:r w:rsidRPr="00E25E3D">
        <w:rPr>
          <w:rFonts w:ascii="Source Sans Pro" w:hAnsi="Source Sans Pro"/>
          <w:vanish/>
          <w:color w:val="000000"/>
          <w:sz w:val="18"/>
          <w:szCs w:val="18"/>
        </w:rPr>
        <w:t xml:space="preserve">Jelena Gligorijević, ‘Children’s Privacy: The Role of Parental Control and Consent’ (2019) 19(2) </w:t>
      </w:r>
      <w:r w:rsidRPr="00E25E3D">
        <w:rPr>
          <w:rFonts w:ascii="Source Sans Pro" w:hAnsi="Source Sans Pro"/>
          <w:i/>
          <w:iCs/>
          <w:vanish/>
          <w:color w:val="000000"/>
          <w:sz w:val="18"/>
          <w:szCs w:val="18"/>
        </w:rPr>
        <w:t>Human Rights Law Review</w:t>
      </w:r>
      <w:r w:rsidRPr="00E25E3D">
        <w:rPr>
          <w:rFonts w:ascii="Source Sans Pro" w:hAnsi="Source Sans Pro"/>
          <w:vanish/>
          <w:color w:val="000000"/>
          <w:sz w:val="18"/>
          <w:szCs w:val="18"/>
        </w:rPr>
        <w:t xml:space="preserve"> 201, 202.</w:t>
      </w:r>
      <w:r w:rsidRPr="00E25E3D">
        <w:rPr>
          <w:rFonts w:ascii="Source Sans Pro" w:hAnsi="Source Sans Pro"/>
          <w:vanish/>
          <w:color w:val="000000"/>
          <w:sz w:val="18"/>
          <w:szCs w:val="18"/>
        </w:rPr>
        <w:fldChar w:fldCharType="end"/>
      </w:r>
      <w:r w:rsidRPr="00E25E3D">
        <w:rPr>
          <w:rFonts w:ascii="Source Sans Pro" w:hAnsi="Source Sans Pro"/>
          <w:vanish/>
          <w:color w:val="000000"/>
          <w:sz w:val="18"/>
          <w:szCs w:val="18"/>
        </w:rPr>
        <w:t xml:space="preserve">.; </w:t>
      </w:r>
      <w:r w:rsidRPr="00E25E3D">
        <w:rPr>
          <w:rFonts w:ascii="Source Sans Pro" w:hAnsi="Source Sans Pro"/>
          <w:vanish/>
          <w:color w:val="000000"/>
          <w:sz w:val="18"/>
          <w:szCs w:val="18"/>
        </w:rPr>
        <w:fldChar w:fldCharType="begin"/>
      </w:r>
      <w:r w:rsidRPr="00E25E3D">
        <w:rPr>
          <w:rFonts w:ascii="Source Sans Pro" w:hAnsi="Source Sans Pro"/>
          <w:vanish/>
          <w:color w:val="000000"/>
          <w:sz w:val="18"/>
          <w:szCs w:val="18"/>
        </w:rPr>
        <w:instrText xml:space="preserve"> ADDIN ZOTERO_ITEM CSL_CITATION {"citationID":"a1tojjabsga","properties":{"formattedCitation":"David D Meyer, \\uc0\\u8216{}The Modest Promise of Children\\uc0\\u8217{}s Relationship Rights\\uc0\\u8217{} (2003) 11 {\\i{}William &amp; Mary Bill of Rights Journal} 1117, 1118.","plainCitation":"David D Meyer, ‘The Modest Promise of Children’s Relationship Rights’ (2003) 11 William &amp; Mary Bill of Rights Journal 1117, 1118.","noteIndex":149},"citationItems":[{"id":2333,"uris":["http://zotero.org/users/4745711/items/5G3KDCI5"],"uri":["http://zotero.org/users/4745711/items/5G3KDCI5"],"itemData":{"id":2333,"type":"article-journal","container-title":"William &amp; Mary Bill of Rights Journal","page":"1117","title":"The Modest Promise of Children's Relationship Rights","volume":"11","author":[{"family":"Meyer","given":"David D"}],"issued":{"date-parts":[["2003"]]}},"locator":"1118"}],"schema":"https://github.com/citation-style-language/schema/raw/master/csl-citation.json"} </w:instrText>
      </w:r>
      <w:r w:rsidRPr="00E25E3D">
        <w:rPr>
          <w:rFonts w:ascii="Source Sans Pro" w:hAnsi="Source Sans Pro"/>
          <w:vanish/>
          <w:color w:val="000000"/>
          <w:sz w:val="18"/>
          <w:szCs w:val="18"/>
        </w:rPr>
        <w:fldChar w:fldCharType="separate"/>
      </w:r>
      <w:r w:rsidRPr="00E25E3D">
        <w:rPr>
          <w:rFonts w:ascii="Source Sans Pro" w:hAnsi="Source Sans Pro"/>
          <w:vanish/>
          <w:color w:val="000000"/>
          <w:sz w:val="18"/>
          <w:szCs w:val="18"/>
        </w:rPr>
        <w:t xml:space="preserve">David D Meyer, ‘The Modest Promise of Children’s Relationship Rights’ (2003) 11 </w:t>
      </w:r>
      <w:r w:rsidRPr="00E25E3D">
        <w:rPr>
          <w:rFonts w:ascii="Source Sans Pro" w:hAnsi="Source Sans Pro"/>
          <w:i/>
          <w:iCs/>
          <w:vanish/>
          <w:color w:val="000000"/>
          <w:sz w:val="18"/>
          <w:szCs w:val="18"/>
        </w:rPr>
        <w:t>William &amp; Mary Bill of Rights Journal</w:t>
      </w:r>
      <w:r w:rsidRPr="00E25E3D">
        <w:rPr>
          <w:rFonts w:ascii="Source Sans Pro" w:hAnsi="Source Sans Pro"/>
          <w:vanish/>
          <w:color w:val="000000"/>
          <w:sz w:val="18"/>
          <w:szCs w:val="18"/>
        </w:rPr>
        <w:t xml:space="preserve"> 1117, 1118.</w:t>
      </w:r>
      <w:r w:rsidRPr="00E25E3D">
        <w:rPr>
          <w:rFonts w:ascii="Source Sans Pro" w:hAnsi="Source Sans Pro"/>
          <w:vanish/>
          <w:color w:val="000000"/>
          <w:sz w:val="18"/>
          <w:szCs w:val="18"/>
        </w:rPr>
        <w:fldChar w:fldCharType="end"/>
      </w:r>
    </w:p>
  </w:endnote>
  <w:endnote w:id="29">
    <w:p w14:paraId="317DB9FE" w14:textId="77777777" w:rsidR="00E25E3D" w:rsidRPr="00E25E3D" w:rsidRDefault="00E25E3D" w:rsidP="00B65564">
      <w:pPr>
        <w:pStyle w:val="EndnoteText"/>
        <w:rPr>
          <w:rFonts w:ascii="Source Sans Pro" w:hAnsi="Source Sans Pro"/>
          <w:vanish/>
          <w:color w:val="000000"/>
          <w:sz w:val="18"/>
          <w:szCs w:val="18"/>
        </w:rPr>
      </w:pPr>
      <w:r w:rsidRPr="00E25E3D">
        <w:rPr>
          <w:rStyle w:val="EndnoteReference"/>
          <w:rFonts w:ascii="Source Sans Pro" w:hAnsi="Source Sans Pro"/>
          <w:vanish/>
          <w:color w:val="000000"/>
          <w:sz w:val="18"/>
          <w:szCs w:val="18"/>
        </w:rPr>
        <w:endnoteRef/>
      </w:r>
      <w:r w:rsidRPr="00E25E3D">
        <w:rPr>
          <w:rFonts w:ascii="Source Sans Pro" w:hAnsi="Source Sans Pro"/>
          <w:vanish/>
          <w:color w:val="000000"/>
          <w:sz w:val="18"/>
          <w:szCs w:val="18"/>
        </w:rPr>
        <w:t xml:space="preserve"> Van der Hof (n 28) 419. </w:t>
      </w:r>
    </w:p>
  </w:endnote>
  <w:endnote w:id="30">
    <w:p w14:paraId="3F551F6A" w14:textId="77777777" w:rsidR="00E25E3D" w:rsidRPr="00E25E3D" w:rsidRDefault="00E25E3D" w:rsidP="00B65564">
      <w:pPr>
        <w:pStyle w:val="EndnoteText"/>
        <w:rPr>
          <w:rFonts w:ascii="Source Sans Pro" w:hAnsi="Source Sans Pro"/>
          <w:vanish/>
          <w:color w:val="000000"/>
          <w:sz w:val="18"/>
          <w:szCs w:val="18"/>
        </w:rPr>
      </w:pPr>
      <w:r w:rsidRPr="00E25E3D">
        <w:rPr>
          <w:rStyle w:val="EndnoteReference"/>
          <w:rFonts w:ascii="Source Sans Pro" w:hAnsi="Source Sans Pro"/>
          <w:vanish/>
          <w:color w:val="000000"/>
          <w:sz w:val="18"/>
          <w:szCs w:val="18"/>
        </w:rPr>
        <w:endnoteRef/>
      </w:r>
      <w:r w:rsidRPr="00E25E3D">
        <w:rPr>
          <w:rFonts w:ascii="Source Sans Pro" w:hAnsi="Source Sans Pro"/>
          <w:vanish/>
          <w:color w:val="000000"/>
          <w:sz w:val="18"/>
          <w:szCs w:val="18"/>
        </w:rPr>
        <w:t xml:space="preserve"> Ibid 435-440. </w:t>
      </w:r>
    </w:p>
  </w:endnote>
  <w:endnote w:id="31">
    <w:p w14:paraId="3FA2ECB1" w14:textId="77777777" w:rsidR="00E25E3D" w:rsidRPr="00E25E3D" w:rsidRDefault="00E25E3D" w:rsidP="00B65564">
      <w:pPr>
        <w:rPr>
          <w:rFonts w:ascii="Source Sans Pro" w:hAnsi="Source Sans Pro"/>
          <w:vanish/>
          <w:color w:val="000000"/>
          <w:sz w:val="18"/>
          <w:szCs w:val="18"/>
        </w:rPr>
      </w:pPr>
      <w:r w:rsidRPr="00E25E3D">
        <w:rPr>
          <w:rStyle w:val="EndnoteReference"/>
          <w:rFonts w:ascii="Source Sans Pro" w:hAnsi="Source Sans Pro"/>
          <w:vanish/>
          <w:color w:val="000000"/>
          <w:sz w:val="18"/>
          <w:szCs w:val="18"/>
        </w:rPr>
        <w:endnoteRef/>
      </w:r>
      <w:r w:rsidRPr="00E25E3D">
        <w:rPr>
          <w:rFonts w:ascii="Source Sans Pro" w:hAnsi="Source Sans Pro"/>
          <w:vanish/>
          <w:color w:val="000000"/>
          <w:sz w:val="18"/>
          <w:szCs w:val="18"/>
        </w:rPr>
        <w:t xml:space="preserve"> Steeves (n 1). </w:t>
      </w:r>
    </w:p>
  </w:endnote>
  <w:endnote w:id="32">
    <w:p w14:paraId="685F0B34" w14:textId="77777777" w:rsidR="00E25E3D" w:rsidRPr="00E25E3D" w:rsidRDefault="00E25E3D" w:rsidP="00B65564">
      <w:pPr>
        <w:rPr>
          <w:rFonts w:eastAsia="Times New Roman" w:cs="Times New Roman"/>
          <w:vanish/>
          <w:color w:val="000000"/>
        </w:rPr>
      </w:pPr>
      <w:r w:rsidRPr="00E25E3D">
        <w:rPr>
          <w:rStyle w:val="EndnoteReference"/>
          <w:rFonts w:ascii="Source Sans Pro" w:hAnsi="Source Sans Pro"/>
          <w:vanish/>
          <w:color w:val="000000"/>
          <w:sz w:val="18"/>
          <w:szCs w:val="18"/>
        </w:rPr>
        <w:endnoteRef/>
      </w:r>
      <w:r w:rsidRPr="00E25E3D">
        <w:rPr>
          <w:rFonts w:ascii="Source Sans Pro" w:hAnsi="Source Sans Pro"/>
          <w:vanish/>
          <w:color w:val="000000"/>
          <w:sz w:val="18"/>
          <w:szCs w:val="18"/>
        </w:rPr>
        <w:t xml:space="preserve"> </w:t>
      </w:r>
      <w:r w:rsidRPr="00E25E3D">
        <w:rPr>
          <w:rFonts w:ascii="Source Sans Pro" w:eastAsia="Times New Roman" w:hAnsi="Source Sans Pro"/>
          <w:vanish/>
          <w:color w:val="000000"/>
          <w:sz w:val="18"/>
          <w:szCs w:val="18"/>
        </w:rPr>
        <w:t xml:space="preserve">Australian Competition &amp; Consumer Commission, </w:t>
      </w:r>
      <w:r w:rsidRPr="00E25E3D">
        <w:rPr>
          <w:rFonts w:ascii="Source Sans Pro" w:eastAsia="Times New Roman" w:hAnsi="Source Sans Pro"/>
          <w:i/>
          <w:vanish/>
          <w:color w:val="000000"/>
          <w:sz w:val="18"/>
          <w:szCs w:val="18"/>
        </w:rPr>
        <w:t>Digital Platform’s Inquiry</w:t>
      </w:r>
      <w:r w:rsidRPr="00E25E3D">
        <w:rPr>
          <w:rFonts w:ascii="Source Sans Pro" w:eastAsia="Times New Roman" w:hAnsi="Source Sans Pro"/>
          <w:vanish/>
          <w:color w:val="000000"/>
          <w:sz w:val="18"/>
          <w:szCs w:val="18"/>
        </w:rPr>
        <w:t xml:space="preserve"> (Final Report, June 2019). </w:t>
      </w:r>
    </w:p>
  </w:endnote>
  <w:endnote w:id="33">
    <w:p w14:paraId="213DBFFB" w14:textId="77777777" w:rsidR="00E25E3D" w:rsidRPr="00E25E3D" w:rsidRDefault="00E25E3D" w:rsidP="00B65564">
      <w:pPr>
        <w:pStyle w:val="EndnoteText"/>
        <w:rPr>
          <w:rFonts w:ascii="Source Sans Pro" w:hAnsi="Source Sans Pro"/>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Ibid 498. </w:t>
      </w:r>
    </w:p>
  </w:endnote>
  <w:endnote w:id="34">
    <w:p w14:paraId="58FABDD9" w14:textId="77777777" w:rsidR="00E25E3D" w:rsidRPr="00E25E3D" w:rsidRDefault="00E25E3D" w:rsidP="00B65564">
      <w:pPr>
        <w:pStyle w:val="EndnoteText"/>
        <w:rPr>
          <w:rFonts w:ascii="Source Sans Pro" w:hAnsi="Source Sans Pro"/>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Ibid. </w:t>
      </w:r>
    </w:p>
  </w:endnote>
  <w:endnote w:id="35">
    <w:p w14:paraId="26521A7B" w14:textId="77777777" w:rsidR="00E25E3D" w:rsidRPr="00E25E3D" w:rsidRDefault="00E25E3D" w:rsidP="00B65564">
      <w:pPr>
        <w:pStyle w:val="EndnoteText"/>
        <w:rPr>
          <w:rFonts w:ascii="Source Sans Pro" w:hAnsi="Source Sans Pro"/>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Ibid. </w:t>
      </w:r>
    </w:p>
  </w:endnote>
  <w:endnote w:id="36">
    <w:p w14:paraId="36CEA2B2" w14:textId="77777777" w:rsidR="00E25E3D" w:rsidRPr="00E25E3D" w:rsidRDefault="00E25E3D" w:rsidP="00B65564">
      <w:pPr>
        <w:pStyle w:val="EndnoteText"/>
        <w:rPr>
          <w:rFonts w:ascii="Source Sans Pro" w:hAnsi="Source Sans Pro"/>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Steeves (n 1). </w:t>
      </w:r>
    </w:p>
  </w:endnote>
  <w:endnote w:id="37">
    <w:p w14:paraId="3044617A" w14:textId="77777777" w:rsidR="00E25E3D" w:rsidRPr="00E25E3D" w:rsidRDefault="00E25E3D" w:rsidP="00B65564">
      <w:pPr>
        <w:pStyle w:val="EndnoteText"/>
        <w:rPr>
          <w:rFonts w:ascii="Source Sans Pro" w:hAnsi="Source Sans Pro"/>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Van der Hof (n 28). </w:t>
      </w:r>
    </w:p>
  </w:endnote>
  <w:endnote w:id="38">
    <w:p w14:paraId="4A5C64DB" w14:textId="77777777" w:rsidR="00E25E3D" w:rsidRPr="00E25E3D" w:rsidRDefault="00E25E3D" w:rsidP="00B65564">
      <w:pPr>
        <w:rPr>
          <w:rFonts w:ascii="Source Sans Pro" w:hAnsi="Source Sans Pro"/>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98% of Facebook’s revenue comes from advertising, whereas for Google it is 90% of its revenue; Barbara Kurshan, The Elephant in the Room With EdTech Data Privacy, </w:t>
      </w:r>
      <w:r w:rsidRPr="00E25E3D">
        <w:rPr>
          <w:rFonts w:ascii="Source Sans Pro" w:hAnsi="Source Sans Pro"/>
          <w:i/>
          <w:vanish/>
          <w:sz w:val="18"/>
          <w:szCs w:val="18"/>
        </w:rPr>
        <w:t>Forbes</w:t>
      </w:r>
      <w:r w:rsidRPr="00E25E3D">
        <w:rPr>
          <w:rFonts w:ascii="Source Sans Pro" w:hAnsi="Source Sans Pro"/>
          <w:vanish/>
          <w:sz w:val="18"/>
          <w:szCs w:val="18"/>
        </w:rPr>
        <w:t xml:space="preserve"> (online, 22 June 2017) &lt; </w:t>
      </w:r>
      <w:hyperlink r:id="rId7" w:history="1">
        <w:r w:rsidRPr="00E25E3D">
          <w:rPr>
            <w:rStyle w:val="Hyperlink"/>
            <w:rFonts w:ascii="Source Sans Pro" w:hAnsi="Source Sans Pro"/>
            <w:vanish/>
            <w:sz w:val="18"/>
            <w:szCs w:val="18"/>
          </w:rPr>
          <w:t>https://www.forbes.com/sites/barbarakurshan/2017/06/22/the-elephant-in-the-room-with-edtech-data-privacy/?sh=14aad7e757a5</w:t>
        </w:r>
      </w:hyperlink>
      <w:r w:rsidRPr="00E25E3D">
        <w:rPr>
          <w:rFonts w:ascii="Source Sans Pro" w:hAnsi="Source Sans Pro"/>
          <w:vanish/>
          <w:sz w:val="18"/>
          <w:szCs w:val="18"/>
        </w:rPr>
        <w:t xml:space="preserve">&gt;. </w:t>
      </w:r>
    </w:p>
  </w:endnote>
  <w:endnote w:id="39">
    <w:p w14:paraId="5595EFBD" w14:textId="77777777" w:rsidR="00E25E3D" w:rsidRPr="00E25E3D" w:rsidRDefault="00E25E3D" w:rsidP="00B65564">
      <w:pPr>
        <w:rPr>
          <w:rFonts w:ascii="Source Sans Pro" w:eastAsia="Times New Roman" w:hAnsi="Source Sans Pro" w:cs="Times New Roman"/>
          <w:vanish/>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w:t>
      </w:r>
      <w:r w:rsidRPr="00E25E3D">
        <w:rPr>
          <w:rStyle w:val="personname"/>
          <w:rFonts w:ascii="Source Sans Pro" w:eastAsia="Times New Roman" w:hAnsi="Source Sans Pro"/>
          <w:vanish/>
          <w:color w:val="000000"/>
          <w:sz w:val="18"/>
          <w:szCs w:val="18"/>
          <w:shd w:val="clear" w:color="auto" w:fill="FFFFFF"/>
        </w:rPr>
        <w:t>Clare Southerton</w:t>
      </w:r>
      <w:r w:rsidRPr="00E25E3D">
        <w:rPr>
          <w:rFonts w:ascii="Source Sans Pro" w:eastAsia="Times New Roman" w:hAnsi="Source Sans Pro"/>
          <w:vanish/>
          <w:color w:val="000000"/>
          <w:sz w:val="18"/>
          <w:szCs w:val="18"/>
          <w:shd w:val="clear" w:color="auto" w:fill="FFFFFF"/>
        </w:rPr>
        <w:t xml:space="preserve"> &amp; </w:t>
      </w:r>
      <w:r w:rsidRPr="00E25E3D">
        <w:rPr>
          <w:rStyle w:val="person"/>
          <w:rFonts w:ascii="Source Sans Pro" w:eastAsia="Times New Roman" w:hAnsi="Source Sans Pro"/>
          <w:vanish/>
          <w:color w:val="000000"/>
          <w:sz w:val="18"/>
          <w:szCs w:val="18"/>
          <w:shd w:val="clear" w:color="auto" w:fill="FFFFFF"/>
        </w:rPr>
        <w:t>Emmeline Taylor, ‘</w:t>
      </w:r>
      <w:r w:rsidRPr="00E25E3D">
        <w:rPr>
          <w:rFonts w:ascii="Source Sans Pro" w:eastAsia="Times New Roman" w:hAnsi="Source Sans Pro"/>
          <w:vanish/>
          <w:color w:val="000000"/>
          <w:sz w:val="18"/>
          <w:szCs w:val="18"/>
          <w:shd w:val="clear" w:color="auto" w:fill="FFFFFF"/>
        </w:rPr>
        <w:t xml:space="preserve">Habitual Disclosure: Routine, Affordance and the Ethics of Young Peoples Social Media Data Surveillance’ (2020) 6(2) </w:t>
      </w:r>
      <w:r w:rsidRPr="00E25E3D">
        <w:rPr>
          <w:rStyle w:val="Emphasis"/>
          <w:rFonts w:ascii="Source Sans Pro" w:eastAsia="Times New Roman" w:hAnsi="Source Sans Pro"/>
          <w:vanish/>
          <w:color w:val="000000"/>
          <w:sz w:val="18"/>
          <w:szCs w:val="18"/>
          <w:shd w:val="clear" w:color="auto" w:fill="FFFFFF"/>
        </w:rPr>
        <w:t>Social Media and Society</w:t>
      </w:r>
      <w:r w:rsidRPr="00E25E3D">
        <w:rPr>
          <w:rFonts w:ascii="Source Sans Pro" w:eastAsia="Times New Roman" w:hAnsi="Source Sans Pro"/>
          <w:vanish/>
          <w:color w:val="000000"/>
          <w:sz w:val="18"/>
          <w:szCs w:val="18"/>
          <w:shd w:val="clear" w:color="auto" w:fill="FFFFFF"/>
        </w:rPr>
        <w:t>, 1</w:t>
      </w:r>
      <w:r w:rsidRPr="00E25E3D">
        <w:rPr>
          <w:rFonts w:ascii="Source Sans Pro" w:hAnsi="Source Sans Pro"/>
          <w:vanish/>
          <w:sz w:val="18"/>
          <w:szCs w:val="18"/>
        </w:rPr>
        <w:t>, 3.</w:t>
      </w:r>
    </w:p>
  </w:endnote>
  <w:endnote w:id="40">
    <w:p w14:paraId="741AF8C1" w14:textId="77777777" w:rsidR="00E25E3D" w:rsidRPr="00E25E3D" w:rsidRDefault="00E25E3D" w:rsidP="00B65564">
      <w:pPr>
        <w:pStyle w:val="EndnoteText"/>
        <w:rPr>
          <w:rFonts w:ascii="Source Sans Pro" w:hAnsi="Source Sans Pro"/>
          <w:vanish/>
          <w:color w:val="000000"/>
          <w:sz w:val="18"/>
          <w:szCs w:val="18"/>
        </w:rPr>
      </w:pPr>
      <w:r w:rsidRPr="00E25E3D">
        <w:rPr>
          <w:rStyle w:val="EndnoteReference"/>
          <w:rFonts w:ascii="Source Sans Pro" w:hAnsi="Source Sans Pro"/>
          <w:vanish/>
          <w:color w:val="000000"/>
          <w:sz w:val="18"/>
          <w:szCs w:val="18"/>
        </w:rPr>
        <w:endnoteRef/>
      </w:r>
      <w:r w:rsidRPr="00E25E3D">
        <w:rPr>
          <w:rFonts w:ascii="Source Sans Pro" w:hAnsi="Source Sans Pro"/>
          <w:vanish/>
          <w:color w:val="000000"/>
          <w:sz w:val="18"/>
          <w:szCs w:val="18"/>
        </w:rPr>
        <w:t xml:space="preserve"> Ibid 7.</w:t>
      </w:r>
    </w:p>
  </w:endnote>
  <w:endnote w:id="41">
    <w:p w14:paraId="49C5EED0" w14:textId="77777777" w:rsidR="00E25E3D" w:rsidRPr="00E25E3D" w:rsidRDefault="00E25E3D" w:rsidP="00B65564">
      <w:pPr>
        <w:pStyle w:val="EndnoteText"/>
        <w:rPr>
          <w:rFonts w:ascii="Source Sans Pro" w:hAnsi="Source Sans Pro"/>
          <w:vanish/>
          <w:color w:val="000000"/>
          <w:sz w:val="18"/>
          <w:szCs w:val="18"/>
        </w:rPr>
      </w:pPr>
      <w:r w:rsidRPr="00E25E3D">
        <w:rPr>
          <w:rStyle w:val="EndnoteReference"/>
          <w:rFonts w:ascii="Source Sans Pro" w:hAnsi="Source Sans Pro"/>
          <w:vanish/>
          <w:color w:val="000000"/>
          <w:sz w:val="18"/>
          <w:szCs w:val="18"/>
        </w:rPr>
        <w:endnoteRef/>
      </w:r>
      <w:r w:rsidRPr="00E25E3D">
        <w:rPr>
          <w:rFonts w:ascii="Source Sans Pro" w:hAnsi="Source Sans Pro"/>
          <w:vanish/>
          <w:color w:val="000000"/>
          <w:sz w:val="18"/>
          <w:szCs w:val="18"/>
        </w:rPr>
        <w:t xml:space="preserve"> Steeves (n 1). </w:t>
      </w:r>
    </w:p>
  </w:endnote>
  <w:endnote w:id="42">
    <w:p w14:paraId="49676E37" w14:textId="77777777" w:rsidR="00E25E3D" w:rsidRPr="00E25E3D" w:rsidRDefault="00E25E3D" w:rsidP="00B65564">
      <w:pPr>
        <w:pStyle w:val="EndnoteText"/>
        <w:rPr>
          <w:vanish/>
          <w:color w:val="000000"/>
          <w:sz w:val="22"/>
          <w:szCs w:val="22"/>
        </w:rPr>
      </w:pPr>
      <w:r w:rsidRPr="00E25E3D">
        <w:rPr>
          <w:rStyle w:val="EndnoteReference"/>
          <w:rFonts w:ascii="Source Sans Pro" w:hAnsi="Source Sans Pro"/>
          <w:vanish/>
          <w:color w:val="000000"/>
          <w:sz w:val="18"/>
          <w:szCs w:val="18"/>
        </w:rPr>
        <w:endnoteRef/>
      </w:r>
      <w:r w:rsidRPr="00E25E3D">
        <w:rPr>
          <w:rFonts w:ascii="Source Sans Pro" w:hAnsi="Source Sans Pro"/>
          <w:vanish/>
          <w:color w:val="000000"/>
          <w:sz w:val="18"/>
          <w:szCs w:val="18"/>
        </w:rPr>
        <w:t xml:space="preserve"> Ibid.</w:t>
      </w:r>
      <w:r w:rsidRPr="00E25E3D">
        <w:rPr>
          <w:vanish/>
          <w:color w:val="000000"/>
          <w:sz w:val="22"/>
          <w:szCs w:val="22"/>
        </w:rPr>
        <w:t xml:space="preserve"> </w:t>
      </w:r>
    </w:p>
  </w:endnote>
  <w:endnote w:id="43">
    <w:p w14:paraId="1FFC06DA" w14:textId="77777777" w:rsidR="00E25E3D" w:rsidRPr="00E25E3D" w:rsidRDefault="00E25E3D" w:rsidP="00B65564">
      <w:pPr>
        <w:pStyle w:val="EndnoteText"/>
        <w:rPr>
          <w:rFonts w:ascii="Source Sans Pro" w:hAnsi="Source Sans Pro"/>
          <w:vanish/>
          <w:color w:val="000000"/>
          <w:sz w:val="18"/>
          <w:szCs w:val="18"/>
        </w:rPr>
      </w:pPr>
      <w:r w:rsidRPr="00E25E3D">
        <w:rPr>
          <w:rStyle w:val="EndnoteReference"/>
          <w:rFonts w:ascii="Source Sans Pro" w:hAnsi="Source Sans Pro"/>
          <w:vanish/>
          <w:color w:val="000000"/>
          <w:sz w:val="18"/>
          <w:szCs w:val="18"/>
        </w:rPr>
        <w:endnoteRef/>
      </w:r>
      <w:r w:rsidRPr="00E25E3D">
        <w:rPr>
          <w:rFonts w:ascii="Source Sans Pro" w:hAnsi="Source Sans Pro"/>
          <w:vanish/>
          <w:color w:val="000000"/>
          <w:sz w:val="18"/>
          <w:szCs w:val="18"/>
        </w:rPr>
        <w:t xml:space="preserve"> Southerton and Taylor</w:t>
      </w:r>
    </w:p>
  </w:endnote>
  <w:endnote w:id="44">
    <w:p w14:paraId="229FAEFE" w14:textId="77777777" w:rsidR="00E25E3D" w:rsidRPr="00E25E3D" w:rsidRDefault="00E25E3D" w:rsidP="00B65564">
      <w:pPr>
        <w:rPr>
          <w:rFonts w:ascii="Source Sans Pro" w:hAnsi="Source Sans Pro"/>
          <w:vanish/>
          <w:color w:val="000000"/>
          <w:sz w:val="18"/>
          <w:szCs w:val="18"/>
        </w:rPr>
      </w:pPr>
      <w:r w:rsidRPr="00E25E3D">
        <w:rPr>
          <w:rStyle w:val="EndnoteReference"/>
          <w:rFonts w:ascii="Source Sans Pro" w:hAnsi="Source Sans Pro"/>
          <w:vanish/>
          <w:color w:val="000000"/>
          <w:sz w:val="18"/>
          <w:szCs w:val="18"/>
        </w:rPr>
        <w:endnoteRef/>
      </w:r>
      <w:r w:rsidRPr="00E25E3D">
        <w:rPr>
          <w:rFonts w:ascii="Source Sans Pro" w:hAnsi="Source Sans Pro"/>
          <w:vanish/>
          <w:color w:val="000000"/>
          <w:sz w:val="18"/>
          <w:szCs w:val="18"/>
        </w:rPr>
        <w:t xml:space="preserve"> eSafetyCommissioner, </w:t>
      </w:r>
      <w:r w:rsidRPr="00E25E3D">
        <w:rPr>
          <w:rFonts w:ascii="Source Sans Pro" w:hAnsi="Source Sans Pro"/>
          <w:i/>
          <w:vanish/>
          <w:color w:val="000000"/>
          <w:sz w:val="18"/>
          <w:szCs w:val="18"/>
        </w:rPr>
        <w:t xml:space="preserve">Safety by Design </w:t>
      </w:r>
      <w:r w:rsidRPr="00E25E3D">
        <w:rPr>
          <w:rFonts w:ascii="Source Sans Pro" w:hAnsi="Source Sans Pro"/>
          <w:vanish/>
          <w:color w:val="000000"/>
          <w:sz w:val="18"/>
          <w:szCs w:val="18"/>
        </w:rPr>
        <w:t xml:space="preserve">(Report, 2019) 7. </w:t>
      </w:r>
    </w:p>
  </w:endnote>
  <w:endnote w:id="45">
    <w:p w14:paraId="6308F8EC" w14:textId="77777777" w:rsidR="00E25E3D" w:rsidRPr="00E25E3D" w:rsidRDefault="00E25E3D" w:rsidP="00B65564">
      <w:pPr>
        <w:pStyle w:val="EndnoteText"/>
        <w:rPr>
          <w:rFonts w:ascii="Source Sans Pro" w:hAnsi="Source Sans Pro"/>
          <w:vanish/>
          <w:color w:val="000000"/>
          <w:sz w:val="18"/>
          <w:szCs w:val="18"/>
        </w:rPr>
      </w:pPr>
      <w:r w:rsidRPr="00E25E3D">
        <w:rPr>
          <w:rStyle w:val="EndnoteReference"/>
          <w:rFonts w:ascii="Source Sans Pro" w:hAnsi="Source Sans Pro"/>
          <w:vanish/>
          <w:color w:val="000000"/>
          <w:sz w:val="18"/>
          <w:szCs w:val="18"/>
        </w:rPr>
        <w:endnoteRef/>
      </w:r>
      <w:r w:rsidRPr="00E25E3D">
        <w:rPr>
          <w:rFonts w:ascii="Source Sans Pro" w:hAnsi="Source Sans Pro"/>
          <w:vanish/>
          <w:color w:val="000000"/>
          <w:sz w:val="18"/>
          <w:szCs w:val="18"/>
        </w:rPr>
        <w:t xml:space="preserve"> Ibid. </w:t>
      </w:r>
    </w:p>
  </w:endnote>
  <w:endnote w:id="46">
    <w:p w14:paraId="6A426DD8" w14:textId="77777777" w:rsidR="00E25E3D" w:rsidRPr="00E25E3D" w:rsidRDefault="00E25E3D" w:rsidP="00B65564">
      <w:pPr>
        <w:pStyle w:val="EndnoteText"/>
        <w:rPr>
          <w:rFonts w:ascii="Source Sans Pro" w:hAnsi="Source Sans Pro"/>
          <w:vanish/>
          <w:color w:val="000000"/>
          <w:sz w:val="18"/>
          <w:szCs w:val="18"/>
        </w:rPr>
      </w:pPr>
      <w:r w:rsidRPr="00E25E3D">
        <w:rPr>
          <w:rStyle w:val="EndnoteReference"/>
          <w:rFonts w:ascii="Source Sans Pro" w:hAnsi="Source Sans Pro"/>
          <w:vanish/>
          <w:color w:val="000000"/>
          <w:sz w:val="18"/>
          <w:szCs w:val="18"/>
        </w:rPr>
        <w:endnoteRef/>
      </w:r>
      <w:r w:rsidRPr="00E25E3D">
        <w:rPr>
          <w:rFonts w:ascii="Source Sans Pro" w:hAnsi="Source Sans Pro"/>
          <w:vanish/>
          <w:color w:val="000000"/>
          <w:sz w:val="18"/>
          <w:szCs w:val="18"/>
        </w:rPr>
        <w:t xml:space="preserve"> Ibid. </w:t>
      </w:r>
    </w:p>
  </w:endnote>
  <w:endnote w:id="47">
    <w:p w14:paraId="117CD7D4" w14:textId="77777777" w:rsidR="00E25E3D" w:rsidRPr="00E25E3D" w:rsidRDefault="00E25E3D" w:rsidP="00B65564">
      <w:pPr>
        <w:pStyle w:val="EndnoteText"/>
        <w:rPr>
          <w:rFonts w:ascii="Source Sans Pro" w:hAnsi="Source Sans Pro"/>
          <w:vanish/>
          <w:color w:val="000000"/>
          <w:sz w:val="18"/>
          <w:szCs w:val="18"/>
        </w:rPr>
      </w:pPr>
      <w:r w:rsidRPr="00E25E3D">
        <w:rPr>
          <w:rStyle w:val="EndnoteReference"/>
          <w:rFonts w:ascii="Source Sans Pro" w:hAnsi="Source Sans Pro"/>
          <w:vanish/>
          <w:color w:val="000000"/>
          <w:sz w:val="18"/>
          <w:szCs w:val="18"/>
        </w:rPr>
        <w:endnoteRef/>
      </w:r>
      <w:r w:rsidRPr="00E25E3D">
        <w:rPr>
          <w:rFonts w:ascii="Source Sans Pro" w:hAnsi="Source Sans Pro"/>
          <w:vanish/>
          <w:color w:val="000000"/>
          <w:sz w:val="18"/>
          <w:szCs w:val="18"/>
        </w:rPr>
        <w:t xml:space="preserve"> Ibid 21. </w:t>
      </w:r>
    </w:p>
  </w:endnote>
  <w:endnote w:id="48">
    <w:p w14:paraId="7D70AA1E" w14:textId="77777777" w:rsidR="00E25E3D" w:rsidRPr="00E25E3D" w:rsidRDefault="00E25E3D" w:rsidP="00B65564">
      <w:pPr>
        <w:pStyle w:val="EndnoteText"/>
        <w:rPr>
          <w:rFonts w:ascii="Source Sans Pro" w:hAnsi="Source Sans Pro"/>
          <w:vanish/>
          <w:color w:val="000000"/>
          <w:sz w:val="18"/>
          <w:szCs w:val="18"/>
        </w:rPr>
      </w:pPr>
      <w:r w:rsidRPr="00E25E3D">
        <w:rPr>
          <w:rStyle w:val="EndnoteReference"/>
          <w:rFonts w:ascii="Source Sans Pro" w:hAnsi="Source Sans Pro"/>
          <w:vanish/>
          <w:color w:val="000000"/>
          <w:sz w:val="18"/>
          <w:szCs w:val="18"/>
        </w:rPr>
        <w:endnoteRef/>
      </w:r>
      <w:r w:rsidRPr="00E25E3D">
        <w:rPr>
          <w:rFonts w:ascii="Source Sans Pro" w:hAnsi="Source Sans Pro"/>
          <w:vanish/>
          <w:color w:val="000000"/>
          <w:sz w:val="18"/>
          <w:szCs w:val="18"/>
        </w:rPr>
        <w:t xml:space="preserve"> Ibid 32. </w:t>
      </w:r>
    </w:p>
  </w:endnote>
  <w:endnote w:id="49">
    <w:p w14:paraId="663B3363" w14:textId="77777777" w:rsidR="00E25E3D" w:rsidRPr="00E25E3D" w:rsidRDefault="00E25E3D" w:rsidP="00B65564">
      <w:pPr>
        <w:pStyle w:val="EndnoteText"/>
        <w:rPr>
          <w:rFonts w:ascii="Source Sans Pro" w:hAnsi="Source Sans Pro"/>
          <w:vanish/>
          <w:color w:val="000000"/>
          <w:sz w:val="18"/>
          <w:szCs w:val="18"/>
        </w:rPr>
      </w:pPr>
      <w:r w:rsidRPr="00E25E3D">
        <w:rPr>
          <w:rStyle w:val="EndnoteReference"/>
          <w:rFonts w:ascii="Source Sans Pro" w:hAnsi="Source Sans Pro"/>
          <w:vanish/>
          <w:color w:val="000000"/>
          <w:sz w:val="18"/>
          <w:szCs w:val="18"/>
        </w:rPr>
        <w:endnoteRef/>
      </w:r>
      <w:r w:rsidRPr="00E25E3D">
        <w:rPr>
          <w:rFonts w:ascii="Source Sans Pro" w:hAnsi="Source Sans Pro"/>
          <w:vanish/>
          <w:color w:val="000000"/>
          <w:sz w:val="18"/>
          <w:szCs w:val="18"/>
        </w:rPr>
        <w:t xml:space="preserve"> Ibid 15.</w:t>
      </w:r>
    </w:p>
  </w:endnote>
  <w:endnote w:id="50">
    <w:p w14:paraId="082F4BCA" w14:textId="77777777" w:rsidR="00E25E3D" w:rsidRPr="00E25E3D" w:rsidRDefault="00E25E3D" w:rsidP="00B65564">
      <w:pPr>
        <w:pStyle w:val="EndnoteText"/>
        <w:rPr>
          <w:vanish/>
        </w:rPr>
      </w:pPr>
      <w:r w:rsidRPr="00E25E3D">
        <w:rPr>
          <w:rStyle w:val="EndnoteReference"/>
          <w:rFonts w:ascii="Source Sans Pro" w:hAnsi="Source Sans Pro"/>
          <w:vanish/>
          <w:color w:val="000000"/>
          <w:sz w:val="18"/>
          <w:szCs w:val="18"/>
        </w:rPr>
        <w:endnoteRef/>
      </w:r>
      <w:r w:rsidRPr="00E25E3D">
        <w:rPr>
          <w:rFonts w:ascii="Source Sans Pro" w:hAnsi="Source Sans Pro"/>
          <w:vanish/>
          <w:color w:val="000000"/>
          <w:sz w:val="18"/>
          <w:szCs w:val="18"/>
        </w:rPr>
        <w:t xml:space="preserve"> Ibid.</w:t>
      </w:r>
      <w:r w:rsidRPr="00E25E3D">
        <w:rPr>
          <w:vanish/>
          <w:color w:val="000000"/>
        </w:rPr>
        <w:t xml:space="preserve"> </w:t>
      </w:r>
    </w:p>
  </w:endnote>
  <w:endnote w:id="51">
    <w:p w14:paraId="197B2A4D" w14:textId="77777777" w:rsidR="00E25E3D" w:rsidRPr="00855D04" w:rsidRDefault="00E25E3D" w:rsidP="00B65564">
      <w:pPr>
        <w:pStyle w:val="EndnoteText"/>
        <w:rPr>
          <w:rFonts w:ascii="Source Sans Pro" w:hAnsi="Source Sans Pro"/>
          <w:sz w:val="18"/>
          <w:szCs w:val="18"/>
        </w:rPr>
      </w:pPr>
      <w:r w:rsidRPr="00E25E3D">
        <w:rPr>
          <w:rStyle w:val="EndnoteReference"/>
          <w:rFonts w:ascii="Source Sans Pro" w:hAnsi="Source Sans Pro"/>
          <w:vanish/>
          <w:sz w:val="18"/>
          <w:szCs w:val="18"/>
        </w:rPr>
        <w:endnoteRef/>
      </w:r>
      <w:r w:rsidRPr="00E25E3D">
        <w:rPr>
          <w:rFonts w:ascii="Source Sans Pro" w:hAnsi="Source Sans Pro"/>
          <w:vanish/>
          <w:sz w:val="18"/>
          <w:szCs w:val="18"/>
        </w:rPr>
        <w:t xml:space="preserve"> GC 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eroo-Medium">
    <w:altName w:val="Cambria"/>
    <w:panose1 w:val="00000000000000000000"/>
    <w:charset w:val="00"/>
    <w:family w:val="roman"/>
    <w:notTrueType/>
    <w:pitch w:val="default"/>
  </w:font>
  <w:font w:name="Arial Rounded MT">
    <w:altName w:val="Arial"/>
    <w:charset w:val="00"/>
    <w:family w:val="auto"/>
    <w:pitch w:val="variable"/>
    <w:sig w:usb0="80000027"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Minderoo-Regular">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inderoo-XCondBold">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CC6A2" w14:textId="77777777" w:rsidR="00620A5D" w:rsidRPr="00366B1C" w:rsidRDefault="00620A5D" w:rsidP="00803D69">
    <w:pPr>
      <w:pStyle w:val="Footer"/>
      <w:rPr>
        <w:rFonts w:ascii="Source Sans Pro" w:hAnsi="Source Sans Pro"/>
      </w:rPr>
    </w:pPr>
    <w:r w:rsidRPr="00366B1C">
      <w:rPr>
        <w:rFonts w:ascii="Source Sans Pro" w:hAnsi="Source Sans Pro"/>
      </w:rPr>
      <w:t xml:space="preserve">PAGE </w:t>
    </w:r>
    <w:r w:rsidRPr="00366B1C">
      <w:rPr>
        <w:rFonts w:ascii="Source Sans Pro" w:hAnsi="Source Sans Pro"/>
      </w:rPr>
      <w:fldChar w:fldCharType="begin"/>
    </w:r>
    <w:r w:rsidRPr="00366B1C">
      <w:rPr>
        <w:rFonts w:ascii="Source Sans Pro" w:hAnsi="Source Sans Pro"/>
      </w:rPr>
      <w:instrText xml:space="preserve"> PAGE   \* MERGEFORMAT </w:instrText>
    </w:r>
    <w:r w:rsidRPr="00366B1C">
      <w:rPr>
        <w:rFonts w:ascii="Source Sans Pro" w:hAnsi="Source Sans Pro"/>
      </w:rPr>
      <w:fldChar w:fldCharType="separate"/>
    </w:r>
    <w:r w:rsidRPr="00366B1C">
      <w:rPr>
        <w:rFonts w:ascii="Source Sans Pro" w:hAnsi="Source Sans Pro"/>
      </w:rPr>
      <w:t>1</w:t>
    </w:r>
    <w:r w:rsidRPr="00366B1C">
      <w:rPr>
        <w:rFonts w:ascii="Source Sans Pro" w:hAnsi="Source Sans Pro"/>
      </w:rPr>
      <w:fldChar w:fldCharType="end"/>
    </w:r>
  </w:p>
  <w:p w14:paraId="6CDA442F" w14:textId="77777777" w:rsidR="00CA3626" w:rsidRDefault="00CA3626"/>
  <w:p w14:paraId="000F80D8" w14:textId="77777777" w:rsidR="00CA3626" w:rsidRDefault="00CA3626" w:rsidP="008560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5E9D3" w14:textId="77777777" w:rsidR="00620A5D" w:rsidRDefault="00620A5D" w:rsidP="00803D69">
    <w:pPr>
      <w:pStyle w:val="Footer"/>
    </w:pPr>
    <w:r w:rsidRPr="005F26F8">
      <w:t xml:space="preserve">PAGE </w:t>
    </w:r>
    <w:r w:rsidRPr="005F26F8">
      <w:fldChar w:fldCharType="begin"/>
    </w:r>
    <w:r w:rsidRPr="005F26F8">
      <w:instrText xml:space="preserve"> PAGE   \* MERGEFORMAT </w:instrText>
    </w:r>
    <w:r w:rsidRPr="005F26F8">
      <w:fldChar w:fldCharType="separate"/>
    </w:r>
    <w:r>
      <w:t>1</w:t>
    </w:r>
    <w:r w:rsidRPr="005F26F8">
      <w:fldChar w:fldCharType="end"/>
    </w:r>
  </w:p>
  <w:p w14:paraId="35300BEC" w14:textId="77777777" w:rsidR="00CA3626" w:rsidRDefault="00CA3626"/>
  <w:p w14:paraId="66F1D922" w14:textId="77777777" w:rsidR="00CA3626" w:rsidRDefault="00CA3626" w:rsidP="00856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CB0BD" w14:textId="77777777" w:rsidR="00BC446A" w:rsidRDefault="00BC446A" w:rsidP="00C20C17">
      <w:r>
        <w:separator/>
      </w:r>
    </w:p>
    <w:p w14:paraId="0B235F0A" w14:textId="77777777" w:rsidR="00CA3626" w:rsidRDefault="00CA3626"/>
    <w:p w14:paraId="39066E89" w14:textId="77777777" w:rsidR="00CA3626" w:rsidRDefault="00CA3626" w:rsidP="00856080"/>
  </w:footnote>
  <w:footnote w:type="continuationSeparator" w:id="0">
    <w:p w14:paraId="0D9559C1" w14:textId="77777777" w:rsidR="00BC446A" w:rsidRDefault="00BC446A" w:rsidP="00C20C17">
      <w:r>
        <w:continuationSeparator/>
      </w:r>
    </w:p>
    <w:p w14:paraId="4250DB70" w14:textId="77777777" w:rsidR="00CA3626" w:rsidRDefault="00CA3626"/>
    <w:p w14:paraId="0F5281FA" w14:textId="77777777" w:rsidR="00CA3626" w:rsidRDefault="00CA3626" w:rsidP="00856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0597B" w14:textId="1EA45704" w:rsidR="00366B1C" w:rsidRDefault="00BE3CE8" w:rsidP="00803D69">
    <w:pPr>
      <w:pStyle w:val="Header"/>
      <w:rPr>
        <w:rFonts w:ascii="Source Sans Pro" w:hAnsi="Source Sans Pro"/>
      </w:rPr>
    </w:pPr>
    <w:sdt>
      <w:sdtPr>
        <w:rPr>
          <w:rFonts w:ascii="Source Sans Pro" w:hAnsi="Source Sans Pro"/>
        </w:rPr>
        <w:alias w:val="Title"/>
        <w:tag w:val=""/>
        <w:id w:val="2144379752"/>
        <w:dataBinding w:prefixMappings="xmlns:ns0='http://purl.org/dc/elements/1.1/' xmlns:ns1='http://schemas.openxmlformats.org/package/2006/metadata/core-properties' " w:xpath="/ns1:coreProperties[1]/ns0:title[1]" w:storeItemID="{6C3C8BC8-F283-45AE-878A-BAB7291924A1}"/>
        <w:text/>
      </w:sdtPr>
      <w:sdtEndPr/>
      <w:sdtContent>
        <w:r w:rsidR="002663AB">
          <w:rPr>
            <w:rFonts w:ascii="Source Sans Pro" w:hAnsi="Source Sans Pro"/>
          </w:rPr>
          <w:t>Data Capture, Data Misuse and Surveillance</w:t>
        </w:r>
      </w:sdtContent>
    </w:sdt>
    <w:r w:rsidR="00620A5D" w:rsidRPr="00366B1C">
      <w:rPr>
        <w:rFonts w:ascii="Source Sans Pro" w:hAnsi="Source Sans Pro"/>
      </w:rPr>
      <w:t xml:space="preserve">  </w:t>
    </w:r>
  </w:p>
  <w:p w14:paraId="5C94440A" w14:textId="59718B64" w:rsidR="00620A5D" w:rsidRPr="00366B1C" w:rsidRDefault="00620A5D" w:rsidP="00803D69">
    <w:pPr>
      <w:pStyle w:val="Header"/>
      <w:rPr>
        <w:rFonts w:ascii="Source Sans Pro" w:hAnsi="Source Sans Pro"/>
      </w:rPr>
    </w:pPr>
    <w:r w:rsidRPr="00366B1C">
      <w:rPr>
        <w:rFonts w:ascii="Source Sans Pro" w:hAnsi="Source Sans Pro"/>
      </w:rPr>
      <w:sym w:font="Wingdings 2" w:char="F097"/>
    </w:r>
    <w:r w:rsidRPr="00366B1C">
      <w:rPr>
        <w:rFonts w:ascii="Source Sans Pro" w:hAnsi="Source Sans Pro"/>
      </w:rPr>
      <w:t xml:space="preserve">  </w:t>
    </w:r>
    <w:sdt>
      <w:sdtPr>
        <w:rPr>
          <w:rFonts w:ascii="Source Sans Pro" w:hAnsi="Source Sans Pro"/>
        </w:rPr>
        <w:alias w:val="Date"/>
        <w:tag w:val=""/>
        <w:id w:val="1301187713"/>
        <w:dataBinding w:prefixMappings="xmlns:ns0='http://schemas.microsoft.com/office/2006/coverPageProps' " w:xpath="/ns0:CoverPageProperties[1]/ns0:PublishDate[1]" w:storeItemID="{55AF091B-3C7A-41E3-B477-F2FDAA23CFDA}"/>
        <w:date w:fullDate="2020-11-13T00:00:00Z">
          <w:dateFormat w:val="d MMMM yyyy"/>
          <w:lid w:val="en-AU"/>
          <w:storeMappedDataAs w:val="dateTime"/>
          <w:calendar w:val="gregorian"/>
        </w:date>
      </w:sdtPr>
      <w:sdtEndPr/>
      <w:sdtContent>
        <w:r w:rsidRPr="00366B1C">
          <w:rPr>
            <w:rFonts w:ascii="Source Sans Pro" w:hAnsi="Source Sans Pro"/>
          </w:rPr>
          <w:t>13 November 2020</w:t>
        </w:r>
      </w:sdtContent>
    </w:sdt>
    <w:r w:rsidRPr="00366B1C">
      <w:rPr>
        <w:rFonts w:ascii="Source Sans Pro" w:hAnsi="Source Sans Pro"/>
      </w:rPr>
      <w:t xml:space="preserve">  </w:t>
    </w:r>
    <w:r w:rsidRPr="00366B1C">
      <w:rPr>
        <w:rFonts w:ascii="Source Sans Pro" w:hAnsi="Source Sans Pro"/>
      </w:rPr>
      <w:sym w:font="Wingdings 2" w:char="F097"/>
    </w:r>
    <w:r w:rsidRPr="00366B1C">
      <w:rPr>
        <w:rFonts w:ascii="Source Sans Pro" w:hAnsi="Source Sans Pro"/>
      </w:rPr>
      <w:t xml:space="preserve">  </w:t>
    </w:r>
    <w:sdt>
      <w:sdtPr>
        <w:rPr>
          <w:rFonts w:ascii="Source Sans Pro" w:hAnsi="Source Sans Pro"/>
        </w:rPr>
        <w:alias w:val="Subtitle"/>
        <w:tag w:val="Subject"/>
        <w:id w:val="-257675172"/>
        <w:dataBinding w:prefixMappings="xmlns:ns0='http://purl.org/dc/elements/1.1/' xmlns:ns1='http://schemas.openxmlformats.org/package/2006/metadata/core-properties' " w:xpath="/ns1:coreProperties[1]/ns0:subject[1]" w:storeItemID="{6C3C8BC8-F283-45AE-878A-BAB7291924A1}"/>
        <w:text/>
      </w:sdtPr>
      <w:sdtEndPr/>
      <w:sdtContent>
        <w:r w:rsidR="00B65564">
          <w:rPr>
            <w:rFonts w:ascii="Source Sans Pro" w:hAnsi="Source Sans Pro"/>
          </w:rPr>
          <w:t>Priyanka Tomar</w:t>
        </w:r>
      </w:sdtContent>
    </w:sdt>
  </w:p>
  <w:p w14:paraId="1FAACCE6" w14:textId="77777777" w:rsidR="00CA3626" w:rsidRDefault="00CA3626"/>
  <w:p w14:paraId="5B7A732D" w14:textId="77777777" w:rsidR="00CA3626" w:rsidRDefault="00CA3626" w:rsidP="008560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E5F32" w14:textId="0FFC6BC3" w:rsidR="00620A5D" w:rsidRDefault="00620A5D" w:rsidP="00F25323">
    <w:pPr>
      <w:pStyle w:val="Title"/>
      <w:spacing w:line="240" w:lineRule="auto"/>
      <w:ind w:left="-567" w:right="0"/>
    </w:pPr>
    <w:r w:rsidRPr="00FE09A5">
      <w:rPr>
        <w:rFonts w:ascii="Source Sans Pro" w:hAnsi="Source Sans Pro"/>
      </w:rPr>
      <w:drawing>
        <wp:anchor distT="0" distB="0" distL="114300" distR="114300" simplePos="0" relativeHeight="251686912" behindDoc="0" locked="1" layoutInCell="1" allowOverlap="1" wp14:anchorId="5871C56A" wp14:editId="1FAF5A03">
          <wp:simplePos x="0" y="0"/>
          <wp:positionH relativeFrom="margin">
            <wp:align>right</wp:align>
          </wp:positionH>
          <wp:positionV relativeFrom="page">
            <wp:posOffset>1403985</wp:posOffset>
          </wp:positionV>
          <wp:extent cx="889200" cy="889200"/>
          <wp:effectExtent l="0" t="0" r="6350" b="6350"/>
          <wp:wrapNone/>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inderoo Foundation Logo 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9200" cy="889200"/>
                  </a:xfrm>
                  <a:prstGeom prst="rect">
                    <a:avLst/>
                  </a:prstGeom>
                </pic:spPr>
              </pic:pic>
            </a:graphicData>
          </a:graphic>
          <wp14:sizeRelH relativeFrom="margin">
            <wp14:pctWidth>0</wp14:pctWidth>
          </wp14:sizeRelH>
          <wp14:sizeRelV relativeFrom="margin">
            <wp14:pctHeight>0</wp14:pctHeight>
          </wp14:sizeRelV>
        </wp:anchor>
      </w:drawing>
    </w:r>
    <w:r w:rsidRPr="00FE09A5">
      <w:rPr>
        <w:rFonts w:ascii="Source Sans Pro" w:hAnsi="Source Sans Pro"/>
      </w:rPr>
      <mc:AlternateContent>
        <mc:Choice Requires="wps">
          <w:drawing>
            <wp:anchor distT="0" distB="0" distL="114300" distR="114300" simplePos="0" relativeHeight="251656192" behindDoc="1" locked="1" layoutInCell="1" allowOverlap="1" wp14:anchorId="251CEB26" wp14:editId="6175E446">
              <wp:simplePos x="0" y="0"/>
              <wp:positionH relativeFrom="page">
                <wp:posOffset>9525</wp:posOffset>
              </wp:positionH>
              <wp:positionV relativeFrom="page">
                <wp:posOffset>9525</wp:posOffset>
              </wp:positionV>
              <wp:extent cx="10692000" cy="1836000"/>
              <wp:effectExtent l="0" t="0" r="0" b="0"/>
              <wp:wrapNone/>
              <wp:docPr id="13" name="Rectangle 13"/>
              <wp:cNvGraphicFramePr/>
              <a:graphic xmlns:a="http://schemas.openxmlformats.org/drawingml/2006/main">
                <a:graphicData uri="http://schemas.microsoft.com/office/word/2010/wordprocessingShape">
                  <wps:wsp>
                    <wps:cNvSpPr/>
                    <wps:spPr>
                      <a:xfrm>
                        <a:off x="0" y="0"/>
                        <a:ext cx="10692000" cy="1836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90F22" id="Rectangle 13" o:spid="_x0000_s1026" style="position:absolute;margin-left:.75pt;margin-top:.75pt;width:841.9pt;height:144.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" fillcolor="#ffcd00 [3205]" stroked="f" strokeweight="1pt">
              <w10:wrap anchorx="page" anchory="page"/>
              <w10:anchorlock/>
            </v:rect>
          </w:pict>
        </mc:Fallback>
      </mc:AlternateContent>
    </w:r>
    <w:sdt>
      <w:sdtPr>
        <w:rPr>
          <w:rStyle w:val="BodyTextChar"/>
          <w:rFonts w:ascii="Source Sans Pro" w:hAnsi="Source Sans Pro"/>
          <w:b/>
          <w:bCs/>
          <w:sz w:val="28"/>
          <w:szCs w:val="28"/>
          <w:lang w:val="en-US"/>
        </w:rPr>
        <w:alias w:val="Title"/>
        <w:tag w:val=""/>
        <w:id w:val="491531321"/>
        <w:dataBinding w:prefixMappings="xmlns:ns0='http://purl.org/dc/elements/1.1/' xmlns:ns1='http://schemas.openxmlformats.org/package/2006/metadata/core-properties' " w:xpath="/ns1:coreProperties[1]/ns0:title[1]" w:storeItemID="{6C3C8BC8-F283-45AE-878A-BAB7291924A1}"/>
        <w:text/>
      </w:sdtPr>
      <w:sdtEndPr>
        <w:rPr>
          <w:rStyle w:val="BodyTextChar"/>
        </w:rPr>
      </w:sdtEndPr>
      <w:sdtContent>
        <w:r w:rsidR="00181DAF" w:rsidRPr="00954A62">
          <w:rPr>
            <w:rStyle w:val="BodyTextChar"/>
            <w:rFonts w:ascii="Source Sans Pro" w:hAnsi="Source Sans Pro"/>
            <w:b/>
            <w:bCs/>
            <w:sz w:val="28"/>
            <w:szCs w:val="28"/>
            <w:lang w:val="en-US"/>
          </w:rPr>
          <w:t>Data Capture, Data Misuse and Surveillance</w:t>
        </w:r>
      </w:sdtContent>
    </w:sdt>
    <w:r w:rsidRPr="00A73555">
      <w:t>●</w:t>
    </w:r>
  </w:p>
  <w:sdt>
    <w:sdtPr>
      <w:rPr>
        <w:rFonts w:ascii="Source Sans Pro" w:hAnsi="Source Sans Pro"/>
        <w:sz w:val="22"/>
      </w:rPr>
      <w:alias w:val="Subtitle"/>
      <w:tag w:val="Subject"/>
      <w:id w:val="1591270441"/>
      <w:dataBinding w:prefixMappings="xmlns:ns0='http://purl.org/dc/elements/1.1/' xmlns:ns1='http://schemas.openxmlformats.org/package/2006/metadata/core-properties' " w:xpath="/ns1:coreProperties[1]/ns0:subject[1]" w:storeItemID="{6C3C8BC8-F283-45AE-878A-BAB7291924A1}"/>
      <w:text/>
    </w:sdtPr>
    <w:sdtEndPr/>
    <w:sdtContent>
      <w:p w14:paraId="64A6B3BD" w14:textId="5ED85195" w:rsidR="00620A5D" w:rsidRPr="004F2EC7" w:rsidRDefault="00B65564" w:rsidP="00803D69">
        <w:pPr>
          <w:pStyle w:val="Subtitle"/>
          <w:rPr>
            <w:rFonts w:ascii="Source Sans Pro" w:hAnsi="Source Sans Pro"/>
            <w:sz w:val="22"/>
          </w:rPr>
        </w:pPr>
        <w:r>
          <w:rPr>
            <w:rFonts w:ascii="Source Sans Pro" w:hAnsi="Source Sans Pro"/>
            <w:sz w:val="22"/>
          </w:rPr>
          <w:t>Priyanka Tomar</w:t>
        </w:r>
      </w:p>
    </w:sdtContent>
  </w:sdt>
  <w:sdt>
    <w:sdtPr>
      <w:rPr>
        <w:rFonts w:ascii="Source Sans Pro" w:hAnsi="Source Sans Pro"/>
      </w:rPr>
      <w:alias w:val="Date"/>
      <w:tag w:val=""/>
      <w:id w:val="2004928872"/>
      <w:dataBinding w:prefixMappings="xmlns:ns0='http://schemas.microsoft.com/office/2006/coverPageProps' " w:xpath="/ns0:CoverPageProperties[1]/ns0:PublishDate[1]" w:storeItemID="{55AF091B-3C7A-41E3-B477-F2FDAA23CFDA}"/>
      <w:date w:fullDate="2020-11-13T00:00:00Z">
        <w:dateFormat w:val="d MMMM yyyy"/>
        <w:lid w:val="en-AU"/>
        <w:storeMappedDataAs w:val="dateTime"/>
        <w:calendar w:val="gregorian"/>
      </w:date>
    </w:sdtPr>
    <w:sdtEndPr/>
    <w:sdtContent>
      <w:p w14:paraId="6A4A4ACD" w14:textId="195FBBFA" w:rsidR="00620A5D" w:rsidRPr="002D2B9A" w:rsidRDefault="00620A5D" w:rsidP="00803D69">
        <w:pPr>
          <w:pStyle w:val="BodyText"/>
          <w:rPr>
            <w:rFonts w:ascii="Source Sans Pro" w:hAnsi="Source Sans Pro"/>
          </w:rPr>
        </w:pPr>
        <w:r w:rsidRPr="002D2B9A">
          <w:rPr>
            <w:rFonts w:ascii="Source Sans Pro" w:hAnsi="Source Sans Pro"/>
          </w:rPr>
          <w:t>13 November 2020</w:t>
        </w:r>
      </w:p>
    </w:sdtContent>
  </w:sdt>
  <w:p w14:paraId="3F247EF4" w14:textId="77777777" w:rsidR="00620A5D" w:rsidRPr="00803D69" w:rsidRDefault="00620A5D" w:rsidP="00803D69"/>
  <w:p w14:paraId="7627205E" w14:textId="77777777" w:rsidR="00620A5D" w:rsidRPr="00803D69" w:rsidRDefault="00620A5D" w:rsidP="00803D69"/>
  <w:p w14:paraId="5611AC29" w14:textId="77777777" w:rsidR="00620A5D" w:rsidRPr="00803D69" w:rsidRDefault="00620A5D" w:rsidP="00803D69"/>
  <w:p w14:paraId="7F067E07" w14:textId="77777777" w:rsidR="00620A5D" w:rsidRPr="00803D69" w:rsidRDefault="00620A5D" w:rsidP="00803D69"/>
  <w:p w14:paraId="78C4170A" w14:textId="77777777" w:rsidR="00CA3626" w:rsidRDefault="00CA3626"/>
  <w:p w14:paraId="19FF3CC9" w14:textId="77777777" w:rsidR="00CA3626" w:rsidRDefault="00CA3626" w:rsidP="008560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2ABC"/>
    <w:multiLevelType w:val="multilevel"/>
    <w:tmpl w:val="882C8278"/>
    <w:styleLink w:val="ListAgenda"/>
    <w:lvl w:ilvl="0">
      <w:start w:val="1"/>
      <w:numFmt w:val="decimal"/>
      <w:pStyle w:val="AgendaNumber"/>
      <w:lvlText w:val="%1."/>
      <w:lvlJc w:val="left"/>
      <w:pPr>
        <w:tabs>
          <w:tab w:val="num" w:pos="425"/>
        </w:tabs>
        <w:ind w:left="425" w:hanging="425"/>
      </w:pPr>
      <w:rPr>
        <w:rFonts w:hint="default"/>
      </w:rPr>
    </w:lvl>
    <w:lvl w:ilvl="1">
      <w:start w:val="1"/>
      <w:numFmt w:val="decimal"/>
      <w:pStyle w:val="AgendaNumber2"/>
      <w:lvlText w:val="%1.%2"/>
      <w:lvlJc w:val="left"/>
      <w:pPr>
        <w:tabs>
          <w:tab w:val="num" w:pos="425"/>
        </w:tabs>
        <w:ind w:left="425" w:hanging="425"/>
      </w:pPr>
      <w:rPr>
        <w:rFonts w:hint="default"/>
      </w:rPr>
    </w:lvl>
    <w:lvl w:ilvl="2">
      <w:start w:val="1"/>
      <w:numFmt w:val="lowerRoman"/>
      <w:pStyle w:val="AgendaNumber3"/>
      <w:lvlText w:val="(%3)"/>
      <w:lvlJc w:val="left"/>
      <w:pPr>
        <w:tabs>
          <w:tab w:val="num" w:pos="851"/>
        </w:tabs>
        <w:ind w:left="851" w:hanging="426"/>
      </w:pPr>
      <w:rPr>
        <w:rFonts w:hint="default"/>
      </w:rPr>
    </w:lvl>
    <w:lvl w:ilvl="3">
      <w:start w:val="1"/>
      <w:numFmt w:val="lowerLetter"/>
      <w:lvlText w:val="(%4)"/>
      <w:lvlJc w:val="left"/>
      <w:pPr>
        <w:tabs>
          <w:tab w:val="num" w:pos="1276"/>
        </w:tabs>
        <w:ind w:left="1276" w:hanging="425"/>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1135194"/>
    <w:multiLevelType w:val="multilevel"/>
    <w:tmpl w:val="D442603C"/>
    <w:numStyleLink w:val="ListTableNumber"/>
  </w:abstractNum>
  <w:abstractNum w:abstractNumId="2" w15:restartNumberingAfterBreak="0">
    <w:nsid w:val="03AD3F9E"/>
    <w:multiLevelType w:val="hybridMultilevel"/>
    <w:tmpl w:val="EED27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E747A9"/>
    <w:multiLevelType w:val="multilevel"/>
    <w:tmpl w:val="E72AFB0E"/>
    <w:numStyleLink w:val="ListNbrHeading"/>
  </w:abstractNum>
  <w:abstractNum w:abstractNumId="4" w15:restartNumberingAfterBreak="0">
    <w:nsid w:val="0DD726A9"/>
    <w:multiLevelType w:val="multilevel"/>
    <w:tmpl w:val="F3604634"/>
    <w:styleLink w:val="ListAppendix"/>
    <w:lvl w:ilvl="0">
      <w:start w:val="1"/>
      <w:numFmt w:val="upperLetter"/>
      <w:pStyle w:val="Heading9"/>
      <w:lvlText w:val="Appendix %1"/>
      <w:lvlJc w:val="left"/>
      <w:pPr>
        <w:tabs>
          <w:tab w:val="num" w:pos="2268"/>
        </w:tabs>
        <w:ind w:left="2268" w:hanging="2268"/>
      </w:pPr>
      <w:rPr>
        <w:rFonts w:hint="default"/>
      </w:rPr>
    </w:lvl>
    <w:lvl w:ilvl="1">
      <w:start w:val="1"/>
      <w:numFmt w:val="decimal"/>
      <w:pStyle w:val="AppendixH2"/>
      <w:lvlText w:val="%1-%2"/>
      <w:lvlJc w:val="left"/>
      <w:pPr>
        <w:tabs>
          <w:tab w:val="num" w:pos="1134"/>
        </w:tabs>
        <w:ind w:left="1134" w:hanging="1134"/>
      </w:pPr>
      <w:rPr>
        <w:rFonts w:ascii="Minderoo-Medium" w:hAnsi="Minderoo-Medium" w:hint="default"/>
      </w:rPr>
    </w:lvl>
    <w:lvl w:ilvl="2">
      <w:start w:val="1"/>
      <w:numFmt w:val="decimal"/>
      <w:pStyle w:val="AppendixH3"/>
      <w:lvlText w:val="%1-%2-%3"/>
      <w:lvlJc w:val="left"/>
      <w:pPr>
        <w:tabs>
          <w:tab w:val="num" w:pos="1134"/>
        </w:tabs>
        <w:ind w:left="1134" w:hanging="1134"/>
      </w:pPr>
      <w:rPr>
        <w:rFonts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1A4E610B"/>
    <w:multiLevelType w:val="multilevel"/>
    <w:tmpl w:val="9718FFDE"/>
    <w:styleLink w:val="ListNumber"/>
    <w:lvl w:ilvl="0">
      <w:start w:val="1"/>
      <w:numFmt w:val="decimal"/>
      <w:pStyle w:val="ListNumber0"/>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1D737170"/>
    <w:multiLevelType w:val="multilevel"/>
    <w:tmpl w:val="E72AFB0E"/>
    <w:styleLink w:val="ListNbrHeading"/>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ascii="Minderoo-Medium" w:hAnsi="Minderoo-Medium"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Heading4"/>
      <w:lvlText w:val="%1.%2.%3.%4"/>
      <w:lvlJc w:val="left"/>
      <w:pPr>
        <w:tabs>
          <w:tab w:val="num" w:pos="1134"/>
        </w:tabs>
        <w:ind w:left="1134" w:hanging="1134"/>
      </w:pPr>
      <w:rPr>
        <w:rFonts w:ascii="Minderoo-Medium" w:hAnsi="Minderoo-Medium" w:hint="default"/>
      </w:rPr>
    </w:lvl>
    <w:lvl w:ilvl="4">
      <w:start w:val="1"/>
      <w:numFmt w:val="decimal"/>
      <w:pStyle w:val="Numbered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E2A5581"/>
    <w:multiLevelType w:val="multilevel"/>
    <w:tmpl w:val="EDBE2B4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F8E271B"/>
    <w:multiLevelType w:val="multilevel"/>
    <w:tmpl w:val="882C8278"/>
    <w:numStyleLink w:val="ListAgenda"/>
  </w:abstractNum>
  <w:abstractNum w:abstractNumId="12" w15:restartNumberingAfterBreak="0">
    <w:nsid w:val="337B39F8"/>
    <w:multiLevelType w:val="multilevel"/>
    <w:tmpl w:val="E72AFB0E"/>
    <w:numStyleLink w:val="ListNbrHeading"/>
  </w:abstractNum>
  <w:abstractNum w:abstractNumId="13" w15:restartNumberingAfterBreak="0">
    <w:nsid w:val="35663F06"/>
    <w:multiLevelType w:val="hybridMultilevel"/>
    <w:tmpl w:val="59883DBC"/>
    <w:lvl w:ilvl="0" w:tplc="4AA4CEC8">
      <w:numFmt w:val="bullet"/>
      <w:lvlText w:val="-"/>
      <w:lvlJc w:val="left"/>
      <w:pPr>
        <w:ind w:left="720" w:hanging="360"/>
      </w:pPr>
      <w:rPr>
        <w:rFonts w:ascii="Source Sans Pro" w:eastAsiaTheme="minorHAnsi" w:hAnsi="Source Sans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F26A71"/>
    <w:multiLevelType w:val="multilevel"/>
    <w:tmpl w:val="E9B44B6A"/>
    <w:styleLink w:val="ListParagraph"/>
    <w:lvl w:ilvl="0">
      <w:start w:val="1"/>
      <w:numFmt w:val="none"/>
      <w:pStyle w:val="ListParagraph0"/>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pStyle w:val="ListParagraph6"/>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40AD5EC8"/>
    <w:multiLevelType w:val="multilevel"/>
    <w:tmpl w:val="6A1419D6"/>
    <w:numStyleLink w:val="ListBullet"/>
  </w:abstractNum>
  <w:abstractNum w:abstractNumId="16" w15:restartNumberingAfterBreak="0">
    <w:nsid w:val="46266613"/>
    <w:multiLevelType w:val="multilevel"/>
    <w:tmpl w:val="082E3C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FD6F6B"/>
    <w:multiLevelType w:val="multilevel"/>
    <w:tmpl w:val="9718FFDE"/>
    <w:numStyleLink w:val="ListNumber"/>
  </w:abstractNum>
  <w:abstractNum w:abstractNumId="18" w15:restartNumberingAfterBreak="0">
    <w:nsid w:val="56FF4062"/>
    <w:multiLevelType w:val="multilevel"/>
    <w:tmpl w:val="882C8278"/>
    <w:numStyleLink w:val="ListAgenda"/>
  </w:abstractNum>
  <w:abstractNum w:abstractNumId="19" w15:restartNumberingAfterBreak="0">
    <w:nsid w:val="58E340A1"/>
    <w:multiLevelType w:val="multilevel"/>
    <w:tmpl w:val="082E3C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D444079"/>
    <w:multiLevelType w:val="multilevel"/>
    <w:tmpl w:val="F3604634"/>
    <w:numStyleLink w:val="ListAppendix"/>
  </w:abstractNum>
  <w:abstractNum w:abstractNumId="21" w15:restartNumberingAfterBreak="0">
    <w:nsid w:val="5FA470FB"/>
    <w:multiLevelType w:val="hybridMultilevel"/>
    <w:tmpl w:val="28C67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450108"/>
    <w:multiLevelType w:val="multilevel"/>
    <w:tmpl w:val="882C8278"/>
    <w:numStyleLink w:val="ListAgenda"/>
  </w:abstractNum>
  <w:abstractNum w:abstractNumId="23" w15:restartNumberingAfterBreak="0">
    <w:nsid w:val="725B532E"/>
    <w:multiLevelType w:val="multilevel"/>
    <w:tmpl w:val="6A1419D6"/>
    <w:styleLink w:val="ListBullet"/>
    <w:lvl w:ilvl="0">
      <w:start w:val="1"/>
      <w:numFmt w:val="bullet"/>
      <w:pStyle w:val="ListBullet0"/>
      <w:lvlText w:val=""/>
      <w:lvlJc w:val="left"/>
      <w:pPr>
        <w:tabs>
          <w:tab w:val="num" w:pos="425"/>
        </w:tabs>
        <w:ind w:left="284" w:hanging="284"/>
      </w:pPr>
      <w:rPr>
        <w:rFonts w:ascii="Symbol" w:hAnsi="Symbol" w:hint="default"/>
      </w:rPr>
    </w:lvl>
    <w:lvl w:ilvl="1">
      <w:start w:val="1"/>
      <w:numFmt w:val="bullet"/>
      <w:pStyle w:val="ListBullet2"/>
      <w:lvlText w:val="–"/>
      <w:lvlJc w:val="left"/>
      <w:pPr>
        <w:tabs>
          <w:tab w:val="num" w:pos="709"/>
        </w:tabs>
        <w:ind w:left="568" w:hanging="284"/>
      </w:pPr>
      <w:rPr>
        <w:rFonts w:ascii="Arial Rounded MT" w:hAnsi="Arial Rounded MT" w:hint="default"/>
        <w:color w:val="auto"/>
      </w:rPr>
    </w:lvl>
    <w:lvl w:ilvl="2">
      <w:start w:val="1"/>
      <w:numFmt w:val="bullet"/>
      <w:pStyle w:val="ListBullet3"/>
      <w:lvlText w:val=""/>
      <w:lvlJc w:val="left"/>
      <w:pPr>
        <w:tabs>
          <w:tab w:val="num" w:pos="993"/>
        </w:tabs>
        <w:ind w:left="852" w:hanging="284"/>
      </w:pPr>
      <w:rPr>
        <w:rFonts w:ascii="Symbol" w:hAnsi="Symbol" w:hint="default"/>
      </w:rPr>
    </w:lvl>
    <w:lvl w:ilvl="3">
      <w:start w:val="1"/>
      <w:numFmt w:val="bullet"/>
      <w:pStyle w:val="ListBullet4"/>
      <w:lvlText w:val="–"/>
      <w:lvlJc w:val="left"/>
      <w:pPr>
        <w:tabs>
          <w:tab w:val="num" w:pos="1277"/>
        </w:tabs>
        <w:ind w:left="1136" w:hanging="284"/>
      </w:pPr>
      <w:rPr>
        <w:rFonts w:ascii="Arial Rounded MT" w:hAnsi="Arial Rounded MT" w:hint="default"/>
      </w:rPr>
    </w:lvl>
    <w:lvl w:ilvl="4">
      <w:start w:val="1"/>
      <w:numFmt w:val="bullet"/>
      <w:pStyle w:val="ListBullet5"/>
      <w:lvlText w:val=""/>
      <w:lvlJc w:val="left"/>
      <w:pPr>
        <w:tabs>
          <w:tab w:val="num" w:pos="1561"/>
        </w:tabs>
        <w:ind w:left="1420" w:hanging="284"/>
      </w:pPr>
      <w:rPr>
        <w:rFonts w:ascii="Symbol" w:hAnsi="Symbol" w:hint="default"/>
        <w:color w:val="auto"/>
      </w:rPr>
    </w:lvl>
    <w:lvl w:ilvl="5">
      <w:start w:val="1"/>
      <w:numFmt w:val="bullet"/>
      <w:pStyle w:val="ListBullet6"/>
      <w:lvlText w:val="–"/>
      <w:lvlJc w:val="left"/>
      <w:pPr>
        <w:tabs>
          <w:tab w:val="num" w:pos="1845"/>
        </w:tabs>
        <w:ind w:left="1704" w:hanging="284"/>
      </w:pPr>
      <w:rPr>
        <w:rFonts w:ascii="Arial Rounded MT" w:hAnsi="Arial Rounded MT" w:hint="default"/>
      </w:rPr>
    </w:lvl>
    <w:lvl w:ilvl="6">
      <w:start w:val="1"/>
      <w:numFmt w:val="none"/>
      <w:lvlText w:val="%7"/>
      <w:lvlJc w:val="left"/>
      <w:pPr>
        <w:tabs>
          <w:tab w:val="num" w:pos="2129"/>
        </w:tabs>
        <w:ind w:left="1988" w:hanging="284"/>
      </w:pPr>
      <w:rPr>
        <w:rFonts w:hint="default"/>
      </w:rPr>
    </w:lvl>
    <w:lvl w:ilvl="7">
      <w:start w:val="1"/>
      <w:numFmt w:val="none"/>
      <w:lvlText w:val=""/>
      <w:lvlJc w:val="left"/>
      <w:pPr>
        <w:tabs>
          <w:tab w:val="num" w:pos="2413"/>
        </w:tabs>
        <w:ind w:left="2272" w:hanging="284"/>
      </w:pPr>
      <w:rPr>
        <w:rFonts w:hint="default"/>
      </w:rPr>
    </w:lvl>
    <w:lvl w:ilvl="8">
      <w:start w:val="1"/>
      <w:numFmt w:val="none"/>
      <w:lvlText w:val=""/>
      <w:lvlJc w:val="left"/>
      <w:pPr>
        <w:tabs>
          <w:tab w:val="num" w:pos="2697"/>
        </w:tabs>
        <w:ind w:left="2556" w:hanging="284"/>
      </w:pPr>
      <w:rPr>
        <w:rFonts w:hint="default"/>
      </w:rPr>
    </w:lvl>
  </w:abstractNum>
  <w:abstractNum w:abstractNumId="24" w15:restartNumberingAfterBreak="0">
    <w:nsid w:val="76AF6759"/>
    <w:multiLevelType w:val="hybridMultilevel"/>
    <w:tmpl w:val="605657F0"/>
    <w:lvl w:ilvl="0" w:tplc="3C4698B8">
      <w:start w:val="3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7E01B2"/>
    <w:multiLevelType w:val="multilevel"/>
    <w:tmpl w:val="52ECB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3"/>
  </w:num>
  <w:num w:numId="6">
    <w:abstractNumId w:val="7"/>
  </w:num>
  <w:num w:numId="7">
    <w:abstractNumId w:val="6"/>
  </w:num>
  <w:num w:numId="8">
    <w:abstractNumId w:val="14"/>
  </w:num>
  <w:num w:numId="9">
    <w:abstractNumId w:val="9"/>
  </w:num>
  <w:num w:numId="10">
    <w:abstractNumId w:val="10"/>
  </w:num>
  <w:num w:numId="11">
    <w:abstractNumId w:val="7"/>
    <w:lvlOverride w:ilvl="0">
      <w:lvl w:ilvl="0">
        <w:start w:val="1"/>
        <w:numFmt w:val="decimal"/>
        <w:pStyle w:val="NumberedHeading1"/>
        <w:lvlText w:val="%1."/>
        <w:lvlJc w:val="left"/>
        <w:pPr>
          <w:tabs>
            <w:tab w:val="num" w:pos="1134"/>
          </w:tabs>
          <w:ind w:left="1134" w:hanging="1134"/>
        </w:pPr>
        <w:rPr>
          <w:rFonts w:hint="default"/>
          <w:b w:val="0"/>
          <w:bCs/>
        </w:rPr>
      </w:lvl>
    </w:lvlOverride>
    <w:lvlOverride w:ilvl="1">
      <w:lvl w:ilvl="1">
        <w:start w:val="1"/>
        <w:numFmt w:val="decimal"/>
        <w:pStyle w:val="NumberedHeading2"/>
        <w:lvlText w:val="%1.%2"/>
        <w:lvlJc w:val="left"/>
        <w:pPr>
          <w:tabs>
            <w:tab w:val="num" w:pos="1134"/>
          </w:tabs>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2">
    <w:abstractNumId w:val="9"/>
  </w:num>
  <w:num w:numId="13">
    <w:abstractNumId w:val="10"/>
  </w:num>
  <w:num w:numId="14">
    <w:abstractNumId w:val="17"/>
  </w:num>
  <w:num w:numId="15">
    <w:abstractNumId w:val="16"/>
  </w:num>
  <w:num w:numId="16">
    <w:abstractNumId w:val="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4"/>
  </w:num>
  <w:num w:numId="20">
    <w:abstractNumId w:val="3"/>
  </w:num>
  <w:num w:numId="21">
    <w:abstractNumId w:val="12"/>
  </w:num>
  <w:num w:numId="22">
    <w:abstractNumId w:val="20"/>
  </w:num>
  <w:num w:numId="23">
    <w:abstractNumId w:val="0"/>
  </w:num>
  <w:num w:numId="24">
    <w:abstractNumId w:val="18"/>
  </w:num>
  <w:num w:numId="25">
    <w:abstractNumId w:val="11"/>
  </w:num>
  <w:num w:numId="26">
    <w:abstractNumId w:val="22"/>
  </w:num>
  <w:num w:numId="27">
    <w:abstractNumId w:val="15"/>
  </w:num>
  <w:num w:numId="28">
    <w:abstractNumId w:val="0"/>
  </w:num>
  <w:num w:numId="29">
    <w:abstractNumId w:val="0"/>
  </w:num>
  <w:num w:numId="30">
    <w:abstractNumId w:val="0"/>
  </w:num>
  <w:num w:numId="31">
    <w:abstractNumId w:val="0"/>
  </w:num>
  <w:num w:numId="32">
    <w:abstractNumId w:val="13"/>
  </w:num>
  <w:num w:numId="33">
    <w:abstractNumId w:val="2"/>
  </w:num>
  <w:num w:numId="34">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5D"/>
    <w:rsid w:val="0000450D"/>
    <w:rsid w:val="00004F3B"/>
    <w:rsid w:val="000117E8"/>
    <w:rsid w:val="000129BA"/>
    <w:rsid w:val="00013E43"/>
    <w:rsid w:val="00014982"/>
    <w:rsid w:val="00024897"/>
    <w:rsid w:val="00024F60"/>
    <w:rsid w:val="00026CB0"/>
    <w:rsid w:val="00035F70"/>
    <w:rsid w:val="00050C8C"/>
    <w:rsid w:val="000542C6"/>
    <w:rsid w:val="00055658"/>
    <w:rsid w:val="000569DB"/>
    <w:rsid w:val="00060E11"/>
    <w:rsid w:val="00070294"/>
    <w:rsid w:val="00071578"/>
    <w:rsid w:val="00077E3F"/>
    <w:rsid w:val="00092979"/>
    <w:rsid w:val="0009657C"/>
    <w:rsid w:val="000A4C25"/>
    <w:rsid w:val="000A637E"/>
    <w:rsid w:val="000A65EB"/>
    <w:rsid w:val="000B66B3"/>
    <w:rsid w:val="000C1134"/>
    <w:rsid w:val="000C2A28"/>
    <w:rsid w:val="000E13EF"/>
    <w:rsid w:val="000E3747"/>
    <w:rsid w:val="000F2A71"/>
    <w:rsid w:val="001003D2"/>
    <w:rsid w:val="001025D7"/>
    <w:rsid w:val="001223BA"/>
    <w:rsid w:val="0012386C"/>
    <w:rsid w:val="001273E5"/>
    <w:rsid w:val="001447BD"/>
    <w:rsid w:val="00144C99"/>
    <w:rsid w:val="001457A0"/>
    <w:rsid w:val="00146727"/>
    <w:rsid w:val="0016192F"/>
    <w:rsid w:val="0016693A"/>
    <w:rsid w:val="00181166"/>
    <w:rsid w:val="00181DAF"/>
    <w:rsid w:val="001929F2"/>
    <w:rsid w:val="00196C64"/>
    <w:rsid w:val="001A4838"/>
    <w:rsid w:val="001A76E0"/>
    <w:rsid w:val="001B72EB"/>
    <w:rsid w:val="001C5154"/>
    <w:rsid w:val="001D0104"/>
    <w:rsid w:val="001D7214"/>
    <w:rsid w:val="001E3B79"/>
    <w:rsid w:val="001E478D"/>
    <w:rsid w:val="001E544B"/>
    <w:rsid w:val="001F1666"/>
    <w:rsid w:val="00202B48"/>
    <w:rsid w:val="0021660A"/>
    <w:rsid w:val="00225566"/>
    <w:rsid w:val="002313AA"/>
    <w:rsid w:val="00241D26"/>
    <w:rsid w:val="00242275"/>
    <w:rsid w:val="00257D4C"/>
    <w:rsid w:val="00261263"/>
    <w:rsid w:val="002663AB"/>
    <w:rsid w:val="00270092"/>
    <w:rsid w:val="0027433E"/>
    <w:rsid w:val="00294C65"/>
    <w:rsid w:val="002B0B4D"/>
    <w:rsid w:val="002B2A8D"/>
    <w:rsid w:val="002C2DAE"/>
    <w:rsid w:val="002C41CD"/>
    <w:rsid w:val="002C5D02"/>
    <w:rsid w:val="002C6676"/>
    <w:rsid w:val="002D2B9A"/>
    <w:rsid w:val="002E2721"/>
    <w:rsid w:val="002E43EE"/>
    <w:rsid w:val="002E479F"/>
    <w:rsid w:val="002E496D"/>
    <w:rsid w:val="002E5910"/>
    <w:rsid w:val="002E73E2"/>
    <w:rsid w:val="002F612F"/>
    <w:rsid w:val="002F6701"/>
    <w:rsid w:val="00301E18"/>
    <w:rsid w:val="00311378"/>
    <w:rsid w:val="0031139E"/>
    <w:rsid w:val="00312A4A"/>
    <w:rsid w:val="00313767"/>
    <w:rsid w:val="00314807"/>
    <w:rsid w:val="00320CB7"/>
    <w:rsid w:val="00320FB8"/>
    <w:rsid w:val="003362C1"/>
    <w:rsid w:val="003407C1"/>
    <w:rsid w:val="00342846"/>
    <w:rsid w:val="00343853"/>
    <w:rsid w:val="00353B55"/>
    <w:rsid w:val="0035730D"/>
    <w:rsid w:val="00363DDA"/>
    <w:rsid w:val="00366B1C"/>
    <w:rsid w:val="003728F6"/>
    <w:rsid w:val="003755D3"/>
    <w:rsid w:val="00382366"/>
    <w:rsid w:val="00395CC2"/>
    <w:rsid w:val="003A0096"/>
    <w:rsid w:val="003A45F4"/>
    <w:rsid w:val="003B0BA9"/>
    <w:rsid w:val="003B3E1A"/>
    <w:rsid w:val="003E486F"/>
    <w:rsid w:val="003E70AB"/>
    <w:rsid w:val="003E7B1F"/>
    <w:rsid w:val="003F5286"/>
    <w:rsid w:val="003F72BE"/>
    <w:rsid w:val="00404FE6"/>
    <w:rsid w:val="00411753"/>
    <w:rsid w:val="004118E4"/>
    <w:rsid w:val="00420B3C"/>
    <w:rsid w:val="004256AC"/>
    <w:rsid w:val="00445521"/>
    <w:rsid w:val="00446F95"/>
    <w:rsid w:val="004659B5"/>
    <w:rsid w:val="0046639B"/>
    <w:rsid w:val="00472BB0"/>
    <w:rsid w:val="00483729"/>
    <w:rsid w:val="004942F3"/>
    <w:rsid w:val="004A3008"/>
    <w:rsid w:val="004B003F"/>
    <w:rsid w:val="004B2402"/>
    <w:rsid w:val="004B79BB"/>
    <w:rsid w:val="004D16A4"/>
    <w:rsid w:val="004E77BD"/>
    <w:rsid w:val="004F2EC7"/>
    <w:rsid w:val="004F50B0"/>
    <w:rsid w:val="00503567"/>
    <w:rsid w:val="005049C3"/>
    <w:rsid w:val="00510B96"/>
    <w:rsid w:val="005218A9"/>
    <w:rsid w:val="005349DA"/>
    <w:rsid w:val="00534EF1"/>
    <w:rsid w:val="00537FEB"/>
    <w:rsid w:val="0054022F"/>
    <w:rsid w:val="00550682"/>
    <w:rsid w:val="00550DFD"/>
    <w:rsid w:val="00552CA0"/>
    <w:rsid w:val="005601FE"/>
    <w:rsid w:val="00564301"/>
    <w:rsid w:val="00565C97"/>
    <w:rsid w:val="0058193C"/>
    <w:rsid w:val="0058761C"/>
    <w:rsid w:val="005B54F0"/>
    <w:rsid w:val="005D0167"/>
    <w:rsid w:val="005D3466"/>
    <w:rsid w:val="005E7363"/>
    <w:rsid w:val="005F193E"/>
    <w:rsid w:val="006004D0"/>
    <w:rsid w:val="006005C3"/>
    <w:rsid w:val="00620A5D"/>
    <w:rsid w:val="00627DF5"/>
    <w:rsid w:val="00635418"/>
    <w:rsid w:val="00651260"/>
    <w:rsid w:val="0067091E"/>
    <w:rsid w:val="00670B05"/>
    <w:rsid w:val="0067280B"/>
    <w:rsid w:val="00672FB2"/>
    <w:rsid w:val="00677B5D"/>
    <w:rsid w:val="0068035C"/>
    <w:rsid w:val="00687CE0"/>
    <w:rsid w:val="00693469"/>
    <w:rsid w:val="006A1761"/>
    <w:rsid w:val="006A23B4"/>
    <w:rsid w:val="006A394C"/>
    <w:rsid w:val="006B7039"/>
    <w:rsid w:val="006C0E44"/>
    <w:rsid w:val="006C5E49"/>
    <w:rsid w:val="006C7EA5"/>
    <w:rsid w:val="006D1C0C"/>
    <w:rsid w:val="006D6478"/>
    <w:rsid w:val="006F2529"/>
    <w:rsid w:val="0070380C"/>
    <w:rsid w:val="00703D26"/>
    <w:rsid w:val="00704719"/>
    <w:rsid w:val="00716F25"/>
    <w:rsid w:val="0073497B"/>
    <w:rsid w:val="007350C3"/>
    <w:rsid w:val="00735AB9"/>
    <w:rsid w:val="0074034B"/>
    <w:rsid w:val="0074171E"/>
    <w:rsid w:val="007452DA"/>
    <w:rsid w:val="0075167E"/>
    <w:rsid w:val="00752C0C"/>
    <w:rsid w:val="00754156"/>
    <w:rsid w:val="007568F3"/>
    <w:rsid w:val="007669B5"/>
    <w:rsid w:val="007735FA"/>
    <w:rsid w:val="0077368B"/>
    <w:rsid w:val="007A0070"/>
    <w:rsid w:val="007A3D46"/>
    <w:rsid w:val="007B0FE4"/>
    <w:rsid w:val="007B215D"/>
    <w:rsid w:val="007C2686"/>
    <w:rsid w:val="007C38B8"/>
    <w:rsid w:val="007D1268"/>
    <w:rsid w:val="007E1CBE"/>
    <w:rsid w:val="007E518B"/>
    <w:rsid w:val="007E6DEE"/>
    <w:rsid w:val="007F0099"/>
    <w:rsid w:val="007F0B2D"/>
    <w:rsid w:val="007F1433"/>
    <w:rsid w:val="007F309B"/>
    <w:rsid w:val="007F40A5"/>
    <w:rsid w:val="007F5557"/>
    <w:rsid w:val="007F7292"/>
    <w:rsid w:val="007F768A"/>
    <w:rsid w:val="00803D69"/>
    <w:rsid w:val="00813454"/>
    <w:rsid w:val="00827DC0"/>
    <w:rsid w:val="00834296"/>
    <w:rsid w:val="008437CC"/>
    <w:rsid w:val="00852E62"/>
    <w:rsid w:val="00855D04"/>
    <w:rsid w:val="00856080"/>
    <w:rsid w:val="0086012B"/>
    <w:rsid w:val="00862690"/>
    <w:rsid w:val="008627F9"/>
    <w:rsid w:val="008755A5"/>
    <w:rsid w:val="00883456"/>
    <w:rsid w:val="00883DCD"/>
    <w:rsid w:val="00887752"/>
    <w:rsid w:val="008B1C4F"/>
    <w:rsid w:val="008B2270"/>
    <w:rsid w:val="008C4A92"/>
    <w:rsid w:val="008D399B"/>
    <w:rsid w:val="008D6BFC"/>
    <w:rsid w:val="008F1835"/>
    <w:rsid w:val="00903BE3"/>
    <w:rsid w:val="0091517D"/>
    <w:rsid w:val="00934251"/>
    <w:rsid w:val="00935867"/>
    <w:rsid w:val="00952D5C"/>
    <w:rsid w:val="00954A62"/>
    <w:rsid w:val="00955179"/>
    <w:rsid w:val="00955B4F"/>
    <w:rsid w:val="009761E2"/>
    <w:rsid w:val="00984B3D"/>
    <w:rsid w:val="00992694"/>
    <w:rsid w:val="00997CFF"/>
    <w:rsid w:val="009B6599"/>
    <w:rsid w:val="009D6143"/>
    <w:rsid w:val="009D6E83"/>
    <w:rsid w:val="009E1AA5"/>
    <w:rsid w:val="009E6379"/>
    <w:rsid w:val="009F196C"/>
    <w:rsid w:val="009F3881"/>
    <w:rsid w:val="00A13C59"/>
    <w:rsid w:val="00A154D5"/>
    <w:rsid w:val="00A21A24"/>
    <w:rsid w:val="00A22D3E"/>
    <w:rsid w:val="00A300ED"/>
    <w:rsid w:val="00A34437"/>
    <w:rsid w:val="00A354BD"/>
    <w:rsid w:val="00A51DF5"/>
    <w:rsid w:val="00A54321"/>
    <w:rsid w:val="00A54527"/>
    <w:rsid w:val="00A55687"/>
    <w:rsid w:val="00A55B40"/>
    <w:rsid w:val="00A67133"/>
    <w:rsid w:val="00A73555"/>
    <w:rsid w:val="00A82E64"/>
    <w:rsid w:val="00AA27EF"/>
    <w:rsid w:val="00AA2F66"/>
    <w:rsid w:val="00AC0374"/>
    <w:rsid w:val="00AC6B95"/>
    <w:rsid w:val="00AD632C"/>
    <w:rsid w:val="00AE4890"/>
    <w:rsid w:val="00B024A9"/>
    <w:rsid w:val="00B025B0"/>
    <w:rsid w:val="00B03D47"/>
    <w:rsid w:val="00B07818"/>
    <w:rsid w:val="00B10585"/>
    <w:rsid w:val="00B153C1"/>
    <w:rsid w:val="00B244C6"/>
    <w:rsid w:val="00B2613A"/>
    <w:rsid w:val="00B27CD8"/>
    <w:rsid w:val="00B30416"/>
    <w:rsid w:val="00B30598"/>
    <w:rsid w:val="00B307FD"/>
    <w:rsid w:val="00B31101"/>
    <w:rsid w:val="00B32E88"/>
    <w:rsid w:val="00B36A6A"/>
    <w:rsid w:val="00B46D9B"/>
    <w:rsid w:val="00B52146"/>
    <w:rsid w:val="00B561A8"/>
    <w:rsid w:val="00B60601"/>
    <w:rsid w:val="00B65564"/>
    <w:rsid w:val="00B6560C"/>
    <w:rsid w:val="00B742E4"/>
    <w:rsid w:val="00B74485"/>
    <w:rsid w:val="00B80074"/>
    <w:rsid w:val="00B94113"/>
    <w:rsid w:val="00BA2DAF"/>
    <w:rsid w:val="00BB1C3C"/>
    <w:rsid w:val="00BB5482"/>
    <w:rsid w:val="00BC0E71"/>
    <w:rsid w:val="00BC446A"/>
    <w:rsid w:val="00BC7BC2"/>
    <w:rsid w:val="00BD6C22"/>
    <w:rsid w:val="00BD7C67"/>
    <w:rsid w:val="00BE06F3"/>
    <w:rsid w:val="00BE3CE8"/>
    <w:rsid w:val="00BE5BDC"/>
    <w:rsid w:val="00BF057A"/>
    <w:rsid w:val="00BF0604"/>
    <w:rsid w:val="00BF0C2B"/>
    <w:rsid w:val="00BF2269"/>
    <w:rsid w:val="00BF35D7"/>
    <w:rsid w:val="00BF6D1F"/>
    <w:rsid w:val="00C02315"/>
    <w:rsid w:val="00C13057"/>
    <w:rsid w:val="00C14F92"/>
    <w:rsid w:val="00C161B5"/>
    <w:rsid w:val="00C20C17"/>
    <w:rsid w:val="00C3133D"/>
    <w:rsid w:val="00C32914"/>
    <w:rsid w:val="00C33B32"/>
    <w:rsid w:val="00C35EFC"/>
    <w:rsid w:val="00C525D3"/>
    <w:rsid w:val="00C54A96"/>
    <w:rsid w:val="00C66A1D"/>
    <w:rsid w:val="00C71B62"/>
    <w:rsid w:val="00C8065B"/>
    <w:rsid w:val="00C97BFA"/>
    <w:rsid w:val="00CA3626"/>
    <w:rsid w:val="00CD0BF5"/>
    <w:rsid w:val="00CE437A"/>
    <w:rsid w:val="00CE480C"/>
    <w:rsid w:val="00D05039"/>
    <w:rsid w:val="00D051D8"/>
    <w:rsid w:val="00D13B72"/>
    <w:rsid w:val="00D15234"/>
    <w:rsid w:val="00D25D42"/>
    <w:rsid w:val="00D322FF"/>
    <w:rsid w:val="00D47EE4"/>
    <w:rsid w:val="00D52217"/>
    <w:rsid w:val="00D61BED"/>
    <w:rsid w:val="00D7366C"/>
    <w:rsid w:val="00D736CC"/>
    <w:rsid w:val="00D74E17"/>
    <w:rsid w:val="00D8063F"/>
    <w:rsid w:val="00D80F7C"/>
    <w:rsid w:val="00D864FD"/>
    <w:rsid w:val="00D90F27"/>
    <w:rsid w:val="00D9406A"/>
    <w:rsid w:val="00DA0BE4"/>
    <w:rsid w:val="00DB5E11"/>
    <w:rsid w:val="00DD0AFE"/>
    <w:rsid w:val="00DD0CC8"/>
    <w:rsid w:val="00DD5970"/>
    <w:rsid w:val="00DE60BD"/>
    <w:rsid w:val="00DF3989"/>
    <w:rsid w:val="00E125F2"/>
    <w:rsid w:val="00E25E3D"/>
    <w:rsid w:val="00E26F06"/>
    <w:rsid w:val="00E36E96"/>
    <w:rsid w:val="00E40707"/>
    <w:rsid w:val="00E41501"/>
    <w:rsid w:val="00E4325B"/>
    <w:rsid w:val="00E47615"/>
    <w:rsid w:val="00E510E1"/>
    <w:rsid w:val="00E5416D"/>
    <w:rsid w:val="00E73F2C"/>
    <w:rsid w:val="00E76CEE"/>
    <w:rsid w:val="00E82DF9"/>
    <w:rsid w:val="00E865CE"/>
    <w:rsid w:val="00E87A8D"/>
    <w:rsid w:val="00E93EB0"/>
    <w:rsid w:val="00E961E0"/>
    <w:rsid w:val="00E976D3"/>
    <w:rsid w:val="00EA5A78"/>
    <w:rsid w:val="00EC023F"/>
    <w:rsid w:val="00EC2616"/>
    <w:rsid w:val="00EC4231"/>
    <w:rsid w:val="00EE4937"/>
    <w:rsid w:val="00EF3E66"/>
    <w:rsid w:val="00F04436"/>
    <w:rsid w:val="00F25323"/>
    <w:rsid w:val="00F33F12"/>
    <w:rsid w:val="00F34109"/>
    <w:rsid w:val="00F42789"/>
    <w:rsid w:val="00F51E57"/>
    <w:rsid w:val="00F53E31"/>
    <w:rsid w:val="00F55AB3"/>
    <w:rsid w:val="00F6120E"/>
    <w:rsid w:val="00F726E5"/>
    <w:rsid w:val="00F82901"/>
    <w:rsid w:val="00F9070E"/>
    <w:rsid w:val="00F961C0"/>
    <w:rsid w:val="00FA3E78"/>
    <w:rsid w:val="00FC0BC3"/>
    <w:rsid w:val="00FC3A15"/>
    <w:rsid w:val="00FC55E9"/>
    <w:rsid w:val="00FC612C"/>
    <w:rsid w:val="00FC6954"/>
    <w:rsid w:val="00FD1621"/>
    <w:rsid w:val="00FD24D2"/>
    <w:rsid w:val="00FD3D72"/>
    <w:rsid w:val="00FE09A5"/>
    <w:rsid w:val="00FF71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5F70B9"/>
  <w15:chartTrackingRefBased/>
  <w15:docId w15:val="{AAB6CB0B-A82E-473B-B151-78B08859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517D"/>
    <w:pPr>
      <w:spacing w:after="0" w:line="240" w:lineRule="auto"/>
    </w:pPr>
  </w:style>
  <w:style w:type="paragraph" w:styleId="Heading1">
    <w:name w:val="heading 1"/>
    <w:basedOn w:val="Normal"/>
    <w:next w:val="BodyText"/>
    <w:link w:val="Heading1Char"/>
    <w:uiPriority w:val="1"/>
    <w:qFormat/>
    <w:rsid w:val="003407C1"/>
    <w:pPr>
      <w:spacing w:after="240" w:line="173" w:lineRule="auto"/>
      <w:outlineLvl w:val="0"/>
    </w:pPr>
    <w:rPr>
      <w:rFonts w:asciiTheme="majorHAnsi" w:eastAsiaTheme="majorEastAsia" w:hAnsiTheme="majorHAnsi" w:cstheme="majorBidi"/>
      <w:kern w:val="44"/>
      <w:sz w:val="44"/>
      <w:szCs w:val="32"/>
    </w:rPr>
  </w:style>
  <w:style w:type="paragraph" w:styleId="Heading2">
    <w:name w:val="heading 2"/>
    <w:basedOn w:val="Normal"/>
    <w:next w:val="BodyText"/>
    <w:link w:val="Heading2Char"/>
    <w:uiPriority w:val="1"/>
    <w:qFormat/>
    <w:rsid w:val="00903BE3"/>
    <w:pPr>
      <w:keepNext/>
      <w:keepLines/>
      <w:spacing w:before="240" w:after="120"/>
      <w:outlineLvl w:val="1"/>
    </w:pPr>
    <w:rPr>
      <w:rFonts w:ascii="Minderoo-Medium" w:eastAsiaTheme="majorEastAsia" w:hAnsi="Minderoo-Medium" w:cstheme="majorBidi"/>
      <w:sz w:val="32"/>
      <w:szCs w:val="26"/>
    </w:rPr>
  </w:style>
  <w:style w:type="paragraph" w:styleId="Heading3">
    <w:name w:val="heading 3"/>
    <w:basedOn w:val="Normal"/>
    <w:next w:val="BodyText"/>
    <w:link w:val="Heading3Char"/>
    <w:uiPriority w:val="1"/>
    <w:qFormat/>
    <w:rsid w:val="00E41501"/>
    <w:pPr>
      <w:keepNext/>
      <w:keepLines/>
      <w:spacing w:before="240" w:after="120"/>
      <w:outlineLvl w:val="2"/>
    </w:pPr>
    <w:rPr>
      <w:rFonts w:eastAsiaTheme="majorEastAsia" w:cstheme="majorBidi"/>
      <w:sz w:val="28"/>
      <w:szCs w:val="24"/>
    </w:rPr>
  </w:style>
  <w:style w:type="paragraph" w:styleId="Heading4">
    <w:name w:val="heading 4"/>
    <w:basedOn w:val="Normal"/>
    <w:next w:val="BodyText"/>
    <w:link w:val="Heading4Char"/>
    <w:uiPriority w:val="1"/>
    <w:qFormat/>
    <w:rsid w:val="00903BE3"/>
    <w:pPr>
      <w:keepNext/>
      <w:keepLines/>
      <w:spacing w:before="240" w:after="120"/>
      <w:outlineLvl w:val="3"/>
    </w:pPr>
    <w:rPr>
      <w:rFonts w:ascii="Minderoo-Medium" w:eastAsiaTheme="majorEastAsia" w:hAnsi="Minderoo-Medium" w:cstheme="majorBidi"/>
      <w:iCs/>
    </w:rPr>
  </w:style>
  <w:style w:type="paragraph" w:styleId="Heading5">
    <w:name w:val="heading 5"/>
    <w:basedOn w:val="Normal"/>
    <w:next w:val="BodyText"/>
    <w:link w:val="Heading5Char"/>
    <w:uiPriority w:val="99"/>
    <w:semiHidden/>
    <w:rsid w:val="00A55687"/>
    <w:pPr>
      <w:keepNext/>
      <w:keepLines/>
      <w:spacing w:before="240" w:after="120"/>
      <w:outlineLvl w:val="4"/>
    </w:pPr>
    <w:rPr>
      <w:rFonts w:eastAsiaTheme="majorEastAsia" w:cstheme="majorBidi"/>
      <w:color w:val="FF4F00" w:themeColor="accent1"/>
    </w:rPr>
  </w:style>
  <w:style w:type="paragraph" w:styleId="Heading9">
    <w:name w:val="heading 9"/>
    <w:aliases w:val="Appendix H1"/>
    <w:basedOn w:val="Normal"/>
    <w:next w:val="BodyText"/>
    <w:link w:val="Heading9Char"/>
    <w:uiPriority w:val="12"/>
    <w:semiHidden/>
    <w:qFormat/>
    <w:rsid w:val="001C5154"/>
    <w:pPr>
      <w:keepNext/>
      <w:pageBreakBefore/>
      <w:numPr>
        <w:numId w:val="22"/>
      </w:numPr>
      <w:spacing w:after="240" w:line="173" w:lineRule="auto"/>
      <w:outlineLvl w:val="8"/>
    </w:pPr>
    <w:rPr>
      <w:rFonts w:asciiTheme="majorHAnsi" w:hAnsiTheme="majorHAnsi"/>
      <w:iCs/>
      <w:kern w:val="44"/>
      <w:sz w:val="4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link w:val="ListParagraphChar"/>
    <w:uiPriority w:val="2"/>
    <w:qFormat/>
    <w:rsid w:val="000129BA"/>
    <w:pPr>
      <w:numPr>
        <w:numId w:val="8"/>
      </w:numPr>
    </w:pPr>
  </w:style>
  <w:style w:type="paragraph" w:customStyle="1" w:styleId="ListParagraph2">
    <w:name w:val="List Paragraph 2"/>
    <w:basedOn w:val="ListParagraph0"/>
    <w:uiPriority w:val="19"/>
    <w:rsid w:val="000129BA"/>
    <w:pPr>
      <w:numPr>
        <w:ilvl w:val="1"/>
      </w:numPr>
    </w:pPr>
  </w:style>
  <w:style w:type="paragraph" w:customStyle="1" w:styleId="ListParagraph3">
    <w:name w:val="List Paragraph 3"/>
    <w:basedOn w:val="ListParagraph0"/>
    <w:uiPriority w:val="19"/>
    <w:rsid w:val="000129BA"/>
    <w:pPr>
      <w:numPr>
        <w:ilvl w:val="2"/>
      </w:numPr>
    </w:pPr>
  </w:style>
  <w:style w:type="paragraph" w:customStyle="1" w:styleId="ListParagraph4">
    <w:name w:val="List Paragraph 4"/>
    <w:basedOn w:val="ListParagraph0"/>
    <w:uiPriority w:val="19"/>
    <w:rsid w:val="000129BA"/>
    <w:pPr>
      <w:numPr>
        <w:ilvl w:val="3"/>
      </w:numPr>
    </w:pPr>
  </w:style>
  <w:style w:type="paragraph" w:customStyle="1" w:styleId="ListParagraph5">
    <w:name w:val="List Paragraph 5"/>
    <w:basedOn w:val="ListParagraph0"/>
    <w:uiPriority w:val="19"/>
    <w:rsid w:val="000129BA"/>
    <w:pPr>
      <w:numPr>
        <w:ilvl w:val="4"/>
      </w:numPr>
    </w:pPr>
  </w:style>
  <w:style w:type="character" w:customStyle="1" w:styleId="Heading1Char">
    <w:name w:val="Heading 1 Char"/>
    <w:basedOn w:val="DefaultParagraphFont"/>
    <w:link w:val="Heading1"/>
    <w:uiPriority w:val="1"/>
    <w:rsid w:val="003407C1"/>
    <w:rPr>
      <w:rFonts w:asciiTheme="majorHAnsi" w:eastAsiaTheme="majorEastAsia" w:hAnsiTheme="majorHAnsi" w:cstheme="majorBidi"/>
      <w:kern w:val="44"/>
      <w:sz w:val="44"/>
      <w:szCs w:val="32"/>
    </w:rPr>
  </w:style>
  <w:style w:type="paragraph" w:customStyle="1" w:styleId="NumberedHeading1">
    <w:name w:val="Numbered Heading 1"/>
    <w:basedOn w:val="Heading1"/>
    <w:next w:val="BodyText"/>
    <w:uiPriority w:val="1"/>
    <w:qFormat/>
    <w:rsid w:val="000129BA"/>
    <w:pPr>
      <w:numPr>
        <w:numId w:val="21"/>
      </w:numPr>
    </w:pPr>
  </w:style>
  <w:style w:type="character" w:customStyle="1" w:styleId="Heading2Char">
    <w:name w:val="Heading 2 Char"/>
    <w:basedOn w:val="DefaultParagraphFont"/>
    <w:link w:val="Heading2"/>
    <w:uiPriority w:val="1"/>
    <w:rsid w:val="00903BE3"/>
    <w:rPr>
      <w:rFonts w:ascii="Minderoo-Medium" w:eastAsiaTheme="majorEastAsia" w:hAnsi="Minderoo-Medium" w:cstheme="majorBidi"/>
      <w:sz w:val="32"/>
      <w:szCs w:val="26"/>
    </w:rPr>
  </w:style>
  <w:style w:type="paragraph" w:customStyle="1" w:styleId="NumberedHeading2">
    <w:name w:val="Numbered Heading 2"/>
    <w:basedOn w:val="Heading2"/>
    <w:next w:val="BodyText"/>
    <w:uiPriority w:val="1"/>
    <w:qFormat/>
    <w:rsid w:val="000129BA"/>
    <w:pPr>
      <w:numPr>
        <w:ilvl w:val="1"/>
        <w:numId w:val="21"/>
      </w:numPr>
    </w:pPr>
  </w:style>
  <w:style w:type="character" w:customStyle="1" w:styleId="Heading3Char">
    <w:name w:val="Heading 3 Char"/>
    <w:basedOn w:val="DefaultParagraphFont"/>
    <w:link w:val="Heading3"/>
    <w:uiPriority w:val="1"/>
    <w:rsid w:val="00E41501"/>
    <w:rPr>
      <w:rFonts w:eastAsiaTheme="majorEastAsia" w:cstheme="majorBidi"/>
      <w:sz w:val="28"/>
      <w:szCs w:val="24"/>
    </w:rPr>
  </w:style>
  <w:style w:type="paragraph" w:customStyle="1" w:styleId="NumberedHeading3">
    <w:name w:val="Numbered Heading 3"/>
    <w:basedOn w:val="Heading3"/>
    <w:next w:val="BodyText"/>
    <w:uiPriority w:val="1"/>
    <w:qFormat/>
    <w:rsid w:val="000129BA"/>
    <w:pPr>
      <w:numPr>
        <w:ilvl w:val="2"/>
        <w:numId w:val="21"/>
      </w:numPr>
    </w:pPr>
  </w:style>
  <w:style w:type="character" w:customStyle="1" w:styleId="Heading4Char">
    <w:name w:val="Heading 4 Char"/>
    <w:basedOn w:val="DefaultParagraphFont"/>
    <w:link w:val="Heading4"/>
    <w:uiPriority w:val="1"/>
    <w:rsid w:val="00903BE3"/>
    <w:rPr>
      <w:rFonts w:ascii="Minderoo-Medium" w:eastAsiaTheme="majorEastAsia" w:hAnsi="Minderoo-Medium" w:cstheme="majorBidi"/>
      <w:iCs/>
    </w:rPr>
  </w:style>
  <w:style w:type="paragraph" w:customStyle="1" w:styleId="NumberedHeading4">
    <w:name w:val="Numbered Heading 4"/>
    <w:basedOn w:val="Heading4"/>
    <w:next w:val="BodyText"/>
    <w:uiPriority w:val="1"/>
    <w:qFormat/>
    <w:rsid w:val="000129BA"/>
    <w:pPr>
      <w:numPr>
        <w:ilvl w:val="3"/>
        <w:numId w:val="21"/>
      </w:numPr>
    </w:pPr>
  </w:style>
  <w:style w:type="character" w:customStyle="1" w:styleId="Heading5Char">
    <w:name w:val="Heading 5 Char"/>
    <w:basedOn w:val="DefaultParagraphFont"/>
    <w:link w:val="Heading5"/>
    <w:uiPriority w:val="99"/>
    <w:semiHidden/>
    <w:rsid w:val="00A55687"/>
    <w:rPr>
      <w:rFonts w:eastAsiaTheme="majorEastAsia" w:cstheme="majorBidi"/>
      <w:color w:val="FF4F00" w:themeColor="accent1"/>
    </w:rPr>
  </w:style>
  <w:style w:type="paragraph" w:customStyle="1" w:styleId="NumberedHeading5">
    <w:name w:val="Numbered Heading 5"/>
    <w:basedOn w:val="Heading5"/>
    <w:next w:val="BodyText"/>
    <w:uiPriority w:val="1"/>
    <w:semiHidden/>
    <w:qFormat/>
    <w:rsid w:val="00552CA0"/>
    <w:pPr>
      <w:numPr>
        <w:ilvl w:val="4"/>
        <w:numId w:val="21"/>
      </w:numPr>
    </w:pPr>
  </w:style>
  <w:style w:type="paragraph" w:styleId="Caption">
    <w:name w:val="caption"/>
    <w:aliases w:val="Figure Caption"/>
    <w:basedOn w:val="Normal"/>
    <w:next w:val="FigureStyle"/>
    <w:uiPriority w:val="6"/>
    <w:qFormat/>
    <w:rsid w:val="0046639B"/>
    <w:pPr>
      <w:keepNext/>
      <w:tabs>
        <w:tab w:val="left" w:pos="1134"/>
      </w:tabs>
      <w:spacing w:before="240" w:after="120"/>
      <w:ind w:left="1134" w:hanging="1134"/>
      <w:jc w:val="center"/>
    </w:pPr>
    <w:rPr>
      <w:i/>
      <w:iCs/>
      <w:sz w:val="20"/>
      <w:szCs w:val="18"/>
    </w:rPr>
  </w:style>
  <w:style w:type="paragraph" w:customStyle="1" w:styleId="TableCaption">
    <w:name w:val="Table Caption"/>
    <w:basedOn w:val="BodyText"/>
    <w:next w:val="BodyText"/>
    <w:uiPriority w:val="6"/>
    <w:qFormat/>
    <w:rsid w:val="0046639B"/>
    <w:pPr>
      <w:keepNext/>
      <w:tabs>
        <w:tab w:val="left" w:pos="1134"/>
      </w:tabs>
      <w:spacing w:before="240"/>
      <w:ind w:left="1134" w:hanging="1134"/>
    </w:pPr>
    <w:rPr>
      <w:i/>
      <w:sz w:val="20"/>
    </w:rPr>
  </w:style>
  <w:style w:type="character" w:styleId="PlaceholderText">
    <w:name w:val="Placeholder Text"/>
    <w:basedOn w:val="DefaultParagraphFont"/>
    <w:uiPriority w:val="99"/>
    <w:semiHidden/>
    <w:rsid w:val="000129BA"/>
    <w:rPr>
      <w:color w:val="808080"/>
    </w:rPr>
  </w:style>
  <w:style w:type="paragraph" w:styleId="BodyText">
    <w:name w:val="Body Text"/>
    <w:basedOn w:val="Normal"/>
    <w:link w:val="BodyTextChar"/>
    <w:qFormat/>
    <w:rsid w:val="0091517D"/>
    <w:pPr>
      <w:spacing w:before="120" w:after="120" w:line="288" w:lineRule="auto"/>
    </w:pPr>
  </w:style>
  <w:style w:type="character" w:customStyle="1" w:styleId="BodyTextChar">
    <w:name w:val="Body Text Char"/>
    <w:basedOn w:val="DefaultParagraphFont"/>
    <w:link w:val="BodyText"/>
    <w:rsid w:val="0091517D"/>
  </w:style>
  <w:style w:type="paragraph" w:customStyle="1" w:styleId="FigureStyle">
    <w:name w:val="Figure Style"/>
    <w:basedOn w:val="Normal"/>
    <w:next w:val="BodyText"/>
    <w:uiPriority w:val="6"/>
    <w:qFormat/>
    <w:rsid w:val="000129BA"/>
    <w:pPr>
      <w:spacing w:before="120" w:after="240"/>
      <w:jc w:val="center"/>
    </w:pPr>
  </w:style>
  <w:style w:type="paragraph" w:styleId="ListBullet0">
    <w:name w:val="List Bullet"/>
    <w:basedOn w:val="BodyText"/>
    <w:uiPriority w:val="2"/>
    <w:qFormat/>
    <w:rsid w:val="0091517D"/>
    <w:pPr>
      <w:numPr>
        <w:numId w:val="27"/>
      </w:numPr>
    </w:pPr>
  </w:style>
  <w:style w:type="numbering" w:customStyle="1" w:styleId="ListBullet">
    <w:name w:val="List_Bullet"/>
    <w:uiPriority w:val="99"/>
    <w:rsid w:val="00A154D5"/>
    <w:pPr>
      <w:numPr>
        <w:numId w:val="5"/>
      </w:numPr>
    </w:pPr>
  </w:style>
  <w:style w:type="paragraph" w:customStyle="1" w:styleId="ListBullet6">
    <w:name w:val="List Bullet 6"/>
    <w:basedOn w:val="ListBullet0"/>
    <w:uiPriority w:val="19"/>
    <w:rsid w:val="000129BA"/>
    <w:pPr>
      <w:numPr>
        <w:ilvl w:val="5"/>
      </w:numPr>
    </w:pPr>
  </w:style>
  <w:style w:type="paragraph" w:styleId="ListBullet2">
    <w:name w:val="List Bullet 2"/>
    <w:basedOn w:val="ListBullet0"/>
    <w:uiPriority w:val="19"/>
    <w:rsid w:val="000129BA"/>
    <w:pPr>
      <w:numPr>
        <w:ilvl w:val="1"/>
      </w:numPr>
    </w:pPr>
  </w:style>
  <w:style w:type="paragraph" w:styleId="ListBullet3">
    <w:name w:val="List Bullet 3"/>
    <w:basedOn w:val="ListBullet0"/>
    <w:uiPriority w:val="19"/>
    <w:rsid w:val="000129BA"/>
    <w:pPr>
      <w:numPr>
        <w:ilvl w:val="2"/>
      </w:numPr>
    </w:pPr>
  </w:style>
  <w:style w:type="paragraph" w:styleId="ListBullet4">
    <w:name w:val="List Bullet 4"/>
    <w:basedOn w:val="ListBullet0"/>
    <w:uiPriority w:val="19"/>
    <w:rsid w:val="000129BA"/>
    <w:pPr>
      <w:numPr>
        <w:ilvl w:val="3"/>
      </w:numPr>
    </w:pPr>
  </w:style>
  <w:style w:type="paragraph" w:styleId="ListBullet5">
    <w:name w:val="List Bullet 5"/>
    <w:basedOn w:val="ListBullet0"/>
    <w:uiPriority w:val="19"/>
    <w:rsid w:val="000129BA"/>
    <w:pPr>
      <w:numPr>
        <w:ilvl w:val="4"/>
      </w:numPr>
    </w:pPr>
  </w:style>
  <w:style w:type="paragraph" w:styleId="ListNumber0">
    <w:name w:val="List Number"/>
    <w:basedOn w:val="BodyText"/>
    <w:uiPriority w:val="2"/>
    <w:qFormat/>
    <w:rsid w:val="007C2686"/>
    <w:pPr>
      <w:numPr>
        <w:numId w:val="14"/>
      </w:numPr>
    </w:pPr>
  </w:style>
  <w:style w:type="paragraph" w:customStyle="1" w:styleId="ListNumber6">
    <w:name w:val="List Number 6"/>
    <w:basedOn w:val="ListNumber0"/>
    <w:uiPriority w:val="19"/>
    <w:rsid w:val="000129BA"/>
    <w:pPr>
      <w:numPr>
        <w:ilvl w:val="5"/>
      </w:numPr>
    </w:pPr>
  </w:style>
  <w:style w:type="paragraph" w:customStyle="1" w:styleId="ListParagraph6">
    <w:name w:val="List Paragraph 6"/>
    <w:basedOn w:val="ListParagraph0"/>
    <w:uiPriority w:val="19"/>
    <w:rsid w:val="000129BA"/>
    <w:pPr>
      <w:numPr>
        <w:ilvl w:val="5"/>
      </w:numPr>
    </w:pPr>
  </w:style>
  <w:style w:type="paragraph" w:styleId="ListNumber2">
    <w:name w:val="List Number 2"/>
    <w:basedOn w:val="ListNumber0"/>
    <w:uiPriority w:val="19"/>
    <w:rsid w:val="000129BA"/>
    <w:pPr>
      <w:numPr>
        <w:ilvl w:val="1"/>
      </w:numPr>
    </w:pPr>
  </w:style>
  <w:style w:type="paragraph" w:styleId="ListNumber3">
    <w:name w:val="List Number 3"/>
    <w:basedOn w:val="ListNumber0"/>
    <w:uiPriority w:val="19"/>
    <w:rsid w:val="000129BA"/>
    <w:pPr>
      <w:numPr>
        <w:ilvl w:val="2"/>
      </w:numPr>
    </w:pPr>
  </w:style>
  <w:style w:type="paragraph" w:styleId="ListNumber4">
    <w:name w:val="List Number 4"/>
    <w:basedOn w:val="ListNumber0"/>
    <w:uiPriority w:val="19"/>
    <w:rsid w:val="000129BA"/>
    <w:pPr>
      <w:numPr>
        <w:ilvl w:val="3"/>
      </w:numPr>
    </w:pPr>
  </w:style>
  <w:style w:type="paragraph" w:styleId="ListNumber5">
    <w:name w:val="List Number 5"/>
    <w:basedOn w:val="ListNumber0"/>
    <w:uiPriority w:val="19"/>
    <w:rsid w:val="000129BA"/>
    <w:pPr>
      <w:numPr>
        <w:ilvl w:val="4"/>
      </w:numPr>
    </w:pPr>
  </w:style>
  <w:style w:type="numbering" w:customStyle="1" w:styleId="ListNumber">
    <w:name w:val="List_Number"/>
    <w:uiPriority w:val="99"/>
    <w:rsid w:val="007C2686"/>
    <w:pPr>
      <w:numPr>
        <w:numId w:val="7"/>
      </w:numPr>
    </w:pPr>
  </w:style>
  <w:style w:type="numbering" w:customStyle="1" w:styleId="ListParagraph">
    <w:name w:val="List_Paragraph"/>
    <w:uiPriority w:val="99"/>
    <w:rsid w:val="000129BA"/>
    <w:pPr>
      <w:numPr>
        <w:numId w:val="8"/>
      </w:numPr>
    </w:pPr>
  </w:style>
  <w:style w:type="paragraph" w:customStyle="1" w:styleId="ListAlpha0">
    <w:name w:val="List Alpha"/>
    <w:basedOn w:val="BodyText"/>
    <w:uiPriority w:val="2"/>
    <w:qFormat/>
    <w:rsid w:val="000129BA"/>
    <w:pPr>
      <w:numPr>
        <w:numId w:val="3"/>
      </w:numPr>
    </w:pPr>
  </w:style>
  <w:style w:type="paragraph" w:customStyle="1" w:styleId="ListAlpha2">
    <w:name w:val="List Alpha 2"/>
    <w:basedOn w:val="ListAlpha0"/>
    <w:uiPriority w:val="19"/>
    <w:rsid w:val="000129BA"/>
    <w:pPr>
      <w:numPr>
        <w:ilvl w:val="1"/>
      </w:numPr>
    </w:pPr>
  </w:style>
  <w:style w:type="paragraph" w:customStyle="1" w:styleId="ListAlpha3">
    <w:name w:val="List Alpha 3"/>
    <w:basedOn w:val="ListAlpha0"/>
    <w:uiPriority w:val="19"/>
    <w:rsid w:val="000129BA"/>
    <w:pPr>
      <w:numPr>
        <w:ilvl w:val="2"/>
      </w:numPr>
    </w:pPr>
  </w:style>
  <w:style w:type="paragraph" w:customStyle="1" w:styleId="ListAlpha4">
    <w:name w:val="List Alpha 4"/>
    <w:basedOn w:val="ListAlpha0"/>
    <w:uiPriority w:val="19"/>
    <w:rsid w:val="000129BA"/>
    <w:pPr>
      <w:numPr>
        <w:ilvl w:val="3"/>
      </w:numPr>
    </w:pPr>
  </w:style>
  <w:style w:type="paragraph" w:customStyle="1" w:styleId="ListAlpha5">
    <w:name w:val="List Alpha 5"/>
    <w:basedOn w:val="ListAlpha0"/>
    <w:uiPriority w:val="19"/>
    <w:rsid w:val="000129BA"/>
    <w:pPr>
      <w:numPr>
        <w:ilvl w:val="4"/>
      </w:numPr>
    </w:pPr>
  </w:style>
  <w:style w:type="paragraph" w:customStyle="1" w:styleId="ListAlpha6">
    <w:name w:val="List Alpha 6"/>
    <w:basedOn w:val="ListAlpha0"/>
    <w:uiPriority w:val="19"/>
    <w:rsid w:val="000129BA"/>
    <w:pPr>
      <w:numPr>
        <w:ilvl w:val="5"/>
      </w:numPr>
    </w:pPr>
  </w:style>
  <w:style w:type="numbering" w:customStyle="1" w:styleId="ListAlpha">
    <w:name w:val="List_Alpha"/>
    <w:uiPriority w:val="99"/>
    <w:rsid w:val="000129BA"/>
    <w:pPr>
      <w:numPr>
        <w:numId w:val="3"/>
      </w:numPr>
    </w:pPr>
  </w:style>
  <w:style w:type="numbering" w:customStyle="1" w:styleId="ListNbrHeading">
    <w:name w:val="List_NbrHeading"/>
    <w:uiPriority w:val="99"/>
    <w:rsid w:val="000129BA"/>
    <w:pPr>
      <w:numPr>
        <w:numId w:val="6"/>
      </w:numPr>
    </w:pPr>
  </w:style>
  <w:style w:type="paragraph" w:styleId="Title">
    <w:name w:val="Title"/>
    <w:basedOn w:val="Normal"/>
    <w:next w:val="BodyText"/>
    <w:link w:val="TitleChar"/>
    <w:uiPriority w:val="10"/>
    <w:qFormat/>
    <w:rsid w:val="00050C8C"/>
    <w:pPr>
      <w:spacing w:line="173" w:lineRule="auto"/>
      <w:ind w:right="1418"/>
    </w:pPr>
    <w:rPr>
      <w:rFonts w:asciiTheme="majorHAnsi" w:eastAsiaTheme="majorEastAsia" w:hAnsiTheme="majorHAnsi" w:cstheme="majorBidi"/>
      <w:caps/>
      <w:noProof/>
      <w:color w:val="000000" w:themeColor="text1"/>
      <w:sz w:val="100"/>
      <w:szCs w:val="56"/>
    </w:rPr>
  </w:style>
  <w:style w:type="character" w:customStyle="1" w:styleId="TitleChar">
    <w:name w:val="Title Char"/>
    <w:basedOn w:val="DefaultParagraphFont"/>
    <w:link w:val="Title"/>
    <w:uiPriority w:val="10"/>
    <w:rsid w:val="00050C8C"/>
    <w:rPr>
      <w:rFonts w:asciiTheme="majorHAnsi" w:eastAsiaTheme="majorEastAsia" w:hAnsiTheme="majorHAnsi" w:cstheme="majorBidi"/>
      <w:caps/>
      <w:noProof/>
      <w:color w:val="000000" w:themeColor="text1"/>
      <w:sz w:val="100"/>
      <w:szCs w:val="56"/>
    </w:rPr>
  </w:style>
  <w:style w:type="paragraph" w:styleId="Subtitle">
    <w:name w:val="Subtitle"/>
    <w:basedOn w:val="Normal"/>
    <w:next w:val="BodyText"/>
    <w:link w:val="SubtitleChar"/>
    <w:uiPriority w:val="11"/>
    <w:rsid w:val="00050C8C"/>
    <w:pPr>
      <w:numPr>
        <w:ilvl w:val="1"/>
      </w:numPr>
    </w:pPr>
    <w:rPr>
      <w:rFonts w:asciiTheme="majorHAnsi" w:eastAsiaTheme="minorEastAsia" w:hAnsiTheme="majorHAnsi"/>
      <w:sz w:val="40"/>
    </w:rPr>
  </w:style>
  <w:style w:type="character" w:customStyle="1" w:styleId="SubtitleChar">
    <w:name w:val="Subtitle Char"/>
    <w:basedOn w:val="DefaultParagraphFont"/>
    <w:link w:val="Subtitle"/>
    <w:uiPriority w:val="11"/>
    <w:rsid w:val="00050C8C"/>
    <w:rPr>
      <w:rFonts w:asciiTheme="majorHAnsi" w:eastAsiaTheme="minorEastAsia" w:hAnsiTheme="majorHAnsi"/>
      <w:sz w:val="40"/>
    </w:rPr>
  </w:style>
  <w:style w:type="paragraph" w:styleId="TOCHeading">
    <w:name w:val="TOC Heading"/>
    <w:basedOn w:val="Normal"/>
    <w:next w:val="Normal"/>
    <w:uiPriority w:val="39"/>
    <w:semiHidden/>
    <w:rsid w:val="00F04436"/>
    <w:pPr>
      <w:keepNext/>
      <w:spacing w:before="360" w:after="240" w:line="173" w:lineRule="auto"/>
    </w:pPr>
    <w:rPr>
      <w:rFonts w:asciiTheme="majorHAnsi" w:hAnsiTheme="majorHAnsi"/>
      <w:kern w:val="44"/>
      <w:sz w:val="44"/>
    </w:rPr>
  </w:style>
  <w:style w:type="paragraph" w:styleId="TOC4">
    <w:name w:val="toc 4"/>
    <w:basedOn w:val="TOC1"/>
    <w:next w:val="Normal"/>
    <w:uiPriority w:val="39"/>
    <w:semiHidden/>
    <w:rsid w:val="000129BA"/>
    <w:pPr>
      <w:tabs>
        <w:tab w:val="left" w:pos="851"/>
      </w:tabs>
      <w:ind w:left="851" w:hanging="851"/>
    </w:pPr>
  </w:style>
  <w:style w:type="paragraph" w:styleId="TOC5">
    <w:name w:val="toc 5"/>
    <w:basedOn w:val="TOC2"/>
    <w:next w:val="Normal"/>
    <w:uiPriority w:val="39"/>
    <w:semiHidden/>
    <w:rsid w:val="000129BA"/>
    <w:pPr>
      <w:tabs>
        <w:tab w:val="left" w:pos="851"/>
      </w:tabs>
      <w:ind w:left="851" w:hanging="851"/>
    </w:pPr>
  </w:style>
  <w:style w:type="paragraph" w:styleId="TOC1">
    <w:name w:val="toc 1"/>
    <w:basedOn w:val="Normal"/>
    <w:next w:val="Normal"/>
    <w:uiPriority w:val="39"/>
    <w:semiHidden/>
    <w:rsid w:val="00903BE3"/>
    <w:pPr>
      <w:pBdr>
        <w:top w:val="single" w:sz="4" w:space="4" w:color="auto"/>
        <w:between w:val="single" w:sz="4" w:space="4" w:color="auto"/>
      </w:pBdr>
      <w:tabs>
        <w:tab w:val="right" w:pos="9639"/>
      </w:tabs>
      <w:spacing w:before="200" w:after="120"/>
    </w:pPr>
    <w:rPr>
      <w:rFonts w:ascii="Minderoo-Medium" w:hAnsi="Minderoo-Medium"/>
    </w:rPr>
  </w:style>
  <w:style w:type="paragraph" w:styleId="TOC6">
    <w:name w:val="toc 6"/>
    <w:basedOn w:val="TOC3"/>
    <w:next w:val="Normal"/>
    <w:uiPriority w:val="39"/>
    <w:semiHidden/>
    <w:rsid w:val="000129BA"/>
    <w:pPr>
      <w:tabs>
        <w:tab w:val="left" w:pos="851"/>
      </w:tabs>
      <w:ind w:left="851" w:hanging="851"/>
    </w:pPr>
  </w:style>
  <w:style w:type="paragraph" w:styleId="Quote">
    <w:name w:val="Quote"/>
    <w:basedOn w:val="BodyText"/>
    <w:next w:val="Normal"/>
    <w:link w:val="QuoteChar"/>
    <w:uiPriority w:val="8"/>
    <w:rsid w:val="0046639B"/>
    <w:pPr>
      <w:spacing w:before="240" w:after="240"/>
      <w:ind w:left="567" w:right="567"/>
    </w:pPr>
    <w:rPr>
      <w:i/>
      <w:iCs/>
      <w:color w:val="FF4F00" w:themeColor="accent1"/>
    </w:rPr>
  </w:style>
  <w:style w:type="paragraph" w:styleId="TOC2">
    <w:name w:val="toc 2"/>
    <w:basedOn w:val="Normal"/>
    <w:next w:val="Normal"/>
    <w:uiPriority w:val="39"/>
    <w:semiHidden/>
    <w:rsid w:val="004118E4"/>
    <w:pPr>
      <w:tabs>
        <w:tab w:val="right" w:pos="9639"/>
      </w:tabs>
      <w:spacing w:before="60" w:after="60"/>
    </w:pPr>
  </w:style>
  <w:style w:type="paragraph" w:styleId="TOC3">
    <w:name w:val="toc 3"/>
    <w:basedOn w:val="Normal"/>
    <w:next w:val="Normal"/>
    <w:uiPriority w:val="39"/>
    <w:semiHidden/>
    <w:rsid w:val="000129BA"/>
    <w:pPr>
      <w:tabs>
        <w:tab w:val="right" w:leader="dot" w:pos="9639"/>
      </w:tabs>
      <w:spacing w:before="20" w:after="20"/>
    </w:pPr>
    <w:rPr>
      <w:sz w:val="20"/>
    </w:rPr>
  </w:style>
  <w:style w:type="character" w:customStyle="1" w:styleId="QuoteChar">
    <w:name w:val="Quote Char"/>
    <w:basedOn w:val="DefaultParagraphFont"/>
    <w:link w:val="Quote"/>
    <w:uiPriority w:val="8"/>
    <w:rsid w:val="0046639B"/>
    <w:rPr>
      <w:i/>
      <w:iCs/>
      <w:color w:val="FF4F00" w:themeColor="accent1"/>
    </w:rPr>
  </w:style>
  <w:style w:type="paragraph" w:styleId="Footer">
    <w:name w:val="footer"/>
    <w:basedOn w:val="Normal"/>
    <w:link w:val="FooterChar"/>
    <w:uiPriority w:val="99"/>
    <w:rsid w:val="00803D69"/>
    <w:pPr>
      <w:pBdr>
        <w:top w:val="single" w:sz="4" w:space="4" w:color="auto"/>
      </w:pBdr>
      <w:jc w:val="center"/>
    </w:pPr>
    <w:rPr>
      <w:caps/>
      <w:sz w:val="18"/>
    </w:rPr>
  </w:style>
  <w:style w:type="character" w:customStyle="1" w:styleId="FooterChar">
    <w:name w:val="Footer Char"/>
    <w:basedOn w:val="DefaultParagraphFont"/>
    <w:link w:val="Footer"/>
    <w:uiPriority w:val="99"/>
    <w:rsid w:val="00803D69"/>
    <w:rPr>
      <w:caps/>
      <w:sz w:val="18"/>
    </w:rPr>
  </w:style>
  <w:style w:type="paragraph" w:styleId="Header">
    <w:name w:val="header"/>
    <w:basedOn w:val="Normal"/>
    <w:link w:val="HeaderChar"/>
    <w:uiPriority w:val="99"/>
    <w:rsid w:val="00803D69"/>
    <w:pPr>
      <w:pBdr>
        <w:bottom w:val="single" w:sz="4" w:space="4" w:color="auto"/>
      </w:pBdr>
      <w:jc w:val="center"/>
    </w:pPr>
    <w:rPr>
      <w:sz w:val="18"/>
    </w:rPr>
  </w:style>
  <w:style w:type="character" w:customStyle="1" w:styleId="HeaderChar">
    <w:name w:val="Header Char"/>
    <w:basedOn w:val="DefaultParagraphFont"/>
    <w:link w:val="Header"/>
    <w:uiPriority w:val="99"/>
    <w:rsid w:val="00803D69"/>
    <w:rPr>
      <w:sz w:val="18"/>
    </w:rPr>
  </w:style>
  <w:style w:type="table" w:styleId="TableGrid">
    <w:name w:val="Table Grid"/>
    <w:aliases w:val="Table No Border"/>
    <w:basedOn w:val="TableNormal"/>
    <w:uiPriority w:val="59"/>
    <w:rsid w:val="000129BA"/>
    <w:pPr>
      <w:spacing w:after="0" w:line="240" w:lineRule="auto"/>
    </w:pPr>
    <w:tblPr>
      <w:tblCellMar>
        <w:left w:w="0" w:type="dxa"/>
        <w:right w:w="0" w:type="dxa"/>
      </w:tblCellMar>
    </w:tblPr>
  </w:style>
  <w:style w:type="paragraph" w:customStyle="1" w:styleId="TableText">
    <w:name w:val="Table Text"/>
    <w:basedOn w:val="Normal"/>
    <w:uiPriority w:val="3"/>
    <w:qFormat/>
    <w:rsid w:val="000129BA"/>
    <w:pPr>
      <w:spacing w:before="60" w:after="60"/>
      <w:ind w:left="113" w:right="113"/>
    </w:pPr>
  </w:style>
  <w:style w:type="paragraph" w:customStyle="1" w:styleId="TableHeading">
    <w:name w:val="Table Heading"/>
    <w:basedOn w:val="TableText"/>
    <w:uiPriority w:val="3"/>
    <w:qFormat/>
    <w:rsid w:val="00E82DF9"/>
    <w:rPr>
      <w:rFonts w:ascii="Minderoo-Medium" w:hAnsi="Minderoo-Medium"/>
    </w:rPr>
  </w:style>
  <w:style w:type="paragraph" w:customStyle="1" w:styleId="TableBullet">
    <w:name w:val="Table Bullet"/>
    <w:basedOn w:val="TableText"/>
    <w:uiPriority w:val="4"/>
    <w:qFormat/>
    <w:rsid w:val="000129BA"/>
    <w:pPr>
      <w:numPr>
        <w:numId w:val="12"/>
      </w:numPr>
    </w:pPr>
  </w:style>
  <w:style w:type="paragraph" w:customStyle="1" w:styleId="TableBullet2">
    <w:name w:val="Table Bullet 2"/>
    <w:basedOn w:val="TableBullet"/>
    <w:uiPriority w:val="19"/>
    <w:rsid w:val="000129BA"/>
    <w:pPr>
      <w:numPr>
        <w:ilvl w:val="1"/>
      </w:numPr>
    </w:pPr>
  </w:style>
  <w:style w:type="paragraph" w:customStyle="1" w:styleId="TableNumber">
    <w:name w:val="Table Number"/>
    <w:basedOn w:val="TableText"/>
    <w:uiPriority w:val="4"/>
    <w:qFormat/>
    <w:rsid w:val="000129BA"/>
    <w:pPr>
      <w:numPr>
        <w:numId w:val="13"/>
      </w:numPr>
    </w:pPr>
  </w:style>
  <w:style w:type="paragraph" w:customStyle="1" w:styleId="TableNumber2">
    <w:name w:val="Table Number 2"/>
    <w:basedOn w:val="TableNumber"/>
    <w:uiPriority w:val="19"/>
    <w:rsid w:val="000129BA"/>
    <w:pPr>
      <w:numPr>
        <w:ilvl w:val="1"/>
      </w:numPr>
    </w:pPr>
  </w:style>
  <w:style w:type="numbering" w:customStyle="1" w:styleId="ListTableBullet">
    <w:name w:val="List_TableBullet"/>
    <w:uiPriority w:val="99"/>
    <w:rsid w:val="000129BA"/>
    <w:pPr>
      <w:numPr>
        <w:numId w:val="9"/>
      </w:numPr>
    </w:pPr>
  </w:style>
  <w:style w:type="numbering" w:customStyle="1" w:styleId="ListTableNumber">
    <w:name w:val="List_TableNumber"/>
    <w:uiPriority w:val="99"/>
    <w:rsid w:val="000129BA"/>
    <w:pPr>
      <w:numPr>
        <w:numId w:val="10"/>
      </w:numPr>
    </w:pPr>
  </w:style>
  <w:style w:type="paragraph" w:customStyle="1" w:styleId="AppendixH2">
    <w:name w:val="Appendix H2"/>
    <w:basedOn w:val="Heading2"/>
    <w:next w:val="BodyText"/>
    <w:uiPriority w:val="14"/>
    <w:semiHidden/>
    <w:qFormat/>
    <w:rsid w:val="001C5154"/>
    <w:pPr>
      <w:numPr>
        <w:ilvl w:val="1"/>
        <w:numId w:val="22"/>
      </w:numPr>
    </w:pPr>
  </w:style>
  <w:style w:type="paragraph" w:customStyle="1" w:styleId="AppendixH3">
    <w:name w:val="Appendix H3"/>
    <w:basedOn w:val="Heading3"/>
    <w:next w:val="BodyText"/>
    <w:uiPriority w:val="14"/>
    <w:semiHidden/>
    <w:qFormat/>
    <w:rsid w:val="001C5154"/>
    <w:pPr>
      <w:numPr>
        <w:ilvl w:val="2"/>
        <w:numId w:val="22"/>
      </w:numPr>
    </w:pPr>
  </w:style>
  <w:style w:type="numbering" w:customStyle="1" w:styleId="ListAppendix">
    <w:name w:val="List_Appendix"/>
    <w:uiPriority w:val="99"/>
    <w:rsid w:val="001C5154"/>
    <w:pPr>
      <w:numPr>
        <w:numId w:val="4"/>
      </w:numPr>
    </w:pPr>
  </w:style>
  <w:style w:type="paragraph" w:styleId="TOC8">
    <w:name w:val="toc 8"/>
    <w:basedOn w:val="TOC2"/>
    <w:next w:val="Normal"/>
    <w:uiPriority w:val="39"/>
    <w:semiHidden/>
    <w:rsid w:val="000129BA"/>
    <w:pPr>
      <w:tabs>
        <w:tab w:val="left" w:pos="1701"/>
      </w:tabs>
    </w:pPr>
  </w:style>
  <w:style w:type="paragraph" w:styleId="TableofFigures">
    <w:name w:val="table of figures"/>
    <w:basedOn w:val="Normal"/>
    <w:next w:val="Normal"/>
    <w:uiPriority w:val="99"/>
    <w:semiHidden/>
    <w:rsid w:val="000129BA"/>
    <w:pPr>
      <w:tabs>
        <w:tab w:val="left" w:pos="1134"/>
        <w:tab w:val="right" w:leader="dot" w:pos="9628"/>
      </w:tabs>
      <w:spacing w:before="60" w:after="60"/>
      <w:ind w:left="1134" w:hanging="1134"/>
    </w:pPr>
  </w:style>
  <w:style w:type="character" w:styleId="Hyperlink">
    <w:name w:val="Hyperlink"/>
    <w:basedOn w:val="DefaultParagraphFont"/>
    <w:uiPriority w:val="15"/>
    <w:rsid w:val="003F72BE"/>
    <w:rPr>
      <w:color w:val="4F83B3" w:themeColor="accent4"/>
      <w:u w:val="none"/>
    </w:rPr>
  </w:style>
  <w:style w:type="character" w:customStyle="1" w:styleId="Heading9Char">
    <w:name w:val="Heading 9 Char"/>
    <w:aliases w:val="Appendix H1 Char"/>
    <w:basedOn w:val="DefaultParagraphFont"/>
    <w:link w:val="Heading9"/>
    <w:uiPriority w:val="12"/>
    <w:semiHidden/>
    <w:rsid w:val="003407C1"/>
    <w:rPr>
      <w:rFonts w:asciiTheme="majorHAnsi" w:hAnsiTheme="majorHAnsi"/>
      <w:iCs/>
      <w:kern w:val="44"/>
      <w:sz w:val="44"/>
      <w:szCs w:val="21"/>
    </w:rPr>
  </w:style>
  <w:style w:type="paragraph" w:styleId="FootnoteText">
    <w:name w:val="footnote text"/>
    <w:basedOn w:val="Normal"/>
    <w:link w:val="FootnoteTextChar"/>
    <w:uiPriority w:val="99"/>
    <w:rsid w:val="000129BA"/>
    <w:rPr>
      <w:sz w:val="16"/>
      <w:szCs w:val="20"/>
    </w:rPr>
  </w:style>
  <w:style w:type="character" w:customStyle="1" w:styleId="FootnoteTextChar">
    <w:name w:val="Footnote Text Char"/>
    <w:basedOn w:val="DefaultParagraphFont"/>
    <w:link w:val="FootnoteText"/>
    <w:uiPriority w:val="99"/>
    <w:rsid w:val="000129BA"/>
    <w:rPr>
      <w:sz w:val="16"/>
      <w:szCs w:val="20"/>
    </w:rPr>
  </w:style>
  <w:style w:type="character" w:styleId="FootnoteReference">
    <w:name w:val="footnote reference"/>
    <w:basedOn w:val="DefaultParagraphFont"/>
    <w:uiPriority w:val="99"/>
    <w:rsid w:val="000129BA"/>
    <w:rPr>
      <w:vertAlign w:val="superscript"/>
    </w:rPr>
  </w:style>
  <w:style w:type="character" w:styleId="FollowedHyperlink">
    <w:name w:val="FollowedHyperlink"/>
    <w:basedOn w:val="DefaultParagraphFont"/>
    <w:uiPriority w:val="15"/>
    <w:rsid w:val="003F72BE"/>
    <w:rPr>
      <w:color w:val="4F83B3" w:themeColor="accent4"/>
      <w:u w:val="none"/>
    </w:rPr>
  </w:style>
  <w:style w:type="character" w:styleId="UnresolvedMention">
    <w:name w:val="Unresolved Mention"/>
    <w:basedOn w:val="DefaultParagraphFont"/>
    <w:uiPriority w:val="99"/>
    <w:semiHidden/>
    <w:unhideWhenUsed/>
    <w:rsid w:val="003A0096"/>
    <w:rPr>
      <w:color w:val="605E5C"/>
      <w:shd w:val="clear" w:color="auto" w:fill="E1DFDD"/>
    </w:rPr>
  </w:style>
  <w:style w:type="table" w:customStyle="1" w:styleId="OrangeTable">
    <w:name w:val="Orange Table"/>
    <w:basedOn w:val="TableNormal"/>
    <w:uiPriority w:val="99"/>
    <w:rsid w:val="00E82DF9"/>
    <w:pPr>
      <w:spacing w:after="0" w:line="240" w:lineRule="auto"/>
    </w:pPr>
    <w:tblPr>
      <w:tblStyleRowBandSize w:val="1"/>
      <w:tblStyleColBandSize w:val="1"/>
      <w:tblBorders>
        <w:top w:val="single" w:sz="4" w:space="0" w:color="FF4F00" w:themeColor="accent1"/>
        <w:bottom w:val="single" w:sz="4" w:space="0" w:color="FF4F00" w:themeColor="accent1"/>
        <w:insideH w:val="single" w:sz="4" w:space="0" w:color="FF4F00" w:themeColor="accent1"/>
        <w:insideV w:val="single" w:sz="4" w:space="0" w:color="FF4F00" w:themeColor="accent1"/>
      </w:tblBorders>
      <w:tblCellMar>
        <w:left w:w="0" w:type="dxa"/>
        <w:right w:w="0" w:type="dxa"/>
      </w:tblCellMar>
    </w:tblPr>
    <w:tblStylePr w:type="firstRow">
      <w:rPr>
        <w:color w:val="000000" w:themeColor="text1"/>
      </w:rPr>
      <w:tblPr/>
      <w:tcPr>
        <w:tcBorders>
          <w:top w:val="nil"/>
          <w:left w:val="nil"/>
          <w:bottom w:val="nil"/>
          <w:right w:val="nil"/>
          <w:insideH w:val="nil"/>
          <w:insideV w:val="single" w:sz="4" w:space="0" w:color="FFFFFF" w:themeColor="background1"/>
          <w:tl2br w:val="nil"/>
          <w:tr2bl w:val="nil"/>
        </w:tcBorders>
        <w:shd w:val="clear" w:color="auto" w:fill="FF4F00" w:themeFill="accent1"/>
      </w:tcPr>
    </w:tblStylePr>
    <w:tblStylePr w:type="lastRow">
      <w:tblPr/>
      <w:tcPr>
        <w:shd w:val="clear" w:color="auto" w:fill="FFF6F3"/>
      </w:tcPr>
    </w:tblStylePr>
    <w:tblStylePr w:type="firstCol">
      <w:rPr>
        <w:color w:val="000000" w:themeColor="text1"/>
      </w:rPr>
      <w:tblPr/>
      <w:tcPr>
        <w:tcBorders>
          <w:insideH w:val="single" w:sz="4" w:space="0" w:color="FFFFFF" w:themeColor="background1"/>
        </w:tcBorders>
        <w:shd w:val="clear" w:color="auto" w:fill="FF4F00" w:themeFill="accent1"/>
      </w:tcPr>
    </w:tblStylePr>
    <w:tblStylePr w:type="lastCol">
      <w:tblPr/>
      <w:tcPr>
        <w:shd w:val="clear" w:color="auto" w:fill="FFF6F3"/>
      </w:tcPr>
    </w:tblStylePr>
    <w:tblStylePr w:type="band2Vert">
      <w:tblPr/>
      <w:tcPr>
        <w:shd w:val="clear" w:color="auto" w:fill="FFF6F3"/>
      </w:tcPr>
    </w:tblStylePr>
    <w:tblStylePr w:type="band2Horz">
      <w:tblPr/>
      <w:tcPr>
        <w:shd w:val="clear" w:color="auto" w:fill="FFF6F3"/>
      </w:tcPr>
    </w:tblStylePr>
  </w:style>
  <w:style w:type="table" w:customStyle="1" w:styleId="YellowTable">
    <w:name w:val="Yellow Table"/>
    <w:basedOn w:val="TableNormal"/>
    <w:uiPriority w:val="99"/>
    <w:rsid w:val="00E82DF9"/>
    <w:pPr>
      <w:spacing w:after="0" w:line="240" w:lineRule="auto"/>
    </w:pPr>
    <w:tblPr>
      <w:tblStyleRowBandSize w:val="1"/>
      <w:tblStyleColBandSize w:val="1"/>
      <w:tblBorders>
        <w:top w:val="single" w:sz="4" w:space="0" w:color="FFCD00" w:themeColor="accent2"/>
        <w:bottom w:val="single" w:sz="4" w:space="0" w:color="FFCD00" w:themeColor="accent2"/>
        <w:insideH w:val="single" w:sz="4" w:space="0" w:color="FFCD00" w:themeColor="accent2"/>
        <w:insideV w:val="single" w:sz="4" w:space="0" w:color="FFCD00" w:themeColor="accent2"/>
      </w:tblBorders>
      <w:tblCellMar>
        <w:left w:w="0" w:type="dxa"/>
        <w:right w:w="0" w:type="dxa"/>
      </w:tblCellMar>
    </w:tblPr>
    <w:tblStylePr w:type="firstRow">
      <w:rPr>
        <w:color w:val="auto"/>
      </w:rPr>
      <w:tblPr/>
      <w:tcPr>
        <w:tcBorders>
          <w:top w:val="nil"/>
          <w:left w:val="nil"/>
          <w:bottom w:val="nil"/>
          <w:right w:val="nil"/>
          <w:insideH w:val="nil"/>
          <w:insideV w:val="single" w:sz="4" w:space="0" w:color="FFFFFF" w:themeColor="background1"/>
          <w:tl2br w:val="nil"/>
          <w:tr2bl w:val="nil"/>
        </w:tcBorders>
        <w:shd w:val="clear" w:color="auto" w:fill="FFCD00" w:themeFill="accent2"/>
      </w:tcPr>
    </w:tblStylePr>
    <w:tblStylePr w:type="lastRow">
      <w:tblPr/>
      <w:tcPr>
        <w:shd w:val="clear" w:color="auto" w:fill="FFFAE7"/>
      </w:tcPr>
    </w:tblStylePr>
    <w:tblStylePr w:type="firstCol">
      <w:rPr>
        <w:color w:val="auto"/>
      </w:rPr>
      <w:tblPr/>
      <w:tcPr>
        <w:tcBorders>
          <w:insideH w:val="single" w:sz="4" w:space="0" w:color="FFFFFF" w:themeColor="background1"/>
        </w:tcBorders>
        <w:shd w:val="clear" w:color="auto" w:fill="FFCD00" w:themeFill="accent2"/>
      </w:tcPr>
    </w:tblStylePr>
    <w:tblStylePr w:type="lastCol">
      <w:tblPr/>
      <w:tcPr>
        <w:shd w:val="clear" w:color="auto" w:fill="FFFAE7"/>
      </w:tcPr>
    </w:tblStylePr>
    <w:tblStylePr w:type="band2Vert">
      <w:tblPr/>
      <w:tcPr>
        <w:shd w:val="clear" w:color="auto" w:fill="FFFAE7"/>
      </w:tcPr>
    </w:tblStylePr>
    <w:tblStylePr w:type="band2Horz">
      <w:tblPr/>
      <w:tcPr>
        <w:shd w:val="clear" w:color="auto" w:fill="FFFAE7"/>
      </w:tcPr>
    </w:tblStylePr>
  </w:style>
  <w:style w:type="table" w:customStyle="1" w:styleId="NeutralTable">
    <w:name w:val="Neutral Table"/>
    <w:basedOn w:val="TableNormal"/>
    <w:uiPriority w:val="99"/>
    <w:rsid w:val="00E82DF9"/>
    <w:pPr>
      <w:spacing w:after="0" w:line="240" w:lineRule="auto"/>
    </w:pPr>
    <w:tblPr>
      <w:tblStyleRowBandSize w:val="1"/>
      <w:tblStyleColBandSize w:val="1"/>
      <w:tblBorders>
        <w:top w:val="single" w:sz="4" w:space="0" w:color="E9D9C8" w:themeColor="accent5"/>
        <w:bottom w:val="single" w:sz="4" w:space="0" w:color="E9D9C8" w:themeColor="accent5"/>
        <w:insideH w:val="single" w:sz="4" w:space="0" w:color="E9D9C8" w:themeColor="accent5"/>
        <w:insideV w:val="single" w:sz="4" w:space="0" w:color="E9D9C8" w:themeColor="accent5"/>
      </w:tblBorders>
      <w:tblCellMar>
        <w:left w:w="0" w:type="dxa"/>
        <w:right w:w="0" w:type="dxa"/>
      </w:tblCellMar>
    </w:tblPr>
    <w:tblStylePr w:type="firstRow">
      <w:rPr>
        <w:color w:val="auto"/>
      </w:rPr>
      <w:tblPr/>
      <w:tcPr>
        <w:tcBorders>
          <w:insideH w:val="single" w:sz="4" w:space="0" w:color="FFFFFF" w:themeColor="background1"/>
          <w:insideV w:val="single" w:sz="4" w:space="0" w:color="FFFFFF" w:themeColor="background1"/>
        </w:tcBorders>
        <w:shd w:val="clear" w:color="auto" w:fill="E9D9C8" w:themeFill="accent5"/>
      </w:tcPr>
    </w:tblStylePr>
    <w:tblStylePr w:type="lastRow">
      <w:rPr>
        <w:b w:val="0"/>
      </w:rPr>
      <w:tblPr/>
      <w:tcPr>
        <w:shd w:val="clear" w:color="auto" w:fill="F6F0EA"/>
      </w:tcPr>
    </w:tblStylePr>
    <w:tblStylePr w:type="firstCol">
      <w:rPr>
        <w:color w:val="auto"/>
      </w:rPr>
      <w:tblPr/>
      <w:tcPr>
        <w:tcBorders>
          <w:top w:val="nil"/>
          <w:left w:val="nil"/>
          <w:bottom w:val="single" w:sz="4" w:space="0" w:color="E9D9C8" w:themeColor="accent5"/>
          <w:right w:val="nil"/>
          <w:insideH w:val="single" w:sz="4" w:space="0" w:color="FFFFFF" w:themeColor="background1"/>
          <w:insideV w:val="nil"/>
          <w:tl2br w:val="nil"/>
          <w:tr2bl w:val="nil"/>
        </w:tcBorders>
        <w:shd w:val="clear" w:color="auto" w:fill="E9D9C8" w:themeFill="accent5"/>
      </w:tcPr>
    </w:tblStylePr>
    <w:tblStylePr w:type="lastCol">
      <w:rPr>
        <w:b/>
      </w:rPr>
      <w:tblPr/>
      <w:tcPr>
        <w:shd w:val="clear" w:color="auto" w:fill="F6F0EA"/>
      </w:tcPr>
    </w:tblStylePr>
    <w:tblStylePr w:type="band2Vert">
      <w:tblPr/>
      <w:tcPr>
        <w:shd w:val="clear" w:color="auto" w:fill="F6F0EA"/>
      </w:tcPr>
    </w:tblStylePr>
    <w:tblStylePr w:type="band2Horz">
      <w:tblPr/>
      <w:tcPr>
        <w:shd w:val="clear" w:color="auto" w:fill="F6F0EA"/>
      </w:tcPr>
    </w:tblStylePr>
  </w:style>
  <w:style w:type="table" w:styleId="ListTable3">
    <w:name w:val="List Table 3"/>
    <w:basedOn w:val="TableNormal"/>
    <w:uiPriority w:val="48"/>
    <w:rsid w:val="000C2A2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ot">
    <w:name w:val="Dot"/>
    <w:basedOn w:val="BodyText"/>
    <w:uiPriority w:val="12"/>
    <w:qFormat/>
    <w:rsid w:val="00A73555"/>
    <w:pPr>
      <w:spacing w:before="0" w:after="0" w:line="132" w:lineRule="auto"/>
    </w:pPr>
    <w:rPr>
      <w:rFonts w:ascii="Segoe UI" w:hAnsi="Segoe UI" w:cs="Segoe UI"/>
      <w:color w:val="000000" w:themeColor="text1"/>
      <w:sz w:val="56"/>
      <w:szCs w:val="56"/>
    </w:rPr>
  </w:style>
  <w:style w:type="paragraph" w:styleId="NoSpacing">
    <w:name w:val="No Spacing"/>
    <w:uiPriority w:val="1"/>
    <w:semiHidden/>
    <w:qFormat/>
    <w:rsid w:val="003A45F4"/>
    <w:pPr>
      <w:spacing w:after="0" w:line="240" w:lineRule="auto"/>
    </w:pPr>
  </w:style>
  <w:style w:type="character" w:customStyle="1" w:styleId="ListParagraphChar">
    <w:name w:val="List Paragraph Char"/>
    <w:link w:val="ListParagraph0"/>
    <w:uiPriority w:val="2"/>
    <w:locked/>
    <w:rsid w:val="00510B96"/>
  </w:style>
  <w:style w:type="table" w:styleId="GridTable5Dark-Accent2">
    <w:name w:val="Grid Table 5 Dark Accent 2"/>
    <w:basedOn w:val="TableNormal"/>
    <w:uiPriority w:val="50"/>
    <w:rsid w:val="000C2A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5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D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D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D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D00" w:themeFill="accent2"/>
      </w:tcPr>
    </w:tblStylePr>
    <w:tblStylePr w:type="band1Vert">
      <w:tblPr/>
      <w:tcPr>
        <w:shd w:val="clear" w:color="auto" w:fill="FFEB99" w:themeFill="accent2" w:themeFillTint="66"/>
      </w:tcPr>
    </w:tblStylePr>
    <w:tblStylePr w:type="band1Horz">
      <w:tblPr/>
      <w:tcPr>
        <w:shd w:val="clear" w:color="auto" w:fill="FFEB99" w:themeFill="accent2" w:themeFillTint="66"/>
      </w:tcPr>
    </w:tblStylePr>
  </w:style>
  <w:style w:type="table" w:styleId="ListTable1Light-Accent3">
    <w:name w:val="List Table 1 Light Accent 3"/>
    <w:basedOn w:val="TableNormal"/>
    <w:uiPriority w:val="46"/>
    <w:rsid w:val="00DF3989"/>
    <w:pPr>
      <w:spacing w:after="0" w:line="240" w:lineRule="auto"/>
    </w:pPr>
    <w:tblPr>
      <w:tblStyleRowBandSize w:val="1"/>
      <w:tblStyleColBandSize w:val="1"/>
    </w:tblPr>
    <w:tblStylePr w:type="firstRow">
      <w:rPr>
        <w:b/>
        <w:bCs/>
      </w:rPr>
      <w:tblPr/>
      <w:tcPr>
        <w:tcBorders>
          <w:bottom w:val="single" w:sz="4" w:space="0" w:color="666666" w:themeColor="accent3" w:themeTint="99"/>
        </w:tcBorders>
      </w:tcPr>
    </w:tblStylePr>
    <w:tblStylePr w:type="lastRow">
      <w:rPr>
        <w:b/>
        <w:bCs/>
      </w:rPr>
      <w:tblPr/>
      <w:tcPr>
        <w:tcBorders>
          <w:top w:val="single" w:sz="4" w:space="0" w:color="666666" w:themeColor="accent3" w:themeTint="99"/>
        </w:tcBorders>
      </w:tcPr>
    </w:tblStylePr>
    <w:tblStylePr w:type="firstCol">
      <w:rPr>
        <w:b/>
        <w:bCs/>
      </w:rPr>
    </w:tblStylePr>
    <w:tblStylePr w:type="lastCol">
      <w:rPr>
        <w:b/>
        <w:bCs/>
      </w:rPr>
    </w:tblStylePr>
    <w:tblStylePr w:type="band1Vert">
      <w:tblPr/>
      <w:tcPr>
        <w:shd w:val="clear" w:color="auto" w:fill="CCCCCC" w:themeFill="accent3" w:themeFillTint="33"/>
      </w:tcPr>
    </w:tblStylePr>
    <w:tblStylePr w:type="band1Horz">
      <w:tblPr/>
      <w:tcPr>
        <w:shd w:val="clear" w:color="auto" w:fill="CCCCCC" w:themeFill="accent3" w:themeFillTint="33"/>
      </w:tcPr>
    </w:tblStylePr>
  </w:style>
  <w:style w:type="table" w:styleId="GridTable1Light-Accent3">
    <w:name w:val="Grid Table 1 Light Accent 3"/>
    <w:basedOn w:val="TableNormal"/>
    <w:uiPriority w:val="46"/>
    <w:rsid w:val="00DF3989"/>
    <w:pPr>
      <w:spacing w:after="0" w:line="240" w:lineRule="auto"/>
    </w:pPr>
    <w:tblPr>
      <w:tblStyleRowBandSize w:val="1"/>
      <w:tblStyleColBandSize w:val="1"/>
      <w:tblBorders>
        <w:top w:val="single" w:sz="4" w:space="0" w:color="999999" w:themeColor="accent3" w:themeTint="66"/>
        <w:left w:val="single" w:sz="4" w:space="0" w:color="999999" w:themeColor="accent3" w:themeTint="66"/>
        <w:bottom w:val="single" w:sz="4" w:space="0" w:color="999999" w:themeColor="accent3" w:themeTint="66"/>
        <w:right w:val="single" w:sz="4" w:space="0" w:color="999999" w:themeColor="accent3" w:themeTint="66"/>
        <w:insideH w:val="single" w:sz="4" w:space="0" w:color="999999" w:themeColor="accent3" w:themeTint="66"/>
        <w:insideV w:val="single" w:sz="4" w:space="0" w:color="999999" w:themeColor="accent3" w:themeTint="66"/>
      </w:tblBorders>
    </w:tblPr>
    <w:tblStylePr w:type="firstRow">
      <w:rPr>
        <w:b/>
        <w:bCs/>
      </w:rPr>
      <w:tblPr/>
      <w:tcPr>
        <w:tcBorders>
          <w:bottom w:val="single" w:sz="12" w:space="0" w:color="666666" w:themeColor="accent3" w:themeTint="99"/>
        </w:tcBorders>
      </w:tcPr>
    </w:tblStylePr>
    <w:tblStylePr w:type="lastRow">
      <w:rPr>
        <w:b/>
        <w:bCs/>
      </w:rPr>
      <w:tblPr/>
      <w:tcPr>
        <w:tcBorders>
          <w:top w:val="double" w:sz="2" w:space="0" w:color="666666" w:themeColor="accent3" w:themeTint="99"/>
        </w:tcBorders>
      </w:tcPr>
    </w:tblStylePr>
    <w:tblStylePr w:type="firstCol">
      <w:rPr>
        <w:b/>
        <w:bCs/>
      </w:rPr>
    </w:tblStylePr>
    <w:tblStylePr w:type="lastCol">
      <w:rPr>
        <w:b/>
        <w:bCs/>
      </w:rPr>
    </w:tblStylePr>
  </w:style>
  <w:style w:type="table" w:styleId="ListTable5Dark">
    <w:name w:val="List Table 5 Dark"/>
    <w:basedOn w:val="TableNormal"/>
    <w:uiPriority w:val="50"/>
    <w:rsid w:val="0075415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
    <w:name w:val="Grid Table 5 Dark"/>
    <w:basedOn w:val="TableNormal"/>
    <w:uiPriority w:val="50"/>
    <w:rsid w:val="007541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735A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3"/>
      </w:tcPr>
    </w:tblStylePr>
    <w:tblStylePr w:type="band1Vert">
      <w:tblPr/>
      <w:tcPr>
        <w:shd w:val="clear" w:color="auto" w:fill="999999" w:themeFill="accent3" w:themeFillTint="66"/>
      </w:tcPr>
    </w:tblStylePr>
    <w:tblStylePr w:type="band1Horz">
      <w:tblPr/>
      <w:tcPr>
        <w:shd w:val="clear" w:color="auto" w:fill="999999" w:themeFill="accent3" w:themeFillTint="66"/>
      </w:tcPr>
    </w:tblStylePr>
  </w:style>
  <w:style w:type="table" w:customStyle="1" w:styleId="BlackTable">
    <w:name w:val="Black Table"/>
    <w:basedOn w:val="TableNormal"/>
    <w:uiPriority w:val="99"/>
    <w:rsid w:val="00E82DF9"/>
    <w:pPr>
      <w:spacing w:after="0" w:line="240" w:lineRule="auto"/>
    </w:pPr>
    <w:tblPr>
      <w:tblStyleRowBandSize w:val="1"/>
      <w:tblBorders>
        <w:top w:val="single" w:sz="4" w:space="0" w:color="auto"/>
        <w:bottom w:val="single" w:sz="4" w:space="0" w:color="auto"/>
        <w:insideH w:val="single" w:sz="4" w:space="0" w:color="auto"/>
        <w:insideV w:val="single" w:sz="4" w:space="0" w:color="auto"/>
      </w:tblBorders>
      <w:tblCellMar>
        <w:left w:w="0" w:type="dxa"/>
        <w:right w:w="0" w:type="dxa"/>
      </w:tblCellMar>
    </w:tblPr>
    <w:tblStylePr w:type="firstRow">
      <w:rPr>
        <w:color w:val="FFFFFF" w:themeColor="background1"/>
      </w:rPr>
      <w:tblPr/>
      <w:tcPr>
        <w:tcBorders>
          <w:top w:val="nil"/>
          <w:left w:val="nil"/>
          <w:bottom w:val="nil"/>
          <w:right w:val="nil"/>
          <w:insideH w:val="nil"/>
          <w:insideV w:val="single" w:sz="4" w:space="0" w:color="FFFFFF" w:themeColor="background1"/>
          <w:tl2br w:val="nil"/>
          <w:tr2bl w:val="nil"/>
        </w:tcBorders>
        <w:shd w:val="clear" w:color="auto" w:fill="000000" w:themeFill="text1"/>
      </w:tcPr>
    </w:tblStylePr>
    <w:tblStylePr w:type="firstCol">
      <w:tblPr/>
      <w:tcPr>
        <w:tcBorders>
          <w:insideH w:val="single" w:sz="4" w:space="0" w:color="FFFFFF" w:themeColor="background1"/>
        </w:tcBorders>
        <w:shd w:val="clear" w:color="auto" w:fill="000000" w:themeFill="text1"/>
      </w:tcPr>
    </w:tblStylePr>
    <w:tblStylePr w:type="band2Horz">
      <w:tblPr/>
      <w:tcPr>
        <w:shd w:val="clear" w:color="auto" w:fill="F2F2F2" w:themeFill="background1" w:themeFillShade="F2"/>
      </w:tcPr>
    </w:tblStylePr>
  </w:style>
  <w:style w:type="table" w:styleId="GridTable5Dark-Accent5">
    <w:name w:val="Grid Table 5 Dark Accent 5"/>
    <w:basedOn w:val="TableNormal"/>
    <w:uiPriority w:val="50"/>
    <w:rsid w:val="00565C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7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D9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D9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D9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D9C8" w:themeFill="accent5"/>
      </w:tcPr>
    </w:tblStylePr>
    <w:tblStylePr w:type="band1Vert">
      <w:tblPr/>
      <w:tcPr>
        <w:shd w:val="clear" w:color="auto" w:fill="F6EFE8" w:themeFill="accent5" w:themeFillTint="66"/>
      </w:tcPr>
    </w:tblStylePr>
    <w:tblStylePr w:type="band1Horz">
      <w:tblPr/>
      <w:tcPr>
        <w:shd w:val="clear" w:color="auto" w:fill="F6EFE8" w:themeFill="accent5" w:themeFillTint="66"/>
      </w:tcPr>
    </w:tblStylePr>
  </w:style>
  <w:style w:type="table" w:customStyle="1" w:styleId="ResolutionTable">
    <w:name w:val="Resolution Table"/>
    <w:basedOn w:val="TableNormal"/>
    <w:uiPriority w:val="99"/>
    <w:rsid w:val="00AC6B95"/>
    <w:pPr>
      <w:spacing w:after="0" w:line="240" w:lineRule="auto"/>
    </w:pPr>
    <w:tblPr>
      <w:tblCellMar>
        <w:left w:w="0" w:type="dxa"/>
        <w:right w:w="0" w:type="dxa"/>
      </w:tblCellMar>
    </w:tblPr>
    <w:tcPr>
      <w:shd w:val="clear" w:color="auto" w:fill="E9D9C8" w:themeFill="accent5"/>
    </w:tcPr>
  </w:style>
  <w:style w:type="table" w:styleId="GridTable5Dark-Accent4">
    <w:name w:val="Grid Table 5 Dark Accent 4"/>
    <w:basedOn w:val="TableNormal"/>
    <w:uiPriority w:val="50"/>
    <w:rsid w:val="00FF71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6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3B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3B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3B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3B3" w:themeFill="accent4"/>
      </w:tcPr>
    </w:tblStylePr>
    <w:tblStylePr w:type="band1Vert">
      <w:tblPr/>
      <w:tcPr>
        <w:shd w:val="clear" w:color="auto" w:fill="B8CDE0" w:themeFill="accent4" w:themeFillTint="66"/>
      </w:tcPr>
    </w:tblStylePr>
    <w:tblStylePr w:type="band1Horz">
      <w:tblPr/>
      <w:tcPr>
        <w:shd w:val="clear" w:color="auto" w:fill="B8CDE0" w:themeFill="accent4" w:themeFillTint="66"/>
      </w:tcPr>
    </w:tblStylePr>
  </w:style>
  <w:style w:type="character" w:customStyle="1" w:styleId="Bold">
    <w:name w:val="Bold"/>
    <w:basedOn w:val="DefaultParagraphFont"/>
    <w:qFormat/>
    <w:rsid w:val="00CE480C"/>
    <w:rPr>
      <w:rFonts w:ascii="Minderoo-Medium" w:hAnsi="Minderoo-Medium"/>
    </w:rPr>
  </w:style>
  <w:style w:type="table" w:customStyle="1" w:styleId="BlueTable">
    <w:name w:val="Blue Table"/>
    <w:basedOn w:val="TableNormal"/>
    <w:uiPriority w:val="99"/>
    <w:rsid w:val="00E82DF9"/>
    <w:pPr>
      <w:spacing w:after="0" w:line="240" w:lineRule="auto"/>
    </w:pPr>
    <w:tblPr>
      <w:tblStyleRowBandSize w:val="1"/>
      <w:tblStyleColBandSize w:val="1"/>
      <w:tblBorders>
        <w:top w:val="single" w:sz="4" w:space="0" w:color="4F83B3" w:themeColor="accent4"/>
        <w:bottom w:val="single" w:sz="4" w:space="0" w:color="4F83B3" w:themeColor="accent4"/>
        <w:insideH w:val="single" w:sz="4" w:space="0" w:color="4F83B3" w:themeColor="accent4"/>
        <w:insideV w:val="single" w:sz="4" w:space="0" w:color="4F83B3" w:themeColor="accent4"/>
      </w:tblBorders>
      <w:tblCellMar>
        <w:left w:w="0" w:type="dxa"/>
        <w:right w:w="0" w:type="dxa"/>
      </w:tblCellMar>
    </w:tblPr>
    <w:tblStylePr w:type="firstRow">
      <w:rPr>
        <w:color w:val="000000" w:themeColor="text1"/>
      </w:rPr>
      <w:tblPr/>
      <w:tcPr>
        <w:tcBorders>
          <w:top w:val="nil"/>
          <w:left w:val="nil"/>
          <w:bottom w:val="nil"/>
          <w:right w:val="nil"/>
          <w:insideH w:val="nil"/>
          <w:insideV w:val="single" w:sz="4" w:space="0" w:color="FFFFFF" w:themeColor="background1"/>
          <w:tl2br w:val="nil"/>
          <w:tr2bl w:val="nil"/>
        </w:tcBorders>
        <w:shd w:val="clear" w:color="auto" w:fill="4F83B3" w:themeFill="accent4"/>
      </w:tcPr>
    </w:tblStylePr>
    <w:tblStylePr w:type="lastRow">
      <w:tblPr/>
      <w:tcPr>
        <w:shd w:val="clear" w:color="auto" w:fill="EEF3F8"/>
      </w:tcPr>
    </w:tblStylePr>
    <w:tblStylePr w:type="firstCol">
      <w:rPr>
        <w:color w:val="000000" w:themeColor="text1"/>
      </w:rPr>
      <w:tblPr/>
      <w:tcPr>
        <w:tcBorders>
          <w:insideH w:val="single" w:sz="4" w:space="0" w:color="FFFFFF" w:themeColor="background1"/>
        </w:tcBorders>
        <w:shd w:val="clear" w:color="auto" w:fill="4F83B3" w:themeFill="accent4"/>
      </w:tcPr>
    </w:tblStylePr>
    <w:tblStylePr w:type="lastCol">
      <w:tblPr/>
      <w:tcPr>
        <w:shd w:val="clear" w:color="auto" w:fill="EEF3F8"/>
      </w:tcPr>
    </w:tblStylePr>
    <w:tblStylePr w:type="band2Vert">
      <w:tblPr/>
      <w:tcPr>
        <w:shd w:val="clear" w:color="auto" w:fill="EEF3F8"/>
      </w:tcPr>
    </w:tblStylePr>
    <w:tblStylePr w:type="band2Horz">
      <w:tblPr/>
      <w:tcPr>
        <w:shd w:val="clear" w:color="auto" w:fill="EEF3F8"/>
      </w:tcPr>
    </w:tblStylePr>
  </w:style>
  <w:style w:type="table" w:customStyle="1" w:styleId="WalkFreeTable">
    <w:name w:val="Walk Free Table"/>
    <w:basedOn w:val="TableNormal"/>
    <w:uiPriority w:val="99"/>
    <w:rsid w:val="00E82DF9"/>
    <w:pPr>
      <w:spacing w:after="0" w:line="240" w:lineRule="auto"/>
    </w:pPr>
    <w:tblPr>
      <w:tblStyleRowBandSize w:val="1"/>
      <w:tblStyleColBandSize w:val="1"/>
      <w:tblBorders>
        <w:top w:val="single" w:sz="4" w:space="0" w:color="8DC09F" w:themeColor="text2"/>
        <w:bottom w:val="single" w:sz="4" w:space="0" w:color="8DC09F" w:themeColor="text2"/>
        <w:insideH w:val="single" w:sz="4" w:space="0" w:color="8DC09F" w:themeColor="text2"/>
        <w:insideV w:val="single" w:sz="4" w:space="0" w:color="8DC09F" w:themeColor="text2"/>
      </w:tblBorders>
      <w:tblCellMar>
        <w:left w:w="0" w:type="dxa"/>
        <w:right w:w="0" w:type="dxa"/>
      </w:tblCellMar>
    </w:tblPr>
    <w:tcPr>
      <w:shd w:val="clear" w:color="auto" w:fill="auto"/>
    </w:tcPr>
    <w:tblStylePr w:type="firstRow">
      <w:rPr>
        <w:color w:val="000000" w:themeColor="text1"/>
      </w:rPr>
      <w:tblPr/>
      <w:tcPr>
        <w:tcBorders>
          <w:top w:val="nil"/>
          <w:left w:val="nil"/>
          <w:bottom w:val="nil"/>
          <w:right w:val="nil"/>
          <w:insideH w:val="nil"/>
          <w:insideV w:val="single" w:sz="4" w:space="0" w:color="FFFFFF" w:themeColor="background1"/>
          <w:tl2br w:val="nil"/>
          <w:tr2bl w:val="nil"/>
        </w:tcBorders>
        <w:shd w:val="clear" w:color="auto" w:fill="8DC09F" w:themeFill="text2"/>
      </w:tcPr>
    </w:tblStylePr>
    <w:tblStylePr w:type="lastRow">
      <w:tblPr/>
      <w:tcPr>
        <w:shd w:val="clear" w:color="auto" w:fill="E8F2EB" w:themeFill="text2" w:themeFillTint="33"/>
      </w:tcPr>
    </w:tblStylePr>
    <w:tblStylePr w:type="firstCol">
      <w:rPr>
        <w:color w:val="000000" w:themeColor="text1"/>
      </w:rPr>
      <w:tblPr/>
      <w:tcPr>
        <w:tcBorders>
          <w:insideH w:val="single" w:sz="4" w:space="0" w:color="FFFFFF" w:themeColor="background1"/>
        </w:tcBorders>
        <w:shd w:val="clear" w:color="auto" w:fill="8DC09F" w:themeFill="text2"/>
      </w:tcPr>
    </w:tblStylePr>
    <w:tblStylePr w:type="lastCol">
      <w:tblPr/>
      <w:tcPr>
        <w:shd w:val="clear" w:color="auto" w:fill="E8F2EB" w:themeFill="text2" w:themeFillTint="33"/>
      </w:tcPr>
    </w:tblStylePr>
    <w:tblStylePr w:type="band2Vert">
      <w:tblPr/>
      <w:tcPr>
        <w:shd w:val="clear" w:color="auto" w:fill="E8F2EB" w:themeFill="text2" w:themeFillTint="33"/>
      </w:tcPr>
    </w:tblStylePr>
    <w:tblStylePr w:type="band2Horz">
      <w:tblPr/>
      <w:tcPr>
        <w:shd w:val="clear" w:color="auto" w:fill="E8F2EB" w:themeFill="text2" w:themeFillTint="33"/>
      </w:tcPr>
    </w:tblStylePr>
  </w:style>
  <w:style w:type="table" w:customStyle="1" w:styleId="GenerationOneTable">
    <w:name w:val="Generation One Table"/>
    <w:basedOn w:val="TableNormal"/>
    <w:uiPriority w:val="99"/>
    <w:rsid w:val="00E82DF9"/>
    <w:pPr>
      <w:spacing w:after="0" w:line="240" w:lineRule="auto"/>
    </w:pPr>
    <w:tblPr>
      <w:tblStyleRowBandSize w:val="1"/>
      <w:tblStyleColBandSize w:val="1"/>
      <w:tblBorders>
        <w:top w:val="single" w:sz="4" w:space="0" w:color="AD985F" w:themeColor="background2"/>
        <w:bottom w:val="single" w:sz="4" w:space="0" w:color="AD985F" w:themeColor="background2"/>
        <w:insideH w:val="single" w:sz="4" w:space="0" w:color="AD985F" w:themeColor="background2"/>
        <w:insideV w:val="single" w:sz="4" w:space="0" w:color="AD985F" w:themeColor="background2"/>
      </w:tblBorders>
      <w:tblCellMar>
        <w:left w:w="0" w:type="dxa"/>
        <w:right w:w="0" w:type="dxa"/>
      </w:tblCellMar>
    </w:tblPr>
    <w:tblStylePr w:type="firstRow">
      <w:rPr>
        <w:color w:val="000000" w:themeColor="text1"/>
      </w:rPr>
      <w:tblPr/>
      <w:tcPr>
        <w:tcBorders>
          <w:top w:val="nil"/>
          <w:left w:val="nil"/>
          <w:bottom w:val="nil"/>
          <w:right w:val="nil"/>
          <w:insideH w:val="nil"/>
          <w:insideV w:val="single" w:sz="4" w:space="0" w:color="FFFFFF" w:themeColor="background1"/>
          <w:tl2br w:val="nil"/>
          <w:tr2bl w:val="nil"/>
        </w:tcBorders>
        <w:shd w:val="clear" w:color="auto" w:fill="AD985F" w:themeFill="background2"/>
      </w:tcPr>
    </w:tblStylePr>
    <w:tblStylePr w:type="lastRow">
      <w:tblPr/>
      <w:tcPr>
        <w:shd w:val="clear" w:color="auto" w:fill="F6F4EE"/>
      </w:tcPr>
    </w:tblStylePr>
    <w:tblStylePr w:type="firstCol">
      <w:rPr>
        <w:color w:val="000000" w:themeColor="text1"/>
      </w:rPr>
      <w:tblPr/>
      <w:tcPr>
        <w:tcBorders>
          <w:insideH w:val="single" w:sz="4" w:space="0" w:color="FFFFFF" w:themeColor="background1"/>
        </w:tcBorders>
        <w:shd w:val="clear" w:color="auto" w:fill="AD985F" w:themeFill="background2"/>
      </w:tcPr>
    </w:tblStylePr>
    <w:tblStylePr w:type="lastCol">
      <w:tblPr/>
      <w:tcPr>
        <w:shd w:val="clear" w:color="auto" w:fill="F6F4EE"/>
      </w:tcPr>
    </w:tblStylePr>
    <w:tblStylePr w:type="band2Vert">
      <w:tblPr/>
      <w:tcPr>
        <w:shd w:val="clear" w:color="auto" w:fill="F6F4EE"/>
      </w:tcPr>
    </w:tblStylePr>
    <w:tblStylePr w:type="band2Horz">
      <w:tblPr/>
      <w:tcPr>
        <w:shd w:val="clear" w:color="auto" w:fill="F6F4EE"/>
      </w:tcPr>
    </w:tblStylePr>
  </w:style>
  <w:style w:type="table" w:customStyle="1" w:styleId="LinedTable">
    <w:name w:val="Lined Table"/>
    <w:basedOn w:val="TableNormal"/>
    <w:uiPriority w:val="99"/>
    <w:rsid w:val="003F72BE"/>
    <w:pPr>
      <w:spacing w:after="0" w:line="240" w:lineRule="auto"/>
    </w:pPr>
    <w:tblPr>
      <w:tblBorders>
        <w:bottom w:val="single" w:sz="4" w:space="0" w:color="FF4F00" w:themeColor="accent1"/>
        <w:insideH w:val="single" w:sz="4" w:space="0" w:color="FF4F00" w:themeColor="accent1"/>
      </w:tblBorders>
      <w:tblCellMar>
        <w:left w:w="0" w:type="dxa"/>
        <w:bottom w:w="57" w:type="dxa"/>
        <w:right w:w="0" w:type="dxa"/>
      </w:tblCellMar>
    </w:tblPr>
    <w:tblStylePr w:type="firstRow">
      <w:rPr>
        <w:rFonts w:asciiTheme="majorHAnsi" w:hAnsiTheme="majorHAnsi"/>
        <w:caps/>
        <w:smallCaps w:val="0"/>
        <w:strike w:val="0"/>
        <w:dstrike w:val="0"/>
        <w:vanish w:val="0"/>
        <w:sz w:val="36"/>
        <w:vertAlign w:val="baseline"/>
      </w:rPr>
    </w:tblStylePr>
  </w:style>
  <w:style w:type="paragraph" w:customStyle="1" w:styleId="CoverDetails">
    <w:name w:val="Cover Details"/>
    <w:basedOn w:val="Normal"/>
    <w:next w:val="BodyText"/>
    <w:uiPriority w:val="12"/>
    <w:rsid w:val="00A73555"/>
    <w:rPr>
      <w:rFonts w:ascii="Minderoo-Medium" w:hAnsi="Minderoo-Medium"/>
      <w:color w:val="000000" w:themeColor="text1"/>
      <w:sz w:val="28"/>
    </w:rPr>
  </w:style>
  <w:style w:type="paragraph" w:customStyle="1" w:styleId="AgendaNumber">
    <w:name w:val="Agenda Number"/>
    <w:basedOn w:val="ListNumber0"/>
    <w:uiPriority w:val="5"/>
    <w:qFormat/>
    <w:rsid w:val="0091517D"/>
    <w:pPr>
      <w:keepNext/>
      <w:numPr>
        <w:numId w:val="31"/>
      </w:numPr>
      <w:spacing w:before="240"/>
    </w:pPr>
    <w:rPr>
      <w:rFonts w:ascii="Minderoo-Medium" w:hAnsi="Minderoo-Medium"/>
    </w:rPr>
  </w:style>
  <w:style w:type="paragraph" w:customStyle="1" w:styleId="AgendaNumber2">
    <w:name w:val="Agenda Number 2"/>
    <w:basedOn w:val="Normal"/>
    <w:uiPriority w:val="5"/>
    <w:qFormat/>
    <w:rsid w:val="0091517D"/>
    <w:pPr>
      <w:numPr>
        <w:ilvl w:val="1"/>
        <w:numId w:val="31"/>
      </w:numPr>
      <w:spacing w:before="120" w:after="120" w:line="288" w:lineRule="auto"/>
    </w:pPr>
  </w:style>
  <w:style w:type="numbering" w:customStyle="1" w:styleId="ListAgenda">
    <w:name w:val="List_Agenda"/>
    <w:uiPriority w:val="99"/>
    <w:rsid w:val="0091517D"/>
    <w:pPr>
      <w:numPr>
        <w:numId w:val="23"/>
      </w:numPr>
    </w:pPr>
  </w:style>
  <w:style w:type="paragraph" w:customStyle="1" w:styleId="AgendaNumber3">
    <w:name w:val="Agenda Number 3"/>
    <w:basedOn w:val="Normal"/>
    <w:uiPriority w:val="5"/>
    <w:qFormat/>
    <w:rsid w:val="0091517D"/>
    <w:pPr>
      <w:numPr>
        <w:ilvl w:val="2"/>
        <w:numId w:val="31"/>
      </w:numPr>
      <w:spacing w:before="120" w:after="120" w:line="288" w:lineRule="auto"/>
    </w:pPr>
  </w:style>
  <w:style w:type="paragraph" w:styleId="NormalWeb">
    <w:name w:val="Normal (Web)"/>
    <w:basedOn w:val="Normal"/>
    <w:uiPriority w:val="99"/>
    <w:semiHidden/>
    <w:unhideWhenUsed/>
    <w:rsid w:val="00F51E57"/>
    <w:rPr>
      <w:rFonts w:ascii="Times New Roman" w:hAnsi="Times New Roman" w:cs="Times New Roman"/>
      <w:sz w:val="24"/>
      <w:szCs w:val="24"/>
    </w:rPr>
  </w:style>
  <w:style w:type="character" w:customStyle="1" w:styleId="field-wrapper">
    <w:name w:val="field-wrapper"/>
    <w:basedOn w:val="DefaultParagraphFont"/>
    <w:rsid w:val="00F51E57"/>
  </w:style>
  <w:style w:type="character" w:styleId="Emphasis">
    <w:name w:val="Emphasis"/>
    <w:basedOn w:val="DefaultParagraphFont"/>
    <w:uiPriority w:val="20"/>
    <w:qFormat/>
    <w:rsid w:val="00F51E57"/>
    <w:rPr>
      <w:i/>
      <w:iCs/>
    </w:rPr>
  </w:style>
  <w:style w:type="character" w:customStyle="1" w:styleId="person">
    <w:name w:val="person"/>
    <w:basedOn w:val="DefaultParagraphFont"/>
    <w:rsid w:val="00B65564"/>
  </w:style>
  <w:style w:type="character" w:customStyle="1" w:styleId="personname">
    <w:name w:val="person_name"/>
    <w:basedOn w:val="DefaultParagraphFont"/>
    <w:rsid w:val="00B65564"/>
  </w:style>
  <w:style w:type="paragraph" w:styleId="EndnoteText">
    <w:name w:val="endnote text"/>
    <w:basedOn w:val="Normal"/>
    <w:link w:val="EndnoteTextChar"/>
    <w:uiPriority w:val="99"/>
    <w:semiHidden/>
    <w:unhideWhenUsed/>
    <w:rsid w:val="00E25E3D"/>
    <w:rPr>
      <w:sz w:val="20"/>
      <w:szCs w:val="20"/>
    </w:rPr>
  </w:style>
  <w:style w:type="character" w:customStyle="1" w:styleId="EndnoteTextChar">
    <w:name w:val="Endnote Text Char"/>
    <w:basedOn w:val="DefaultParagraphFont"/>
    <w:link w:val="EndnoteText"/>
    <w:uiPriority w:val="99"/>
    <w:semiHidden/>
    <w:rsid w:val="00E25E3D"/>
    <w:rPr>
      <w:sz w:val="20"/>
      <w:szCs w:val="20"/>
    </w:rPr>
  </w:style>
  <w:style w:type="character" w:styleId="EndnoteReference">
    <w:name w:val="endnote reference"/>
    <w:basedOn w:val="DefaultParagraphFont"/>
    <w:uiPriority w:val="99"/>
    <w:semiHidden/>
    <w:unhideWhenUsed/>
    <w:rsid w:val="00E25E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711036">
      <w:bodyDiv w:val="1"/>
      <w:marLeft w:val="0"/>
      <w:marRight w:val="0"/>
      <w:marTop w:val="0"/>
      <w:marBottom w:val="0"/>
      <w:divBdr>
        <w:top w:val="none" w:sz="0" w:space="0" w:color="auto"/>
        <w:left w:val="none" w:sz="0" w:space="0" w:color="auto"/>
        <w:bottom w:val="none" w:sz="0" w:space="0" w:color="auto"/>
        <w:right w:val="none" w:sz="0" w:space="0" w:color="auto"/>
      </w:divBdr>
    </w:div>
    <w:div w:id="786118156">
      <w:bodyDiv w:val="1"/>
      <w:marLeft w:val="0"/>
      <w:marRight w:val="0"/>
      <w:marTop w:val="0"/>
      <w:marBottom w:val="0"/>
      <w:divBdr>
        <w:top w:val="none" w:sz="0" w:space="0" w:color="auto"/>
        <w:left w:val="none" w:sz="0" w:space="0" w:color="auto"/>
        <w:bottom w:val="none" w:sz="0" w:space="0" w:color="auto"/>
        <w:right w:val="none" w:sz="0" w:space="0" w:color="auto"/>
      </w:divBdr>
    </w:div>
    <w:div w:id="860511521">
      <w:bodyDiv w:val="1"/>
      <w:marLeft w:val="0"/>
      <w:marRight w:val="0"/>
      <w:marTop w:val="0"/>
      <w:marBottom w:val="0"/>
      <w:divBdr>
        <w:top w:val="none" w:sz="0" w:space="0" w:color="auto"/>
        <w:left w:val="none" w:sz="0" w:space="0" w:color="auto"/>
        <w:bottom w:val="none" w:sz="0" w:space="0" w:color="auto"/>
        <w:right w:val="none" w:sz="0" w:space="0" w:color="auto"/>
      </w:divBdr>
    </w:div>
    <w:div w:id="914363436">
      <w:bodyDiv w:val="1"/>
      <w:marLeft w:val="0"/>
      <w:marRight w:val="0"/>
      <w:marTop w:val="0"/>
      <w:marBottom w:val="0"/>
      <w:divBdr>
        <w:top w:val="none" w:sz="0" w:space="0" w:color="auto"/>
        <w:left w:val="none" w:sz="0" w:space="0" w:color="auto"/>
        <w:bottom w:val="none" w:sz="0" w:space="0" w:color="auto"/>
        <w:right w:val="none" w:sz="0" w:space="0" w:color="auto"/>
      </w:divBdr>
    </w:div>
    <w:div w:id="923689315">
      <w:bodyDiv w:val="1"/>
      <w:marLeft w:val="0"/>
      <w:marRight w:val="0"/>
      <w:marTop w:val="0"/>
      <w:marBottom w:val="0"/>
      <w:divBdr>
        <w:top w:val="none" w:sz="0" w:space="0" w:color="auto"/>
        <w:left w:val="none" w:sz="0" w:space="0" w:color="auto"/>
        <w:bottom w:val="none" w:sz="0" w:space="0" w:color="auto"/>
        <w:right w:val="none" w:sz="0" w:space="0" w:color="auto"/>
      </w:divBdr>
    </w:div>
    <w:div w:id="1083184178">
      <w:bodyDiv w:val="1"/>
      <w:marLeft w:val="0"/>
      <w:marRight w:val="0"/>
      <w:marTop w:val="0"/>
      <w:marBottom w:val="0"/>
      <w:divBdr>
        <w:top w:val="none" w:sz="0" w:space="0" w:color="auto"/>
        <w:left w:val="none" w:sz="0" w:space="0" w:color="auto"/>
        <w:bottom w:val="none" w:sz="0" w:space="0" w:color="auto"/>
        <w:right w:val="none" w:sz="0" w:space="0" w:color="auto"/>
      </w:divBdr>
    </w:div>
    <w:div w:id="1085805334">
      <w:bodyDiv w:val="1"/>
      <w:marLeft w:val="0"/>
      <w:marRight w:val="0"/>
      <w:marTop w:val="0"/>
      <w:marBottom w:val="0"/>
      <w:divBdr>
        <w:top w:val="none" w:sz="0" w:space="0" w:color="auto"/>
        <w:left w:val="none" w:sz="0" w:space="0" w:color="auto"/>
        <w:bottom w:val="none" w:sz="0" w:space="0" w:color="auto"/>
        <w:right w:val="none" w:sz="0" w:space="0" w:color="auto"/>
      </w:divBdr>
    </w:div>
    <w:div w:id="1271278960">
      <w:bodyDiv w:val="1"/>
      <w:marLeft w:val="0"/>
      <w:marRight w:val="0"/>
      <w:marTop w:val="0"/>
      <w:marBottom w:val="0"/>
      <w:divBdr>
        <w:top w:val="none" w:sz="0" w:space="0" w:color="auto"/>
        <w:left w:val="none" w:sz="0" w:space="0" w:color="auto"/>
        <w:bottom w:val="none" w:sz="0" w:space="0" w:color="auto"/>
        <w:right w:val="none" w:sz="0" w:space="0" w:color="auto"/>
      </w:divBdr>
    </w:div>
    <w:div w:id="1892885549">
      <w:bodyDiv w:val="1"/>
      <w:marLeft w:val="0"/>
      <w:marRight w:val="0"/>
      <w:marTop w:val="0"/>
      <w:marBottom w:val="0"/>
      <w:divBdr>
        <w:top w:val="none" w:sz="0" w:space="0" w:color="auto"/>
        <w:left w:val="none" w:sz="0" w:space="0" w:color="auto"/>
        <w:bottom w:val="none" w:sz="0" w:space="0" w:color="auto"/>
        <w:right w:val="none" w:sz="0" w:space="0" w:color="auto"/>
      </w:divBdr>
    </w:div>
    <w:div w:id="1944652923">
      <w:bodyDiv w:val="1"/>
      <w:marLeft w:val="0"/>
      <w:marRight w:val="0"/>
      <w:marTop w:val="0"/>
      <w:marBottom w:val="0"/>
      <w:divBdr>
        <w:top w:val="none" w:sz="0" w:space="0" w:color="auto"/>
        <w:left w:val="none" w:sz="0" w:space="0" w:color="auto"/>
        <w:bottom w:val="none" w:sz="0" w:space="0" w:color="auto"/>
        <w:right w:val="none" w:sz="0" w:space="0" w:color="auto"/>
      </w:divBdr>
    </w:div>
    <w:div w:id="1994719637">
      <w:bodyDiv w:val="1"/>
      <w:marLeft w:val="0"/>
      <w:marRight w:val="0"/>
      <w:marTop w:val="0"/>
      <w:marBottom w:val="0"/>
      <w:divBdr>
        <w:top w:val="none" w:sz="0" w:space="0" w:color="auto"/>
        <w:left w:val="none" w:sz="0" w:space="0" w:color="auto"/>
        <w:bottom w:val="none" w:sz="0" w:space="0" w:color="auto"/>
        <w:right w:val="none" w:sz="0" w:space="0" w:color="auto"/>
      </w:divBdr>
    </w:div>
    <w:div w:id="2052000814">
      <w:bodyDiv w:val="1"/>
      <w:marLeft w:val="0"/>
      <w:marRight w:val="0"/>
      <w:marTop w:val="0"/>
      <w:marBottom w:val="0"/>
      <w:divBdr>
        <w:top w:val="none" w:sz="0" w:space="0" w:color="auto"/>
        <w:left w:val="none" w:sz="0" w:space="0" w:color="auto"/>
        <w:bottom w:val="none" w:sz="0" w:space="0" w:color="auto"/>
        <w:right w:val="none" w:sz="0" w:space="0" w:color="auto"/>
      </w:divBdr>
    </w:div>
    <w:div w:id="20870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17" Type="http://schemas.openxmlformats.org/officeDocument/2006/relationships/footer" Target="footer2.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styles" Target="styles.xml"/></Relationships>
</file>

<file path=word/_rels/endnotes.xml.rels><?xml version="1.0" encoding="UTF-8" standalone="yes"?>
<Relationships xmlns="http://schemas.openxmlformats.org/package/2006/relationships"><Relationship Id="rId3" Type="http://schemas.openxmlformats.org/officeDocument/2006/relationships/hyperlink" Target="https://theconversation.com/protecting-childrens-data-privacy-in-the-smart-city-113319" TargetMode="External"/><Relationship Id="rId7" Type="http://schemas.openxmlformats.org/officeDocument/2006/relationships/hyperlink" Target="https://www.forbes.com/sites/barbarakurshan/2017/06/22/the-elephant-in-the-room-with-edtech-data-privacy/?sh=14aad7e757a5" TargetMode="External"/><Relationship Id="rId2" Type="http://schemas.openxmlformats.org/officeDocument/2006/relationships/hyperlink" Target="https://www.reuters.com/article/europe-privacy-facebook-idUSKBN27404M" TargetMode="External"/><Relationship Id="rId1" Type="http://schemas.openxmlformats.org/officeDocument/2006/relationships/hyperlink" Target="https://www.washingtonpost.com/education/2019/08/20/legislators-ask-plus-firms-explain-how-they-use-vast-amount-data-they-collect-students-which-ones-facebook-google-blackboard-etc/" TargetMode="External"/><Relationship Id="rId6" Type="http://schemas.openxmlformats.org/officeDocument/2006/relationships/hyperlink" Target="https://www.wsj.com/articles/hr-departments-turn-to-ai-enabled-recruiting-in-race-for-talent-11552600459" TargetMode="External"/><Relationship Id="rId5" Type="http://schemas.openxmlformats.org/officeDocument/2006/relationships/hyperlink" Target="https://theconversation.com/childrens-privacy-is-at-risk-with-rapid-shifts-to-online-schooling-under-coronavirus-135787" TargetMode="External"/><Relationship Id="rId4" Type="http://schemas.openxmlformats.org/officeDocument/2006/relationships/hyperlink" Target="https://www.businessinsider.com/google-classroom-dominating-schools-kids-want-apple-products-iphone-2018-12?r=AU&amp;IR=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wkins\Minderoo\Brand%20eDMS%20-%20Assets\Minderoo%20Foundation\Word_Templates\1_Minderoo_Foundation\Generic.dotx" TargetMode="External"/></Relationships>
</file>

<file path=word/theme/theme1.xml><?xml version="1.0" encoding="utf-8"?>
<a:theme xmlns:a="http://schemas.openxmlformats.org/drawingml/2006/main" name="Office Theme">
  <a:themeElements>
    <a:clrScheme name="Minderoo v3">
      <a:dk1>
        <a:srgbClr val="000000"/>
      </a:dk1>
      <a:lt1>
        <a:srgbClr val="FFFFFF"/>
      </a:lt1>
      <a:dk2>
        <a:srgbClr val="8DC09F"/>
      </a:dk2>
      <a:lt2>
        <a:srgbClr val="AD985F"/>
      </a:lt2>
      <a:accent1>
        <a:srgbClr val="FF4F00"/>
      </a:accent1>
      <a:accent2>
        <a:srgbClr val="FFCD00"/>
      </a:accent2>
      <a:accent3>
        <a:srgbClr val="000000"/>
      </a:accent3>
      <a:accent4>
        <a:srgbClr val="4F83B3"/>
      </a:accent4>
      <a:accent5>
        <a:srgbClr val="E9D9C8"/>
      </a:accent5>
      <a:accent6>
        <a:srgbClr val="7F7F7F"/>
      </a:accent6>
      <a:hlink>
        <a:srgbClr val="FF4F00"/>
      </a:hlink>
      <a:folHlink>
        <a:srgbClr val="FF4F00"/>
      </a:folHlink>
    </a:clrScheme>
    <a:fontScheme name="Minderooooooo">
      <a:majorFont>
        <a:latin typeface="Minderoo-XCondBold"/>
        <a:ea typeface=""/>
        <a:cs typeface=""/>
      </a:majorFont>
      <a:minorFont>
        <a:latin typeface="Minderoo-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2020-11-13T00:00:00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73a0f41-acff-4f94-90ca-11a2a97b1bb5" ContentTypeId="0x01010011BE212375D21747994FD40CFDB2CFA102"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2BE972-C171-4C3F-809F-F7C5768EE9E8}">
  <ds:schemaRefs>
    <ds:schemaRef ds:uri="http://schemas.microsoft.com/office/2006/metadata/properties"/>
    <ds:schemaRef ds:uri="http://schemas.microsoft.com/office/infopath/2007/PartnerControls"/>
    <ds:schemaRef ds:uri="f3afbf2d-beef-446a-8758-84a7ca43c063"/>
    <ds:schemaRef ds:uri="9fd4432a-144b-407a-b5c0-3f4ed8389bd1"/>
  </ds:schemaRefs>
</ds:datastoreItem>
</file>

<file path=customXml/itemProps3.xml><?xml version="1.0" encoding="utf-8"?>
<ds:datastoreItem xmlns:ds="http://schemas.openxmlformats.org/officeDocument/2006/customXml" ds:itemID="{2F962F6B-7FAE-4E6C-9324-46BC0F9C9381}"/>
</file>

<file path=customXml/itemProps4.xml><?xml version="1.0" encoding="utf-8"?>
<ds:datastoreItem xmlns:ds="http://schemas.openxmlformats.org/officeDocument/2006/customXml" ds:itemID="{8C679DAF-B880-4466-A9E7-ACDDC464204F}">
  <ds:schemaRefs>
    <ds:schemaRef ds:uri="Microsoft.SharePoint.Taxonomy.ContentTypeSync"/>
  </ds:schemaRefs>
</ds:datastoreItem>
</file>

<file path=customXml/itemProps5.xml><?xml version="1.0" encoding="utf-8"?>
<ds:datastoreItem xmlns:ds="http://schemas.openxmlformats.org/officeDocument/2006/customXml" ds:itemID="{EC3F16B9-3D1C-49E9-9079-7CE54ED5C543}">
  <ds:schemaRefs>
    <ds:schemaRef ds:uri="http://schemas.openxmlformats.org/officeDocument/2006/bibliography"/>
  </ds:schemaRefs>
</ds:datastoreItem>
</file>

<file path=customXml/itemProps6.xml><?xml version="1.0" encoding="utf-8"?>
<ds:datastoreItem xmlns:ds="http://schemas.openxmlformats.org/officeDocument/2006/customXml" ds:itemID="{B8086534-3B48-4C1F-8110-1D115BF08B94}">
  <ds:schemaRefs>
    <ds:schemaRef ds:uri="http://schemas.microsoft.com/sharepoint/v3/contenttype/forms"/>
  </ds:schemaRefs>
</ds:datastoreItem>
</file>

<file path=customXml/itemProps7.xml><?xml version="1.0" encoding="utf-8"?>
<ds:datastoreItem xmlns:ds="http://schemas.openxmlformats.org/officeDocument/2006/customXml" ds:itemID="{21623DED-F406-42F1-BCB8-CB7BA3BB6AB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Template>
  <TotalTime>33</TotalTime>
  <Pages>6</Pages>
  <Words>2998</Words>
  <Characters>16855</Characters>
  <Application>Microsoft Office Word</Application>
  <DocSecurity>0</DocSecurity>
  <Lines>267</Lines>
  <Paragraphs>52</Paragraphs>
  <ScaleCrop>false</ScaleCrop>
  <HeadingPairs>
    <vt:vector size="2" baseType="variant">
      <vt:variant>
        <vt:lpstr>Title</vt:lpstr>
      </vt:variant>
      <vt:variant>
        <vt:i4>1</vt:i4>
      </vt:variant>
    </vt:vector>
  </HeadingPairs>
  <TitlesOfParts>
    <vt:vector size="1" baseType="lpstr">
      <vt:lpstr>ASSESSING MECHANISMS TO PROTECT CHILDREN FROM VIOLENCE ONLINE</vt:lpstr>
    </vt:vector>
  </TitlesOfParts>
  <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Capture, Data Misuse and Surveillance</dc:title>
  <dc:subject>Priyanka Tomar</dc:subject>
  <dc:creator>Administrator</dc:creator>
  <cp:keywords/>
  <dc:description/>
  <cp:lastModifiedBy>Alice Dawkins</cp:lastModifiedBy>
  <cp:revision>36</cp:revision>
  <cp:lastPrinted>2019-12-16T04:16:00Z</cp:lastPrinted>
  <dcterms:created xsi:type="dcterms:W3CDTF">2020-11-13T10:53:00Z</dcterms:created>
  <dcterms:modified xsi:type="dcterms:W3CDTF">2020-11-14T10:25:00Z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Audience">
    <vt:lpwstr/>
  </property>
  <property fmtid="{D5CDD505-2E9C-101B-9397-08002B2CF9AE}" pid="3" name="DocumentStatus">
    <vt:lpwstr/>
  </property>
  <property fmtid="{D5CDD505-2E9C-101B-9397-08002B2CF9AE}" pid="4" name="ContentTypeId">
    <vt:lpwstr>0x0101008822B9E06671B54FA89F14538B9B0FEA</vt:lpwstr>
  </property>
  <property fmtid="{D5CDD505-2E9C-101B-9397-08002B2CF9AE}" pid="5" name="_dlc_DocIdItemGuid">
    <vt:lpwstr>7571e0ef-9df7-4bd1-9cc5-18157177ee3c</vt:lpwstr>
  </property>
  <property fmtid="{D5CDD505-2E9C-101B-9397-08002B2CF9AE}" pid="6" name="OrganisationalUnit">
    <vt:lpwstr>126;#Brand|0c104d86-9947-468a-9a3d-2531a4134727</vt:lpwstr>
  </property>
  <property fmtid="{D5CDD505-2E9C-101B-9397-08002B2CF9AE}" pid="7" name="DocumentType">
    <vt:lpwstr/>
  </property>
  <property fmtid="{D5CDD505-2E9C-101B-9397-08002B2CF9AE}" pid="8" name="DocumentCategory">
    <vt:lpwstr/>
  </property>
</Properties>
</file>