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media/image1.png" ContentType="image/png"/>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7465" w:leader="none"/>
        </w:tabs>
        <w:bidi w:val="0"/>
        <w:jc w:val="left"/>
        <w:rPr>
          <w:rFonts w:ascii="Avenir Next" w:hAnsi="Avenir Next"/>
          <w:sz w:val="21"/>
          <w:szCs w:val="21"/>
        </w:rPr>
      </w:pPr>
      <w:r>
        <w:drawing>
          <wp:anchor behindDoc="0" distT="0" distB="0" distL="0" distR="0" simplePos="0" locked="0" layoutInCell="1" allowOverlap="1" relativeHeight="2">
            <wp:simplePos x="0" y="0"/>
            <wp:positionH relativeFrom="column">
              <wp:posOffset>-263525</wp:posOffset>
            </wp:positionH>
            <wp:positionV relativeFrom="paragraph">
              <wp:posOffset>-313055</wp:posOffset>
            </wp:positionV>
            <wp:extent cx="1837690" cy="1676400"/>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837690" cy="1676400"/>
                    </a:xfrm>
                    <a:prstGeom prst="rect">
                      <a:avLst/>
                    </a:prstGeom>
                  </pic:spPr>
                </pic:pic>
              </a:graphicData>
            </a:graphic>
          </wp:anchor>
        </w:drawing>
      </w:r>
      <w:r>
        <w:rPr>
          <w:rFonts w:ascii="Avenir Next" w:hAnsi="Avenir Next"/>
          <w:sz w:val="21"/>
          <w:szCs w:val="21"/>
        </w:rPr>
        <w:tab/>
        <w:t>Prostasia Foundation</w:t>
      </w:r>
    </w:p>
    <w:p>
      <w:pPr>
        <w:pStyle w:val="Normal"/>
        <w:tabs>
          <w:tab w:val="clear" w:pos="709"/>
          <w:tab w:val="left" w:pos="7465" w:leader="none"/>
        </w:tabs>
        <w:bidi w:val="0"/>
        <w:jc w:val="left"/>
        <w:rPr>
          <w:rFonts w:ascii="Avenir Next" w:hAnsi="Avenir Next"/>
          <w:sz w:val="21"/>
          <w:szCs w:val="21"/>
        </w:rPr>
      </w:pPr>
      <w:r>
        <w:rPr>
          <w:rFonts w:ascii="Avenir Next" w:hAnsi="Avenir Next"/>
          <w:sz w:val="21"/>
          <w:szCs w:val="21"/>
        </w:rPr>
        <w:tab/>
        <w:t>18 Bartol Street, #995</w:t>
      </w:r>
    </w:p>
    <w:p>
      <w:pPr>
        <w:pStyle w:val="Normal"/>
        <w:tabs>
          <w:tab w:val="clear" w:pos="709"/>
          <w:tab w:val="left" w:pos="7465" w:leader="none"/>
        </w:tabs>
        <w:bidi w:val="0"/>
        <w:jc w:val="left"/>
        <w:rPr>
          <w:rFonts w:ascii="Avenir Next" w:hAnsi="Avenir Next"/>
          <w:sz w:val="21"/>
          <w:szCs w:val="21"/>
        </w:rPr>
      </w:pPr>
      <w:r>
        <w:rPr>
          <w:rFonts w:ascii="Avenir Next" w:hAnsi="Avenir Next"/>
          <w:sz w:val="21"/>
          <w:szCs w:val="21"/>
        </w:rPr>
        <w:tab/>
        <w:t>San Francisco, CA 94133</w:t>
      </w:r>
    </w:p>
    <w:p>
      <w:pPr>
        <w:pStyle w:val="Normal"/>
        <w:tabs>
          <w:tab w:val="clear" w:pos="709"/>
          <w:tab w:val="left" w:pos="7465" w:leader="none"/>
        </w:tabs>
        <w:bidi w:val="0"/>
        <w:jc w:val="left"/>
        <w:rPr>
          <w:rFonts w:ascii="Avenir Next" w:hAnsi="Avenir Next"/>
          <w:sz w:val="21"/>
          <w:szCs w:val="21"/>
        </w:rPr>
      </w:pPr>
      <w:r>
        <w:rPr>
          <w:rFonts w:ascii="Avenir Next" w:hAnsi="Avenir Next"/>
          <w:sz w:val="21"/>
          <w:szCs w:val="21"/>
        </w:rPr>
      </w:r>
    </w:p>
    <w:p>
      <w:pPr>
        <w:pStyle w:val="Normal"/>
        <w:tabs>
          <w:tab w:val="clear" w:pos="709"/>
          <w:tab w:val="left" w:pos="7465" w:leader="none"/>
        </w:tabs>
        <w:bidi w:val="0"/>
        <w:jc w:val="left"/>
        <w:rPr>
          <w:rFonts w:ascii="Avenir Next" w:hAnsi="Avenir Next"/>
          <w:sz w:val="21"/>
          <w:szCs w:val="21"/>
        </w:rPr>
      </w:pPr>
      <w:r>
        <w:rPr>
          <w:rFonts w:ascii="Avenir Next" w:hAnsi="Avenir Next"/>
          <w:sz w:val="21"/>
          <w:szCs w:val="21"/>
        </w:rPr>
        <w:tab/>
        <w:t>info@prostasia.</w:t>
      </w:r>
      <w:r>
        <w:rPr>
          <w:rFonts w:ascii="Avenir Next" w:hAnsi="Avenir Next"/>
          <w:sz w:val="21"/>
          <w:szCs w:val="21"/>
        </w:rPr>
        <w:t>org</w:t>
      </w:r>
    </w:p>
    <w:p>
      <w:pPr>
        <w:pStyle w:val="Normal"/>
        <w:tabs>
          <w:tab w:val="clear" w:pos="709"/>
          <w:tab w:val="left" w:pos="7465" w:leader="none"/>
        </w:tabs>
        <w:bidi w:val="0"/>
        <w:jc w:val="left"/>
        <w:rPr>
          <w:rFonts w:ascii="Avenir Next" w:hAnsi="Avenir Next"/>
          <w:sz w:val="21"/>
          <w:szCs w:val="21"/>
        </w:rPr>
      </w:pPr>
      <w:r>
        <w:rPr>
          <w:rFonts w:ascii="Avenir Next" w:hAnsi="Avenir Next"/>
          <w:sz w:val="21"/>
          <w:szCs w:val="21"/>
        </w:rPr>
        <w:tab/>
        <w:t>+1 415 650 2557</w:t>
      </w:r>
    </w:p>
    <w:p>
      <w:pPr>
        <w:pStyle w:val="Normal"/>
        <w:tabs>
          <w:tab w:val="clear" w:pos="709"/>
          <w:tab w:val="left" w:pos="7465" w:leader="none"/>
        </w:tabs>
        <w:bidi w:val="0"/>
        <w:jc w:val="left"/>
        <w:rPr>
          <w:rFonts w:ascii="Avenir Next" w:hAnsi="Avenir Next"/>
          <w:sz w:val="21"/>
          <w:szCs w:val="21"/>
        </w:rPr>
      </w:pPr>
      <w:r>
        <w:rPr>
          <w:rFonts w:ascii="Avenir Next" w:hAnsi="Avenir Next"/>
          <w:sz w:val="21"/>
          <w:szCs w:val="21"/>
        </w:rPr>
        <w:tab/>
        <w:t>https://prostasia.</w:t>
      </w:r>
      <w:r>
        <w:rPr>
          <w:rFonts w:ascii="Avenir Next" w:hAnsi="Avenir Next"/>
          <w:sz w:val="21"/>
          <w:szCs w:val="21"/>
        </w:rPr>
        <w:t>org</w:t>
      </w:r>
    </w:p>
    <w:p>
      <w:pPr>
        <w:pStyle w:val="Normal"/>
        <w:bidi w:val="0"/>
        <w:jc w:val="left"/>
        <w:rPr>
          <w:rFonts w:ascii="Avenir Next" w:hAnsi="Avenir Next"/>
          <w:sz w:val="21"/>
          <w:szCs w:val="21"/>
        </w:rPr>
      </w:pPr>
      <w:r>
        <w:rPr>
          <w:rFonts w:ascii="Avenir Next" w:hAnsi="Avenir Next"/>
          <w:sz w:val="21"/>
          <w:szCs w:val="21"/>
        </w:rPr>
      </w:r>
    </w:p>
    <w:p>
      <w:pPr>
        <w:pStyle w:val="Normal"/>
        <w:bidi w:val="0"/>
        <w:jc w:val="left"/>
        <w:rPr>
          <w:rFonts w:ascii="Avenir Next" w:hAnsi="Avenir Next"/>
          <w:sz w:val="21"/>
          <w:szCs w:val="21"/>
        </w:rPr>
      </w:pPr>
      <w:r>
        <w:rPr>
          <w:rFonts w:ascii="Avenir Next" w:hAnsi="Avenir Next"/>
          <w:sz w:val="21"/>
          <w:szCs w:val="21"/>
        </w:rPr>
      </w:r>
    </w:p>
    <w:p>
      <w:pPr>
        <w:pStyle w:val="Normal"/>
        <w:bidi w:val="0"/>
        <w:jc w:val="left"/>
        <w:rPr>
          <w:rFonts w:ascii="Avenir Next" w:hAnsi="Avenir Next"/>
          <w:sz w:val="21"/>
          <w:szCs w:val="21"/>
        </w:rPr>
      </w:pPr>
      <w:r>
        <w:rPr>
          <w:rFonts w:ascii="Avenir Next" w:hAnsi="Avenir Next"/>
          <w:sz w:val="21"/>
          <w:szCs w:val="21"/>
        </w:rPr>
      </w:r>
    </w:p>
    <w:p>
      <w:pPr>
        <w:pStyle w:val="TextBody"/>
        <w:bidi w:val="0"/>
        <w:jc w:val="center"/>
        <w:rPr>
          <w:rFonts w:ascii="Avenir Next" w:hAnsi="Avenir Next"/>
          <w:b/>
          <w:b/>
          <w:bCs/>
        </w:rPr>
      </w:pPr>
      <w:r>
        <w:rPr>
          <w:rFonts w:ascii="Avenir Next" w:hAnsi="Avenir Next"/>
          <w:b/>
          <w:bCs/>
        </w:rPr>
        <w:t>Submission to the UHCHR on General Comment on</w:t>
        <w:br/>
        <w:t>children’s rights in relation to the digital environment</w:t>
        <w:br/>
      </w:r>
      <w:r>
        <w:rPr>
          <w:rFonts w:ascii="Avenir Next" w:hAnsi="Avenir Next"/>
          <w:b/>
          <w:bCs/>
        </w:rPr>
        <w:t>3 November 2020</w:t>
      </w:r>
    </w:p>
    <w:p>
      <w:pPr>
        <w:pStyle w:val="TextBody"/>
        <w:bidi w:val="0"/>
        <w:jc w:val="left"/>
        <w:rPr/>
      </w:pPr>
      <w:r>
        <w:rPr>
          <w:rFonts w:ascii="Avenir Next" w:hAnsi="Avenir Next"/>
          <w:sz w:val="22"/>
          <w:szCs w:val="22"/>
        </w:rPr>
        <w:t>Prostasia Foundation is a child protection organization dedicated to taking an evidence-based, prevention-focused approach to protecting children, which upholds Internet freedom, sex-positivity, and human rights. Our mission is to ensure that the elimination of child sexual abuse is achieved consistently with the highest values of the society that we would like our children to grow up in.</w:t>
      </w:r>
    </w:p>
    <w:p>
      <w:pPr>
        <w:pStyle w:val="TextBody"/>
        <w:bidi w:val="0"/>
        <w:jc w:val="left"/>
        <w:rPr/>
      </w:pPr>
      <w:r>
        <w:rPr>
          <w:rFonts w:ascii="Avenir Next" w:hAnsi="Avenir Next"/>
          <w:sz w:val="22"/>
          <w:szCs w:val="22"/>
        </w:rPr>
        <w:t>Below we offer our paragraph-level comments on selected sections of the draft General Comment on children’s rights in relation to the digital environment.</w:t>
      </w:r>
    </w:p>
    <w:p>
      <w:pPr>
        <w:pStyle w:val="Heading2"/>
        <w:bidi w:val="0"/>
        <w:jc w:val="left"/>
        <w:rPr>
          <w:rFonts w:ascii="Avenir Next" w:hAnsi="Avenir Next"/>
          <w:sz w:val="22"/>
          <w:szCs w:val="22"/>
        </w:rPr>
      </w:pPr>
      <w:r>
        <w:rPr>
          <w:rFonts w:ascii="Avenir Next" w:hAnsi="Avenir Next"/>
          <w:sz w:val="22"/>
          <w:szCs w:val="22"/>
        </w:rPr>
        <w:t>B. The best interests of the child (art. 3, para 1)</w:t>
      </w:r>
    </w:p>
    <w:p>
      <w:pPr>
        <w:pStyle w:val="TextBody"/>
        <w:bidi w:val="0"/>
        <w:jc w:val="left"/>
        <w:rPr/>
      </w:pPr>
      <w:r>
        <w:rPr>
          <w:rFonts w:ascii="Avenir Next" w:hAnsi="Avenir Next"/>
          <w:sz w:val="22"/>
          <w:szCs w:val="22"/>
        </w:rPr>
        <w:t xml:space="preserve">We support the intent of this section of the General Comment, which is to ensure that the best interests of the child are taken into account in actions concerning children that relate to the provision, regulation, design and management of the digital environment. However, we are concerned that the framing of this obligation in the General Comment departs significantly from its source material in the Convention on the Rights of the Child (CRC). </w:t>
      </w:r>
      <w:r>
        <w:rPr>
          <w:rFonts w:ascii="Avenir Next" w:hAnsi="Avenir Next"/>
          <w:sz w:val="22"/>
          <w:szCs w:val="22"/>
        </w:rPr>
        <w:t xml:space="preserve">The draft General Comment states </w:t>
      </w:r>
      <w:r>
        <w:rPr>
          <w:rFonts w:ascii="Avenir Next" w:hAnsi="Avenir Next"/>
          <w:sz w:val="22"/>
          <w:szCs w:val="22"/>
        </w:rPr>
        <w:t>in paragraph 13</w:t>
      </w:r>
      <w:r>
        <w:rPr>
          <w:rFonts w:ascii="Avenir Next" w:hAnsi="Avenir Next"/>
          <w:sz w:val="22"/>
          <w:szCs w:val="22"/>
        </w:rPr>
        <w:t>:</w:t>
      </w:r>
    </w:p>
    <w:p>
      <w:pPr>
        <w:pStyle w:val="TextBody"/>
        <w:bidi w:val="0"/>
        <w:ind w:left="709" w:hanging="0"/>
        <w:jc w:val="left"/>
        <w:rPr>
          <w:rFonts w:ascii="Avenir Next" w:hAnsi="Avenir Next"/>
          <w:sz w:val="22"/>
          <w:szCs w:val="22"/>
        </w:rPr>
      </w:pPr>
      <w:r>
        <w:rPr>
          <w:rFonts w:ascii="Avenir Next" w:hAnsi="Avenir Next"/>
          <w:sz w:val="22"/>
          <w:szCs w:val="22"/>
        </w:rPr>
        <w:t>States shall ensure that in all decision-making regarding the provision, regulation, design and management of the digital environment that may impact children’s rights, the best interests of the child shall be a primary consideration.</w:t>
      </w:r>
    </w:p>
    <w:p>
      <w:pPr>
        <w:pStyle w:val="TextBody"/>
        <w:bidi w:val="0"/>
        <w:jc w:val="left"/>
        <w:rPr/>
      </w:pPr>
      <w:r>
        <w:rPr>
          <w:rFonts w:ascii="Avenir Next" w:hAnsi="Avenir Next"/>
          <w:sz w:val="22"/>
          <w:szCs w:val="22"/>
        </w:rPr>
        <w:t xml:space="preserve">It </w:t>
      </w:r>
      <w:r>
        <w:rPr>
          <w:rFonts w:ascii="Avenir Next" w:hAnsi="Avenir Next"/>
          <w:sz w:val="22"/>
          <w:szCs w:val="22"/>
        </w:rPr>
        <w:t xml:space="preserve">continues in paragraph 14 by providing </w:t>
      </w:r>
      <w:r>
        <w:rPr>
          <w:rFonts w:ascii="Avenir Next" w:hAnsi="Avenir Next"/>
          <w:sz w:val="22"/>
          <w:szCs w:val="22"/>
        </w:rPr>
        <w:t xml:space="preserve">that in regulating the digital environment, the best interests of the child should be not merely a primary consideration but, </w:t>
      </w:r>
      <w:r>
        <w:rPr>
          <w:rFonts w:ascii="Avenir Next" w:hAnsi="Avenir Next"/>
          <w:sz w:val="22"/>
          <w:szCs w:val="22"/>
        </w:rPr>
        <w:t>even more strongly,</w:t>
      </w:r>
      <w:r>
        <w:rPr>
          <w:rFonts w:ascii="Avenir Next" w:hAnsi="Avenir Next"/>
          <w:sz w:val="22"/>
          <w:szCs w:val="22"/>
        </w:rPr>
        <w:t xml:space="preserve"> “the determining principle.” </w:t>
      </w:r>
      <w:r>
        <w:rPr>
          <w:rFonts w:ascii="Avenir Next" w:hAnsi="Avenir Next"/>
          <w:sz w:val="22"/>
          <w:szCs w:val="22"/>
        </w:rPr>
        <w:t xml:space="preserve">This is not merely a commentary </w:t>
      </w:r>
      <w:r>
        <w:rPr>
          <w:rFonts w:ascii="Avenir Next" w:hAnsi="Avenir Next"/>
          <w:sz w:val="22"/>
          <w:szCs w:val="22"/>
        </w:rPr>
        <w:t>upon</w:t>
      </w:r>
      <w:r>
        <w:rPr>
          <w:rFonts w:ascii="Avenir Next" w:hAnsi="Avenir Next"/>
          <w:sz w:val="22"/>
          <w:szCs w:val="22"/>
        </w:rPr>
        <w:t xml:space="preserve"> but a significant expansion of the text of CRC Article 3, which relevant</w:t>
      </w:r>
      <w:r>
        <w:rPr>
          <w:rFonts w:ascii="Avenir Next" w:hAnsi="Avenir Next"/>
          <w:sz w:val="22"/>
          <w:szCs w:val="22"/>
        </w:rPr>
        <w:t>ly</w:t>
      </w:r>
      <w:r>
        <w:rPr>
          <w:rFonts w:ascii="Avenir Next" w:hAnsi="Avenir Next"/>
          <w:sz w:val="22"/>
          <w:szCs w:val="22"/>
        </w:rPr>
        <w:t xml:space="preserve"> states:</w:t>
      </w:r>
    </w:p>
    <w:p>
      <w:pPr>
        <w:pStyle w:val="TextBody"/>
        <w:bidi w:val="0"/>
        <w:ind w:left="709" w:hanging="0"/>
        <w:jc w:val="left"/>
        <w:rPr>
          <w:rFonts w:ascii="Avenir Next" w:hAnsi="Avenir Next"/>
          <w:sz w:val="22"/>
          <w:szCs w:val="22"/>
        </w:rPr>
      </w:pPr>
      <w:r>
        <w:rPr>
          <w:rFonts w:ascii="Avenir Next" w:hAnsi="Avenir Next"/>
          <w:sz w:val="22"/>
          <w:szCs w:val="22"/>
        </w:rPr>
        <w:t xml:space="preserve">In all actions concerning children, </w:t>
      </w:r>
      <w:r>
        <w:rPr>
          <w:rFonts w:ascii="Avenir Next" w:hAnsi="Avenir Next"/>
          <w:i/>
          <w:iCs/>
          <w:sz w:val="22"/>
          <w:szCs w:val="22"/>
        </w:rPr>
        <w:t>whether undertaken by public or private social welfare institutions, courts of law, administrative authorities or legislative bodies</w:t>
      </w:r>
      <w:r>
        <w:rPr>
          <w:rFonts w:ascii="Avenir Next" w:hAnsi="Avenir Next"/>
          <w:sz w:val="22"/>
          <w:szCs w:val="22"/>
        </w:rPr>
        <w:t xml:space="preserve">, the best interests of the child shall be a primary consideration. </w:t>
      </w:r>
      <w:r>
        <w:rPr>
          <w:rFonts w:ascii="Avenir Next" w:hAnsi="Avenir Next"/>
          <w:sz w:val="22"/>
          <w:szCs w:val="22"/>
        </w:rPr>
        <w:t>[emphasis added]</w:t>
      </w:r>
    </w:p>
    <w:p>
      <w:pPr>
        <w:pStyle w:val="TextBody"/>
        <w:bidi w:val="0"/>
        <w:jc w:val="left"/>
        <w:rPr>
          <w:rFonts w:ascii="Avenir Next" w:hAnsi="Avenir Next"/>
          <w:sz w:val="22"/>
          <w:szCs w:val="22"/>
        </w:rPr>
      </w:pPr>
      <w:r>
        <w:rPr>
          <w:rFonts w:ascii="Avenir Next" w:hAnsi="Avenir Next"/>
          <w:sz w:val="22"/>
          <w:szCs w:val="22"/>
        </w:rPr>
        <w:t xml:space="preserve">The provision, regulation, design and management of the digital environment is not (generally) undertaken by public or private social welfare institutions, courts of law, administrative authorities or legislative bodies, but by private enterprise. </w:t>
      </w:r>
      <w:r>
        <w:rPr>
          <w:rFonts w:ascii="Avenir Next" w:hAnsi="Avenir Next"/>
          <w:sz w:val="22"/>
          <w:szCs w:val="22"/>
        </w:rPr>
        <w:t xml:space="preserve">Although a broad range of decisions that these private actors take “may impact children’s rights” </w:t>
      </w:r>
      <w:r>
        <w:rPr>
          <w:rFonts w:ascii="Avenir Next" w:hAnsi="Avenir Next"/>
          <w:sz w:val="22"/>
          <w:szCs w:val="22"/>
        </w:rPr>
        <w:t>to some degree,</w:t>
      </w:r>
      <w:r>
        <w:rPr>
          <w:rFonts w:ascii="Avenir Next" w:hAnsi="Avenir Next"/>
          <w:sz w:val="22"/>
          <w:szCs w:val="22"/>
        </w:rPr>
        <w:t xml:space="preserve"> this </w:t>
      </w:r>
      <w:r>
        <w:rPr>
          <w:rFonts w:ascii="Avenir Next" w:hAnsi="Avenir Next"/>
          <w:sz w:val="22"/>
          <w:szCs w:val="22"/>
        </w:rPr>
        <w:t xml:space="preserve">alone </w:t>
      </w:r>
      <w:r>
        <w:rPr>
          <w:rFonts w:ascii="Avenir Next" w:hAnsi="Avenir Next"/>
          <w:sz w:val="22"/>
          <w:szCs w:val="22"/>
        </w:rPr>
        <w:t xml:space="preserve">does not make them “actions concerning children” </w:t>
      </w:r>
      <w:r>
        <w:rPr>
          <w:rFonts w:ascii="Avenir Next" w:hAnsi="Avenir Next"/>
          <w:sz w:val="22"/>
          <w:szCs w:val="22"/>
        </w:rPr>
        <w:t>in the sense referred to in CRC Article 3.</w:t>
      </w:r>
    </w:p>
    <w:p>
      <w:pPr>
        <w:pStyle w:val="TextBody"/>
        <w:bidi w:val="0"/>
        <w:jc w:val="left"/>
        <w:rPr>
          <w:rFonts w:ascii="Avenir Next" w:hAnsi="Avenir Next"/>
          <w:sz w:val="22"/>
          <w:szCs w:val="22"/>
        </w:rPr>
      </w:pPr>
      <w:r>
        <w:rPr>
          <w:rFonts w:ascii="Avenir Next" w:hAnsi="Avenir Next"/>
          <w:i w:val="false"/>
          <w:iCs w:val="false"/>
          <w:sz w:val="22"/>
          <w:szCs w:val="22"/>
        </w:rPr>
        <w:t xml:space="preserve">This much is made clear by </w:t>
      </w:r>
      <w:r>
        <w:rPr>
          <w:rFonts w:ascii="Avenir Next" w:hAnsi="Avenir Next"/>
          <w:i/>
          <w:iCs/>
          <w:sz w:val="22"/>
          <w:szCs w:val="22"/>
        </w:rPr>
        <w:t>General comment No. 14 (2013) on the right of the child to have his or her best interests taken as a primary consideration,</w:t>
      </w:r>
      <w:r>
        <w:rPr>
          <w:rStyle w:val="FootnoteAnchor"/>
          <w:rFonts w:ascii="Avenir Next" w:hAnsi="Avenir Next"/>
          <w:sz w:val="22"/>
          <w:szCs w:val="22"/>
        </w:rPr>
        <w:footnoteReference w:id="2"/>
      </w:r>
      <w:r>
        <w:rPr>
          <w:rFonts w:ascii="Avenir Next" w:hAnsi="Avenir Next"/>
          <w:sz w:val="22"/>
          <w:szCs w:val="22"/>
        </w:rPr>
        <w:t xml:space="preserve"> </w:t>
      </w:r>
      <w:r>
        <w:rPr>
          <w:rFonts w:ascii="Avenir Next" w:hAnsi="Avenir Next"/>
          <w:sz w:val="22"/>
          <w:szCs w:val="22"/>
        </w:rPr>
        <w:t xml:space="preserve">which </w:t>
      </w:r>
      <w:r>
        <w:rPr>
          <w:rFonts w:ascii="Avenir Next" w:hAnsi="Avenir Next"/>
          <w:sz w:val="22"/>
          <w:szCs w:val="22"/>
        </w:rPr>
        <w:t xml:space="preserve">affirms that “not… every action taken by the State needs to incorporate a full and formal process of assessing and determining the best interests of the child,” but rather only decisions that will “have a </w:t>
      </w:r>
      <w:r>
        <w:rPr>
          <w:rFonts w:ascii="Avenir Next" w:hAnsi="Avenir Next"/>
          <w:i/>
          <w:iCs/>
          <w:sz w:val="22"/>
          <w:szCs w:val="22"/>
        </w:rPr>
        <w:t>major impact</w:t>
      </w:r>
      <w:r>
        <w:rPr>
          <w:rFonts w:ascii="Avenir Next" w:hAnsi="Avenir Next"/>
          <w:sz w:val="22"/>
          <w:szCs w:val="22"/>
        </w:rPr>
        <w:t xml:space="preserve"> on a child or children” </w:t>
      </w:r>
      <w:r>
        <w:rPr>
          <w:rFonts w:ascii="Avenir Next" w:hAnsi="Avenir Next"/>
          <w:sz w:val="22"/>
          <w:szCs w:val="22"/>
        </w:rPr>
        <w:t>[emphasis added].</w:t>
      </w:r>
      <w:r>
        <w:rPr>
          <w:rFonts w:ascii="Avenir Next" w:hAnsi="Avenir Next"/>
          <w:sz w:val="22"/>
          <w:szCs w:val="22"/>
        </w:rPr>
        <w:t xml:space="preserve"> This same nuance is absent from the present draft General Comment.</w:t>
      </w:r>
    </w:p>
    <w:p>
      <w:pPr>
        <w:pStyle w:val="TextBody"/>
        <w:bidi w:val="0"/>
        <w:jc w:val="left"/>
        <w:rPr>
          <w:rFonts w:ascii="Avenir Next" w:hAnsi="Avenir Next"/>
          <w:sz w:val="22"/>
          <w:szCs w:val="22"/>
        </w:rPr>
      </w:pPr>
      <w:r>
        <w:rPr>
          <w:rFonts w:ascii="Avenir Next" w:hAnsi="Avenir Next"/>
          <w:sz w:val="22"/>
          <w:szCs w:val="22"/>
        </w:rPr>
        <w:t xml:space="preserve">Treating </w:t>
      </w:r>
      <w:r>
        <w:rPr>
          <w:rFonts w:ascii="Avenir Next" w:hAnsi="Avenir Next"/>
          <w:i/>
          <w:iCs/>
          <w:sz w:val="22"/>
          <w:szCs w:val="22"/>
        </w:rPr>
        <w:t>any and all</w:t>
      </w:r>
      <w:r>
        <w:rPr>
          <w:rFonts w:ascii="Avenir Next" w:hAnsi="Avenir Next"/>
          <w:sz w:val="22"/>
          <w:szCs w:val="22"/>
        </w:rPr>
        <w:t xml:space="preserve"> decisions </w:t>
      </w:r>
      <w:r>
        <w:rPr>
          <w:rFonts w:ascii="Avenir Next" w:hAnsi="Avenir Next"/>
          <w:sz w:val="22"/>
          <w:szCs w:val="22"/>
        </w:rPr>
        <w:t xml:space="preserve">taken in relation to the provision, regulation, design and management of the digital environment </w:t>
      </w:r>
      <w:r>
        <w:rPr>
          <w:rFonts w:ascii="Avenir Next" w:hAnsi="Avenir Next"/>
          <w:sz w:val="22"/>
          <w:szCs w:val="22"/>
        </w:rPr>
        <w:t xml:space="preserve">as requiring the best interests of the child to become a primary consideration—let alone the </w:t>
      </w:r>
      <w:r>
        <w:rPr>
          <w:rFonts w:ascii="Avenir Next" w:hAnsi="Avenir Next"/>
          <w:i/>
          <w:iCs/>
          <w:sz w:val="22"/>
          <w:szCs w:val="22"/>
        </w:rPr>
        <w:t>determining</w:t>
      </w:r>
      <w:r>
        <w:rPr>
          <w:rFonts w:ascii="Avenir Next" w:hAnsi="Avenir Next"/>
          <w:sz w:val="22"/>
          <w:szCs w:val="22"/>
        </w:rPr>
        <w:t xml:space="preserve"> principle—does not accord with the recognition that the best interests of the child is (as the General Comment acknowledges) a dynamic concept.</w:t>
      </w:r>
    </w:p>
    <w:p>
      <w:pPr>
        <w:pStyle w:val="TextBody"/>
        <w:bidi w:val="0"/>
        <w:jc w:val="left"/>
        <w:rPr/>
      </w:pPr>
      <w:r>
        <w:rPr>
          <w:rFonts w:ascii="Avenir Next" w:hAnsi="Avenir Next"/>
          <w:sz w:val="22"/>
          <w:szCs w:val="22"/>
        </w:rPr>
        <w:t xml:space="preserve">As </w:t>
      </w:r>
      <w:r>
        <w:rPr>
          <w:rFonts w:ascii="Avenir Next" w:hAnsi="Avenir Next"/>
          <w:sz w:val="22"/>
          <w:szCs w:val="22"/>
        </w:rPr>
        <w:t>such</w:t>
      </w:r>
      <w:r>
        <w:rPr>
          <w:rFonts w:ascii="Avenir Next" w:hAnsi="Avenir Next"/>
          <w:sz w:val="22"/>
          <w:szCs w:val="22"/>
        </w:rPr>
        <w:t xml:space="preserve">, the stipulation </w:t>
      </w:r>
      <w:r>
        <w:rPr>
          <w:rFonts w:ascii="Avenir Next" w:hAnsi="Avenir Next"/>
          <w:sz w:val="22"/>
          <w:szCs w:val="22"/>
        </w:rPr>
        <w:t xml:space="preserve">as </w:t>
      </w:r>
      <w:r>
        <w:rPr>
          <w:rFonts w:ascii="Avenir Next" w:hAnsi="Avenir Next"/>
          <w:sz w:val="22"/>
          <w:szCs w:val="22"/>
        </w:rPr>
        <w:t xml:space="preserve">expressed in the </w:t>
      </w:r>
      <w:r>
        <w:rPr>
          <w:rFonts w:ascii="Avenir Next" w:hAnsi="Avenir Next"/>
          <w:sz w:val="22"/>
          <w:szCs w:val="22"/>
        </w:rPr>
        <w:t xml:space="preserve">draft </w:t>
      </w:r>
      <w:r>
        <w:rPr>
          <w:rFonts w:ascii="Avenir Next" w:hAnsi="Avenir Next"/>
          <w:sz w:val="22"/>
          <w:szCs w:val="22"/>
        </w:rPr>
        <w:t xml:space="preserve">General Comment that “best interests of the child” is always the correct and determinative test, is </w:t>
      </w:r>
      <w:r>
        <w:rPr>
          <w:rFonts w:ascii="Avenir Next" w:hAnsi="Avenir Next"/>
          <w:sz w:val="22"/>
          <w:szCs w:val="22"/>
        </w:rPr>
        <w:t xml:space="preserve">incompatible with CRC Article 3. Such a stipulation </w:t>
      </w:r>
      <w:r>
        <w:rPr>
          <w:rFonts w:ascii="Avenir Next" w:hAnsi="Avenir Next"/>
          <w:sz w:val="22"/>
          <w:szCs w:val="22"/>
        </w:rPr>
        <w:t xml:space="preserve">could easily </w:t>
      </w:r>
      <w:r>
        <w:rPr>
          <w:rFonts w:ascii="Avenir Next" w:hAnsi="Avenir Next"/>
          <w:sz w:val="22"/>
          <w:szCs w:val="22"/>
        </w:rPr>
        <w:t>be misused by regulators to justify over-extensive Internet regulations that emphasize platform regulation as a solution to the problem that general Internet platforms can be misused.</w:t>
      </w:r>
    </w:p>
    <w:p>
      <w:pPr>
        <w:pStyle w:val="TextBody"/>
        <w:bidi w:val="0"/>
        <w:jc w:val="left"/>
        <w:rPr>
          <w:rFonts w:ascii="Avenir Next" w:hAnsi="Avenir Next"/>
          <w:sz w:val="22"/>
          <w:szCs w:val="22"/>
        </w:rPr>
      </w:pPr>
      <w:r>
        <w:rPr>
          <w:rFonts w:ascii="Avenir Next" w:hAnsi="Avenir Next"/>
          <w:sz w:val="22"/>
          <w:szCs w:val="22"/>
        </w:rPr>
        <w:t xml:space="preserve">It diverts attention away from the fact that often the best interventions to ensure that children are protected from the potential harmful impacts of online content are not technological, but educational. For example, including porn literacy in sex education curricula may be a better approach than censorship to ensure that children are equipped to address the potential harms of early exposure to such material </w:t>
      </w:r>
      <w:r>
        <w:rPr>
          <w:rFonts w:ascii="Avenir Next" w:hAnsi="Avenir Next"/>
          <w:sz w:val="22"/>
          <w:szCs w:val="22"/>
        </w:rPr>
        <w:t>online</w:t>
      </w:r>
      <w:r>
        <w:rPr>
          <w:rFonts w:ascii="Avenir Next" w:hAnsi="Avenir Next"/>
          <w:sz w:val="22"/>
          <w:szCs w:val="22"/>
        </w:rPr>
        <w:t>.</w:t>
      </w:r>
    </w:p>
    <w:p>
      <w:pPr>
        <w:pStyle w:val="TextBody"/>
        <w:bidi w:val="0"/>
        <w:jc w:val="left"/>
        <w:rPr>
          <w:rFonts w:ascii="Avenir Next" w:hAnsi="Avenir Next"/>
          <w:sz w:val="22"/>
          <w:szCs w:val="22"/>
        </w:rPr>
      </w:pPr>
      <w:r>
        <w:rPr>
          <w:rFonts w:ascii="Avenir Next" w:hAnsi="Avenir Next"/>
          <w:sz w:val="22"/>
          <w:szCs w:val="22"/>
        </w:rPr>
        <w:t>To accord with the intent and the historical interpretation of the CRC, and to avoid over-emphasizing the role of private Internet companies</w:t>
      </w:r>
      <w:r>
        <w:rPr>
          <w:rFonts w:ascii="Avenir Next" w:hAnsi="Avenir Next"/>
          <w:sz w:val="22"/>
          <w:szCs w:val="22"/>
        </w:rPr>
        <w:t xml:space="preserve">, </w:t>
      </w:r>
      <w:r>
        <w:rPr>
          <w:rFonts w:ascii="Avenir Next" w:hAnsi="Avenir Next"/>
          <w:b/>
          <w:bCs/>
          <w:sz w:val="22"/>
          <w:szCs w:val="22"/>
        </w:rPr>
        <w:t xml:space="preserve">we recommend </w:t>
      </w:r>
      <w:r>
        <w:rPr>
          <w:rFonts w:ascii="Avenir Next" w:hAnsi="Avenir Next"/>
          <w:b/>
          <w:bCs/>
          <w:sz w:val="22"/>
          <w:szCs w:val="22"/>
        </w:rPr>
        <w:t>that the words “that may impact children’s rights” be replaced by “that have a major impact on a child or children” in paragraph 13 of the draft General Comment, and that the words “and shall apply the best interests of the child as the determining principle” be deleted from paragraph 14.</w:t>
      </w:r>
    </w:p>
    <w:p>
      <w:pPr>
        <w:pStyle w:val="Heading2"/>
        <w:bidi w:val="0"/>
        <w:jc w:val="left"/>
        <w:rPr>
          <w:rFonts w:ascii="Avenir Next" w:hAnsi="Avenir Next"/>
          <w:sz w:val="22"/>
          <w:szCs w:val="22"/>
        </w:rPr>
      </w:pPr>
      <w:r>
        <w:rPr>
          <w:rFonts w:ascii="Avenir Next" w:hAnsi="Avenir Next"/>
          <w:sz w:val="22"/>
          <w:szCs w:val="22"/>
        </w:rPr>
        <w:t>General measures of implementations by States (art. 4)</w:t>
      </w:r>
    </w:p>
    <w:p>
      <w:pPr>
        <w:pStyle w:val="TextBody"/>
        <w:bidi w:val="0"/>
        <w:jc w:val="left"/>
        <w:rPr>
          <w:rFonts w:ascii="Avenir Next" w:hAnsi="Avenir Next"/>
          <w:sz w:val="22"/>
          <w:szCs w:val="22"/>
        </w:rPr>
      </w:pPr>
      <w:r>
        <w:rPr>
          <w:rFonts w:ascii="Avenir Next" w:hAnsi="Avenir Next"/>
          <w:sz w:val="22"/>
          <w:szCs w:val="22"/>
        </w:rPr>
        <w:t>Under point I, “The Business Sector,” paragraph 37 recommends:</w:t>
      </w:r>
    </w:p>
    <w:p>
      <w:pPr>
        <w:pStyle w:val="TextBody"/>
        <w:bidi w:val="0"/>
        <w:ind w:left="709" w:hanging="0"/>
        <w:jc w:val="left"/>
        <w:rPr>
          <w:rFonts w:ascii="Avenir Next" w:hAnsi="Avenir Next"/>
          <w:sz w:val="22"/>
          <w:szCs w:val="22"/>
        </w:rPr>
      </w:pPr>
      <w:r>
        <w:rPr>
          <w:rFonts w:ascii="Avenir Next" w:hAnsi="Avenir Next"/>
          <w:sz w:val="22"/>
          <w:szCs w:val="22"/>
        </w:rPr>
        <w:t xml:space="preserve">States should require businesses to prevent their networks or online services from being misused for purposes that threaten children’s safety and well-being… </w:t>
      </w:r>
    </w:p>
    <w:p>
      <w:pPr>
        <w:pStyle w:val="TextBody"/>
        <w:bidi w:val="0"/>
        <w:ind w:left="0" w:hanging="0"/>
        <w:jc w:val="left"/>
        <w:rPr/>
      </w:pPr>
      <w:r>
        <w:rPr>
          <w:rFonts w:ascii="Avenir Next" w:hAnsi="Avenir Next"/>
          <w:sz w:val="22"/>
          <w:szCs w:val="22"/>
        </w:rPr>
        <w:t>Although well-intended, t</w:t>
      </w:r>
      <w:r>
        <w:rPr>
          <w:rFonts w:ascii="Avenir Next" w:hAnsi="Avenir Next"/>
          <w:sz w:val="22"/>
          <w:szCs w:val="22"/>
        </w:rPr>
        <w:t xml:space="preserve">his language is </w:t>
      </w:r>
      <w:r>
        <w:rPr>
          <w:rFonts w:ascii="Avenir Next" w:hAnsi="Avenir Next"/>
          <w:sz w:val="22"/>
          <w:szCs w:val="22"/>
        </w:rPr>
        <w:t xml:space="preserve">unworkably </w:t>
      </w:r>
      <w:r>
        <w:rPr>
          <w:rFonts w:ascii="Avenir Next" w:hAnsi="Avenir Next"/>
          <w:sz w:val="22"/>
          <w:szCs w:val="22"/>
        </w:rPr>
        <w:t xml:space="preserve">broad. The fact is that it is </w:t>
      </w:r>
      <w:r>
        <w:rPr>
          <w:rFonts w:ascii="Avenir Next" w:hAnsi="Avenir Next"/>
          <w:i/>
          <w:iCs/>
          <w:sz w:val="22"/>
          <w:szCs w:val="22"/>
        </w:rPr>
        <w:t>impossible</w:t>
      </w:r>
      <w:r>
        <w:rPr>
          <w:rFonts w:ascii="Avenir Next" w:hAnsi="Avenir Next"/>
          <w:sz w:val="22"/>
          <w:szCs w:val="22"/>
        </w:rPr>
        <w:t xml:space="preserve"> to prevent all networks and online services from being misused </w:t>
      </w:r>
      <w:r>
        <w:rPr>
          <w:rFonts w:ascii="Avenir Next" w:hAnsi="Avenir Next"/>
          <w:sz w:val="22"/>
          <w:szCs w:val="22"/>
        </w:rPr>
        <w:t>for purposes that threaten children’s safety and well-being</w:t>
      </w:r>
      <w:r>
        <w:rPr>
          <w:rFonts w:ascii="Avenir Next" w:hAnsi="Avenir Next"/>
          <w:sz w:val="22"/>
          <w:szCs w:val="22"/>
        </w:rPr>
        <w:t>, without placing those services under constant surveillance and/or severely constraining how they may be used.</w:t>
      </w:r>
    </w:p>
    <w:p>
      <w:pPr>
        <w:pStyle w:val="TextBody"/>
        <w:bidi w:val="0"/>
        <w:ind w:left="0" w:hanging="0"/>
        <w:jc w:val="left"/>
        <w:rPr/>
      </w:pPr>
      <w:r>
        <w:rPr>
          <w:rFonts w:ascii="Avenir Next" w:hAnsi="Avenir Next"/>
          <w:sz w:val="22"/>
          <w:szCs w:val="22"/>
        </w:rPr>
        <w:t xml:space="preserve">To give one example, </w:t>
      </w:r>
      <w:r>
        <w:rPr>
          <w:rFonts w:ascii="Avenir Next" w:hAnsi="Avenir Next"/>
          <w:sz w:val="22"/>
          <w:szCs w:val="22"/>
        </w:rPr>
        <w:t>this paragraph of the draft General Comment could be read as prohibiting businesses from providing services or networks that are end-to-end encrypted, since such services, if they exist at all, can always be misused for illegal purposes. Yet the right to secure encrypted communications has been recognized by the United Nations Special Rapporteur on the promotion and protection of the right to freedom of opinion and expression,</w:t>
      </w:r>
      <w:r>
        <w:rPr>
          <w:rStyle w:val="FootnoteAnchor"/>
          <w:rFonts w:ascii="Avenir Next" w:hAnsi="Avenir Next"/>
          <w:sz w:val="22"/>
          <w:szCs w:val="22"/>
        </w:rPr>
        <w:footnoteReference w:id="3"/>
      </w:r>
      <w:r>
        <w:rPr>
          <w:rFonts w:ascii="Avenir Next" w:hAnsi="Avenir Next"/>
          <w:sz w:val="22"/>
          <w:szCs w:val="22"/>
        </w:rPr>
        <w:t xml:space="preserve"> </w:t>
      </w:r>
      <w:r>
        <w:rPr>
          <w:rFonts w:ascii="Avenir Next" w:hAnsi="Avenir Next"/>
          <w:sz w:val="22"/>
          <w:szCs w:val="22"/>
        </w:rPr>
        <w:t>and is also put forward elsewhere in the General Comment (paragraph 72) as a privacy-by-design feature for services that impact on children.</w:t>
      </w:r>
    </w:p>
    <w:p>
      <w:pPr>
        <w:pStyle w:val="TextBody"/>
        <w:bidi w:val="0"/>
        <w:ind w:left="0" w:hanging="0"/>
        <w:jc w:val="left"/>
        <w:rPr/>
      </w:pPr>
      <w:r>
        <w:rPr>
          <w:rFonts w:ascii="Avenir Next" w:hAnsi="Avenir Next"/>
          <w:sz w:val="22"/>
          <w:szCs w:val="22"/>
        </w:rPr>
        <w:t xml:space="preserve">As such, the General Comment should recognize that the safety of online services involves a careful balancing of rights and interests, and that a simple mandate requiring that they be made impossible to misuse is overbroad. Instead, the General Comment should encourage </w:t>
      </w:r>
      <w:r>
        <w:rPr>
          <w:rFonts w:ascii="Avenir Next" w:hAnsi="Avenir Next"/>
          <w:sz w:val="22"/>
          <w:szCs w:val="22"/>
        </w:rPr>
        <w:t xml:space="preserve">appropriate and proportionate steps </w:t>
      </w:r>
      <w:r>
        <w:rPr>
          <w:rFonts w:ascii="Avenir Next" w:hAnsi="Avenir Next"/>
          <w:sz w:val="22"/>
          <w:szCs w:val="22"/>
        </w:rPr>
        <w:t xml:space="preserve">to </w:t>
      </w:r>
      <w:r>
        <w:rPr>
          <w:rFonts w:ascii="Avenir Next" w:hAnsi="Avenir Next"/>
          <w:sz w:val="22"/>
          <w:szCs w:val="22"/>
        </w:rPr>
        <w:t xml:space="preserve">be taken to limit the misuse of </w:t>
      </w:r>
      <w:r>
        <w:rPr>
          <w:rFonts w:ascii="Avenir Next" w:hAnsi="Avenir Next"/>
          <w:sz w:val="22"/>
          <w:szCs w:val="22"/>
        </w:rPr>
        <w:t>such</w:t>
      </w:r>
      <w:r>
        <w:rPr>
          <w:rFonts w:ascii="Avenir Next" w:hAnsi="Avenir Next"/>
          <w:sz w:val="22"/>
          <w:szCs w:val="22"/>
        </w:rPr>
        <w:t xml:space="preserve"> services, </w:t>
      </w:r>
      <w:r>
        <w:rPr>
          <w:rFonts w:ascii="Avenir Next" w:hAnsi="Avenir Next"/>
          <w:sz w:val="22"/>
          <w:szCs w:val="22"/>
        </w:rPr>
        <w:t>without laying down an inflexible mandate</w:t>
      </w:r>
      <w:r>
        <w:rPr>
          <w:rFonts w:ascii="Avenir Next" w:hAnsi="Avenir Next"/>
          <w:sz w:val="22"/>
          <w:szCs w:val="22"/>
        </w:rPr>
        <w:t xml:space="preserve">. </w:t>
      </w:r>
      <w:r>
        <w:rPr>
          <w:rFonts w:ascii="Avenir Next" w:hAnsi="Avenir Next"/>
          <w:b/>
          <w:bCs/>
          <w:sz w:val="22"/>
          <w:szCs w:val="22"/>
        </w:rPr>
        <w:t>We recommend that the words “should require businesses to prevent” in paragraph 37 should be replaced with “should require that efforts are made to prevent,”</w:t>
      </w:r>
      <w:r>
        <w:rPr>
          <w:rFonts w:ascii="Avenir Next" w:hAnsi="Avenir Next"/>
          <w:sz w:val="22"/>
          <w:szCs w:val="22"/>
        </w:rPr>
        <w:t xml:space="preserve"> which borrows language from elsewhere (eg. paragraph 43) in the draft General Comment.</w:t>
      </w:r>
    </w:p>
    <w:p>
      <w:pPr>
        <w:pStyle w:val="TextBody"/>
        <w:bidi w:val="0"/>
        <w:ind w:left="0" w:hanging="0"/>
        <w:jc w:val="left"/>
        <w:rPr>
          <w:rFonts w:ascii="Avenir Next" w:hAnsi="Avenir Next"/>
          <w:sz w:val="22"/>
          <w:szCs w:val="22"/>
        </w:rPr>
      </w:pPr>
      <w:r>
        <w:rPr>
          <w:rFonts w:ascii="Avenir Next" w:hAnsi="Avenir Next"/>
          <w:sz w:val="22"/>
          <w:szCs w:val="22"/>
        </w:rPr>
        <w:t>Similarly, u</w:t>
      </w:r>
      <w:r>
        <w:rPr>
          <w:rFonts w:ascii="Avenir Next" w:hAnsi="Avenir Next"/>
          <w:sz w:val="22"/>
          <w:szCs w:val="22"/>
        </w:rPr>
        <w:t xml:space="preserve">nder point K on Remedies, paragraph 47 contains the injunction that “States should guarantee non-recurrence of violations, including by reform of relevant law and policy and their effective implementation.” Clearly, there is no way that States could possibly provide such a guarantee, without potentially creating other human rights violations in the process, </w:t>
      </w:r>
      <w:r>
        <w:rPr>
          <w:rFonts w:ascii="Avenir Next" w:hAnsi="Avenir Next"/>
          <w:sz w:val="22"/>
          <w:szCs w:val="22"/>
        </w:rPr>
        <w:t>for example by imposing proactive monitoring obligations</w:t>
      </w:r>
      <w:r>
        <w:rPr>
          <w:rFonts w:ascii="Avenir Next" w:hAnsi="Avenir Next"/>
          <w:sz w:val="22"/>
          <w:szCs w:val="22"/>
        </w:rPr>
        <w:t xml:space="preserve">. </w:t>
      </w:r>
      <w:r>
        <w:rPr>
          <w:rFonts w:ascii="Avenir Next" w:hAnsi="Avenir Next"/>
          <w:b/>
          <w:bCs/>
          <w:sz w:val="22"/>
          <w:szCs w:val="22"/>
        </w:rPr>
        <w:t>We recommend that “States should guarantee non-recurrence of violations” in paragraph 47 should be replaced by “States should require that efforts are made to prevent recurrence of violations.”</w:t>
      </w:r>
    </w:p>
    <w:p>
      <w:pPr>
        <w:pStyle w:val="Heading2"/>
        <w:bidi w:val="0"/>
        <w:jc w:val="left"/>
        <w:rPr>
          <w:rFonts w:ascii="Avenir Next" w:hAnsi="Avenir Next" w:eastAsia="PingFang SC" w:cs="Arial Unicode MS"/>
          <w:b/>
          <w:b/>
          <w:bCs/>
          <w:sz w:val="22"/>
          <w:szCs w:val="22"/>
        </w:rPr>
      </w:pPr>
      <w:r>
        <w:rPr>
          <w:rFonts w:eastAsia="PingFang SC" w:cs="Arial Unicode MS" w:ascii="Avenir Next" w:hAnsi="Avenir Next"/>
          <w:b/>
          <w:bCs/>
          <w:sz w:val="22"/>
          <w:szCs w:val="22"/>
        </w:rPr>
        <w:t>Freedom of expression (art. 13)</w:t>
      </w:r>
    </w:p>
    <w:p>
      <w:pPr>
        <w:pStyle w:val="TextBody"/>
        <w:bidi w:val="0"/>
        <w:jc w:val="left"/>
        <w:rPr>
          <w:rFonts w:ascii="Avenir Next" w:hAnsi="Avenir Next"/>
          <w:sz w:val="22"/>
          <w:szCs w:val="22"/>
        </w:rPr>
      </w:pPr>
      <w:r>
        <w:rPr>
          <w:rFonts w:ascii="Avenir Next" w:hAnsi="Avenir Next"/>
          <w:sz w:val="22"/>
          <w:szCs w:val="22"/>
        </w:rPr>
        <w:t xml:space="preserve">Freedom of expression includes not only the communication of opinions, but also the communication of </w:t>
      </w:r>
      <w:r>
        <w:rPr>
          <w:rFonts w:ascii="Avenir Next" w:hAnsi="Avenir Next"/>
          <w:sz w:val="22"/>
          <w:szCs w:val="22"/>
        </w:rPr>
        <w:t xml:space="preserve">ideas in the form of </w:t>
      </w:r>
      <w:r>
        <w:rPr>
          <w:rFonts w:ascii="Avenir Next" w:hAnsi="Avenir Next"/>
          <w:sz w:val="22"/>
          <w:szCs w:val="22"/>
        </w:rPr>
        <w:t>artistic and literary works. Increasingly, th</w:t>
      </w:r>
      <w:r>
        <w:rPr>
          <w:rFonts w:ascii="Avenir Next" w:hAnsi="Avenir Next"/>
          <w:sz w:val="22"/>
          <w:szCs w:val="22"/>
        </w:rPr>
        <w:t>e exercise of this</w:t>
      </w:r>
      <w:r>
        <w:rPr>
          <w:rFonts w:ascii="Avenir Next" w:hAnsi="Avenir Next"/>
          <w:sz w:val="22"/>
          <w:szCs w:val="22"/>
        </w:rPr>
        <w:t xml:space="preserve"> right </w:t>
      </w:r>
      <w:r>
        <w:rPr>
          <w:rFonts w:ascii="Avenir Next" w:hAnsi="Avenir Next"/>
          <w:sz w:val="22"/>
          <w:szCs w:val="22"/>
        </w:rPr>
        <w:t xml:space="preserve">by children </w:t>
      </w:r>
      <w:r>
        <w:rPr>
          <w:rFonts w:ascii="Avenir Next" w:hAnsi="Avenir Next"/>
          <w:sz w:val="22"/>
          <w:szCs w:val="22"/>
        </w:rPr>
        <w:t>has been subject to challeng</w:t>
      </w:r>
      <w:r>
        <w:rPr>
          <w:rFonts w:ascii="Avenir Next" w:hAnsi="Avenir Next"/>
          <w:sz w:val="22"/>
          <w:szCs w:val="22"/>
        </w:rPr>
        <w:t>e by states, businesses, and civil society actors alike</w:t>
      </w:r>
      <w:r>
        <w:rPr>
          <w:rFonts w:ascii="Avenir Next" w:hAnsi="Avenir Next"/>
          <w:sz w:val="22"/>
          <w:szCs w:val="22"/>
        </w:rPr>
        <w:t xml:space="preserve">. </w:t>
      </w:r>
      <w:r>
        <w:rPr>
          <w:rFonts w:ascii="Avenir Next" w:hAnsi="Avenir Next"/>
          <w:sz w:val="22"/>
          <w:szCs w:val="22"/>
        </w:rPr>
        <w:t xml:space="preserve">This is particularly the case in relation to sexual speech by children, which is frequently censored even when it is </w:t>
      </w:r>
      <w:r>
        <w:rPr>
          <w:rFonts w:ascii="Avenir Next" w:hAnsi="Avenir Next"/>
          <w:sz w:val="22"/>
          <w:szCs w:val="22"/>
        </w:rPr>
        <w:t>developmentally normal</w:t>
      </w:r>
      <w:r>
        <w:rPr>
          <w:rFonts w:ascii="Avenir Next" w:hAnsi="Avenir Next"/>
          <w:sz w:val="22"/>
          <w:szCs w:val="22"/>
        </w:rPr>
        <w:t xml:space="preserve"> and</w:t>
      </w:r>
      <w:r>
        <w:rPr>
          <w:rFonts w:ascii="Avenir Next" w:hAnsi="Avenir Next"/>
          <w:sz w:val="22"/>
          <w:szCs w:val="22"/>
        </w:rPr>
        <w:t xml:space="preserve"> age-appropriate.</w:t>
      </w:r>
    </w:p>
    <w:p>
      <w:pPr>
        <w:pStyle w:val="TextBody"/>
        <w:bidi w:val="0"/>
        <w:jc w:val="left"/>
        <w:rPr/>
      </w:pPr>
      <w:r>
        <w:rPr>
          <w:rFonts w:ascii="Avenir Next" w:hAnsi="Avenir Next"/>
          <w:sz w:val="22"/>
          <w:szCs w:val="22"/>
        </w:rPr>
        <w:t>To give one recent example, i</w:t>
      </w:r>
      <w:r>
        <w:rPr>
          <w:rFonts w:ascii="Avenir Next" w:hAnsi="Avenir Next"/>
          <w:sz w:val="22"/>
          <w:szCs w:val="22"/>
        </w:rPr>
        <w:t xml:space="preserve">n 2019, a 17 year old girl </w:t>
      </w:r>
      <w:r>
        <w:rPr>
          <w:rFonts w:ascii="Avenir Next" w:hAnsi="Avenir Next"/>
          <w:sz w:val="22"/>
          <w:szCs w:val="22"/>
        </w:rPr>
        <w:t xml:space="preserve">from Costa Rica </w:t>
      </w:r>
      <w:r>
        <w:rPr>
          <w:rFonts w:ascii="Avenir Next" w:hAnsi="Avenir Next"/>
          <w:sz w:val="22"/>
          <w:szCs w:val="22"/>
        </w:rPr>
        <w:t xml:space="preserve">was arrested for publishing </w:t>
      </w:r>
      <w:r>
        <w:rPr>
          <w:rFonts w:ascii="Avenir Next" w:hAnsi="Avenir Next"/>
          <w:sz w:val="22"/>
          <w:szCs w:val="22"/>
        </w:rPr>
        <w:t xml:space="preserve">sexualized </w:t>
      </w:r>
      <w:r>
        <w:rPr>
          <w:rFonts w:ascii="Avenir Next" w:hAnsi="Avenir Next"/>
          <w:sz w:val="22"/>
          <w:szCs w:val="22"/>
        </w:rPr>
        <w:t xml:space="preserve">cartoons on her </w:t>
      </w:r>
      <w:r>
        <w:rPr>
          <w:rFonts w:ascii="Avenir Next" w:hAnsi="Avenir Next"/>
          <w:sz w:val="22"/>
          <w:szCs w:val="22"/>
        </w:rPr>
        <w:t xml:space="preserve">blog, under a Costa Rican law that makes it unlawful to </w:t>
      </w:r>
      <w:r>
        <w:rPr>
          <w:rFonts w:ascii="Avenir Next" w:hAnsi="Avenir Next"/>
          <w:sz w:val="22"/>
          <w:szCs w:val="22"/>
        </w:rPr>
        <w:t>publish any representation of a minor engaged in a sexual situations, including in illustrated form</w:t>
      </w:r>
      <w:r>
        <w:rPr>
          <w:rFonts w:ascii="Avenir Next" w:hAnsi="Avenir Next"/>
          <w:sz w:val="22"/>
          <w:szCs w:val="22"/>
        </w:rPr>
        <w:t xml:space="preserve">. Such laws should not be used to criminalize young people for </w:t>
      </w:r>
      <w:r>
        <w:rPr>
          <w:rFonts w:ascii="Avenir Next" w:hAnsi="Avenir Next"/>
          <w:sz w:val="22"/>
          <w:szCs w:val="22"/>
        </w:rPr>
        <w:t>their creative expressions, by conflating these with real images of child abuse.</w:t>
      </w:r>
    </w:p>
    <w:p>
      <w:pPr>
        <w:pStyle w:val="TextBody"/>
        <w:bidi w:val="0"/>
        <w:jc w:val="left"/>
        <w:rPr/>
      </w:pPr>
      <w:r>
        <w:rPr>
          <w:rFonts w:ascii="Avenir Next" w:hAnsi="Avenir Next"/>
          <w:sz w:val="22"/>
          <w:szCs w:val="22"/>
        </w:rPr>
        <w:t xml:space="preserve">In </w:t>
      </w:r>
      <w:r>
        <w:rPr>
          <w:rFonts w:ascii="Avenir Next" w:hAnsi="Avenir Next"/>
          <w:sz w:val="22"/>
          <w:szCs w:val="22"/>
        </w:rPr>
        <w:t>the Committee’s</w:t>
      </w:r>
      <w:r>
        <w:rPr>
          <w:rFonts w:ascii="Avenir Next" w:hAnsi="Avenir Next"/>
          <w:sz w:val="22"/>
          <w:szCs w:val="22"/>
        </w:rPr>
        <w:t xml:space="preserve"> 2019 consultation on Draft Guidelines on the implementation of the Optional Protocol to the Convention on the Rights of the Child on the sale of children, child prostitution and child pornography, many respondents pointed out that representations of youth sexuality </w:t>
      </w:r>
      <w:r>
        <w:rPr>
          <w:rFonts w:ascii="Avenir Next" w:hAnsi="Avenir Next"/>
          <w:sz w:val="22"/>
          <w:szCs w:val="22"/>
        </w:rPr>
        <w:t xml:space="preserve">in fiction and art </w:t>
      </w:r>
      <w:r>
        <w:rPr>
          <w:rFonts w:ascii="Avenir Next" w:hAnsi="Avenir Next"/>
          <w:sz w:val="22"/>
          <w:szCs w:val="22"/>
        </w:rPr>
        <w:t xml:space="preserve">are not </w:t>
      </w:r>
      <w:r>
        <w:rPr>
          <w:rFonts w:ascii="Avenir Next" w:hAnsi="Avenir Next"/>
          <w:sz w:val="22"/>
          <w:szCs w:val="22"/>
        </w:rPr>
        <w:t>inherently abusive, nor do they necessarily reveal pedophilic mindset on the part of either the creator or consumer of such works</w:t>
      </w:r>
      <w:r>
        <w:rPr>
          <w:rFonts w:ascii="Avenir Next" w:hAnsi="Avenir Next"/>
          <w:sz w:val="22"/>
          <w:szCs w:val="22"/>
        </w:rPr>
        <w:t>.</w:t>
      </w:r>
    </w:p>
    <w:p>
      <w:pPr>
        <w:pStyle w:val="TextBody"/>
        <w:bidi w:val="0"/>
        <w:jc w:val="left"/>
        <w:rPr/>
      </w:pPr>
      <w:r>
        <w:rPr>
          <w:rFonts w:ascii="Avenir Next" w:hAnsi="Avenir Next"/>
          <w:sz w:val="22"/>
          <w:szCs w:val="22"/>
        </w:rPr>
        <w:t xml:space="preserve">Over 17 thousand individuals signed a petition, organized by Prostasia Foundation, </w:t>
      </w:r>
      <w:r>
        <w:rPr>
          <w:rFonts w:ascii="Avenir Next" w:hAnsi="Avenir Next"/>
          <w:sz w:val="22"/>
          <w:szCs w:val="22"/>
        </w:rPr>
        <w:t>urging the Committee not to accept any “recommendation that state parties censor or criminalize artistic or literary representations of imaginary or fictional children,” because there is no evidence that such representations result in harm to real children.</w:t>
      </w:r>
      <w:r>
        <w:rPr>
          <w:rStyle w:val="FootnoteAnchor"/>
          <w:rFonts w:ascii="Avenir Next" w:hAnsi="Avenir Next"/>
          <w:sz w:val="22"/>
          <w:szCs w:val="22"/>
        </w:rPr>
        <w:footnoteReference w:id="4"/>
      </w:r>
    </w:p>
    <w:p>
      <w:pPr>
        <w:pStyle w:val="TextBody"/>
        <w:bidi w:val="0"/>
        <w:jc w:val="left"/>
        <w:rPr/>
      </w:pPr>
      <w:r>
        <w:rPr>
          <w:rFonts w:ascii="Avenir Next" w:hAnsi="Avenir Next"/>
          <w:sz w:val="22"/>
          <w:szCs w:val="22"/>
        </w:rPr>
        <w:t xml:space="preserve">Scholar Anna Madill, writing about </w:t>
      </w:r>
      <w:r>
        <w:rPr>
          <w:rFonts w:ascii="Avenir Next" w:hAnsi="Avenir Next"/>
          <w:sz w:val="22"/>
          <w:szCs w:val="22"/>
        </w:rPr>
        <w:t>the criminalization of representations of queer youth sexuality in cartoon form in the United Kingdom, warns that:</w:t>
      </w:r>
    </w:p>
    <w:p>
      <w:pPr>
        <w:pStyle w:val="TextBody"/>
        <w:bidi w:val="0"/>
        <w:ind w:left="709" w:hanging="0"/>
        <w:jc w:val="left"/>
        <w:rPr/>
      </w:pPr>
      <w:r>
        <w:rPr>
          <w:rFonts w:ascii="Avenir Next" w:hAnsi="Avenir Next"/>
          <w:sz w:val="22"/>
          <w:szCs w:val="22"/>
        </w:rPr>
        <w:t>well-meaning efforts to protect children will potentially criminalize a sexually benign youth demographic, most of whom are teenage girls and young women, literate with the conventions of explicit romance in which the protagonists are, to many of them, age-appropriate boys and youths.</w:t>
      </w:r>
      <w:r>
        <w:rPr>
          <w:rStyle w:val="FootnoteAnchor"/>
          <w:rFonts w:ascii="Avenir Next" w:hAnsi="Avenir Next"/>
          <w:sz w:val="22"/>
          <w:szCs w:val="22"/>
        </w:rPr>
        <w:footnoteReference w:id="5"/>
      </w:r>
    </w:p>
    <w:p>
      <w:pPr>
        <w:pStyle w:val="TextBody"/>
        <w:bidi w:val="0"/>
        <w:jc w:val="left"/>
        <w:rPr/>
      </w:pPr>
      <w:r>
        <w:rPr>
          <w:rFonts w:ascii="Avenir Next" w:hAnsi="Avenir Next"/>
          <w:sz w:val="22"/>
          <w:szCs w:val="22"/>
        </w:rPr>
        <w:t>T</w:t>
      </w:r>
      <w:r>
        <w:rPr>
          <w:rFonts w:ascii="Avenir Next" w:hAnsi="Avenir Next"/>
          <w:sz w:val="22"/>
          <w:szCs w:val="22"/>
        </w:rPr>
        <w:t xml:space="preserve">he criminalization of such </w:t>
      </w:r>
      <w:r>
        <w:rPr>
          <w:rFonts w:ascii="Avenir Next" w:hAnsi="Avenir Next"/>
          <w:sz w:val="22"/>
          <w:szCs w:val="22"/>
        </w:rPr>
        <w:t>representations</w:t>
      </w:r>
      <w:r>
        <w:rPr>
          <w:rFonts w:ascii="Avenir Next" w:hAnsi="Avenir Next"/>
          <w:sz w:val="22"/>
          <w:szCs w:val="22"/>
        </w:rPr>
        <w:t xml:space="preserve">, </w:t>
      </w:r>
      <w:r>
        <w:rPr>
          <w:rFonts w:ascii="Avenir Next" w:hAnsi="Avenir Next"/>
          <w:sz w:val="22"/>
          <w:szCs w:val="22"/>
        </w:rPr>
        <w:t xml:space="preserve">especially those created by children, </w:t>
      </w:r>
      <w:r>
        <w:rPr>
          <w:rFonts w:ascii="Avenir Next" w:hAnsi="Avenir Next"/>
          <w:sz w:val="22"/>
          <w:szCs w:val="22"/>
        </w:rPr>
        <w:t>is</w:t>
      </w:r>
      <w:r>
        <w:rPr>
          <w:rFonts w:ascii="Avenir Next" w:hAnsi="Avenir Next"/>
          <w:sz w:val="22"/>
          <w:szCs w:val="22"/>
        </w:rPr>
        <w:t xml:space="preserve"> stigmatizing </w:t>
      </w:r>
      <w:r>
        <w:rPr>
          <w:rFonts w:ascii="Avenir Next" w:hAnsi="Avenir Next"/>
          <w:sz w:val="22"/>
          <w:szCs w:val="22"/>
        </w:rPr>
        <w:t xml:space="preserve">and harmful. In some jurisdictions, children as young as 10 years old can be listed on sex offense registries for creating or sharing such images, with dire long-term consequences for their health and wellbeing, their familial and dating relationships, and their future employment and housing. </w:t>
      </w:r>
      <w:r>
        <w:rPr>
          <w:rFonts w:ascii="Avenir Next" w:hAnsi="Avenir Next"/>
          <w:sz w:val="22"/>
          <w:szCs w:val="22"/>
        </w:rPr>
        <w:t xml:space="preserve">Given the lack of evidence of harm caused by such representations, there can be no justification for children being held criminally responsible </w:t>
      </w:r>
      <w:r>
        <w:rPr>
          <w:rFonts w:ascii="Avenir Next" w:hAnsi="Avenir Next"/>
          <w:sz w:val="22"/>
          <w:szCs w:val="22"/>
        </w:rPr>
        <w:t>for</w:t>
      </w:r>
      <w:r>
        <w:rPr>
          <w:rFonts w:ascii="Avenir Next" w:hAnsi="Avenir Next"/>
          <w:sz w:val="22"/>
          <w:szCs w:val="22"/>
        </w:rPr>
        <w:t xml:space="preserve"> them.</w:t>
      </w:r>
    </w:p>
    <w:p>
      <w:pPr>
        <w:pStyle w:val="TextBody"/>
        <w:bidi w:val="0"/>
        <w:jc w:val="left"/>
        <w:rPr>
          <w:rFonts w:ascii="Avenir Next" w:hAnsi="Avenir Next"/>
          <w:sz w:val="22"/>
          <w:szCs w:val="22"/>
        </w:rPr>
      </w:pPr>
      <w:r>
        <w:rPr>
          <w:rFonts w:ascii="Avenir Next" w:hAnsi="Avenir Next"/>
          <w:b/>
          <w:bCs/>
          <w:sz w:val="22"/>
          <w:szCs w:val="22"/>
        </w:rPr>
        <w:t>We recommend that in paragraph 61, “Children should not be prosecuted for expressing their opinions in the digital environment” should be amended to “Children should not be prosecuted for exercising their freedom of expression in the digital environment.”</w:t>
      </w:r>
    </w:p>
    <w:p>
      <w:pPr>
        <w:pStyle w:val="TextBody"/>
        <w:bidi w:val="0"/>
        <w:jc w:val="left"/>
        <w:rPr>
          <w:rFonts w:ascii="Avenir Next" w:hAnsi="Avenir Next"/>
          <w:sz w:val="22"/>
          <w:szCs w:val="22"/>
        </w:rPr>
      </w:pPr>
      <w:r>
        <w:rPr>
          <w:rFonts w:ascii="Avenir Next" w:hAnsi="Avenir Next"/>
          <w:sz w:val="22"/>
          <w:szCs w:val="22"/>
        </w:rPr>
      </w:r>
    </w:p>
    <w:p>
      <w:pPr>
        <w:pStyle w:val="TextBody"/>
        <w:bidi w:val="0"/>
        <w:spacing w:before="0" w:after="140"/>
        <w:jc w:val="left"/>
        <w:rPr>
          <w:rFonts w:ascii="Avenir Next" w:hAnsi="Avenir Next"/>
          <w:sz w:val="22"/>
          <w:szCs w:val="22"/>
        </w:rPr>
      </w:pPr>
      <w:r>
        <w:rPr>
          <w:rFonts w:ascii="Avenir Next" w:hAnsi="Avenir Next"/>
          <w:sz w:val="22"/>
          <w:szCs w:val="22"/>
        </w:rPr>
      </w:r>
    </w:p>
    <w:sectPr>
      <w:footnotePr>
        <w:numFmt w:val="decimal"/>
      </w:footnote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venir Next">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suppressLineNumbers/>
        <w:bidi w:val="0"/>
        <w:ind w:left="339" w:hanging="339"/>
        <w:jc w:val="left"/>
        <w:rPr/>
      </w:pPr>
      <w:r>
        <w:rPr>
          <w:rStyle w:val="FootnoteCharacters"/>
        </w:rPr>
        <w:footnoteRef/>
      </w:r>
      <w:r>
        <w:rPr/>
        <w:tab/>
        <w:t xml:space="preserve">UN Committee on the Rights of the Child (CRC), </w:t>
      </w:r>
      <w:r>
        <w:rPr>
          <w:i/>
          <w:iCs/>
        </w:rPr>
        <w:t>General comment No. 14 (2013) on the right of the child to have his or her best interests taken as a primary consideration (art. 3, para. 1)</w:t>
      </w:r>
      <w:r>
        <w:rPr/>
        <w:t>, 29 May 2013, CRC /C/GC/14, available at: https://www.refworld.org/docid/51a84b5e4.html [accessed 3 November 2020]</w:t>
      </w:r>
    </w:p>
  </w:footnote>
  <w:footnote w:id="3">
    <w:p>
      <w:pPr>
        <w:pStyle w:val="Footnote"/>
        <w:bidi w:val="0"/>
        <w:jc w:val="left"/>
        <w:rPr/>
      </w:pPr>
      <w:r>
        <w:rPr>
          <w:rStyle w:val="FootnoteCharacters"/>
        </w:rPr>
        <w:footnoteRef/>
      </w:r>
      <w:r>
        <w:rPr/>
        <w:tab/>
        <w:t xml:space="preserve">Special Rapporteur on the promotion and protection of the right to freedom of opinion and expression, </w:t>
      </w:r>
      <w:r>
        <w:rPr>
          <w:i/>
          <w:iCs/>
        </w:rPr>
        <w:t>Report on encryption, anonymity, and the human rights framework</w:t>
      </w:r>
      <w:r>
        <w:rPr/>
        <w:t xml:space="preserve">, </w:t>
      </w:r>
      <w:r>
        <w:rPr/>
        <w:t>22 May 2015, A/HRC/29/32, available at https://www.ohchr.org/EN/Issues/FreedomOpinion/Pages/CallForSubmission.aspx [accessed 3 November 2020]</w:t>
      </w:r>
    </w:p>
  </w:footnote>
  <w:footnote w:id="4">
    <w:p>
      <w:pPr>
        <w:pStyle w:val="Footnote"/>
        <w:suppressLineNumbers/>
        <w:bidi w:val="0"/>
        <w:ind w:left="339" w:hanging="339"/>
        <w:jc w:val="left"/>
        <w:rPr/>
      </w:pPr>
      <w:r>
        <w:rPr>
          <w:rStyle w:val="FootnoteCharacters"/>
        </w:rPr>
        <w:footnoteRef/>
      </w:r>
      <w:r>
        <w:rPr>
          <w:i/>
          <w:iCs/>
        </w:rPr>
        <w:tab/>
        <w:t>Petition to the Committee on the Rights of the Child on Draft Guidelines on the implementation of the OPSC</w:t>
      </w:r>
      <w:r>
        <w:rPr/>
        <w:t xml:space="preserve">, 31 March 2019, </w:t>
      </w:r>
      <w:r>
        <w:rPr/>
        <w:t>available at https://www.ohchr.org/Documents/HRBodies/CRC/Guidelines/Prostasia.docx.</w:t>
      </w:r>
    </w:p>
  </w:footnote>
  <w:footnote w:id="5">
    <w:p>
      <w:pPr>
        <w:pStyle w:val="Footnote"/>
        <w:bidi w:val="0"/>
        <w:jc w:val="left"/>
        <w:rPr/>
      </w:pPr>
      <w:r>
        <w:rPr>
          <w:rStyle w:val="FootnoteCharacters"/>
        </w:rPr>
        <w:footnoteRef/>
      </w:r>
      <w:r>
        <w:rPr/>
        <w:tab/>
        <w:t>Madill, Anna. “</w:t>
      </w:r>
      <w:r>
        <w:rPr>
          <w:i/>
          <w:iCs/>
        </w:rPr>
        <w:t>Boys’ Love</w:t>
      </w:r>
      <w:r>
        <w:rPr>
          <w:i w:val="false"/>
          <w:iCs w:val="false"/>
        </w:rPr>
        <w:t xml:space="preserve"> Manga for Girls: Paedophilia, Satirical, Queer Readings and English Law” in Renold, Emma et. al. (eds)</w:t>
      </w:r>
      <w:r>
        <w:rPr>
          <w:i/>
          <w:iCs/>
        </w:rPr>
        <w:t xml:space="preserve"> Children, Sexuality and Sexualization</w:t>
      </w:r>
      <w:r>
        <w:rPr>
          <w:i w:val="false"/>
          <w:iCs w:val="false"/>
        </w:rPr>
        <w:t xml:space="preserve">. Palgrove MacMillan, London, 2015, </w:t>
      </w:r>
      <w:r>
        <w:rPr>
          <w:i w:val="false"/>
          <w:iCs w:val="false"/>
        </w:rPr>
        <w:t>273,</w:t>
      </w:r>
      <w:r>
        <w:rPr>
          <w:i/>
          <w:iCs/>
        </w:rPr>
        <w:t xml:space="preserve"> </w:t>
      </w:r>
      <w:r>
        <w:rPr/>
        <w:t>285.</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mailMerge>
    <w:mainDocumentType w:val="formLetters"/>
    <w:dataType w:val="textFile"/>
    <w:query w:val="SELECT * FROM senators.dbo.senators$"/>
  </w:mailMerge>
  <w:autoHyphenation w:val="tru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Arial Unicode MS" w:cs="Arial Unicode MS"/>
      <w:color w:val="auto"/>
      <w:kern w:val="2"/>
      <w:sz w:val="24"/>
      <w:szCs w:val="24"/>
      <w:lang w:val="en-US" w:eastAsia="zh-CN" w:bidi="hi-IN"/>
    </w:rPr>
  </w:style>
  <w:style w:type="paragraph" w:styleId="Heading2">
    <w:name w:val="Heading 2"/>
    <w:basedOn w:val="Heading"/>
    <w:next w:val="TextBody"/>
    <w:qFormat/>
    <w:pPr>
      <w:numPr>
        <w:ilvl w:val="1"/>
        <w:numId w:val="1"/>
      </w:numPr>
      <w:spacing w:before="200" w:after="120"/>
      <w:outlineLvl w:val="1"/>
    </w:pPr>
    <w:rPr>
      <w:b/>
      <w:bCs/>
      <w:sz w:val="32"/>
      <w:szCs w:val="32"/>
    </w:rPr>
  </w:style>
  <w:style w:type="character" w:styleId="InternetLink">
    <w:name w:val="Hyperlink"/>
    <w:rPr>
      <w:color w:val="000080"/>
      <w:u w:val="single"/>
      <w:lang w:val="zxx" w:eastAsia="zxx" w:bidi="zxx"/>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FrameContents">
    <w:name w:val="Frame Contents"/>
    <w:basedOn w:val="Normal"/>
    <w:qFormat/>
    <w:pPr/>
    <w:rPr/>
  </w:style>
  <w:style w:type="paragraph" w:styleId="Footnote">
    <w:name w:val="Footnote Text"/>
    <w:basedOn w:val="Normal"/>
    <w:pPr>
      <w:suppressLineNumbers/>
      <w:ind w:left="339" w:hanging="339"/>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notes" Target="footnotes.xml"/><Relationship Id="rId7" Type="http://schemas.openxmlformats.org/officeDocument/2006/relationships/customXml" Target="../customXml/item1.xml"/><Relationship Id="rId2" Type="http://schemas.openxmlformats.org/officeDocument/2006/relationships/image" Target="media/image1.png"/><Relationship Id="rId1" Type="http://schemas.openxmlformats.org/officeDocument/2006/relationships/styles" Target="styles.xml"/><Relationship Id="rId6" Type="http://schemas.openxmlformats.org/officeDocument/2006/relationships/settings" Target="settings.xml"/><Relationship Id="rId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81570A-9A86-4EA6-851D-499B2BF29391}"/>
</file>

<file path=customXml/itemProps2.xml><?xml version="1.0" encoding="utf-8"?>
<ds:datastoreItem xmlns:ds="http://schemas.openxmlformats.org/officeDocument/2006/customXml" ds:itemID="{0A6426D0-204B-4073-BCCC-E69F58B424B5}"/>
</file>

<file path=customXml/itemProps3.xml><?xml version="1.0" encoding="utf-8"?>
<ds:datastoreItem xmlns:ds="http://schemas.openxmlformats.org/officeDocument/2006/customXml" ds:itemID="{BACF8718-B14D-4CE4-8B29-62F68454E7DA}"/>
</file>

<file path=docProps/app.xml><?xml version="1.0" encoding="utf-8"?>
<Properties xmlns="http://schemas.openxmlformats.org/officeDocument/2006/extended-properties" xmlns:vt="http://schemas.openxmlformats.org/officeDocument/2006/docPropsVTypes">
  <Template>Letter</Template>
  <TotalTime>17</TotalTime>
  <Application>LibreOffice/6.4.4.2$MacOSX_X86_64 LibreOffice_project/3d775be2011f3886db32dfd395a6a6d1ca2630ff</Application>
  <Pages>4</Pages>
  <Words>1697</Words>
  <Characters>9494</Characters>
  <CharactersWithSpaces>11156</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6</cp:revision>
  <dcterms:created xsi:type="dcterms:W3CDTF">2020-11-03T08:52:11Z</dcterms:created>
  <dcterms:modified xsi:type="dcterms:W3CDTF">2020-11-03T13:00:48Z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