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5BA35" w14:textId="77777777" w:rsidR="00E76FA0" w:rsidRPr="00E76FA0" w:rsidRDefault="008F707D" w:rsidP="00E76FA0">
      <w:pPr>
        <w:jc w:val="center"/>
        <w:rPr>
          <w:rFonts w:ascii="Helvetica" w:hAnsi="Helvetica" w:cs="Times New Roman"/>
          <w:sz w:val="24"/>
          <w:szCs w:val="24"/>
        </w:rPr>
      </w:pPr>
      <w:r w:rsidRPr="004468FA">
        <w:rPr>
          <w:rFonts w:ascii="Helvetica" w:hAnsi="Helvetica"/>
          <w:noProof/>
          <w:color w:val="auto"/>
          <w:lang w:eastAsia="en-US"/>
        </w:rPr>
        <w:drawing>
          <wp:anchor distT="0" distB="0" distL="114300" distR="114300" simplePos="0" relativeHeight="251663360" behindDoc="0" locked="0" layoutInCell="1" allowOverlap="1" wp14:anchorId="763B161D" wp14:editId="53CC51CB">
            <wp:simplePos x="0" y="0"/>
            <wp:positionH relativeFrom="column">
              <wp:posOffset>-426015</wp:posOffset>
            </wp:positionH>
            <wp:positionV relativeFrom="paragraph">
              <wp:posOffset>610</wp:posOffset>
            </wp:positionV>
            <wp:extent cx="1113155" cy="958850"/>
            <wp:effectExtent l="0" t="0" r="4445" b="635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mpany nam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654498" w14:textId="4C37C071" w:rsidR="00E76FA0" w:rsidRPr="00553255" w:rsidRDefault="00E76FA0" w:rsidP="00A162DE">
      <w:pPr>
        <w:pStyle w:val="Normal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53255">
        <w:rPr>
          <w:rFonts w:ascii="Times New Roman" w:hAnsi="Times New Roman" w:cs="Times New Roman"/>
          <w:b/>
          <w:bCs/>
          <w:sz w:val="24"/>
          <w:szCs w:val="24"/>
        </w:rPr>
        <w:t>Submission to the United Nations Committee on the Rights of the Child</w:t>
      </w:r>
      <w:r w:rsidR="00A162DE" w:rsidRPr="005532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3255">
        <w:rPr>
          <w:rFonts w:ascii="Times New Roman" w:hAnsi="Times New Roman" w:cs="Times New Roman"/>
          <w:b/>
          <w:bCs/>
          <w:sz w:val="24"/>
          <w:szCs w:val="24"/>
        </w:rPr>
        <w:t xml:space="preserve">in response to the </w:t>
      </w:r>
      <w:r w:rsidRPr="0055325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Draft General Comment No. 25 on </w:t>
      </w:r>
      <w:r w:rsidRPr="00553255">
        <w:rPr>
          <w:rFonts w:ascii="Times New Roman" w:hAnsi="Times New Roman" w:cs="Times New Roman"/>
          <w:b/>
          <w:bCs/>
          <w:sz w:val="24"/>
          <w:szCs w:val="24"/>
          <w:lang w:val="en-GB"/>
        </w:rPr>
        <w:br/>
        <w:t>Children’s rights in relation to the digital environment</w:t>
      </w:r>
    </w:p>
    <w:p w14:paraId="671C1A78" w14:textId="59CF04D2" w:rsidR="00AA64A9" w:rsidRDefault="00AA64A9" w:rsidP="00AA64A9">
      <w:pPr>
        <w:pStyle w:val="Normal1"/>
        <w:jc w:val="both"/>
        <w:rPr>
          <w:rFonts w:ascii="Helvetica" w:hAnsi="Helvetica" w:cs="Times New Roman"/>
          <w:sz w:val="24"/>
          <w:szCs w:val="24"/>
        </w:rPr>
      </w:pPr>
    </w:p>
    <w:p w14:paraId="75F8C886" w14:textId="77777777" w:rsidR="002C1958" w:rsidRDefault="002C1958" w:rsidP="00AA64A9">
      <w:pPr>
        <w:pStyle w:val="Normal1"/>
        <w:jc w:val="both"/>
        <w:rPr>
          <w:rFonts w:ascii="Helvetica" w:hAnsi="Helvetica" w:cs="Times New Roman"/>
          <w:i/>
          <w:iCs/>
          <w:sz w:val="24"/>
          <w:szCs w:val="24"/>
        </w:rPr>
      </w:pPr>
    </w:p>
    <w:p w14:paraId="3C305AC4" w14:textId="77777777" w:rsidR="00D86DAE" w:rsidRPr="00553255" w:rsidRDefault="00E76FA0" w:rsidP="00D86DAE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iCs/>
        </w:rPr>
      </w:pPr>
      <w:r w:rsidRPr="00553255">
        <w:rPr>
          <w:rFonts w:ascii="Times New Roman" w:hAnsi="Times New Roman" w:cs="Times New Roman"/>
          <w:i/>
          <w:iCs/>
        </w:rPr>
        <w:t xml:space="preserve">Contributors: </w:t>
      </w:r>
    </w:p>
    <w:p w14:paraId="2616DDA2" w14:textId="77777777" w:rsidR="00AA64A9" w:rsidRPr="00553255" w:rsidRDefault="00AA64A9" w:rsidP="00D86DAE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iCs/>
        </w:rPr>
      </w:pPr>
      <w:r w:rsidRPr="00553255">
        <w:rPr>
          <w:rFonts w:ascii="Times New Roman" w:hAnsi="Times New Roman" w:cs="Times New Roman"/>
          <w:i/>
          <w:iCs/>
        </w:rPr>
        <w:br/>
      </w:r>
      <w:r w:rsidR="00066BC2" w:rsidRPr="00553255">
        <w:rPr>
          <w:rFonts w:ascii="Times New Roman" w:hAnsi="Times New Roman" w:cs="Times New Roman"/>
          <w:b/>
          <w:bCs/>
        </w:rPr>
        <w:t>Professor Susan PERRY</w:t>
      </w:r>
      <w:r w:rsidR="00066BC2" w:rsidRPr="00553255">
        <w:rPr>
          <w:rFonts w:ascii="Times New Roman" w:hAnsi="Times New Roman" w:cs="Times New Roman"/>
        </w:rPr>
        <w:t xml:space="preserve">, a specialist in international human rights law and children’s rights, directs </w:t>
      </w:r>
      <w:r w:rsidR="00D86DAE" w:rsidRPr="00553255">
        <w:rPr>
          <w:rFonts w:ascii="Times New Roman" w:hAnsi="Times New Roman" w:cs="Times New Roman"/>
        </w:rPr>
        <w:t xml:space="preserve">the </w:t>
      </w:r>
      <w:r w:rsidR="00066BC2" w:rsidRPr="00553255">
        <w:rPr>
          <w:rFonts w:ascii="Times New Roman" w:hAnsi="Times New Roman" w:cs="Times New Roman"/>
        </w:rPr>
        <w:t xml:space="preserve">graduate program in </w:t>
      </w:r>
      <w:r w:rsidR="00D86DAE" w:rsidRPr="00553255">
        <w:rPr>
          <w:rFonts w:ascii="Times New Roman" w:hAnsi="Times New Roman" w:cs="Times New Roman"/>
        </w:rPr>
        <w:t>Diplomacy</w:t>
      </w:r>
      <w:r w:rsidR="00066BC2" w:rsidRPr="00553255">
        <w:rPr>
          <w:rFonts w:ascii="Times New Roman" w:hAnsi="Times New Roman" w:cs="Times New Roman"/>
        </w:rPr>
        <w:t xml:space="preserve"> and International Law at The American University of Paris. </w:t>
      </w:r>
      <w:r w:rsidRPr="00553255">
        <w:rPr>
          <w:rFonts w:ascii="Times New Roman" w:hAnsi="Times New Roman" w:cs="Times New Roman"/>
        </w:rPr>
        <w:t xml:space="preserve">She is currently serving on the advisory board of a European Union project on ethical AI. </w:t>
      </w:r>
      <w:r w:rsidR="00066BC2" w:rsidRPr="00553255">
        <w:rPr>
          <w:rFonts w:ascii="Times New Roman" w:hAnsi="Times New Roman" w:cs="Times New Roman"/>
        </w:rPr>
        <w:t xml:space="preserve">Contact: </w:t>
      </w:r>
      <w:hyperlink r:id="rId8" w:history="1">
        <w:r w:rsidRPr="00553255">
          <w:rPr>
            <w:rStyle w:val="Hyperlink"/>
            <w:rFonts w:ascii="Times New Roman" w:hAnsi="Times New Roman" w:cs="Times New Roman"/>
          </w:rPr>
          <w:t>sperry@aup.edu</w:t>
        </w:r>
      </w:hyperlink>
    </w:p>
    <w:p w14:paraId="56414DD1" w14:textId="77777777" w:rsidR="00AA64A9" w:rsidRPr="00553255" w:rsidRDefault="00066BC2" w:rsidP="00D86D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2"/>
          <w:szCs w:val="22"/>
        </w:rPr>
      </w:pPr>
      <w:r w:rsidRPr="00553255">
        <w:rPr>
          <w:b/>
          <w:bCs/>
          <w:sz w:val="22"/>
          <w:szCs w:val="22"/>
        </w:rPr>
        <w:t xml:space="preserve">Professor Claudia RODA </w:t>
      </w:r>
      <w:r w:rsidRPr="00553255">
        <w:rPr>
          <w:sz w:val="22"/>
          <w:szCs w:val="22"/>
        </w:rPr>
        <w:t>is professor of Computer Science and former Dean at The American University of Paris. Her research focuse</w:t>
      </w:r>
      <w:r w:rsidR="00A162DE" w:rsidRPr="00553255">
        <w:rPr>
          <w:sz w:val="22"/>
          <w:szCs w:val="22"/>
        </w:rPr>
        <w:t>s</w:t>
      </w:r>
      <w:r w:rsidRPr="00553255">
        <w:rPr>
          <w:sz w:val="22"/>
          <w:szCs w:val="22"/>
        </w:rPr>
        <w:t xml:space="preserve"> on the impact of digital technology on human behavior and social structures. She is the co-founder, with Professor Susan Perry, of the Research Center on Human Rights and Digital Technology</w:t>
      </w:r>
      <w:r w:rsidR="00A162DE" w:rsidRPr="00553255">
        <w:rPr>
          <w:sz w:val="22"/>
          <w:szCs w:val="22"/>
        </w:rPr>
        <w:t xml:space="preserve"> (CEDT)</w:t>
      </w:r>
      <w:r w:rsidRPr="00553255">
        <w:rPr>
          <w:sz w:val="22"/>
          <w:szCs w:val="22"/>
        </w:rPr>
        <w:t xml:space="preserve">. Contact: </w:t>
      </w:r>
      <w:hyperlink r:id="rId9" w:history="1">
        <w:r w:rsidR="00AA64A9" w:rsidRPr="00553255">
          <w:rPr>
            <w:rStyle w:val="Hyperlink"/>
            <w:sz w:val="22"/>
            <w:szCs w:val="22"/>
          </w:rPr>
          <w:t>croda@aup.edu</w:t>
        </w:r>
      </w:hyperlink>
    </w:p>
    <w:p w14:paraId="717249BE" w14:textId="753BB3F4" w:rsidR="000D4E64" w:rsidRPr="00553255" w:rsidRDefault="00066BC2" w:rsidP="002C195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2"/>
          <w:szCs w:val="22"/>
        </w:rPr>
      </w:pPr>
      <w:r w:rsidRPr="00553255">
        <w:rPr>
          <w:b/>
          <w:bCs/>
          <w:sz w:val="22"/>
          <w:szCs w:val="22"/>
        </w:rPr>
        <w:t xml:space="preserve">Nicole SANTIAGO </w:t>
      </w:r>
      <w:r w:rsidRPr="00553255">
        <w:rPr>
          <w:sz w:val="22"/>
          <w:szCs w:val="22"/>
        </w:rPr>
        <w:t>is an international human rights lawyer</w:t>
      </w:r>
      <w:r w:rsidR="00AA64A9" w:rsidRPr="00553255">
        <w:rPr>
          <w:sz w:val="22"/>
          <w:szCs w:val="22"/>
        </w:rPr>
        <w:t xml:space="preserve"> and technology consultant</w:t>
      </w:r>
      <w:r w:rsidRPr="00553255">
        <w:rPr>
          <w:sz w:val="22"/>
          <w:szCs w:val="22"/>
        </w:rPr>
        <w:t xml:space="preserve">. She recently completed a Master’s in International Law and Diplomacy, and </w:t>
      </w:r>
      <w:r w:rsidR="00AA64A9" w:rsidRPr="00553255">
        <w:rPr>
          <w:sz w:val="22"/>
          <w:szCs w:val="22"/>
        </w:rPr>
        <w:t xml:space="preserve">is a research partner at the </w:t>
      </w:r>
      <w:r w:rsidR="00D86DAE" w:rsidRPr="00553255">
        <w:rPr>
          <w:sz w:val="22"/>
          <w:szCs w:val="22"/>
        </w:rPr>
        <w:t>Research Center on Human Rights and Digital Technology</w:t>
      </w:r>
      <w:r w:rsidRPr="00553255">
        <w:rPr>
          <w:sz w:val="22"/>
          <w:szCs w:val="22"/>
        </w:rPr>
        <w:t xml:space="preserve">. Contact: </w:t>
      </w:r>
      <w:hyperlink r:id="rId10" w:history="1">
        <w:r w:rsidR="000D4E64" w:rsidRPr="00553255">
          <w:rPr>
            <w:rStyle w:val="Hyperlink"/>
            <w:sz w:val="22"/>
            <w:szCs w:val="22"/>
          </w:rPr>
          <w:t>nicoleelizabethsantiago@gmail.com</w:t>
        </w:r>
      </w:hyperlink>
    </w:p>
    <w:p w14:paraId="14F8D10C" w14:textId="77777777" w:rsidR="00553255" w:rsidRDefault="00553255" w:rsidP="004C51E8">
      <w:pPr>
        <w:pStyle w:val="Normal1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E0508A1" w14:textId="4C9BEDA6" w:rsidR="004C51E8" w:rsidRPr="00553255" w:rsidRDefault="00E76FA0" w:rsidP="004C51E8">
      <w:pPr>
        <w:pStyle w:val="Normal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3255">
        <w:rPr>
          <w:rFonts w:ascii="Times New Roman" w:hAnsi="Times New Roman" w:cs="Times New Roman"/>
          <w:sz w:val="24"/>
          <w:szCs w:val="24"/>
        </w:rPr>
        <w:t xml:space="preserve">The </w:t>
      </w:r>
      <w:r w:rsidR="00AA64A9" w:rsidRPr="005532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Research Center on</w:t>
      </w:r>
      <w:r w:rsidRPr="005532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Human Rights and Digital Technology</w:t>
      </w:r>
      <w:r w:rsidR="006836B5" w:rsidRPr="00553255">
        <w:rPr>
          <w:rFonts w:ascii="Times New Roman" w:hAnsi="Times New Roman" w:cs="Times New Roman"/>
          <w:sz w:val="24"/>
          <w:szCs w:val="24"/>
        </w:rPr>
        <w:t xml:space="preserve"> </w:t>
      </w:r>
      <w:r w:rsidR="00A162DE" w:rsidRPr="00553255">
        <w:rPr>
          <w:rFonts w:ascii="Times New Roman" w:hAnsi="Times New Roman" w:cs="Times New Roman"/>
          <w:sz w:val="24"/>
          <w:szCs w:val="24"/>
        </w:rPr>
        <w:t xml:space="preserve">(the Center) </w:t>
      </w:r>
      <w:r w:rsidR="006836B5" w:rsidRPr="00553255">
        <w:rPr>
          <w:rFonts w:ascii="Times New Roman" w:hAnsi="Times New Roman" w:cs="Times New Roman"/>
          <w:sz w:val="24"/>
          <w:szCs w:val="24"/>
        </w:rPr>
        <w:t xml:space="preserve">welcomes the opportunity to provide input on this draft General Comment from the Committee on the Rights of the Child (the Committee). The Center’s expertise </w:t>
      </w:r>
      <w:r w:rsidR="00A162DE" w:rsidRPr="00553255">
        <w:rPr>
          <w:rFonts w:ascii="Times New Roman" w:hAnsi="Times New Roman" w:cs="Times New Roman"/>
          <w:sz w:val="24"/>
          <w:szCs w:val="24"/>
        </w:rPr>
        <w:t>o</w:t>
      </w:r>
      <w:r w:rsidR="006836B5" w:rsidRPr="00553255">
        <w:rPr>
          <w:rFonts w:ascii="Times New Roman" w:hAnsi="Times New Roman" w:cs="Times New Roman"/>
          <w:sz w:val="24"/>
          <w:szCs w:val="24"/>
        </w:rPr>
        <w:t>n the impact of digital technology on children’s rights is well-established</w:t>
      </w:r>
      <w:r w:rsidRPr="00553255">
        <w:rPr>
          <w:rFonts w:ascii="Times New Roman" w:hAnsi="Times New Roman" w:cs="Times New Roman"/>
          <w:sz w:val="24"/>
          <w:szCs w:val="24"/>
        </w:rPr>
        <w:t>.</w:t>
      </w:r>
      <w:r w:rsidR="006836B5" w:rsidRPr="00553255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="006836B5" w:rsidRPr="00553255">
        <w:rPr>
          <w:rFonts w:ascii="Times New Roman" w:hAnsi="Times New Roman" w:cs="Times New Roman"/>
          <w:sz w:val="24"/>
          <w:szCs w:val="24"/>
        </w:rPr>
        <w:t xml:space="preserve"> We congratulate the Committee for their thoroughness in analy</w:t>
      </w:r>
      <w:r w:rsidRPr="00553255">
        <w:rPr>
          <w:rFonts w:ascii="Times New Roman" w:hAnsi="Times New Roman" w:cs="Times New Roman"/>
          <w:sz w:val="24"/>
          <w:szCs w:val="24"/>
        </w:rPr>
        <w:t>z</w:t>
      </w:r>
      <w:r w:rsidR="006836B5" w:rsidRPr="00553255">
        <w:rPr>
          <w:rFonts w:ascii="Times New Roman" w:hAnsi="Times New Roman" w:cs="Times New Roman"/>
          <w:sz w:val="24"/>
          <w:szCs w:val="24"/>
        </w:rPr>
        <w:t xml:space="preserve">ing the current state of the art of digital technology with respect to children. </w:t>
      </w:r>
    </w:p>
    <w:p w14:paraId="34A284D7" w14:textId="77777777" w:rsidR="002C1958" w:rsidRPr="00553255" w:rsidRDefault="002C1958" w:rsidP="004C51E8">
      <w:pPr>
        <w:pStyle w:val="Normal1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228D9EF" w14:textId="77777777" w:rsidR="00AA64A9" w:rsidRPr="00553255" w:rsidRDefault="00AA64A9" w:rsidP="002C1958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 w:rsidRPr="00553255">
        <w:rPr>
          <w:rFonts w:ascii="Times New Roman" w:hAnsi="Times New Roman" w:cs="Times New Roman"/>
          <w:sz w:val="24"/>
          <w:szCs w:val="24"/>
        </w:rPr>
        <w:t>This</w:t>
      </w:r>
      <w:r w:rsidR="006836B5" w:rsidRPr="00553255">
        <w:rPr>
          <w:rFonts w:ascii="Times New Roman" w:hAnsi="Times New Roman" w:cs="Times New Roman"/>
          <w:sz w:val="24"/>
          <w:szCs w:val="24"/>
        </w:rPr>
        <w:t xml:space="preserve"> draft General Comment</w:t>
      </w:r>
      <w:r w:rsidRPr="00553255">
        <w:rPr>
          <w:rFonts w:ascii="Times New Roman" w:hAnsi="Times New Roman" w:cs="Times New Roman"/>
          <w:sz w:val="24"/>
          <w:szCs w:val="24"/>
        </w:rPr>
        <w:t>, however,</w:t>
      </w:r>
      <w:r w:rsidR="006836B5" w:rsidRPr="00553255">
        <w:rPr>
          <w:rFonts w:ascii="Times New Roman" w:hAnsi="Times New Roman" w:cs="Times New Roman"/>
          <w:sz w:val="24"/>
          <w:szCs w:val="24"/>
        </w:rPr>
        <w:t xml:space="preserve"> </w:t>
      </w:r>
      <w:r w:rsidR="00066BC2" w:rsidRPr="00553255">
        <w:rPr>
          <w:rFonts w:ascii="Times New Roman" w:hAnsi="Times New Roman" w:cs="Times New Roman"/>
          <w:sz w:val="24"/>
          <w:szCs w:val="24"/>
        </w:rPr>
        <w:t>does not go far enough in assuring the protection of children’s rights</w:t>
      </w:r>
      <w:r w:rsidR="006836B5" w:rsidRPr="00553255">
        <w:rPr>
          <w:rFonts w:ascii="Times New Roman" w:hAnsi="Times New Roman" w:cs="Times New Roman"/>
          <w:sz w:val="24"/>
          <w:szCs w:val="24"/>
        </w:rPr>
        <w:t xml:space="preserve">. Diverse forms of artificial intelligence (AI), such as deep learning and </w:t>
      </w:r>
      <w:r w:rsidR="00A162DE" w:rsidRPr="00553255">
        <w:rPr>
          <w:rFonts w:ascii="Times New Roman" w:hAnsi="Times New Roman" w:cs="Times New Roman"/>
          <w:sz w:val="24"/>
          <w:szCs w:val="24"/>
        </w:rPr>
        <w:t>learning</w:t>
      </w:r>
      <w:r w:rsidR="006836B5" w:rsidRPr="00553255">
        <w:rPr>
          <w:rFonts w:ascii="Times New Roman" w:hAnsi="Times New Roman" w:cs="Times New Roman"/>
          <w:sz w:val="24"/>
          <w:szCs w:val="24"/>
        </w:rPr>
        <w:t xml:space="preserve"> analytics, will render child-machine interaction </w:t>
      </w:r>
      <w:r w:rsidR="00D86DAE" w:rsidRPr="00553255">
        <w:rPr>
          <w:rFonts w:ascii="Times New Roman" w:hAnsi="Times New Roman" w:cs="Times New Roman"/>
          <w:sz w:val="24"/>
          <w:szCs w:val="24"/>
        </w:rPr>
        <w:t>increasingly</w:t>
      </w:r>
      <w:r w:rsidR="006836B5" w:rsidRPr="00553255">
        <w:rPr>
          <w:rFonts w:ascii="Times New Roman" w:hAnsi="Times New Roman" w:cs="Times New Roman"/>
          <w:sz w:val="24"/>
          <w:szCs w:val="24"/>
        </w:rPr>
        <w:t xml:space="preserve"> problematic in the years to come. </w:t>
      </w:r>
      <w:r w:rsidR="004C51E8" w:rsidRPr="00553255">
        <w:rPr>
          <w:rFonts w:ascii="Times New Roman" w:hAnsi="Times New Roman" w:cs="Times New Roman"/>
          <w:sz w:val="24"/>
          <w:szCs w:val="24"/>
        </w:rPr>
        <w:t>We</w:t>
      </w:r>
      <w:r w:rsidR="006836B5" w:rsidRPr="00553255">
        <w:rPr>
          <w:rFonts w:ascii="Times New Roman" w:hAnsi="Times New Roman" w:cs="Times New Roman"/>
          <w:sz w:val="24"/>
          <w:szCs w:val="24"/>
        </w:rPr>
        <w:t xml:space="preserve"> </w:t>
      </w:r>
      <w:r w:rsidR="006836B5" w:rsidRPr="00553255">
        <w:rPr>
          <w:rFonts w:ascii="Times New Roman" w:hAnsi="Times New Roman" w:cs="Times New Roman"/>
          <w:sz w:val="24"/>
          <w:szCs w:val="24"/>
        </w:rPr>
        <w:lastRenderedPageBreak/>
        <w:t xml:space="preserve">will limit our comments </w:t>
      </w:r>
      <w:r w:rsidR="004C51E8" w:rsidRPr="00553255">
        <w:rPr>
          <w:rFonts w:ascii="Times New Roman" w:hAnsi="Times New Roman" w:cs="Times New Roman"/>
          <w:sz w:val="24"/>
          <w:szCs w:val="24"/>
        </w:rPr>
        <w:t xml:space="preserve">accordingly </w:t>
      </w:r>
      <w:r w:rsidR="006836B5" w:rsidRPr="00553255">
        <w:rPr>
          <w:rFonts w:ascii="Times New Roman" w:hAnsi="Times New Roman" w:cs="Times New Roman"/>
          <w:sz w:val="24"/>
          <w:szCs w:val="24"/>
        </w:rPr>
        <w:t>to the</w:t>
      </w:r>
      <w:r w:rsidRPr="00553255">
        <w:rPr>
          <w:rFonts w:ascii="Times New Roman" w:hAnsi="Times New Roman" w:cs="Times New Roman"/>
          <w:sz w:val="24"/>
          <w:szCs w:val="24"/>
        </w:rPr>
        <w:t xml:space="preserve"> impact of </w:t>
      </w:r>
      <w:r w:rsidR="00A162DE" w:rsidRPr="00553255">
        <w:rPr>
          <w:rFonts w:ascii="Times New Roman" w:hAnsi="Times New Roman" w:cs="Times New Roman"/>
          <w:sz w:val="24"/>
          <w:szCs w:val="24"/>
        </w:rPr>
        <w:t>AI</w:t>
      </w:r>
      <w:r w:rsidRPr="00553255">
        <w:rPr>
          <w:rFonts w:ascii="Times New Roman" w:hAnsi="Times New Roman" w:cs="Times New Roman"/>
          <w:sz w:val="24"/>
          <w:szCs w:val="24"/>
        </w:rPr>
        <w:t xml:space="preserve"> on children and make </w:t>
      </w:r>
      <w:r w:rsidR="00A340D3" w:rsidRPr="00553255">
        <w:rPr>
          <w:rFonts w:ascii="Times New Roman" w:hAnsi="Times New Roman" w:cs="Times New Roman"/>
          <w:sz w:val="24"/>
          <w:szCs w:val="24"/>
        </w:rPr>
        <w:t xml:space="preserve">a </w:t>
      </w:r>
      <w:r w:rsidR="00D47425" w:rsidRPr="00553255">
        <w:rPr>
          <w:rFonts w:ascii="Times New Roman" w:hAnsi="Times New Roman" w:cs="Times New Roman"/>
          <w:sz w:val="24"/>
          <w:szCs w:val="24"/>
        </w:rPr>
        <w:t>brief</w:t>
      </w:r>
      <w:r w:rsidR="00D47425">
        <w:rPr>
          <w:rFonts w:ascii="Helvetica" w:hAnsi="Helvetica" w:cs="Times New Roman"/>
          <w:sz w:val="24"/>
          <w:szCs w:val="24"/>
        </w:rPr>
        <w:t xml:space="preserve"> </w:t>
      </w:r>
      <w:r w:rsidR="006836B5" w:rsidRPr="00553255">
        <w:rPr>
          <w:rFonts w:ascii="Times New Roman" w:hAnsi="Times New Roman" w:cs="Times New Roman"/>
          <w:sz w:val="24"/>
          <w:szCs w:val="24"/>
        </w:rPr>
        <w:t xml:space="preserve">recommendation </w:t>
      </w:r>
      <w:r w:rsidR="00D47425" w:rsidRPr="00553255">
        <w:rPr>
          <w:rFonts w:ascii="Times New Roman" w:hAnsi="Times New Roman" w:cs="Times New Roman"/>
          <w:sz w:val="24"/>
          <w:szCs w:val="24"/>
        </w:rPr>
        <w:t>to</w:t>
      </w:r>
      <w:r w:rsidRPr="00553255">
        <w:rPr>
          <w:rFonts w:ascii="Times New Roman" w:hAnsi="Times New Roman" w:cs="Times New Roman"/>
          <w:sz w:val="24"/>
          <w:szCs w:val="24"/>
        </w:rPr>
        <w:t xml:space="preserve"> the Committee </w:t>
      </w:r>
      <w:r w:rsidR="00D47425" w:rsidRPr="00553255">
        <w:rPr>
          <w:rFonts w:ascii="Times New Roman" w:hAnsi="Times New Roman" w:cs="Times New Roman"/>
          <w:sz w:val="24"/>
          <w:szCs w:val="24"/>
        </w:rPr>
        <w:t xml:space="preserve">on how this draft </w:t>
      </w:r>
      <w:r w:rsidR="00D86DAE" w:rsidRPr="00553255">
        <w:rPr>
          <w:rFonts w:ascii="Times New Roman" w:hAnsi="Times New Roman" w:cs="Times New Roman"/>
          <w:sz w:val="24"/>
          <w:szCs w:val="24"/>
        </w:rPr>
        <w:t xml:space="preserve">General Comment </w:t>
      </w:r>
      <w:r w:rsidRPr="00553255">
        <w:rPr>
          <w:rFonts w:ascii="Times New Roman" w:hAnsi="Times New Roman" w:cs="Times New Roman"/>
          <w:sz w:val="24"/>
          <w:szCs w:val="24"/>
        </w:rPr>
        <w:t>might reinforce the protection of children in an AI environment</w:t>
      </w:r>
      <w:r w:rsidR="006836B5" w:rsidRPr="005532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3D90AC" w14:textId="77777777" w:rsidR="00AA64A9" w:rsidRPr="00553255" w:rsidRDefault="00AA64A9" w:rsidP="00AA64A9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14:paraId="58E3F112" w14:textId="77777777" w:rsidR="006836B5" w:rsidRPr="00553255" w:rsidRDefault="004C51E8" w:rsidP="00AA64A9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 w:rsidRPr="00553255">
        <w:rPr>
          <w:rFonts w:ascii="Times New Roman" w:hAnsi="Times New Roman" w:cs="Times New Roman"/>
          <w:sz w:val="24"/>
          <w:szCs w:val="24"/>
        </w:rPr>
        <w:t>Children experience intersectional vulnerability due to the ubiquitous nature of an AI environment</w:t>
      </w:r>
      <w:r w:rsidR="00A162DE" w:rsidRPr="00553255">
        <w:rPr>
          <w:rFonts w:ascii="Times New Roman" w:hAnsi="Times New Roman" w:cs="Times New Roman"/>
          <w:sz w:val="24"/>
          <w:szCs w:val="24"/>
        </w:rPr>
        <w:t>, which includes both hardware and software</w:t>
      </w:r>
      <w:r w:rsidRPr="00553255">
        <w:rPr>
          <w:rFonts w:ascii="Times New Roman" w:hAnsi="Times New Roman" w:cs="Times New Roman"/>
          <w:sz w:val="24"/>
          <w:szCs w:val="24"/>
        </w:rPr>
        <w:t xml:space="preserve">. Deep learning and </w:t>
      </w:r>
      <w:r w:rsidR="00A162DE" w:rsidRPr="00553255">
        <w:rPr>
          <w:rFonts w:ascii="Times New Roman" w:hAnsi="Times New Roman" w:cs="Times New Roman"/>
          <w:sz w:val="24"/>
          <w:szCs w:val="24"/>
        </w:rPr>
        <w:t>learning</w:t>
      </w:r>
      <w:r w:rsidRPr="00553255">
        <w:rPr>
          <w:rFonts w:ascii="Times New Roman" w:hAnsi="Times New Roman" w:cs="Times New Roman"/>
          <w:sz w:val="24"/>
          <w:szCs w:val="24"/>
        </w:rPr>
        <w:t xml:space="preserve"> analytics will enhance opportunities for some children, while condemning others to a life on the wrong side of the digital divide. </w:t>
      </w:r>
      <w:r w:rsidR="00A162DE" w:rsidRPr="00553255">
        <w:rPr>
          <w:rFonts w:ascii="Times New Roman" w:hAnsi="Times New Roman" w:cs="Times New Roman"/>
          <w:sz w:val="24"/>
          <w:szCs w:val="24"/>
        </w:rPr>
        <w:t>C</w:t>
      </w:r>
      <w:r w:rsidRPr="00553255">
        <w:rPr>
          <w:rFonts w:ascii="Times New Roman" w:hAnsi="Times New Roman" w:cs="Times New Roman"/>
          <w:sz w:val="24"/>
          <w:szCs w:val="24"/>
        </w:rPr>
        <w:t xml:space="preserve">hildren worldwide </w:t>
      </w:r>
      <w:r w:rsidR="00A162DE" w:rsidRPr="00553255">
        <w:rPr>
          <w:rFonts w:ascii="Times New Roman" w:hAnsi="Times New Roman" w:cs="Times New Roman"/>
          <w:sz w:val="24"/>
          <w:szCs w:val="24"/>
        </w:rPr>
        <w:t>already experience</w:t>
      </w:r>
      <w:r w:rsidRPr="00553255">
        <w:rPr>
          <w:rFonts w:ascii="Times New Roman" w:hAnsi="Times New Roman" w:cs="Times New Roman"/>
          <w:sz w:val="24"/>
          <w:szCs w:val="24"/>
        </w:rPr>
        <w:t xml:space="preserve"> privacy violations, economic manipulation by chatbot algorithms, </w:t>
      </w:r>
      <w:r w:rsidR="00A162DE" w:rsidRPr="00553255">
        <w:rPr>
          <w:rFonts w:ascii="Times New Roman" w:hAnsi="Times New Roman" w:cs="Times New Roman"/>
          <w:sz w:val="24"/>
          <w:szCs w:val="24"/>
        </w:rPr>
        <w:t>and</w:t>
      </w:r>
      <w:r w:rsidRPr="00553255">
        <w:rPr>
          <w:rFonts w:ascii="Times New Roman" w:hAnsi="Times New Roman" w:cs="Times New Roman"/>
          <w:sz w:val="24"/>
          <w:szCs w:val="24"/>
        </w:rPr>
        <w:t xml:space="preserve"> exposure to learning cadences fixed by machine averages, rather than humans. </w:t>
      </w:r>
      <w:r w:rsidR="001021FA" w:rsidRPr="00553255">
        <w:rPr>
          <w:rFonts w:ascii="Times New Roman" w:hAnsi="Times New Roman" w:cs="Times New Roman"/>
          <w:sz w:val="24"/>
          <w:szCs w:val="24"/>
          <w:lang w:val="en-US"/>
        </w:rPr>
        <w:t>Moreover,</w:t>
      </w:r>
      <w:r w:rsidR="00A162DE" w:rsidRPr="00553255">
        <w:rPr>
          <w:rFonts w:ascii="Times New Roman" w:hAnsi="Times New Roman" w:cs="Times New Roman"/>
          <w:sz w:val="24"/>
          <w:szCs w:val="24"/>
          <w:lang w:val="en-US"/>
        </w:rPr>
        <w:t xml:space="preserve"> the demands in computing power, data transmission, and storage of AI algorithms expose children, whose health is particularly vulnerable, to digital technology-related pollution. </w:t>
      </w:r>
      <w:r w:rsidRPr="00553255">
        <w:rPr>
          <w:rFonts w:ascii="Times New Roman" w:hAnsi="Times New Roman" w:cs="Times New Roman"/>
          <w:sz w:val="24"/>
          <w:szCs w:val="24"/>
        </w:rPr>
        <w:t>Consequently, parents</w:t>
      </w:r>
      <w:r w:rsidR="00A162DE" w:rsidRPr="00553255">
        <w:rPr>
          <w:rFonts w:ascii="Times New Roman" w:hAnsi="Times New Roman" w:cs="Times New Roman"/>
          <w:sz w:val="24"/>
          <w:szCs w:val="24"/>
        </w:rPr>
        <w:t xml:space="preserve"> and guardians</w:t>
      </w:r>
      <w:r w:rsidRPr="00553255">
        <w:rPr>
          <w:rFonts w:ascii="Times New Roman" w:hAnsi="Times New Roman" w:cs="Times New Roman"/>
          <w:sz w:val="24"/>
          <w:szCs w:val="24"/>
        </w:rPr>
        <w:t xml:space="preserve">, States and educators must work together with the Committee to ensure maximal protection for child users of AI technologies. </w:t>
      </w:r>
      <w:r w:rsidR="006836B5" w:rsidRPr="00553255">
        <w:rPr>
          <w:rFonts w:ascii="Times New Roman" w:hAnsi="Times New Roman" w:cs="Times New Roman"/>
          <w:sz w:val="24"/>
          <w:szCs w:val="24"/>
        </w:rPr>
        <w:t xml:space="preserve">The </w:t>
      </w:r>
      <w:r w:rsidR="00D47425" w:rsidRPr="00553255">
        <w:rPr>
          <w:rFonts w:ascii="Times New Roman" w:hAnsi="Times New Roman" w:cs="Times New Roman"/>
          <w:sz w:val="24"/>
          <w:szCs w:val="24"/>
        </w:rPr>
        <w:t>draft General Comment</w:t>
      </w:r>
      <w:r w:rsidR="006836B5" w:rsidRPr="00553255">
        <w:rPr>
          <w:rFonts w:ascii="Times New Roman" w:hAnsi="Times New Roman" w:cs="Times New Roman"/>
          <w:sz w:val="24"/>
          <w:szCs w:val="24"/>
        </w:rPr>
        <w:t xml:space="preserve"> should be </w:t>
      </w:r>
      <w:r w:rsidR="00D47425" w:rsidRPr="00553255">
        <w:rPr>
          <w:rFonts w:ascii="Times New Roman" w:hAnsi="Times New Roman" w:cs="Times New Roman"/>
          <w:sz w:val="24"/>
          <w:szCs w:val="24"/>
        </w:rPr>
        <w:t>edited</w:t>
      </w:r>
      <w:r w:rsidR="006836B5" w:rsidRPr="00553255">
        <w:rPr>
          <w:rFonts w:ascii="Times New Roman" w:hAnsi="Times New Roman" w:cs="Times New Roman"/>
          <w:sz w:val="24"/>
          <w:szCs w:val="24"/>
        </w:rPr>
        <w:t xml:space="preserve"> with an eye to include </w:t>
      </w:r>
      <w:r w:rsidRPr="00553255">
        <w:rPr>
          <w:rFonts w:ascii="Times New Roman" w:hAnsi="Times New Roman" w:cs="Times New Roman"/>
          <w:sz w:val="24"/>
          <w:szCs w:val="24"/>
        </w:rPr>
        <w:t xml:space="preserve">or enhance </w:t>
      </w:r>
      <w:r w:rsidR="006836B5" w:rsidRPr="00553255">
        <w:rPr>
          <w:rFonts w:ascii="Times New Roman" w:hAnsi="Times New Roman" w:cs="Times New Roman"/>
          <w:sz w:val="24"/>
          <w:szCs w:val="24"/>
        </w:rPr>
        <w:t xml:space="preserve">the following </w:t>
      </w:r>
      <w:r w:rsidR="00D47425" w:rsidRPr="00553255">
        <w:rPr>
          <w:rFonts w:ascii="Times New Roman" w:hAnsi="Times New Roman" w:cs="Times New Roman"/>
          <w:b/>
          <w:bCs/>
          <w:sz w:val="24"/>
          <w:szCs w:val="24"/>
        </w:rPr>
        <w:t xml:space="preserve">principal </w:t>
      </w:r>
      <w:r w:rsidR="006836B5" w:rsidRPr="00553255">
        <w:rPr>
          <w:rFonts w:ascii="Times New Roman" w:hAnsi="Times New Roman" w:cs="Times New Roman"/>
          <w:b/>
          <w:bCs/>
          <w:sz w:val="24"/>
          <w:szCs w:val="24"/>
        </w:rPr>
        <w:t>safeguards</w:t>
      </w:r>
      <w:r w:rsidR="00D47425" w:rsidRPr="00553255">
        <w:rPr>
          <w:rFonts w:ascii="Times New Roman" w:hAnsi="Times New Roman" w:cs="Times New Roman"/>
          <w:sz w:val="24"/>
          <w:szCs w:val="24"/>
        </w:rPr>
        <w:t xml:space="preserve"> throughout</w:t>
      </w:r>
      <w:r w:rsidR="006836B5" w:rsidRPr="0055325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BA43088" w14:textId="77777777" w:rsidR="006836B5" w:rsidRPr="00553255" w:rsidRDefault="006836B5" w:rsidP="00AA64A9">
      <w:pPr>
        <w:pStyle w:val="Normal1"/>
        <w:jc w:val="both"/>
        <w:rPr>
          <w:rFonts w:ascii="Times New Roman" w:hAnsi="Times New Roman" w:cs="Times New Roman"/>
        </w:rPr>
      </w:pPr>
    </w:p>
    <w:p w14:paraId="24E6A7F3" w14:textId="77777777" w:rsidR="00A162DE" w:rsidRPr="00553255" w:rsidRDefault="00A162DE" w:rsidP="00A162DE">
      <w:pPr>
        <w:pStyle w:val="Normal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3255">
        <w:rPr>
          <w:rFonts w:ascii="Times New Roman" w:hAnsi="Times New Roman" w:cs="Times New Roman"/>
          <w:sz w:val="24"/>
          <w:szCs w:val="24"/>
        </w:rPr>
        <w:t>Enhanced support for parents and guardians to prepare children to live and learn in an AI environment</w:t>
      </w:r>
    </w:p>
    <w:p w14:paraId="3FC5E740" w14:textId="77777777" w:rsidR="001021FA" w:rsidRPr="00553255" w:rsidRDefault="001021FA" w:rsidP="001021FA">
      <w:pPr>
        <w:pStyle w:val="Normal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3255">
        <w:rPr>
          <w:rFonts w:ascii="Times New Roman" w:hAnsi="Times New Roman" w:cs="Times New Roman"/>
          <w:sz w:val="24"/>
          <w:szCs w:val="24"/>
        </w:rPr>
        <w:t>Educational curricula designed to prepare children to live and learn in an AI environment</w:t>
      </w:r>
    </w:p>
    <w:p w14:paraId="26455127" w14:textId="77777777" w:rsidR="00A162DE" w:rsidRPr="00553255" w:rsidRDefault="00A162DE" w:rsidP="00A162DE">
      <w:pPr>
        <w:pStyle w:val="Normal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3255">
        <w:rPr>
          <w:rFonts w:ascii="Times New Roman" w:hAnsi="Times New Roman" w:cs="Times New Roman"/>
          <w:sz w:val="24"/>
          <w:szCs w:val="24"/>
        </w:rPr>
        <w:t>Rigorous State regulation of AI hardware and software</w:t>
      </w:r>
    </w:p>
    <w:p w14:paraId="4C4702E9" w14:textId="77777777" w:rsidR="006836B5" w:rsidRPr="00553255" w:rsidRDefault="006836B5" w:rsidP="00AA64A9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14:paraId="5B4771E5" w14:textId="77777777" w:rsidR="00D47425" w:rsidRPr="00553255" w:rsidRDefault="006836B5" w:rsidP="00AA64A9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 w:rsidRPr="00553255">
        <w:rPr>
          <w:rFonts w:ascii="Times New Roman" w:hAnsi="Times New Roman" w:cs="Times New Roman"/>
          <w:sz w:val="24"/>
          <w:szCs w:val="24"/>
        </w:rPr>
        <w:t xml:space="preserve">These </w:t>
      </w:r>
      <w:r w:rsidR="00D47425" w:rsidRPr="00553255">
        <w:rPr>
          <w:rFonts w:ascii="Times New Roman" w:hAnsi="Times New Roman" w:cs="Times New Roman"/>
          <w:sz w:val="24"/>
          <w:szCs w:val="24"/>
        </w:rPr>
        <w:t xml:space="preserve">principal </w:t>
      </w:r>
      <w:r w:rsidRPr="00553255">
        <w:rPr>
          <w:rFonts w:ascii="Times New Roman" w:hAnsi="Times New Roman" w:cs="Times New Roman"/>
          <w:sz w:val="24"/>
          <w:szCs w:val="24"/>
        </w:rPr>
        <w:t xml:space="preserve">safeguards </w:t>
      </w:r>
      <w:r w:rsidR="00D86DAE" w:rsidRPr="00553255">
        <w:rPr>
          <w:rFonts w:ascii="Times New Roman" w:hAnsi="Times New Roman" w:cs="Times New Roman"/>
          <w:sz w:val="24"/>
          <w:szCs w:val="24"/>
        </w:rPr>
        <w:t>should</w:t>
      </w:r>
      <w:r w:rsidRPr="00553255">
        <w:rPr>
          <w:rFonts w:ascii="Times New Roman" w:hAnsi="Times New Roman" w:cs="Times New Roman"/>
          <w:sz w:val="24"/>
          <w:szCs w:val="24"/>
        </w:rPr>
        <w:t xml:space="preserve"> be </w:t>
      </w:r>
      <w:r w:rsidR="00D86DAE" w:rsidRPr="00553255">
        <w:rPr>
          <w:rFonts w:ascii="Times New Roman" w:hAnsi="Times New Roman" w:cs="Times New Roman"/>
          <w:sz w:val="24"/>
          <w:szCs w:val="24"/>
        </w:rPr>
        <w:t>articulated</w:t>
      </w:r>
      <w:r w:rsidRPr="00553255">
        <w:rPr>
          <w:rFonts w:ascii="Times New Roman" w:hAnsi="Times New Roman" w:cs="Times New Roman"/>
          <w:sz w:val="24"/>
          <w:szCs w:val="24"/>
        </w:rPr>
        <w:t xml:space="preserve"> to cover </w:t>
      </w:r>
      <w:r w:rsidR="00A162DE" w:rsidRPr="00553255">
        <w:rPr>
          <w:rFonts w:ascii="Times New Roman" w:hAnsi="Times New Roman" w:cs="Times New Roman"/>
          <w:sz w:val="24"/>
          <w:szCs w:val="24"/>
          <w:lang w:val="en-US"/>
        </w:rPr>
        <w:t>impacts arising during the</w:t>
      </w:r>
      <w:r w:rsidRPr="00553255">
        <w:rPr>
          <w:rFonts w:ascii="Times New Roman" w:hAnsi="Times New Roman" w:cs="Times New Roman"/>
          <w:sz w:val="24"/>
          <w:szCs w:val="24"/>
        </w:rPr>
        <w:t xml:space="preserve"> </w:t>
      </w:r>
      <w:r w:rsidR="00D47425" w:rsidRPr="00553255">
        <w:rPr>
          <w:rFonts w:ascii="Times New Roman" w:hAnsi="Times New Roman" w:cs="Times New Roman"/>
          <w:sz w:val="24"/>
          <w:szCs w:val="24"/>
        </w:rPr>
        <w:t xml:space="preserve">entire </w:t>
      </w:r>
      <w:r w:rsidRPr="00553255">
        <w:rPr>
          <w:rFonts w:ascii="Times New Roman" w:hAnsi="Times New Roman" w:cs="Times New Roman"/>
          <w:sz w:val="24"/>
          <w:szCs w:val="24"/>
        </w:rPr>
        <w:t xml:space="preserve">lifecycle of child-machine interaction. </w:t>
      </w:r>
      <w:r w:rsidR="00B3194E" w:rsidRPr="00553255">
        <w:rPr>
          <w:rFonts w:ascii="Times New Roman" w:hAnsi="Times New Roman" w:cs="Times New Roman"/>
          <w:sz w:val="24"/>
          <w:szCs w:val="24"/>
          <w:lang w:val="en-US"/>
        </w:rPr>
        <w:t>Our reflection begins with a</w:t>
      </w:r>
      <w:r w:rsidR="00D86DAE" w:rsidRPr="00553255">
        <w:rPr>
          <w:rFonts w:ascii="Times New Roman" w:hAnsi="Times New Roman" w:cs="Times New Roman"/>
          <w:sz w:val="24"/>
          <w:szCs w:val="24"/>
          <w:lang w:val="en-US"/>
        </w:rPr>
        <w:t>n AI</w:t>
      </w:r>
      <w:r w:rsidR="00B3194E" w:rsidRPr="00553255">
        <w:rPr>
          <w:rFonts w:ascii="Times New Roman" w:hAnsi="Times New Roman" w:cs="Times New Roman"/>
          <w:sz w:val="24"/>
          <w:szCs w:val="24"/>
          <w:lang w:val="en-US"/>
        </w:rPr>
        <w:t xml:space="preserve"> product’s inception</w:t>
      </w:r>
      <w:r w:rsidR="001021FA" w:rsidRPr="00553255">
        <w:rPr>
          <w:rFonts w:ascii="Times New Roman" w:hAnsi="Times New Roman" w:cs="Times New Roman"/>
          <w:sz w:val="24"/>
          <w:szCs w:val="24"/>
          <w:lang w:val="en-US"/>
        </w:rPr>
        <w:t xml:space="preserve"> and extends through </w:t>
      </w:r>
      <w:r w:rsidR="00B3194E" w:rsidRPr="00553255">
        <w:rPr>
          <w:rFonts w:ascii="Times New Roman" w:hAnsi="Times New Roman" w:cs="Times New Roman"/>
          <w:sz w:val="24"/>
          <w:szCs w:val="24"/>
          <w:lang w:val="en-US"/>
        </w:rPr>
        <w:t xml:space="preserve">analysis of the algorithms necessary for its functionality; the framework for its lifecycle; data access, use and storage; the integration of one software component with other AI systems; </w:t>
      </w:r>
      <w:r w:rsidR="001021FA" w:rsidRPr="00553255">
        <w:rPr>
          <w:rFonts w:ascii="Times New Roman" w:hAnsi="Times New Roman" w:cs="Times New Roman"/>
          <w:sz w:val="24"/>
          <w:szCs w:val="24"/>
          <w:lang w:val="en-US"/>
        </w:rPr>
        <w:t>as well as</w:t>
      </w:r>
      <w:r w:rsidR="00B3194E" w:rsidRPr="00553255">
        <w:rPr>
          <w:rFonts w:ascii="Times New Roman" w:hAnsi="Times New Roman" w:cs="Times New Roman"/>
          <w:sz w:val="24"/>
          <w:szCs w:val="24"/>
          <w:lang w:val="en-US"/>
        </w:rPr>
        <w:t xml:space="preserve"> the ethical</w:t>
      </w:r>
      <w:r w:rsidR="001021FA" w:rsidRPr="00553255">
        <w:rPr>
          <w:rFonts w:ascii="Times New Roman" w:hAnsi="Times New Roman" w:cs="Times New Roman"/>
          <w:sz w:val="24"/>
          <w:szCs w:val="24"/>
          <w:lang w:val="en-US"/>
        </w:rPr>
        <w:t xml:space="preserve"> and environmental</w:t>
      </w:r>
      <w:r w:rsidR="00B3194E" w:rsidRPr="00553255">
        <w:rPr>
          <w:rFonts w:ascii="Times New Roman" w:hAnsi="Times New Roman" w:cs="Times New Roman"/>
          <w:sz w:val="24"/>
          <w:szCs w:val="24"/>
          <w:lang w:val="en-US"/>
        </w:rPr>
        <w:t xml:space="preserve"> implications of the mining, manufacture and recycling of all hardware; </w:t>
      </w:r>
      <w:r w:rsidR="001021FA" w:rsidRPr="00553255">
        <w:rPr>
          <w:rFonts w:ascii="Times New Roman" w:hAnsi="Times New Roman" w:cs="Times New Roman"/>
          <w:sz w:val="24"/>
          <w:szCs w:val="24"/>
          <w:lang w:val="en-US"/>
        </w:rPr>
        <w:t>along with</w:t>
      </w:r>
      <w:r w:rsidR="00B3194E" w:rsidRPr="00553255">
        <w:rPr>
          <w:rFonts w:ascii="Times New Roman" w:hAnsi="Times New Roman" w:cs="Times New Roman"/>
          <w:sz w:val="24"/>
          <w:szCs w:val="24"/>
          <w:lang w:val="en-US"/>
        </w:rPr>
        <w:t xml:space="preserve"> the integration of renewable energy sources and evaluation of </w:t>
      </w:r>
      <w:r w:rsidR="001021FA" w:rsidRPr="00553255">
        <w:rPr>
          <w:rFonts w:ascii="Times New Roman" w:hAnsi="Times New Roman" w:cs="Times New Roman"/>
          <w:sz w:val="24"/>
          <w:szCs w:val="24"/>
          <w:lang w:val="en-US"/>
        </w:rPr>
        <w:t>the impact of</w:t>
      </w:r>
      <w:r w:rsidR="00B3194E" w:rsidRPr="005532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21FA" w:rsidRPr="00553255">
        <w:rPr>
          <w:rFonts w:ascii="Times New Roman" w:hAnsi="Times New Roman" w:cs="Times New Roman"/>
          <w:sz w:val="24"/>
          <w:szCs w:val="24"/>
          <w:lang w:val="en-US"/>
        </w:rPr>
        <w:t>technology-related</w:t>
      </w:r>
      <w:r w:rsidR="00B3194E" w:rsidRPr="00553255">
        <w:rPr>
          <w:rFonts w:ascii="Times New Roman" w:hAnsi="Times New Roman" w:cs="Times New Roman"/>
          <w:sz w:val="24"/>
          <w:szCs w:val="24"/>
          <w:lang w:val="en-US"/>
        </w:rPr>
        <w:t xml:space="preserve"> pollution on children’s health. </w:t>
      </w:r>
    </w:p>
    <w:p w14:paraId="5EE94272" w14:textId="77777777" w:rsidR="00B3194E" w:rsidRPr="00553255" w:rsidRDefault="00B3194E" w:rsidP="00AA64A9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14:paraId="35A6EA9A" w14:textId="6FCC53ED" w:rsidR="006836B5" w:rsidRDefault="00D86DAE" w:rsidP="001021FA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 w:rsidRPr="00553255">
        <w:rPr>
          <w:rFonts w:ascii="Times New Roman" w:hAnsi="Times New Roman" w:cs="Times New Roman"/>
          <w:sz w:val="24"/>
          <w:szCs w:val="24"/>
        </w:rPr>
        <w:t>A</w:t>
      </w:r>
      <w:r w:rsidR="00B3194E" w:rsidRPr="00553255">
        <w:rPr>
          <w:rFonts w:ascii="Times New Roman" w:hAnsi="Times New Roman" w:cs="Times New Roman"/>
          <w:sz w:val="24"/>
          <w:szCs w:val="24"/>
        </w:rPr>
        <w:t xml:space="preserve">t </w:t>
      </w:r>
      <w:r w:rsidRPr="00553255">
        <w:rPr>
          <w:rFonts w:ascii="Times New Roman" w:hAnsi="Times New Roman" w:cs="Times New Roman"/>
          <w:sz w:val="24"/>
          <w:szCs w:val="24"/>
        </w:rPr>
        <w:t>every</w:t>
      </w:r>
      <w:r w:rsidR="00B3194E" w:rsidRPr="00553255">
        <w:rPr>
          <w:rFonts w:ascii="Times New Roman" w:hAnsi="Times New Roman" w:cs="Times New Roman"/>
          <w:sz w:val="24"/>
          <w:szCs w:val="24"/>
        </w:rPr>
        <w:t xml:space="preserve"> step</w:t>
      </w:r>
      <w:r w:rsidRPr="00553255">
        <w:rPr>
          <w:rFonts w:ascii="Times New Roman" w:hAnsi="Times New Roman" w:cs="Times New Roman"/>
          <w:sz w:val="24"/>
          <w:szCs w:val="24"/>
        </w:rPr>
        <w:t xml:space="preserve">, </w:t>
      </w:r>
      <w:r w:rsidR="004C51E8" w:rsidRPr="00553255">
        <w:rPr>
          <w:rFonts w:ascii="Times New Roman" w:hAnsi="Times New Roman" w:cs="Times New Roman"/>
          <w:sz w:val="24"/>
          <w:szCs w:val="24"/>
        </w:rPr>
        <w:t>the development of any</w:t>
      </w:r>
      <w:r w:rsidRPr="00553255">
        <w:rPr>
          <w:rFonts w:ascii="Times New Roman" w:hAnsi="Times New Roman" w:cs="Times New Roman"/>
          <w:sz w:val="24"/>
          <w:szCs w:val="24"/>
        </w:rPr>
        <w:t xml:space="preserve"> AI ecosystem must include the above safeguards</w:t>
      </w:r>
      <w:r w:rsidR="00B3194E" w:rsidRPr="00553255">
        <w:rPr>
          <w:rFonts w:ascii="Times New Roman" w:hAnsi="Times New Roman" w:cs="Times New Roman"/>
          <w:sz w:val="24"/>
          <w:szCs w:val="24"/>
        </w:rPr>
        <w:t xml:space="preserve"> in order to fully guarantee children’s rights in the </w:t>
      </w:r>
      <w:r w:rsidR="004C51E8" w:rsidRPr="00553255">
        <w:rPr>
          <w:rFonts w:ascii="Times New Roman" w:hAnsi="Times New Roman" w:cs="Times New Roman"/>
          <w:sz w:val="24"/>
          <w:szCs w:val="24"/>
        </w:rPr>
        <w:t xml:space="preserve">evolving </w:t>
      </w:r>
      <w:r w:rsidR="00B3194E" w:rsidRPr="00553255">
        <w:rPr>
          <w:rFonts w:ascii="Times New Roman" w:hAnsi="Times New Roman" w:cs="Times New Roman"/>
          <w:sz w:val="24"/>
          <w:szCs w:val="24"/>
        </w:rPr>
        <w:t xml:space="preserve">digital environment. </w:t>
      </w:r>
      <w:r w:rsidR="004C51E8" w:rsidRPr="00553255">
        <w:rPr>
          <w:rFonts w:ascii="Times New Roman" w:hAnsi="Times New Roman" w:cs="Times New Roman"/>
          <w:sz w:val="24"/>
          <w:szCs w:val="24"/>
        </w:rPr>
        <w:t>We subsequently recommend that p</w:t>
      </w:r>
      <w:r w:rsidR="00B3194E" w:rsidRPr="00553255">
        <w:rPr>
          <w:rFonts w:ascii="Times New Roman" w:hAnsi="Times New Roman" w:cs="Times New Roman"/>
          <w:sz w:val="24"/>
          <w:szCs w:val="24"/>
        </w:rPr>
        <w:t xml:space="preserve">arental </w:t>
      </w:r>
      <w:r w:rsidR="001021FA" w:rsidRPr="00553255">
        <w:rPr>
          <w:rFonts w:ascii="Times New Roman" w:hAnsi="Times New Roman" w:cs="Times New Roman"/>
          <w:sz w:val="24"/>
          <w:szCs w:val="24"/>
        </w:rPr>
        <w:t>support</w:t>
      </w:r>
      <w:r w:rsidR="00B3194E" w:rsidRPr="00553255">
        <w:rPr>
          <w:rFonts w:ascii="Times New Roman" w:hAnsi="Times New Roman" w:cs="Times New Roman"/>
          <w:sz w:val="24"/>
          <w:szCs w:val="24"/>
        </w:rPr>
        <w:t>, rigorous regulation</w:t>
      </w:r>
      <w:r w:rsidRPr="00553255">
        <w:rPr>
          <w:rFonts w:ascii="Times New Roman" w:hAnsi="Times New Roman" w:cs="Times New Roman"/>
          <w:sz w:val="24"/>
          <w:szCs w:val="24"/>
        </w:rPr>
        <w:t>,</w:t>
      </w:r>
      <w:r w:rsidR="00B3194E" w:rsidRPr="00553255">
        <w:rPr>
          <w:rFonts w:ascii="Times New Roman" w:hAnsi="Times New Roman" w:cs="Times New Roman"/>
          <w:sz w:val="24"/>
          <w:szCs w:val="24"/>
        </w:rPr>
        <w:t xml:space="preserve"> and education with respect to ethical AI </w:t>
      </w:r>
      <w:r w:rsidR="004C51E8" w:rsidRPr="00553255">
        <w:rPr>
          <w:rFonts w:ascii="Times New Roman" w:hAnsi="Times New Roman" w:cs="Times New Roman"/>
          <w:sz w:val="24"/>
          <w:szCs w:val="24"/>
        </w:rPr>
        <w:t>be further</w:t>
      </w:r>
      <w:r w:rsidR="00B3194E" w:rsidRPr="00553255">
        <w:rPr>
          <w:rFonts w:ascii="Times New Roman" w:hAnsi="Times New Roman" w:cs="Times New Roman"/>
          <w:sz w:val="24"/>
          <w:szCs w:val="24"/>
        </w:rPr>
        <w:t xml:space="preserve"> developed in each of the four sections addressed in the draft General Comment</w:t>
      </w:r>
      <w:r w:rsidR="00D47425" w:rsidRPr="00553255">
        <w:rPr>
          <w:rFonts w:ascii="Times New Roman" w:hAnsi="Times New Roman" w:cs="Times New Roman"/>
          <w:sz w:val="24"/>
          <w:szCs w:val="24"/>
        </w:rPr>
        <w:t xml:space="preserve"> </w:t>
      </w:r>
      <w:r w:rsidR="00B3194E" w:rsidRPr="00553255">
        <w:rPr>
          <w:rFonts w:ascii="Times New Roman" w:hAnsi="Times New Roman" w:cs="Times New Roman"/>
          <w:sz w:val="24"/>
          <w:szCs w:val="24"/>
        </w:rPr>
        <w:t>(e.g. non-discrimination; best interests of the child; the right to life</w:t>
      </w:r>
      <w:r w:rsidRPr="00553255">
        <w:rPr>
          <w:rFonts w:ascii="Times New Roman" w:hAnsi="Times New Roman" w:cs="Times New Roman"/>
          <w:sz w:val="24"/>
          <w:szCs w:val="24"/>
        </w:rPr>
        <w:t>;</w:t>
      </w:r>
      <w:r w:rsidR="00B3194E" w:rsidRPr="00553255">
        <w:rPr>
          <w:rFonts w:ascii="Times New Roman" w:hAnsi="Times New Roman" w:cs="Times New Roman"/>
          <w:sz w:val="24"/>
          <w:szCs w:val="24"/>
        </w:rPr>
        <w:t xml:space="preserve"> and </w:t>
      </w:r>
      <w:r w:rsidRPr="00553255">
        <w:rPr>
          <w:rFonts w:ascii="Times New Roman" w:hAnsi="Times New Roman" w:cs="Times New Roman"/>
          <w:sz w:val="24"/>
          <w:szCs w:val="24"/>
        </w:rPr>
        <w:t>the right t</w:t>
      </w:r>
      <w:r w:rsidR="00B3194E" w:rsidRPr="00553255">
        <w:rPr>
          <w:rFonts w:ascii="Times New Roman" w:hAnsi="Times New Roman" w:cs="Times New Roman"/>
          <w:sz w:val="24"/>
          <w:szCs w:val="24"/>
        </w:rPr>
        <w:t xml:space="preserve">o be heard). </w:t>
      </w:r>
    </w:p>
    <w:p w14:paraId="0CBCA66F" w14:textId="3C49A333" w:rsidR="00553255" w:rsidRDefault="00553255" w:rsidP="001021FA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14:paraId="7006C22D" w14:textId="4E5432B4" w:rsidR="00553255" w:rsidRDefault="00553255" w:rsidP="001021FA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14:paraId="3C1A6420" w14:textId="77777777" w:rsidR="00553255" w:rsidRPr="00553255" w:rsidRDefault="00553255" w:rsidP="001021FA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14:paraId="32FC10FD" w14:textId="568E7252" w:rsidR="00553255" w:rsidRPr="00924150" w:rsidRDefault="00553255" w:rsidP="001021FA">
      <w:pPr>
        <w:pStyle w:val="Normal1"/>
        <w:spacing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F82F1F5" w14:textId="3D53A041" w:rsidR="00623A84" w:rsidRPr="001021FA" w:rsidRDefault="00623A84" w:rsidP="001021FA">
      <w:pPr>
        <w:pStyle w:val="Normal1"/>
        <w:spacing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23A84">
        <w:rPr>
          <w:rFonts w:ascii="Times New Roman" w:eastAsia="Calibri" w:hAnsi="Times New Roman" w:cs="Times New Roman"/>
          <w:sz w:val="24"/>
          <w:szCs w:val="24"/>
          <w:lang w:val="fr-FR"/>
        </w:rPr>
        <w:t>______________________________________________________________________________</w:t>
      </w:r>
      <w:r w:rsidRPr="00623A84">
        <w:rPr>
          <w:rFonts w:ascii="Helvetica" w:hAnsi="Helvetica"/>
          <w:color w:val="BF0000"/>
          <w:lang w:val="fr-FR"/>
        </w:rPr>
        <w:t xml:space="preserve">Centre d’études en Droits humains &amp; Technologie numérique </w:t>
      </w:r>
      <w:r>
        <w:rPr>
          <w:rFonts w:ascii="Helvetica" w:hAnsi="Helvetica"/>
          <w:color w:val="BF0000"/>
          <w:lang w:val="fr-FR"/>
        </w:rPr>
        <w:br/>
      </w:r>
      <w:r w:rsidRPr="00623A84">
        <w:rPr>
          <w:rFonts w:ascii="Helvetica" w:hAnsi="Helvetica"/>
          <w:i/>
          <w:iCs/>
          <w:color w:val="BF0000"/>
          <w:sz w:val="18"/>
          <w:szCs w:val="18"/>
          <w:lang w:val="fr-FR"/>
        </w:rPr>
        <w:t xml:space="preserve">Association régie par la loi du 1 juillet 1901 – SIRET 812 196 947 00012 </w:t>
      </w:r>
    </w:p>
    <w:sectPr w:rsidR="00623A84" w:rsidRPr="001021FA" w:rsidSect="00924150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3A88E" w14:textId="77777777" w:rsidR="0070534F" w:rsidRDefault="0070534F" w:rsidP="006836B5">
      <w:pPr>
        <w:spacing w:after="0" w:line="240" w:lineRule="auto"/>
      </w:pPr>
      <w:r>
        <w:separator/>
      </w:r>
    </w:p>
  </w:endnote>
  <w:endnote w:type="continuationSeparator" w:id="0">
    <w:p w14:paraId="03C4BC8D" w14:textId="77777777" w:rsidR="0070534F" w:rsidRDefault="0070534F" w:rsidP="00683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6945332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092F1C" w14:textId="037D0F78" w:rsidR="00EA5557" w:rsidRDefault="00EA5557" w:rsidP="000970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4ED333" w14:textId="77777777" w:rsidR="00EA5557" w:rsidRDefault="00EA5557" w:rsidP="00EA555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6671331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2AFCEB" w14:textId="3572FC19" w:rsidR="00EA5557" w:rsidRDefault="00EA5557" w:rsidP="000970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B735FB2" w14:textId="77777777" w:rsidR="00EA5557" w:rsidRDefault="00EA5557" w:rsidP="00EA555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814C5" w14:textId="77777777" w:rsidR="0070534F" w:rsidRDefault="0070534F" w:rsidP="006836B5">
      <w:pPr>
        <w:spacing w:after="0" w:line="240" w:lineRule="auto"/>
      </w:pPr>
      <w:r>
        <w:separator/>
      </w:r>
    </w:p>
  </w:footnote>
  <w:footnote w:type="continuationSeparator" w:id="0">
    <w:p w14:paraId="048A0B43" w14:textId="77777777" w:rsidR="0070534F" w:rsidRDefault="0070534F" w:rsidP="006836B5">
      <w:pPr>
        <w:spacing w:after="0" w:line="240" w:lineRule="auto"/>
      </w:pPr>
      <w:r>
        <w:continuationSeparator/>
      </w:r>
    </w:p>
  </w:footnote>
  <w:footnote w:id="1">
    <w:p w14:paraId="2D8BC4A6" w14:textId="72F0A16F" w:rsidR="00066BC2" w:rsidRPr="002C1958" w:rsidRDefault="006836B5" w:rsidP="00AA64A9">
      <w:pPr>
        <w:pStyle w:val="Normal1"/>
        <w:spacing w:line="240" w:lineRule="auto"/>
        <w:jc w:val="both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066BC2" w:rsidRPr="002C1958">
        <w:rPr>
          <w:rFonts w:ascii="Times New Roman" w:eastAsia="Calibri" w:hAnsi="Times New Roman" w:cs="Times New Roman"/>
        </w:rPr>
        <w:t xml:space="preserve">Roda C. (ed.) (2011) </w:t>
      </w:r>
      <w:r w:rsidR="00066BC2" w:rsidRPr="002C1958">
        <w:rPr>
          <w:rFonts w:ascii="Times New Roman" w:eastAsia="Calibri" w:hAnsi="Times New Roman" w:cs="Times New Roman"/>
          <w:i/>
          <w:iCs/>
        </w:rPr>
        <w:t>Human Attention in Digital Environments</w:t>
      </w:r>
      <w:r w:rsidR="00066BC2" w:rsidRPr="002C1958">
        <w:rPr>
          <w:rFonts w:ascii="Times New Roman" w:eastAsia="Calibri" w:hAnsi="Times New Roman" w:cs="Times New Roman"/>
        </w:rPr>
        <w:t xml:space="preserve">. Cambridge University Press; FP7 Project PRIPARE, Project Number: ICT-610613, </w:t>
      </w:r>
      <w:r w:rsidR="00FC74C0">
        <w:rPr>
          <w:rFonts w:ascii="Times New Roman" w:eastAsia="Calibri" w:hAnsi="Times New Roman" w:cs="Times New Roman"/>
        </w:rPr>
        <w:t xml:space="preserve">awarded </w:t>
      </w:r>
      <w:r w:rsidR="00066BC2" w:rsidRPr="002C1958">
        <w:rPr>
          <w:rFonts w:ascii="Times New Roman" w:eastAsia="Calibri" w:hAnsi="Times New Roman" w:cs="Times New Roman"/>
        </w:rPr>
        <w:t xml:space="preserve">$1.1m, European Commission (2013-2015); </w:t>
      </w:r>
      <w:proofErr w:type="spellStart"/>
      <w:r w:rsidR="00066BC2" w:rsidRPr="002C1958">
        <w:rPr>
          <w:rFonts w:ascii="Times New Roman" w:eastAsia="Calibri" w:hAnsi="Times New Roman" w:cs="Times New Roman"/>
        </w:rPr>
        <w:t>Roda</w:t>
      </w:r>
      <w:proofErr w:type="spellEnd"/>
      <w:r w:rsidR="00066BC2" w:rsidRPr="002C1958">
        <w:rPr>
          <w:rFonts w:ascii="Times New Roman" w:eastAsia="Calibri" w:hAnsi="Times New Roman" w:cs="Times New Roman"/>
        </w:rPr>
        <w:t xml:space="preserve">, C., &amp; Perry, S. (2014) “Mobile Phone Infrastructure Regulation in Europe: Scientific Challenges and Human Rights Protection.” </w:t>
      </w:r>
      <w:r w:rsidR="00066BC2" w:rsidRPr="002C1958">
        <w:rPr>
          <w:rFonts w:ascii="Times New Roman" w:eastAsia="Calibri" w:hAnsi="Times New Roman" w:cs="Times New Roman"/>
          <w:i/>
        </w:rPr>
        <w:t>Environmental Science &amp; Policy</w:t>
      </w:r>
      <w:r w:rsidR="00066BC2" w:rsidRPr="002C1958">
        <w:rPr>
          <w:rFonts w:ascii="Times New Roman" w:eastAsia="Calibri" w:hAnsi="Times New Roman" w:cs="Times New Roman"/>
        </w:rPr>
        <w:t xml:space="preserve"> 37: 204–14; Perry, S. &amp; Roda, C. (2014) Teaching Privacy by Design to Non-Technical Audiences. </w:t>
      </w:r>
      <w:r w:rsidR="00066BC2" w:rsidRPr="002C1958">
        <w:rPr>
          <w:rFonts w:ascii="Times New Roman" w:eastAsia="Calibri" w:hAnsi="Times New Roman" w:cs="Times New Roman"/>
          <w:i/>
        </w:rPr>
        <w:t>Springer CCIS Series</w:t>
      </w:r>
      <w:r w:rsidR="00066BC2" w:rsidRPr="002C1958">
        <w:rPr>
          <w:rFonts w:ascii="Times New Roman" w:eastAsia="Calibri" w:hAnsi="Times New Roman" w:cs="Times New Roman"/>
        </w:rPr>
        <w:t xml:space="preserve">, Vol. 470; Perry, S.&amp; Roda, C. (2014) Privacy-by-Design Curriculum. Selected by the European Union Agency for Network and Information Security (ENISA) for the </w:t>
      </w:r>
      <w:r w:rsidR="00066BC2" w:rsidRPr="002C1958">
        <w:rPr>
          <w:rFonts w:ascii="Times New Roman" w:eastAsia="Calibri" w:hAnsi="Times New Roman" w:cs="Times New Roman"/>
          <w:i/>
        </w:rPr>
        <w:t>Roadmap for NIS Education Programmes in Europe</w:t>
      </w:r>
      <w:r w:rsidR="00066BC2" w:rsidRPr="002C1958">
        <w:rPr>
          <w:rFonts w:ascii="Times New Roman" w:eastAsia="Calibri" w:hAnsi="Times New Roman" w:cs="Times New Roman"/>
        </w:rPr>
        <w:t xml:space="preserve">; </w:t>
      </w:r>
      <w:r w:rsidR="00066BC2" w:rsidRPr="002C1958">
        <w:rPr>
          <w:rFonts w:ascii="Times New Roman" w:hAnsi="Times New Roman" w:cs="Times New Roman"/>
          <w:highlight w:val="white"/>
          <w:lang w:val="en-US"/>
        </w:rPr>
        <w:t xml:space="preserve">Perry, S. (2015) </w:t>
      </w:r>
      <w:r w:rsidR="00066BC2" w:rsidRPr="002C1958">
        <w:rPr>
          <w:rFonts w:ascii="Times New Roman" w:hAnsi="Times New Roman" w:cs="Times New Roman"/>
          <w:i/>
          <w:iCs/>
          <w:highlight w:val="white"/>
          <w:lang w:val="en-US"/>
        </w:rPr>
        <w:t>Illusion Pixel</w:t>
      </w:r>
      <w:r w:rsidR="00066BC2" w:rsidRPr="002C1958">
        <w:rPr>
          <w:rFonts w:ascii="Times New Roman" w:hAnsi="Times New Roman" w:cs="Times New Roman"/>
          <w:highlight w:val="white"/>
          <w:lang w:val="en-US"/>
        </w:rPr>
        <w:t>. Paris: Lemieux Editions</w:t>
      </w:r>
      <w:r w:rsidR="00066BC2" w:rsidRPr="002C1958">
        <w:rPr>
          <w:rFonts w:ascii="Times New Roman" w:hAnsi="Times New Roman" w:cs="Times New Roman"/>
          <w:lang w:val="en-US"/>
        </w:rPr>
        <w:t xml:space="preserve">; </w:t>
      </w:r>
      <w:r w:rsidR="00066BC2" w:rsidRPr="002C1958">
        <w:rPr>
          <w:rFonts w:ascii="Times New Roman" w:eastAsia="Calibri" w:hAnsi="Times New Roman" w:cs="Times New Roman"/>
        </w:rPr>
        <w:t xml:space="preserve">Perry, S. &amp; Roda, C. (2017) </w:t>
      </w:r>
      <w:r w:rsidR="00066BC2" w:rsidRPr="002C1958">
        <w:rPr>
          <w:rFonts w:ascii="Times New Roman" w:eastAsia="Calibri" w:hAnsi="Times New Roman" w:cs="Times New Roman"/>
          <w:i/>
        </w:rPr>
        <w:t xml:space="preserve">Human Rights and Digital </w:t>
      </w:r>
      <w:r w:rsidR="00623A84" w:rsidRPr="002C1958">
        <w:rPr>
          <w:rFonts w:ascii="Times New Roman" w:eastAsia="Calibri" w:hAnsi="Times New Roman" w:cs="Times New Roman"/>
          <w:i/>
        </w:rPr>
        <w:t>Technology:</w:t>
      </w:r>
      <w:r w:rsidR="00066BC2" w:rsidRPr="002C1958">
        <w:rPr>
          <w:rFonts w:ascii="Times New Roman" w:eastAsia="Calibri" w:hAnsi="Times New Roman" w:cs="Times New Roman"/>
          <w:i/>
        </w:rPr>
        <w:t xml:space="preserve"> Digital Tightrope</w:t>
      </w:r>
      <w:r w:rsidR="00066BC2" w:rsidRPr="002C1958">
        <w:rPr>
          <w:rFonts w:ascii="Times New Roman" w:eastAsia="Calibri" w:hAnsi="Times New Roman" w:cs="Times New Roman"/>
        </w:rPr>
        <w:t>. Palgrave Macmillan; Doyle, W. &amp; Roda, C. (eds.) (2019)</w:t>
      </w:r>
      <w:hyperlink r:id="rId1">
        <w:r w:rsidR="00066BC2" w:rsidRPr="002C1958">
          <w:rPr>
            <w:rFonts w:ascii="Times New Roman" w:eastAsia="Calibri" w:hAnsi="Times New Roman" w:cs="Times New Roman"/>
          </w:rPr>
          <w:t xml:space="preserve"> </w:t>
        </w:r>
      </w:hyperlink>
      <w:hyperlink r:id="rId2">
        <w:r w:rsidR="00066BC2" w:rsidRPr="002C1958">
          <w:rPr>
            <w:rFonts w:ascii="Times New Roman" w:eastAsia="Calibri" w:hAnsi="Times New Roman" w:cs="Times New Roman"/>
            <w:i/>
            <w:iCs/>
          </w:rPr>
          <w:t>Communication in the Era of Attention Scarcit</w:t>
        </w:r>
        <w:r w:rsidR="00066BC2" w:rsidRPr="002C1958">
          <w:rPr>
            <w:rFonts w:ascii="Times New Roman" w:eastAsia="Calibri" w:hAnsi="Times New Roman" w:cs="Times New Roman"/>
          </w:rPr>
          <w:t>y</w:t>
        </w:r>
      </w:hyperlink>
      <w:r w:rsidR="00066BC2" w:rsidRPr="002C1958">
        <w:rPr>
          <w:rFonts w:ascii="Times New Roman" w:eastAsia="Calibri" w:hAnsi="Times New Roman" w:cs="Times New Roman"/>
        </w:rPr>
        <w:t>. Palgrave Macmillan.</w:t>
      </w:r>
    </w:p>
    <w:p w14:paraId="6603DA36" w14:textId="77777777" w:rsidR="006836B5" w:rsidRDefault="006836B5" w:rsidP="00AA64A9">
      <w:pPr>
        <w:pStyle w:val="Normal1"/>
        <w:spacing w:line="240" w:lineRule="auto"/>
        <w:jc w:val="both"/>
        <w:rPr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45665"/>
    <w:multiLevelType w:val="multilevel"/>
    <w:tmpl w:val="6B8AE99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FC4E95"/>
    <w:multiLevelType w:val="hybridMultilevel"/>
    <w:tmpl w:val="BB0A0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7D"/>
    <w:rsid w:val="00066BC2"/>
    <w:rsid w:val="000D4E64"/>
    <w:rsid w:val="001021FA"/>
    <w:rsid w:val="002C1958"/>
    <w:rsid w:val="002D721C"/>
    <w:rsid w:val="004C51E8"/>
    <w:rsid w:val="00553255"/>
    <w:rsid w:val="00623A84"/>
    <w:rsid w:val="00674136"/>
    <w:rsid w:val="00674A81"/>
    <w:rsid w:val="006836B5"/>
    <w:rsid w:val="006F7B66"/>
    <w:rsid w:val="0070534F"/>
    <w:rsid w:val="007113CB"/>
    <w:rsid w:val="00712B1B"/>
    <w:rsid w:val="007E1B1F"/>
    <w:rsid w:val="008F707D"/>
    <w:rsid w:val="00924150"/>
    <w:rsid w:val="009771DD"/>
    <w:rsid w:val="00A162DE"/>
    <w:rsid w:val="00A340D3"/>
    <w:rsid w:val="00A55E79"/>
    <w:rsid w:val="00AA64A9"/>
    <w:rsid w:val="00B3194E"/>
    <w:rsid w:val="00BD4A65"/>
    <w:rsid w:val="00C4785A"/>
    <w:rsid w:val="00D47425"/>
    <w:rsid w:val="00D54B28"/>
    <w:rsid w:val="00D86DAE"/>
    <w:rsid w:val="00E76FA0"/>
    <w:rsid w:val="00EA5557"/>
    <w:rsid w:val="00F52551"/>
    <w:rsid w:val="00FC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C5ADE0"/>
  <w15:chartTrackingRefBased/>
  <w15:docId w15:val="{3E069DBC-CF7A-D749-B816-481C4178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07D"/>
    <w:pPr>
      <w:spacing w:after="160" w:line="276" w:lineRule="auto"/>
    </w:pPr>
    <w:rPr>
      <w:color w:val="262626" w:themeColor="text1" w:themeTint="D9"/>
      <w:kern w:val="2"/>
      <w:sz w:val="22"/>
      <w:szCs w:val="22"/>
      <w:lang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HostTable">
    <w:name w:val="Host Table"/>
    <w:basedOn w:val="TableNormal"/>
    <w:uiPriority w:val="99"/>
    <w:rsid w:val="008F707D"/>
    <w:pPr>
      <w:spacing w:after="160" w:line="276" w:lineRule="auto"/>
    </w:pPr>
    <w:rPr>
      <w:color w:val="262626" w:themeColor="text1" w:themeTint="D9"/>
      <w:kern w:val="2"/>
      <w:sz w:val="22"/>
      <w:szCs w:val="22"/>
      <w:lang w:eastAsia="ja-JP"/>
      <w14:ligatures w14:val="standard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Normal1">
    <w:name w:val="Normal1"/>
    <w:rsid w:val="006836B5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FA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A0"/>
    <w:rPr>
      <w:rFonts w:ascii="Times New Roman" w:hAnsi="Times New Roman" w:cs="Times New Roman"/>
      <w:color w:val="262626" w:themeColor="text1" w:themeTint="D9"/>
      <w:kern w:val="2"/>
      <w:sz w:val="18"/>
      <w:szCs w:val="18"/>
      <w:lang w:eastAsia="ja-JP"/>
      <w14:ligatures w14:val="standard"/>
    </w:rPr>
  </w:style>
  <w:style w:type="paragraph" w:styleId="NormalWeb">
    <w:name w:val="Normal (Web)"/>
    <w:basedOn w:val="Normal"/>
    <w:uiPriority w:val="99"/>
    <w:unhideWhenUsed/>
    <w:rsid w:val="0006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AA64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4A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16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2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2DE"/>
    <w:rPr>
      <w:color w:val="262626" w:themeColor="text1" w:themeTint="D9"/>
      <w:kern w:val="2"/>
      <w:sz w:val="20"/>
      <w:szCs w:val="20"/>
      <w:lang w:eastAsia="ja-JP"/>
      <w14:ligatures w14:val="standard"/>
    </w:rPr>
  </w:style>
  <w:style w:type="paragraph" w:styleId="Footer">
    <w:name w:val="footer"/>
    <w:basedOn w:val="Normal"/>
    <w:link w:val="FooterChar"/>
    <w:uiPriority w:val="99"/>
    <w:unhideWhenUsed/>
    <w:rsid w:val="00EA5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557"/>
    <w:rPr>
      <w:color w:val="262626" w:themeColor="text1" w:themeTint="D9"/>
      <w:kern w:val="2"/>
      <w:sz w:val="22"/>
      <w:szCs w:val="22"/>
      <w:lang w:eastAsia="ja-JP"/>
      <w14:ligatures w14:val="standard"/>
    </w:rPr>
  </w:style>
  <w:style w:type="character" w:styleId="PageNumber">
    <w:name w:val="page number"/>
    <w:basedOn w:val="DefaultParagraphFont"/>
    <w:uiPriority w:val="99"/>
    <w:semiHidden/>
    <w:unhideWhenUsed/>
    <w:rsid w:val="00EA5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9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2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1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6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9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5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rry@aup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mailto:nicoleelizabethsantiag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roda@aup.ed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algrave.com/gp/book/9783030209179" TargetMode="External"/><Relationship Id="rId1" Type="http://schemas.openxmlformats.org/officeDocument/2006/relationships/hyperlink" Target="https://www.palgrave.com/gp/book/97830302091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024BBD-9512-42F0-AB6E-0C5E3A69596C}"/>
</file>

<file path=customXml/itemProps2.xml><?xml version="1.0" encoding="utf-8"?>
<ds:datastoreItem xmlns:ds="http://schemas.openxmlformats.org/officeDocument/2006/customXml" ds:itemID="{7D7FDEC5-2D1E-4375-A2BE-0CF3810DF868}"/>
</file>

<file path=customXml/itemProps3.xml><?xml version="1.0" encoding="utf-8"?>
<ds:datastoreItem xmlns:ds="http://schemas.openxmlformats.org/officeDocument/2006/customXml" ds:itemID="{1D559DF2-A25E-4B25-8C13-E8DD7271B6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Perry</dc:creator>
  <cp:keywords/>
  <dc:description/>
  <cp:lastModifiedBy>Susan Perry</cp:lastModifiedBy>
  <cp:revision>2</cp:revision>
  <cp:lastPrinted>2020-11-14T16:33:00Z</cp:lastPrinted>
  <dcterms:created xsi:type="dcterms:W3CDTF">2020-11-14T16:51:00Z</dcterms:created>
  <dcterms:modified xsi:type="dcterms:W3CDTF">2020-11-14T16:51:00Z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