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Arial"/>
          <w:b/>
        </w:rPr>
      </w:pP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Arial"/>
          <w:b/>
        </w:rPr>
      </w:pPr>
      <w:r w:rsidRPr="002635E3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918200" cy="539114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j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200" cy="53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5E3">
        <w:rPr>
          <w:rFonts w:eastAsia="Times New Roman" w:cs="Arial"/>
          <w:b/>
        </w:rPr>
        <w:t>Contribución del Instituto Interamericano del niño, la niña y adolescentes  a la Observación General 25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/>
        </w:rPr>
      </w:pP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Cs/>
        </w:rPr>
      </w:pPr>
      <w:r w:rsidRPr="002635E3">
        <w:rPr>
          <w:rFonts w:eastAsia="Times New Roman" w:cs="Arial"/>
          <w:bCs/>
        </w:rPr>
        <w:t xml:space="preserve">Consustanciados con la relevancia que para la protección de derechos de la niñez y la adolescencia tiene la propuesta de Observación 25 realizada por el Comité, el IIN OEA ha generado tres espacios de </w:t>
      </w:r>
      <w:r w:rsidR="00CB6094" w:rsidRPr="002635E3">
        <w:rPr>
          <w:rFonts w:eastAsia="Times New Roman" w:cs="Arial"/>
          <w:bCs/>
        </w:rPr>
        <w:t>diálogo</w:t>
      </w:r>
      <w:r w:rsidRPr="002635E3">
        <w:rPr>
          <w:rFonts w:eastAsia="Times New Roman" w:cs="Arial"/>
          <w:bCs/>
        </w:rPr>
        <w:t xml:space="preserve"> y consulta sobre la misma</w:t>
      </w:r>
      <w:proofErr w:type="gramStart"/>
      <w:r w:rsidRPr="002635E3">
        <w:rPr>
          <w:rFonts w:eastAsia="Times New Roman" w:cs="Arial"/>
          <w:bCs/>
        </w:rPr>
        <w:t>::</w:t>
      </w:r>
      <w:proofErr w:type="gramEnd"/>
    </w:p>
    <w:p w:rsidR="00B71BA5" w:rsidRDefault="00B71BA5" w:rsidP="00E61C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Cs/>
        </w:rPr>
      </w:pPr>
      <w:r w:rsidRPr="002635E3">
        <w:rPr>
          <w:rFonts w:eastAsia="Times New Roman" w:cs="Arial"/>
          <w:bCs/>
        </w:rPr>
        <w:t xml:space="preserve">Aportes del grupo organizado temático de niños niñas y adolescentes sobre el Uso Seguro de </w:t>
      </w:r>
      <w:r w:rsidR="00273880" w:rsidRPr="002635E3">
        <w:rPr>
          <w:rFonts w:eastAsia="Times New Roman" w:cs="Arial"/>
          <w:bCs/>
        </w:rPr>
        <w:t>Internet</w:t>
      </w:r>
      <w:r w:rsidR="00E61C25">
        <w:rPr>
          <w:rFonts w:eastAsia="Times New Roman" w:cs="Arial"/>
          <w:bCs/>
        </w:rPr>
        <w:t>.</w:t>
      </w:r>
    </w:p>
    <w:p w:rsidR="00E61C25" w:rsidRPr="002635E3" w:rsidRDefault="00E61C2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  <w:bCs/>
        </w:rPr>
      </w:pPr>
    </w:p>
    <w:p w:rsidR="00E61C25" w:rsidRDefault="00B71BA5" w:rsidP="00E61C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Cs/>
        </w:rPr>
      </w:pPr>
      <w:r w:rsidRPr="002635E3">
        <w:rPr>
          <w:rFonts w:eastAsia="Times New Roman" w:cs="Arial"/>
          <w:bCs/>
        </w:rPr>
        <w:t xml:space="preserve">Aportes de los Estados a través de los Conversatorios de Políticas Públicas para el uso seguro de </w:t>
      </w:r>
      <w:r w:rsidR="00273880" w:rsidRPr="002635E3">
        <w:rPr>
          <w:rFonts w:eastAsia="Times New Roman" w:cs="Arial"/>
          <w:bCs/>
        </w:rPr>
        <w:t>Internet</w:t>
      </w:r>
      <w:r w:rsidRPr="002635E3">
        <w:rPr>
          <w:rFonts w:eastAsia="Times New Roman" w:cs="Arial"/>
          <w:bCs/>
        </w:rPr>
        <w:t xml:space="preserve"> para niños, niñas y adolescentes</w:t>
      </w:r>
      <w:r w:rsidR="00E61C25">
        <w:rPr>
          <w:rFonts w:eastAsia="Times New Roman" w:cs="Arial"/>
          <w:bCs/>
        </w:rPr>
        <w:t>.</w:t>
      </w:r>
    </w:p>
    <w:p w:rsidR="00E61C25" w:rsidRPr="00E61C25" w:rsidRDefault="00E61C2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Cs/>
        </w:rPr>
      </w:pPr>
    </w:p>
    <w:p w:rsidR="00B71BA5" w:rsidRPr="002635E3" w:rsidRDefault="00B71BA5" w:rsidP="00E61C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Cs/>
        </w:rPr>
      </w:pPr>
      <w:r w:rsidRPr="002635E3">
        <w:rPr>
          <w:rFonts w:eastAsia="Times New Roman" w:cs="Arial"/>
          <w:bCs/>
        </w:rPr>
        <w:t>Aportes del equipo técnico del IIN-OEA</w:t>
      </w:r>
      <w:r w:rsidR="00E61C25">
        <w:rPr>
          <w:rFonts w:eastAsia="Times New Roman" w:cs="Arial"/>
          <w:bCs/>
        </w:rPr>
        <w:t>.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  <w:bCs/>
        </w:rPr>
      </w:pP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/>
        </w:rPr>
      </w:pPr>
    </w:p>
    <w:p w:rsidR="00B71BA5" w:rsidRPr="002635E3" w:rsidRDefault="00B71BA5" w:rsidP="00E61C2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2635E3">
        <w:rPr>
          <w:rFonts w:ascii="Arial" w:eastAsia="Times New Roman" w:hAnsi="Arial" w:cs="Arial"/>
          <w:b/>
        </w:rPr>
        <w:t>Aportes del Grupo organizado temático de niños niñas y adolescentes respecto al uso seguro de los entornos digitales (GOT USI): El Salvador, Ecuador, Chile, México, Panamá, Perú, Uruguay.</w:t>
      </w:r>
    </w:p>
    <w:p w:rsidR="00B71BA5" w:rsidRPr="002635E3" w:rsidRDefault="00B71BA5" w:rsidP="00E61C25">
      <w:pPr>
        <w:pStyle w:val="Standard"/>
        <w:spacing w:line="276" w:lineRule="auto"/>
        <w:jc w:val="both"/>
        <w:rPr>
          <w:rFonts w:ascii="Arial" w:eastAsiaTheme="minorHAnsi" w:hAnsi="Arial"/>
          <w:kern w:val="0"/>
          <w:sz w:val="22"/>
          <w:szCs w:val="22"/>
          <w:lang w:val="es-ES" w:eastAsia="en-US" w:bidi="ar-SA"/>
        </w:rPr>
      </w:pPr>
      <w:r w:rsidRPr="002635E3">
        <w:rPr>
          <w:rFonts w:ascii="Arial" w:eastAsia="Times New Roman" w:hAnsi="Arial"/>
          <w:sz w:val="22"/>
          <w:szCs w:val="22"/>
        </w:rPr>
        <w:t>El</w:t>
      </w:r>
      <w:r w:rsidRPr="002635E3">
        <w:rPr>
          <w:rFonts w:ascii="Arial" w:eastAsiaTheme="minorHAnsi" w:hAnsi="Arial"/>
          <w:kern w:val="0"/>
          <w:sz w:val="22"/>
          <w:szCs w:val="22"/>
          <w:lang w:val="es-ES" w:eastAsia="en-US" w:bidi="ar-SA"/>
        </w:rPr>
        <w:t xml:space="preserve"> GOT USI es un espacio de reflexión de niños, niñas y adolescentes </w:t>
      </w:r>
      <w:r w:rsidRPr="002635E3">
        <w:rPr>
          <w:rFonts w:ascii="Arial" w:hAnsi="Arial"/>
          <w:bCs/>
          <w:sz w:val="22"/>
          <w:szCs w:val="22"/>
        </w:rPr>
        <w:t>(</w:t>
      </w:r>
      <w:r w:rsidRPr="002635E3">
        <w:rPr>
          <w:rFonts w:ascii="Arial" w:hAnsi="Arial"/>
          <w:sz w:val="22"/>
          <w:szCs w:val="22"/>
        </w:rPr>
        <w:t>entre los 12 y 17 años)</w:t>
      </w:r>
      <w:r w:rsidRPr="002635E3">
        <w:rPr>
          <w:rFonts w:ascii="Arial" w:eastAsiaTheme="minorHAnsi" w:hAnsi="Arial"/>
          <w:kern w:val="0"/>
          <w:sz w:val="22"/>
          <w:szCs w:val="22"/>
          <w:lang w:val="es-ES" w:eastAsia="en-US" w:bidi="ar-SA"/>
        </w:rPr>
        <w:t xml:space="preserve">; un grupo, en el que sus participantes reciben y comparten información actualizada y amigable acerca de la promoción y protección de derechos en los entornos virtuales, promoviendo la recogida de la opinión del colectivo. </w:t>
      </w:r>
      <w:r w:rsidRPr="002635E3">
        <w:rPr>
          <w:rFonts w:ascii="Arial" w:eastAsiaTheme="minorHAnsi" w:hAnsi="Arial"/>
          <w:sz w:val="22"/>
          <w:szCs w:val="22"/>
          <w:lang w:val="es-ES" w:eastAsia="en-US"/>
        </w:rPr>
        <w:t xml:space="preserve">A su vez, se ofrece desde el IIN-OEA una posibilidad de interlocución con actores nacionales e internacionales involucrados en políticas públicas (promoviendo el derecho a que los niños, niñas y adolescentes sean escuchados por quienes toman decisiones) En este sentido el GOT USI recibió el borrador de la observación 25 y luego de su lectura realizaron las siguientes observaciones: 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  <w:b/>
          <w:color w:val="FF0000"/>
        </w:rPr>
      </w:pPr>
    </w:p>
    <w:p w:rsidR="00B71BA5" w:rsidRPr="002635E3" w:rsidRDefault="00B71BA5" w:rsidP="00E61C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Se considera un </w:t>
      </w:r>
      <w:r w:rsidR="008B244B" w:rsidRPr="002635E3">
        <w:rPr>
          <w:rFonts w:eastAsia="Times New Roman" w:cs="Arial"/>
        </w:rPr>
        <w:t xml:space="preserve"> documento muy bien trabajado </w:t>
      </w:r>
      <w:r w:rsidRPr="002635E3">
        <w:rPr>
          <w:rFonts w:eastAsia="Times New Roman" w:cs="Arial"/>
        </w:rPr>
        <w:t>y redactad</w:t>
      </w:r>
      <w:r w:rsidR="008B244B" w:rsidRPr="002635E3">
        <w:rPr>
          <w:rFonts w:eastAsia="Times New Roman" w:cs="Arial"/>
        </w:rPr>
        <w:t>o en forma que posibilita una su</w:t>
      </w:r>
      <w:r w:rsidRPr="002635E3">
        <w:rPr>
          <w:rFonts w:eastAsia="Times New Roman" w:cs="Arial"/>
        </w:rPr>
        <w:t xml:space="preserve"> comprensión.</w:t>
      </w:r>
    </w:p>
    <w:p w:rsidR="00B71BA5" w:rsidRPr="002635E3" w:rsidRDefault="00B71BA5" w:rsidP="00E61C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 pesar de esto incluye</w:t>
      </w:r>
      <w:r w:rsidR="008B244B" w:rsidRPr="002635E3">
        <w:rPr>
          <w:rFonts w:eastAsia="Times New Roman" w:cs="Arial"/>
        </w:rPr>
        <w:t xml:space="preserve"> a</w:t>
      </w:r>
      <w:r w:rsidRPr="002635E3">
        <w:rPr>
          <w:rFonts w:eastAsia="Times New Roman" w:cs="Arial"/>
        </w:rPr>
        <w:t>lgunas palabras/expresiones que generaron dudas: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Sesgada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8B244B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proofErr w:type="spellStart"/>
      <w:r w:rsidRPr="002635E3">
        <w:rPr>
          <w:rFonts w:eastAsia="Times New Roman" w:cs="Arial"/>
        </w:rPr>
        <w:t>Resiliencia</w:t>
      </w:r>
      <w:proofErr w:type="spellEnd"/>
      <w:r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Asequibilidad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Socavado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Restitución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Organismos de represión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Injerencia arbitraria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8B244B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Apátrida.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Exacerbada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Publicidad subrepticia</w:t>
      </w:r>
      <w:r w:rsidR="008B244B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  <w:color w:val="000000"/>
        </w:rPr>
      </w:pPr>
    </w:p>
    <w:p w:rsidR="00B71BA5" w:rsidRPr="002635E3" w:rsidRDefault="00B71BA5" w:rsidP="00E61C2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2635E3">
        <w:rPr>
          <w:rFonts w:ascii="Arial" w:eastAsia="Times New Roman" w:hAnsi="Arial" w:cs="Arial"/>
          <w:b/>
        </w:rPr>
        <w:lastRenderedPageBreak/>
        <w:t>Aportes de los Conversatorios de políticas públicas para el uso segu</w:t>
      </w:r>
      <w:r w:rsidR="008B244B" w:rsidRPr="002635E3">
        <w:rPr>
          <w:rFonts w:ascii="Arial" w:eastAsia="Times New Roman" w:hAnsi="Arial" w:cs="Arial"/>
          <w:b/>
        </w:rPr>
        <w:t xml:space="preserve">ro de </w:t>
      </w:r>
      <w:r w:rsidR="00273880" w:rsidRPr="002635E3">
        <w:rPr>
          <w:rFonts w:ascii="Arial" w:eastAsia="Times New Roman" w:hAnsi="Arial" w:cs="Arial"/>
          <w:b/>
        </w:rPr>
        <w:t>Internet</w:t>
      </w:r>
      <w:r w:rsidR="008B244B" w:rsidRPr="002635E3">
        <w:rPr>
          <w:rFonts w:ascii="Arial" w:eastAsia="Times New Roman" w:hAnsi="Arial" w:cs="Arial"/>
          <w:b/>
        </w:rPr>
        <w:t xml:space="preserve"> para niños, niñas</w:t>
      </w:r>
      <w:r w:rsidRPr="002635E3">
        <w:rPr>
          <w:rFonts w:ascii="Arial" w:eastAsia="Times New Roman" w:hAnsi="Arial" w:cs="Arial"/>
          <w:b/>
        </w:rPr>
        <w:t xml:space="preserve"> y adolescentes (CPP): Argentina, Brasil, Costa Rica, Ecuador, México, Nicaragua, Panamá, Paraguay y Perú.</w:t>
      </w:r>
      <w:r w:rsidRPr="002635E3">
        <w:rPr>
          <w:rFonts w:ascii="Arial" w:hAnsi="Arial" w:cs="Arial"/>
          <w:vertAlign w:val="superscript"/>
        </w:rPr>
        <w:footnoteReference w:id="1"/>
      </w:r>
    </w:p>
    <w:p w:rsidR="00B71BA5" w:rsidRPr="002635E3" w:rsidRDefault="00B71BA5" w:rsidP="00E61C2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Times New Roman" w:hAnsi="Arial" w:cs="Arial"/>
          <w:b/>
        </w:rPr>
      </w:pPr>
      <w:r w:rsidRPr="002635E3">
        <w:rPr>
          <w:rFonts w:ascii="Arial" w:hAnsi="Arial" w:cs="Arial"/>
          <w:lang w:val="es-MX"/>
        </w:rPr>
        <w:t xml:space="preserve">Los </w:t>
      </w:r>
      <w:r w:rsidRPr="002635E3">
        <w:rPr>
          <w:rFonts w:ascii="Arial" w:eastAsia="Times New Roman" w:hAnsi="Arial" w:cs="Arial"/>
        </w:rPr>
        <w:t xml:space="preserve">Conversatorios de políticas públicas para el uso seguro de </w:t>
      </w:r>
      <w:r w:rsidR="00273880" w:rsidRPr="002635E3">
        <w:rPr>
          <w:rFonts w:ascii="Arial" w:eastAsia="Times New Roman" w:hAnsi="Arial" w:cs="Arial"/>
        </w:rPr>
        <w:t>Internet</w:t>
      </w:r>
      <w:r w:rsidRPr="002635E3">
        <w:rPr>
          <w:rFonts w:ascii="Arial" w:eastAsia="Times New Roman" w:hAnsi="Arial" w:cs="Arial"/>
        </w:rPr>
        <w:t xml:space="preserve"> para niños. </w:t>
      </w:r>
      <w:proofErr w:type="gramStart"/>
      <w:r w:rsidRPr="002635E3">
        <w:rPr>
          <w:rFonts w:ascii="Arial" w:eastAsia="Times New Roman" w:hAnsi="Arial" w:cs="Arial"/>
        </w:rPr>
        <w:t>niñas</w:t>
      </w:r>
      <w:proofErr w:type="gramEnd"/>
      <w:r w:rsidRPr="002635E3">
        <w:rPr>
          <w:rFonts w:ascii="Arial" w:eastAsia="Times New Roman" w:hAnsi="Arial" w:cs="Arial"/>
        </w:rPr>
        <w:t xml:space="preserve"> y adolescentes (CPP), son </w:t>
      </w:r>
      <w:r w:rsidRPr="002635E3">
        <w:rPr>
          <w:rFonts w:ascii="Arial" w:hAnsi="Arial" w:cs="Arial"/>
          <w:lang w:val="es-MX"/>
        </w:rPr>
        <w:t xml:space="preserve">reuniones mensuales que desde la interinstitucionalidad (participan instituciones del Estado y </w:t>
      </w:r>
      <w:proofErr w:type="spellStart"/>
      <w:r w:rsidRPr="002635E3">
        <w:rPr>
          <w:rFonts w:ascii="Arial" w:hAnsi="Arial" w:cs="Arial"/>
          <w:lang w:val="es-MX"/>
        </w:rPr>
        <w:t>ONGs</w:t>
      </w:r>
      <w:proofErr w:type="spellEnd"/>
      <w:r w:rsidRPr="002635E3">
        <w:rPr>
          <w:rFonts w:ascii="Arial" w:hAnsi="Arial" w:cs="Arial"/>
          <w:lang w:val="es-MX"/>
        </w:rPr>
        <w:t xml:space="preserve">) e interdisciplinariedad, reúne  a los Estados,  con el objetivo de promover el intercambio y reflexión acerca de  las políticas públicas para el uso seguro del </w:t>
      </w:r>
      <w:r w:rsidR="00273880" w:rsidRPr="002635E3">
        <w:rPr>
          <w:rFonts w:ascii="Arial" w:hAnsi="Arial" w:cs="Arial"/>
          <w:lang w:val="es-MX"/>
        </w:rPr>
        <w:t>Internet</w:t>
      </w:r>
      <w:r w:rsidRPr="002635E3">
        <w:rPr>
          <w:rFonts w:ascii="Arial" w:hAnsi="Arial" w:cs="Arial"/>
          <w:lang w:val="es-MX"/>
        </w:rPr>
        <w:t xml:space="preserve"> por parte de niños, niñas y adolescentes. En el mes de octubre el tema propuesto en este espacio fue el trabajar sobre el borrador de la Observación 25, contando en dicho espacio con la valiosa participación de</w:t>
      </w:r>
      <w:r w:rsidR="008B244B" w:rsidRPr="002635E3">
        <w:rPr>
          <w:rFonts w:ascii="Arial" w:hAnsi="Arial" w:cs="Arial"/>
          <w:lang w:val="es-MX"/>
        </w:rPr>
        <w:t xml:space="preserve">l Sr. </w:t>
      </w:r>
      <w:r w:rsidRPr="002635E3">
        <w:rPr>
          <w:rFonts w:ascii="Arial" w:hAnsi="Arial" w:cs="Arial"/>
          <w:lang w:val="es-MX"/>
        </w:rPr>
        <w:t>José Ángel Rodríguez</w:t>
      </w:r>
      <w:r w:rsidR="008B244B" w:rsidRPr="002635E3">
        <w:rPr>
          <w:rFonts w:ascii="Arial" w:hAnsi="Arial" w:cs="Arial"/>
          <w:lang w:val="es-MX"/>
        </w:rPr>
        <w:t>, Miembro del Comité de los Derechos del Niño</w:t>
      </w:r>
      <w:r w:rsidRPr="002635E3">
        <w:rPr>
          <w:rFonts w:ascii="Arial" w:hAnsi="Arial" w:cs="Arial"/>
          <w:lang w:val="es-MX"/>
        </w:rPr>
        <w:t>.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</w:rPr>
      </w:pP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Se considera importante trabajar en las regulaciones de la edad, proponiendo que sea tenido en cuenta el grado de desarrollo y autonomía conforme niños, niñas y adolescentes van tomando decisiones sobre cómo ejerce sus derechos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Respecto al “derecho a la no discriminación”, siempre es importante considerar las acciones afirmativas para los niños, niñas y adolescentes que se encuentran en situaciones de alta vulnerabilidad para un mayor acceso e inclusión en los entornos digitales. Es importante que se pueda recomendar a los Estados que asignen recursos para dotar a los niños, </w:t>
      </w:r>
      <w:r w:rsidR="008B244B" w:rsidRPr="002635E3">
        <w:rPr>
          <w:rFonts w:eastAsia="Times New Roman" w:cs="Arial"/>
        </w:rPr>
        <w:t xml:space="preserve">a las </w:t>
      </w:r>
      <w:r w:rsidRPr="002635E3">
        <w:rPr>
          <w:rFonts w:eastAsia="Times New Roman" w:cs="Arial"/>
        </w:rPr>
        <w:t>niñas y</w:t>
      </w:r>
      <w:r w:rsidR="008B244B" w:rsidRPr="002635E3">
        <w:rPr>
          <w:rFonts w:eastAsia="Times New Roman" w:cs="Arial"/>
        </w:rPr>
        <w:t xml:space="preserve"> a</w:t>
      </w:r>
      <w:r w:rsidRPr="002635E3">
        <w:rPr>
          <w:rFonts w:eastAsia="Times New Roman" w:cs="Arial"/>
        </w:rPr>
        <w:t xml:space="preserve"> </w:t>
      </w:r>
      <w:r w:rsidR="008B244B" w:rsidRPr="002635E3">
        <w:rPr>
          <w:rFonts w:eastAsia="Times New Roman" w:cs="Arial"/>
        </w:rPr>
        <w:t xml:space="preserve">las y los </w:t>
      </w:r>
      <w:r w:rsidRPr="002635E3">
        <w:rPr>
          <w:rFonts w:eastAsia="Times New Roman" w:cs="Arial"/>
        </w:rPr>
        <w:t xml:space="preserve">adolescentes de dispositivos y acceso a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 xml:space="preserve"> segura.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Los Estados deberían incluir “derechos digitales en sus normativas” que regulen los procesos mediante ley sobre el uso de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Trabajar en mecanismos de denuncia más eficientes dentro de los Estados y entre los Estados (acuerdos de colaboración para perseguir delitos hacia niños, niñas y adolescentes a través de las redes y el entorno digital). 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Continuar haciendo énfasis en la relación entre “Estado-Familia-Empresa”, como corresponsables en la protección de niños, niñas y adolescentes. 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Fortalecer la participación de los niños, niñas y adolescentes en las plataformas digitales como sujetos de derechos. 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Poder hacer partícipe a los niños, niñas y adolescentes en la creación de las plataformas digitales, para que estas se adapten a su visión y necesidades</w:t>
      </w:r>
      <w:r w:rsidR="00273880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Recomendar a los Estados que fortalezcan los Sistemas de Protección hacia niños, niñas y adolescentes en todo el territorio, fomentando la </w:t>
      </w:r>
      <w:r w:rsidR="00273880" w:rsidRPr="002635E3">
        <w:rPr>
          <w:rFonts w:eastAsia="Times New Roman" w:cs="Arial"/>
        </w:rPr>
        <w:t>articulación</w:t>
      </w:r>
      <w:r w:rsidRPr="002635E3">
        <w:rPr>
          <w:rFonts w:eastAsia="Times New Roman" w:cs="Arial"/>
        </w:rPr>
        <w:t xml:space="preserve"> entre el área administrativa y la judicial, para dar una respuesta más integral a las situaciones de vulneración de derechos.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Analizar el impacto en la salud mental de los niños, niñas y adolescentes a raíz del uso de las redes sociales (depresión, dependencias, </w:t>
      </w:r>
      <w:proofErr w:type="gramStart"/>
      <w:r w:rsidRPr="002635E3">
        <w:rPr>
          <w:rFonts w:eastAsia="Times New Roman" w:cs="Arial"/>
        </w:rPr>
        <w:t>etc..</w:t>
      </w:r>
      <w:proofErr w:type="gramEnd"/>
      <w:r w:rsidRPr="002635E3">
        <w:rPr>
          <w:rFonts w:eastAsia="Times New Roman" w:cs="Arial"/>
        </w:rPr>
        <w:t>), que permitan disponer de los medios y mecanismos para su tratamiento.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Afianzar el tema de la privacidad por defecto, para aplicar medidas de protección donde los perfiles de niños, niñas y adolescentes en los entornos digitales sean privados.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lastRenderedPageBreak/>
        <w:t>La inteligencia artificial se está empleando para la creación de perfiles descriptivos y conductuales, facilitando la manipulación a través del manejo de sus motivaciones e intereses. Sería importante incluir en el borrador “buenas prácticas” en relación a este aspecto.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Es necesario considerar y debatir sobre los recursos educativos abiertos como garantes del derecho a la educación.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Contar a nivel de cada país con una mesa de trabajo donde se incluya sociedad civil, academia, empresas proveedoras de telefonía móvil e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 xml:space="preserve"> con la finalidad de crear alianzas que faciliten la implementación de políticas públicas para el uso seguro de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Ahondar en la prevención desde el fortalecimiento de los propios niños, niñas y adolescentes (facilitar herramientas de auto</w:t>
      </w:r>
      <w:r w:rsidR="002635E3" w:rsidRPr="002635E3">
        <w:rPr>
          <w:rFonts w:eastAsia="Times New Roman" w:cs="Arial"/>
        </w:rPr>
        <w:t>-</w:t>
      </w:r>
      <w:r w:rsidRPr="002635E3">
        <w:rPr>
          <w:rFonts w:eastAsia="Times New Roman" w:cs="Arial"/>
        </w:rPr>
        <w:t xml:space="preserve">cuidado, formación para el desarrollo de capacidades y habilidades, acompañamiento, </w:t>
      </w:r>
      <w:proofErr w:type="gramStart"/>
      <w:r w:rsidRPr="002635E3">
        <w:rPr>
          <w:rFonts w:eastAsia="Times New Roman" w:cs="Arial"/>
        </w:rPr>
        <w:t>etc..</w:t>
      </w:r>
      <w:proofErr w:type="gramEnd"/>
      <w:r w:rsidRPr="002635E3">
        <w:rPr>
          <w:rFonts w:eastAsia="Times New Roman" w:cs="Arial"/>
        </w:rPr>
        <w:t>) en los entornos digitales.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Transversalización del enfoque de género, que podría contribuir a la actualización de los términos en la propia Convención para contextualizar las nuevas realidades: La especificidad de niñas, niños y adolescentes considerando que la protección de los Estados partes debe considerar sus propias particularidades y necesidades de acuerdo a su género y edad.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Cuando se habla de la “crianza positiva que supere el control” se debería especificar un poco más sobre el alcance de este concepto.</w:t>
      </w:r>
    </w:p>
    <w:p w:rsidR="00B71BA5" w:rsidRPr="002635E3" w:rsidRDefault="00B71BA5" w:rsidP="00E61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El punto 113 “el Estado debe dotar de habilidades digitales”, se está totalmente de acuerdo, pero también se debería especificar cuáles serían esas habilidades a fomentar y cuáles serían las instituciones encargadas de ello, pensando desde la política pública.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</w:p>
    <w:p w:rsidR="00B71BA5" w:rsidRPr="002635E3" w:rsidRDefault="002635E3" w:rsidP="00E61C2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Times New Roman" w:hAnsi="Arial" w:cs="Arial"/>
          <w:b/>
        </w:rPr>
      </w:pPr>
      <w:r w:rsidRPr="002635E3">
        <w:rPr>
          <w:rFonts w:ascii="Arial" w:eastAsia="Times New Roman" w:hAnsi="Arial" w:cs="Arial"/>
          <w:b/>
        </w:rPr>
        <w:t>Aportes del IIN OEA</w:t>
      </w: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Aspectos destacables</w:t>
      </w:r>
      <w:r w:rsidR="002635E3" w:rsidRPr="002635E3">
        <w:rPr>
          <w:rFonts w:eastAsia="Times New Roman" w:cs="Arial"/>
        </w:rPr>
        <w:t>:</w:t>
      </w:r>
    </w:p>
    <w:p w:rsidR="002635E3" w:rsidRPr="002635E3" w:rsidRDefault="002635E3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</w:p>
    <w:p w:rsidR="00B71BA5" w:rsidRPr="002635E3" w:rsidRDefault="00B71BA5" w:rsidP="00E61C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Se valora que el Comité haya impulsado un proceso de consulta a niñas, niños y adolescentes para la elaboración de la Observación y que su opinión se incluya expresamente en el texto.</w:t>
      </w:r>
    </w:p>
    <w:p w:rsidR="00B71BA5" w:rsidRPr="002635E3" w:rsidRDefault="00B71BA5" w:rsidP="00E61C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Recoge una interpretación integral de la CDN contextualizando el uso de los entornos digitales.</w:t>
      </w:r>
    </w:p>
    <w:p w:rsidR="00B71BA5" w:rsidRPr="002635E3" w:rsidRDefault="00B71BA5" w:rsidP="00E61C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Resalta el papel y la responsabilidad de las empresas.</w:t>
      </w:r>
    </w:p>
    <w:p w:rsidR="00B71BA5" w:rsidRPr="002635E3" w:rsidRDefault="00B71BA5" w:rsidP="00E61C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Reconoce el entorno virtual como un espacio facilitador para promover derechos.</w:t>
      </w:r>
    </w:p>
    <w:p w:rsidR="00B71BA5" w:rsidRPr="002635E3" w:rsidRDefault="00B71BA5" w:rsidP="00E61C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Promueve la actualización de los marcos normativos.</w:t>
      </w:r>
    </w:p>
    <w:p w:rsidR="00B71BA5" w:rsidRPr="002635E3" w:rsidRDefault="00B71BA5" w:rsidP="00E61C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Promueve que los Estados asuman la coordinación de polít</w:t>
      </w:r>
      <w:r w:rsidR="002635E3" w:rsidRPr="002635E3">
        <w:rPr>
          <w:rFonts w:eastAsia="Times New Roman" w:cs="Arial"/>
        </w:rPr>
        <w:t>icas y programas en una entidad rectora</w:t>
      </w:r>
      <w:r w:rsidRPr="002635E3">
        <w:rPr>
          <w:rFonts w:eastAsia="Times New Roman" w:cs="Arial"/>
        </w:rPr>
        <w:t xml:space="preserve"> que articule las acciones en forma intersectorial</w:t>
      </w:r>
      <w:r w:rsidR="00E61C25">
        <w:rPr>
          <w:rFonts w:eastAsia="Times New Roman" w:cs="Arial"/>
        </w:rPr>
        <w:t>.</w:t>
      </w:r>
    </w:p>
    <w:p w:rsidR="00B71BA5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</w:rPr>
      </w:pPr>
    </w:p>
    <w:p w:rsidR="00E61C25" w:rsidRDefault="00E61C2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</w:rPr>
      </w:pPr>
    </w:p>
    <w:p w:rsidR="00E61C25" w:rsidRPr="002635E3" w:rsidRDefault="00E61C2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</w:rPr>
      </w:pPr>
    </w:p>
    <w:p w:rsidR="00B71BA5" w:rsidRPr="002635E3" w:rsidRDefault="00B71BA5" w:rsidP="00E61C25">
      <w:pPr>
        <w:spacing w:line="276" w:lineRule="auto"/>
        <w:jc w:val="both"/>
        <w:rPr>
          <w:rFonts w:eastAsia="Times New Roman" w:cs="Arial"/>
          <w:b/>
        </w:rPr>
      </w:pPr>
      <w:r w:rsidRPr="002635E3">
        <w:rPr>
          <w:rFonts w:eastAsia="Times New Roman" w:cs="Arial"/>
        </w:rPr>
        <w:lastRenderedPageBreak/>
        <w:t>Comentarios a tener en cuenta:</w:t>
      </w:r>
    </w:p>
    <w:p w:rsidR="00B71BA5" w:rsidRPr="002635E3" w:rsidRDefault="00B71BA5" w:rsidP="00E61C25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El concepto de autonomía progresiva debe ser abordado con mayor claridad y precisión, ya que permite problematizar una consulta habitual: ¿a qué edad puede un niño/a empezar a usar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 xml:space="preserve">? El principio de autonomía progresiva promueve una mirada más adecuada sobre el tema: considera el grado de desarrollo del sujeto, su formación crítica, su nivel de alfabetización digital. Además, tiene relación a cuándo y cómo se debe hacer uso de las tecnologías. Ciudadanía digital y autonomía progresiva son dos conceptos centrales para ubicar a los adultos en su rol </w:t>
      </w:r>
      <w:r w:rsidR="002635E3" w:rsidRPr="002635E3">
        <w:rPr>
          <w:rFonts w:eastAsia="Times New Roman" w:cs="Arial"/>
        </w:rPr>
        <w:t xml:space="preserve"> de garantes de derecho y</w:t>
      </w:r>
      <w:r w:rsidRPr="002635E3">
        <w:rPr>
          <w:rFonts w:eastAsia="Times New Roman" w:cs="Arial"/>
        </w:rPr>
        <w:t xml:space="preserve"> lograr el adecuado equilibrio entre acompañamiento y respeto de la privacidad</w:t>
      </w:r>
      <w:r w:rsidR="002635E3" w:rsidRPr="002635E3">
        <w:rPr>
          <w:rFonts w:eastAsia="Times New Roman" w:cs="Arial"/>
        </w:rPr>
        <w:t>.</w:t>
      </w:r>
    </w:p>
    <w:p w:rsidR="00B71BA5" w:rsidRPr="002635E3" w:rsidRDefault="00B71BA5" w:rsidP="00E61C25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Consideramos importante que prevalezca el reconocimiento de niños, niñas y adolescentes, sobre su categoría de consumidor - usuario.</w:t>
      </w:r>
    </w:p>
    <w:p w:rsidR="00B71BA5" w:rsidRPr="002635E3" w:rsidRDefault="00B71BA5" w:rsidP="00E61C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Hacer hincapié en las diferencias entre un delito cometido por adultos/as a uno cometido por niños/as o adolescentes. Sugerimos al Comité que aborde la diferenciación, y vele que las leyes que estén destinadas a niños, niñas y adoles</w:t>
      </w:r>
      <w:r w:rsidR="002635E3" w:rsidRPr="002635E3">
        <w:rPr>
          <w:rFonts w:eastAsia="Times New Roman" w:cs="Arial"/>
        </w:rPr>
        <w:t xml:space="preserve">centes no sean </w:t>
      </w:r>
      <w:proofErr w:type="spellStart"/>
      <w:r w:rsidR="002635E3" w:rsidRPr="002635E3">
        <w:rPr>
          <w:rFonts w:eastAsia="Times New Roman" w:cs="Arial"/>
        </w:rPr>
        <w:t>estigmatizantes</w:t>
      </w:r>
      <w:proofErr w:type="spellEnd"/>
      <w:r w:rsidR="002635E3" w:rsidRPr="002635E3">
        <w:rPr>
          <w:rFonts w:eastAsia="Times New Roman" w:cs="Arial"/>
        </w:rPr>
        <w:t>.</w:t>
      </w:r>
    </w:p>
    <w:p w:rsidR="002635E3" w:rsidRPr="002635E3" w:rsidRDefault="002635E3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</w:p>
    <w:p w:rsidR="002635E3" w:rsidRPr="002635E3" w:rsidRDefault="00B71BA5" w:rsidP="00E61C25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635E3">
        <w:rPr>
          <w:rFonts w:ascii="Arial" w:eastAsia="Times New Roman" w:hAnsi="Arial" w:cs="Arial"/>
        </w:rPr>
        <w:t>Sobre la violencia entre pares en los entornos digitales, promovemos:</w:t>
      </w:r>
    </w:p>
    <w:p w:rsidR="00B71BA5" w:rsidRPr="002635E3" w:rsidRDefault="00B71BA5" w:rsidP="00E61C25">
      <w:pPr>
        <w:numPr>
          <w:ilvl w:val="0"/>
          <w:numId w:val="7"/>
        </w:numPr>
        <w:spacing w:after="120" w:line="276" w:lineRule="auto"/>
        <w:ind w:left="143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que las medidas alternativas a la privación de la libertad sean priorizadas. En ese sentido, recomendamos que puedan prevalecer medidas que promuevan la convivencia en los centros educativos, campañas de sensibilización e involucrar a los miembros de la familia en dichas instancias. </w:t>
      </w:r>
    </w:p>
    <w:p w:rsidR="00B71BA5" w:rsidRDefault="00B71BA5" w:rsidP="00E61C25">
      <w:pPr>
        <w:numPr>
          <w:ilvl w:val="0"/>
          <w:numId w:val="7"/>
        </w:numPr>
        <w:spacing w:after="120" w:line="276" w:lineRule="auto"/>
        <w:ind w:left="1434" w:hanging="357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referirnos a la vulneración de derechos y derechos vulnerados, en lugar de las categorías “víctima” y “victimario” ya que estos lugares pueden ser dinámicos y no excluyentes. </w:t>
      </w:r>
    </w:p>
    <w:p w:rsidR="002635E3" w:rsidRPr="002635E3" w:rsidRDefault="002635E3" w:rsidP="00E61C25">
      <w:pPr>
        <w:spacing w:line="276" w:lineRule="auto"/>
        <w:ind w:left="1440"/>
        <w:jc w:val="both"/>
        <w:rPr>
          <w:rFonts w:eastAsia="Times New Roman" w:cs="Arial"/>
        </w:rPr>
      </w:pPr>
    </w:p>
    <w:p w:rsidR="00E61C25" w:rsidRPr="00E61C25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En relación con la creación de un órgano regulador, desde el IIN, recomendamos que su accionar esté interrelacionado con el sistema nacional de protección integral de los derechos de niños, niñas y adolescentes de cada Estado. Asimismo, el IIN considera importante que el Comité pueda detallar las características y funciones de dicho órgano. </w:t>
      </w:r>
    </w:p>
    <w:p w:rsidR="00E61C25" w:rsidRPr="002635E3" w:rsidRDefault="00B71BA5" w:rsidP="00A650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Esto nos lleva a hacer hincapié en priorizar la creación de sistemas nacionales de protección integral.</w:t>
      </w:r>
    </w:p>
    <w:p w:rsidR="00B71BA5" w:rsidRPr="002635E3" w:rsidRDefault="00B71BA5" w:rsidP="00A65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 pesar de que promueve la cooperación con la sociedad civil, consideramos importante que promueva también la cooperación con la academia. Tanto en la investigación como en la formación.</w:t>
      </w:r>
    </w:p>
    <w:p w:rsidR="00B71BA5" w:rsidRPr="002635E3" w:rsidRDefault="00B71BA5" w:rsidP="00A65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Sin perder el foco en el interés superior del niño, su autonomía progresiva, etc., reconoce</w:t>
      </w:r>
      <w:r w:rsidR="00E61C25">
        <w:rPr>
          <w:rFonts w:eastAsia="Times New Roman" w:cs="Arial"/>
        </w:rPr>
        <w:t xml:space="preserve">r la diversidad latinoamericana </w:t>
      </w:r>
      <w:r w:rsidRPr="002635E3">
        <w:rPr>
          <w:rFonts w:eastAsia="Times New Roman" w:cs="Arial"/>
        </w:rPr>
        <w:t>en referencia a las culturas y sus singularidades</w:t>
      </w:r>
      <w:r w:rsidR="00D678AF">
        <w:rPr>
          <w:rFonts w:eastAsia="Times New Roman" w:cs="Arial"/>
        </w:rPr>
        <w:t>.</w:t>
      </w:r>
    </w:p>
    <w:p w:rsidR="00B71BA5" w:rsidRPr="002635E3" w:rsidRDefault="00B71BA5" w:rsidP="00A65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Uso de un lenguaje inclusivo y no discriminatorio. Se sugiere no utilizar la redacción: “niñas, niños y adolescentes, incluidos los niños…. (con características especiales)”. Si lo planteado se refiere a todas las niñas, niños y adolescentes, se sugiere terminar la oración ahí. Y, si es necesario nombrar a los grupos en situación de mayor vulnerabilidad, podría continuar: “Para ello/en </w:t>
      </w:r>
      <w:r w:rsidRPr="002635E3">
        <w:rPr>
          <w:rFonts w:eastAsia="Times New Roman" w:cs="Arial"/>
        </w:rPr>
        <w:lastRenderedPageBreak/>
        <w:t xml:space="preserve">ello, es importante considerar/tener en cuenta/hacer mayor énfasis en las niñas, niños y adolescentes en situaciones de especial vulnerabilidad/mayor riesgo de vulneración de derechos (niñez con discapacidad, en situación de calle, en situación de movilidad humana, en instituciones, entre otras)”. </w:t>
      </w:r>
    </w:p>
    <w:p w:rsidR="00B71BA5" w:rsidRPr="002635E3" w:rsidRDefault="00B71BA5" w:rsidP="00A650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Se entiende importante mencionar específicamente aquellas situaciones que requieren especial atención o visibilidad, sin perder la noción de universalidad.</w:t>
      </w:r>
    </w:p>
    <w:p w:rsidR="00E61C25" w:rsidRPr="002635E3" w:rsidRDefault="00B71BA5" w:rsidP="00A650D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Una forma de ser inclusivos, sin necesidad de decir siempre “niñas, niños y adolescentes”, es hablar de niñez o infancias.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Sobre el diseño y aprobación de leyes que Estados promuevan para la promoción y protección de los derechos de niños, niñas y adolescentes en los entornos virtuales, es fundamental la transversalidad de esta con la perspectiva de género, generacionalidad, participación infantil y adolescente, etc.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Desarrollar un ítem sobre derechos de niños, niñas y adolescentes en los entornos digitales y la perspectiva de género.</w:t>
      </w:r>
      <w:r w:rsidR="00D678AF">
        <w:rPr>
          <w:rFonts w:eastAsia="Times New Roman" w:cs="Arial"/>
        </w:rPr>
        <w:t xml:space="preserve"> </w:t>
      </w:r>
      <w:r w:rsidRPr="002635E3">
        <w:rPr>
          <w:rFonts w:eastAsia="Times New Roman" w:cs="Arial"/>
        </w:rPr>
        <w:t xml:space="preserve">Incluir la diferenciación de las formas de violencia de género en el entorno virtual. 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Desarrollar un ítem sobre derechos de niños, niñas y adolescentes y ciclos de vida.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 Enfatizar la importancia de que las acciones impulsadas incluyan o consideren la opinión de niñas, niños y adolescentes, reconociendo que ellas/os tienen mayor conocimiento sobre usos, conductas, códigos de comunicación por su pertenencia generacional y experiencia de navegación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Insistir en que las sensibilizaciones y capacitación a niñas, niños y adolescentes y adultos de referencia se realicen desde una perspectiva de promoción y protección de derechos.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Profundizar el apartado sobre la incidencia de las tecnologías en la salud, desde un enfoque integral, que incluya no solo lo relativo a la salud física (sedentarismo, obesidad, visión) sino también a la salud mental (adicción -a los juegos, por ejemplo-, ansiedad, problemas de autoestima, suicidio).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En el párrafo 10 sobre discriminación tener en cuenta que la exigencia a que los Estados garanticen a todos los niños, incluidos los niños de familias de bajos ingresos y los niños que viven en zonas rurales y remotas, un acceso igual y efectivo al entorno digital, debe abarcar también a aquellos niños, niñas o adolescentes que atraviesan circunstancias particulares que puedan limitar o restringir su acceso, como por ejemplo aquellos que se encuentran alojados en distintos tipos de instituciones.</w:t>
      </w:r>
    </w:p>
    <w:p w:rsidR="00B71BA5" w:rsidRPr="002635E3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En la misma línea en el párrafo 94 debería considerarse a los y las adolescentes con responsabilidad penal cumpliendo una medida socioeducativa en un centro cerrado o </w:t>
      </w:r>
      <w:proofErr w:type="spellStart"/>
      <w:r w:rsidRPr="002635E3">
        <w:rPr>
          <w:rFonts w:eastAsia="Times New Roman" w:cs="Arial"/>
        </w:rPr>
        <w:t>semi</w:t>
      </w:r>
      <w:proofErr w:type="spellEnd"/>
      <w:r w:rsidR="00D678AF">
        <w:rPr>
          <w:rFonts w:eastAsia="Times New Roman" w:cs="Arial"/>
        </w:rPr>
        <w:t>-</w:t>
      </w:r>
      <w:r w:rsidRPr="002635E3">
        <w:rPr>
          <w:rFonts w:eastAsia="Times New Roman" w:cs="Arial"/>
        </w:rPr>
        <w:t>abierto.</w:t>
      </w:r>
    </w:p>
    <w:p w:rsidR="00B71BA5" w:rsidRDefault="00B71BA5" w:rsidP="00A650DF">
      <w:pPr>
        <w:numPr>
          <w:ilvl w:val="0"/>
          <w:numId w:val="6"/>
        </w:numPr>
        <w:spacing w:after="120"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 xml:space="preserve">Tomando en cuenta la centralidad del acceso a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 xml:space="preserve"> para la inclusión en los procesos educativos debería su</w:t>
      </w:r>
      <w:r w:rsidR="000516B2">
        <w:rPr>
          <w:rFonts w:eastAsia="Times New Roman" w:cs="Arial"/>
        </w:rPr>
        <w:t>gerirse</w:t>
      </w:r>
      <w:r w:rsidRPr="002635E3">
        <w:rPr>
          <w:rFonts w:eastAsia="Times New Roman" w:cs="Arial"/>
        </w:rPr>
        <w:t xml:space="preserve"> a los Estados que adopten medidas que garanticen el referido acceso a toda la población considerando el </w:t>
      </w:r>
      <w:r w:rsidR="00273880" w:rsidRPr="002635E3">
        <w:rPr>
          <w:rFonts w:eastAsia="Times New Roman" w:cs="Arial"/>
        </w:rPr>
        <w:t>Internet</w:t>
      </w:r>
      <w:r w:rsidRPr="002635E3">
        <w:rPr>
          <w:rFonts w:eastAsia="Times New Roman" w:cs="Arial"/>
        </w:rPr>
        <w:t xml:space="preserve"> como “un bien social” que no debe manejarse exclusi</w:t>
      </w:r>
      <w:r w:rsidR="000516B2">
        <w:rPr>
          <w:rFonts w:eastAsia="Times New Roman" w:cs="Arial"/>
        </w:rPr>
        <w:t>vamente como un bien de mercado.</w:t>
      </w:r>
    </w:p>
    <w:p w:rsidR="000516B2" w:rsidRPr="002635E3" w:rsidRDefault="000516B2" w:rsidP="000516B2">
      <w:pPr>
        <w:spacing w:after="120" w:line="276" w:lineRule="auto"/>
        <w:ind w:left="720"/>
        <w:jc w:val="both"/>
        <w:rPr>
          <w:rFonts w:eastAsia="Times New Roman" w:cs="Arial"/>
        </w:rPr>
      </w:pPr>
    </w:p>
    <w:p w:rsidR="00B71BA5" w:rsidRPr="002635E3" w:rsidRDefault="00B71BA5" w:rsidP="00E61C25">
      <w:pPr>
        <w:spacing w:line="276" w:lineRule="auto"/>
        <w:jc w:val="both"/>
        <w:rPr>
          <w:rFonts w:eastAsia="Times New Roman" w:cs="Arial"/>
        </w:rPr>
      </w:pPr>
    </w:p>
    <w:p w:rsidR="00B71BA5" w:rsidRDefault="00B71BA5" w:rsidP="00E61C25">
      <w:pPr>
        <w:spacing w:line="276" w:lineRule="auto"/>
        <w:jc w:val="both"/>
        <w:rPr>
          <w:rFonts w:eastAsia="Times New Roman" w:cs="Arial"/>
        </w:rPr>
      </w:pPr>
      <w:r w:rsidRPr="002635E3">
        <w:rPr>
          <w:rFonts w:eastAsia="Times New Roman" w:cs="Arial"/>
        </w:rPr>
        <w:t>A la espera que estos aportes resulten de utilidad el IIN reitera su disposición de coordinar con el Comité la difusión y el seguimiento a la implementación de esta observación en la medida que s</w:t>
      </w:r>
      <w:r w:rsidR="000516B2">
        <w:rPr>
          <w:rFonts w:eastAsia="Times New Roman" w:cs="Arial"/>
        </w:rPr>
        <w:t>e alcance si versión definitiva.</w:t>
      </w:r>
    </w:p>
    <w:p w:rsidR="000516B2" w:rsidRDefault="000516B2" w:rsidP="00E61C25">
      <w:pPr>
        <w:spacing w:line="276" w:lineRule="auto"/>
        <w:jc w:val="both"/>
        <w:rPr>
          <w:rFonts w:eastAsia="Times New Roman" w:cs="Arial"/>
        </w:rPr>
      </w:pPr>
      <w:r>
        <w:rPr>
          <w:rFonts w:eastAsia="Times New Roman" w:cs="Arial"/>
          <w:noProof/>
          <w:lang w:eastAsia="es-UY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41910</wp:posOffset>
            </wp:positionV>
            <wp:extent cx="1800225" cy="1752600"/>
            <wp:effectExtent l="19050" t="0" r="9525" b="0"/>
            <wp:wrapNone/>
            <wp:docPr id="5" name="4 Imagen" descr="Sello I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II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6B2" w:rsidRDefault="000516B2" w:rsidP="00E61C25">
      <w:pPr>
        <w:spacing w:line="276" w:lineRule="auto"/>
        <w:jc w:val="both"/>
        <w:rPr>
          <w:rFonts w:eastAsia="Times New Roman" w:cs="Arial"/>
        </w:rPr>
      </w:pPr>
    </w:p>
    <w:p w:rsidR="000516B2" w:rsidRDefault="000516B2" w:rsidP="000516B2">
      <w:pPr>
        <w:spacing w:line="276" w:lineRule="auto"/>
        <w:rPr>
          <w:rFonts w:eastAsia="Times New Roman" w:cs="Arial"/>
        </w:rPr>
      </w:pPr>
      <w:r>
        <w:rPr>
          <w:rFonts w:eastAsia="Times New Roman" w:cs="Arial"/>
        </w:rPr>
        <w:t>Montevideo.</w:t>
      </w:r>
    </w:p>
    <w:p w:rsidR="000516B2" w:rsidRPr="002635E3" w:rsidRDefault="000516B2" w:rsidP="000516B2">
      <w:pPr>
        <w:spacing w:line="276" w:lineRule="auto"/>
        <w:rPr>
          <w:rFonts w:eastAsia="Times New Roman" w:cs="Arial"/>
        </w:rPr>
      </w:pPr>
      <w:r>
        <w:rPr>
          <w:rFonts w:eastAsia="Times New Roman" w:cs="Arial"/>
        </w:rPr>
        <w:t>Noviembre 2020.</w:t>
      </w:r>
    </w:p>
    <w:p w:rsidR="00B71BA5" w:rsidRPr="002635E3" w:rsidRDefault="00B71BA5" w:rsidP="00E61C25">
      <w:pPr>
        <w:spacing w:line="276" w:lineRule="auto"/>
        <w:ind w:left="720"/>
        <w:jc w:val="both"/>
        <w:rPr>
          <w:rFonts w:eastAsia="Times New Roman" w:cs="Arial"/>
        </w:rPr>
      </w:pP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Arial"/>
        </w:rPr>
      </w:pPr>
    </w:p>
    <w:p w:rsidR="00B71BA5" w:rsidRPr="002635E3" w:rsidRDefault="00B71BA5" w:rsidP="00E61C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Times New Roman" w:cs="Arial"/>
          <w:color w:val="000000"/>
        </w:rPr>
      </w:pPr>
      <w:r w:rsidRPr="002635E3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63510" cy="352425"/>
            <wp:effectExtent l="0" t="0" r="8890" b="952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5D6" w:rsidRPr="002635E3" w:rsidRDefault="004C05D6" w:rsidP="00E61C25">
      <w:pPr>
        <w:spacing w:line="276" w:lineRule="auto"/>
        <w:rPr>
          <w:rFonts w:cs="Arial"/>
          <w:b/>
          <w:bCs/>
        </w:rPr>
      </w:pPr>
    </w:p>
    <w:sectPr w:rsidR="004C05D6" w:rsidRPr="002635E3" w:rsidSect="00846D94">
      <w:headerReference w:type="default" r:id="rId10"/>
      <w:footerReference w:type="default" r:id="rId11"/>
      <w:pgSz w:w="11906" w:h="16838"/>
      <w:pgMar w:top="11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CA" w:rsidRDefault="00D13BCA" w:rsidP="00846D94">
      <w:r>
        <w:separator/>
      </w:r>
    </w:p>
  </w:endnote>
  <w:endnote w:type="continuationSeparator" w:id="0">
    <w:p w:rsidR="00D13BCA" w:rsidRDefault="00D13BCA" w:rsidP="0084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94" w:rsidRDefault="00197194">
    <w:pPr>
      <w:pStyle w:val="Piedepgina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-1148080</wp:posOffset>
          </wp:positionH>
          <wp:positionV relativeFrom="margin">
            <wp:posOffset>9668510</wp:posOffset>
          </wp:positionV>
          <wp:extent cx="7763510" cy="352425"/>
          <wp:effectExtent l="0" t="0" r="8890" b="952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i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CA" w:rsidRDefault="00D13BCA" w:rsidP="00846D94">
      <w:r>
        <w:separator/>
      </w:r>
    </w:p>
  </w:footnote>
  <w:footnote w:type="continuationSeparator" w:id="0">
    <w:p w:rsidR="00D13BCA" w:rsidRDefault="00D13BCA" w:rsidP="00846D94">
      <w:r>
        <w:continuationSeparator/>
      </w:r>
    </w:p>
  </w:footnote>
  <w:footnote w:id="1">
    <w:p w:rsidR="00B71BA5" w:rsidRDefault="00B71BA5" w:rsidP="00B71B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Las ayudas memoria se encuentran en el siguiente link: https://drive.google.com/drive/folders/1Ob67Ughdr7CP8JHlc7KUvTqcZ_ofWnDM?usp=sharing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94" w:rsidRDefault="00402D2D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-1439545</wp:posOffset>
          </wp:positionH>
          <wp:positionV relativeFrom="margin">
            <wp:posOffset>-709295</wp:posOffset>
          </wp:positionV>
          <wp:extent cx="7918200" cy="539114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200" cy="539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A02"/>
    <w:multiLevelType w:val="hybridMultilevel"/>
    <w:tmpl w:val="A0708F6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1330"/>
    <w:multiLevelType w:val="multilevel"/>
    <w:tmpl w:val="805A8356"/>
    <w:lvl w:ilvl="0">
      <w:start w:val="1"/>
      <w:numFmt w:val="decimal"/>
      <w:lvlText w:val="%1."/>
      <w:lvlJc w:val="left"/>
      <w:pPr>
        <w:ind w:left="163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7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3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97" w:hanging="360"/>
      </w:pPr>
      <w:rPr>
        <w:u w:val="none"/>
      </w:rPr>
    </w:lvl>
  </w:abstractNum>
  <w:abstractNum w:abstractNumId="2">
    <w:nsid w:val="5AB34EF0"/>
    <w:multiLevelType w:val="multilevel"/>
    <w:tmpl w:val="224E5B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5B004D16"/>
    <w:multiLevelType w:val="multilevel"/>
    <w:tmpl w:val="1A742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F2644"/>
    <w:multiLevelType w:val="multilevel"/>
    <w:tmpl w:val="89143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A0EE9"/>
    <w:multiLevelType w:val="multilevel"/>
    <w:tmpl w:val="5CD24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11377"/>
    <w:multiLevelType w:val="multilevel"/>
    <w:tmpl w:val="DC925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68C"/>
    <w:multiLevelType w:val="multilevel"/>
    <w:tmpl w:val="F73AF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D94"/>
    <w:rsid w:val="000516B2"/>
    <w:rsid w:val="000A2AFF"/>
    <w:rsid w:val="00197194"/>
    <w:rsid w:val="002635E3"/>
    <w:rsid w:val="00273880"/>
    <w:rsid w:val="003476C6"/>
    <w:rsid w:val="00402D2D"/>
    <w:rsid w:val="0040541E"/>
    <w:rsid w:val="0045445C"/>
    <w:rsid w:val="004C05D6"/>
    <w:rsid w:val="006B545C"/>
    <w:rsid w:val="006B6F73"/>
    <w:rsid w:val="007F229E"/>
    <w:rsid w:val="00825F7F"/>
    <w:rsid w:val="00846D94"/>
    <w:rsid w:val="008B244B"/>
    <w:rsid w:val="008D6DDB"/>
    <w:rsid w:val="00A650DF"/>
    <w:rsid w:val="00B71BA5"/>
    <w:rsid w:val="00C50B04"/>
    <w:rsid w:val="00CA1AD8"/>
    <w:rsid w:val="00CB6094"/>
    <w:rsid w:val="00D13BCA"/>
    <w:rsid w:val="00D678AF"/>
    <w:rsid w:val="00E61C25"/>
    <w:rsid w:val="00F5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1E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D94"/>
  </w:style>
  <w:style w:type="paragraph" w:styleId="Piedepgina">
    <w:name w:val="footer"/>
    <w:basedOn w:val="Normal"/>
    <w:link w:val="PiedepginaCar"/>
    <w:uiPriority w:val="99"/>
    <w:unhideWhenUsed/>
    <w:rsid w:val="00846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94"/>
  </w:style>
  <w:style w:type="paragraph" w:styleId="Textodeglobo">
    <w:name w:val="Balloon Text"/>
    <w:basedOn w:val="Normal"/>
    <w:link w:val="TextodegloboCar"/>
    <w:uiPriority w:val="99"/>
    <w:semiHidden/>
    <w:unhideWhenUsed/>
    <w:rsid w:val="0084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D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BA5"/>
    <w:pPr>
      <w:spacing w:after="160" w:line="259" w:lineRule="auto"/>
      <w:ind w:left="720"/>
      <w:contextualSpacing/>
      <w:jc w:val="left"/>
    </w:pPr>
    <w:rPr>
      <w:rFonts w:ascii="Calibri" w:eastAsia="Calibri" w:hAnsi="Calibri" w:cs="Calibri"/>
      <w:lang w:eastAsia="es-UY"/>
    </w:rPr>
  </w:style>
  <w:style w:type="paragraph" w:customStyle="1" w:styleId="Standard">
    <w:name w:val="Standard"/>
    <w:qFormat/>
    <w:rsid w:val="00B71BA5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0AE04-4265-4592-8A6A-8D3E2EE955F7}"/>
</file>

<file path=customXml/itemProps2.xml><?xml version="1.0" encoding="utf-8"?>
<ds:datastoreItem xmlns:ds="http://schemas.openxmlformats.org/officeDocument/2006/customXml" ds:itemID="{6D176E93-394F-429D-9529-851BD57A517D}"/>
</file>

<file path=customXml/itemProps3.xml><?xml version="1.0" encoding="utf-8"?>
<ds:datastoreItem xmlns:ds="http://schemas.openxmlformats.org/officeDocument/2006/customXml" ds:itemID="{AB08A086-FA28-4C76-B9E4-22B3A975D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2024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2020-11-14T11:58:00Z</dcterms:created>
  <dcterms:modified xsi:type="dcterms:W3CDTF">2020-11-14T12:45:00Z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