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6F60D" w14:textId="77777777" w:rsidR="0011774D" w:rsidRDefault="0011774D" w:rsidP="00A52C9E">
      <w:pPr>
        <w:jc w:val="both"/>
        <w:rPr>
          <w:rFonts w:asciiTheme="minorHAnsi" w:hAnsiTheme="minorHAnsi" w:cstheme="minorHAnsi"/>
          <w:b/>
          <w:bCs/>
          <w:sz w:val="22"/>
          <w:szCs w:val="22"/>
        </w:rPr>
      </w:pPr>
      <w:bookmarkStart w:id="0" w:name="_GoBack"/>
      <w:bookmarkEnd w:id="0"/>
    </w:p>
    <w:p w14:paraId="47DFEDFC" w14:textId="57FF8A1C" w:rsidR="00056CF4" w:rsidRPr="0030512B" w:rsidRDefault="00AB6281" w:rsidP="00EF21C0">
      <w:pPr>
        <w:jc w:val="center"/>
        <w:rPr>
          <w:rFonts w:asciiTheme="minorHAnsi" w:hAnsiTheme="minorHAnsi" w:cstheme="minorHAnsi"/>
          <w:b/>
          <w:bCs/>
          <w:sz w:val="22"/>
          <w:szCs w:val="22"/>
        </w:rPr>
      </w:pPr>
      <w:r w:rsidRPr="002C1DDD">
        <w:rPr>
          <w:rFonts w:asciiTheme="minorHAnsi" w:hAnsiTheme="minorHAnsi" w:cstheme="minorHAnsi"/>
          <w:b/>
          <w:bCs/>
          <w:sz w:val="22"/>
          <w:szCs w:val="22"/>
        </w:rPr>
        <w:t xml:space="preserve">Comments by the Special Rapporteur on trafficking in persons, especially women and children, </w:t>
      </w:r>
      <w:r w:rsidR="0011774D">
        <w:rPr>
          <w:rFonts w:asciiTheme="minorHAnsi" w:hAnsiTheme="minorHAnsi" w:cstheme="minorHAnsi"/>
          <w:b/>
          <w:bCs/>
          <w:sz w:val="22"/>
          <w:szCs w:val="22"/>
        </w:rPr>
        <w:t>Ms</w:t>
      </w:r>
      <w:r w:rsidRPr="002C1DDD">
        <w:rPr>
          <w:rFonts w:asciiTheme="minorHAnsi" w:hAnsiTheme="minorHAnsi" w:cstheme="minorHAnsi"/>
          <w:b/>
          <w:bCs/>
          <w:sz w:val="22"/>
          <w:szCs w:val="22"/>
        </w:rPr>
        <w:t>. Siobhán Mullally, to the Draft General Comment No. 25 on Children’s Rights in rela</w:t>
      </w:r>
      <w:r w:rsidR="0011774D">
        <w:rPr>
          <w:rFonts w:asciiTheme="minorHAnsi" w:hAnsiTheme="minorHAnsi" w:cstheme="minorHAnsi"/>
          <w:b/>
          <w:bCs/>
          <w:sz w:val="22"/>
          <w:szCs w:val="22"/>
        </w:rPr>
        <w:t>tion to the Digital Environment</w:t>
      </w:r>
    </w:p>
    <w:p w14:paraId="612B5F6F" w14:textId="0FD15210" w:rsidR="00056CF4" w:rsidRDefault="00056CF4" w:rsidP="0030512B">
      <w:pPr>
        <w:jc w:val="both"/>
        <w:rPr>
          <w:rFonts w:asciiTheme="minorHAnsi" w:hAnsiTheme="minorHAnsi" w:cstheme="minorHAnsi"/>
          <w:sz w:val="22"/>
          <w:szCs w:val="22"/>
        </w:rPr>
      </w:pPr>
      <w:r>
        <w:rPr>
          <w:rFonts w:asciiTheme="minorHAnsi" w:hAnsiTheme="minorHAnsi" w:cstheme="minorHAnsi"/>
          <w:sz w:val="22"/>
          <w:szCs w:val="22"/>
        </w:rPr>
        <w:t xml:space="preserve">Trafficking of children for all forms of exploitation is a serious human rights violation. The Digital Environment provides important opportunities for education, access to information, and prevention of </w:t>
      </w:r>
      <w:r w:rsidR="001D78DD">
        <w:rPr>
          <w:rFonts w:asciiTheme="minorHAnsi" w:hAnsiTheme="minorHAnsi" w:cstheme="minorHAnsi"/>
          <w:sz w:val="22"/>
          <w:szCs w:val="22"/>
        </w:rPr>
        <w:t xml:space="preserve">child trafficking. </w:t>
      </w:r>
      <w:r>
        <w:rPr>
          <w:rFonts w:asciiTheme="minorHAnsi" w:hAnsiTheme="minorHAnsi" w:cstheme="minorHAnsi"/>
          <w:sz w:val="22"/>
          <w:szCs w:val="22"/>
        </w:rPr>
        <w:t xml:space="preserve"> </w:t>
      </w:r>
    </w:p>
    <w:p w14:paraId="26A219B2" w14:textId="0E443A10" w:rsidR="00BB4E57" w:rsidRPr="00BB4E57" w:rsidRDefault="00BB4E57" w:rsidP="0030512B">
      <w:pPr>
        <w:jc w:val="both"/>
        <w:rPr>
          <w:rFonts w:asciiTheme="minorHAnsi" w:hAnsiTheme="minorHAnsi" w:cstheme="minorHAnsi"/>
          <w:sz w:val="22"/>
          <w:szCs w:val="22"/>
        </w:rPr>
      </w:pPr>
      <w:r>
        <w:rPr>
          <w:rFonts w:asciiTheme="minorHAnsi" w:hAnsiTheme="minorHAnsi" w:cstheme="minorHAnsi"/>
          <w:sz w:val="22"/>
          <w:szCs w:val="22"/>
        </w:rPr>
        <w:t xml:space="preserve">As is noted in the OHCHR </w:t>
      </w:r>
      <w:r w:rsidRPr="00BB4E57">
        <w:rPr>
          <w:rFonts w:asciiTheme="minorHAnsi" w:hAnsiTheme="minorHAnsi" w:cstheme="minorHAnsi"/>
          <w:i/>
          <w:sz w:val="22"/>
          <w:szCs w:val="22"/>
        </w:rPr>
        <w:t>Recommended Principles and Guidelines on Human Rights and Human Trafficking C</w:t>
      </w:r>
      <w:r>
        <w:rPr>
          <w:rFonts w:asciiTheme="minorHAnsi" w:hAnsiTheme="minorHAnsi" w:cstheme="minorHAnsi"/>
          <w:i/>
          <w:sz w:val="22"/>
          <w:szCs w:val="22"/>
        </w:rPr>
        <w:t>ommentary</w:t>
      </w:r>
      <w:r>
        <w:rPr>
          <w:rFonts w:asciiTheme="minorHAnsi" w:hAnsiTheme="minorHAnsi" w:cstheme="minorHAnsi"/>
          <w:sz w:val="22"/>
          <w:szCs w:val="22"/>
        </w:rPr>
        <w:t>:</w:t>
      </w:r>
      <w:r>
        <w:rPr>
          <w:rStyle w:val="FootnoteReference"/>
          <w:rFonts w:asciiTheme="minorHAnsi" w:hAnsiTheme="minorHAnsi" w:cstheme="minorHAnsi"/>
          <w:sz w:val="22"/>
          <w:szCs w:val="22"/>
        </w:rPr>
        <w:footnoteReference w:id="1"/>
      </w:r>
    </w:p>
    <w:p w14:paraId="038A2005" w14:textId="1B29661D" w:rsidR="00BB4E57" w:rsidRDefault="00BB4E57" w:rsidP="00BB4E57">
      <w:pPr>
        <w:spacing w:line="276" w:lineRule="auto"/>
        <w:ind w:left="720"/>
        <w:jc w:val="both"/>
        <w:rPr>
          <w:rFonts w:asciiTheme="minorHAnsi" w:hAnsiTheme="minorHAnsi" w:cstheme="minorHAnsi"/>
          <w:sz w:val="22"/>
          <w:szCs w:val="22"/>
        </w:rPr>
      </w:pPr>
      <w:r w:rsidRPr="00BB4E57">
        <w:rPr>
          <w:rFonts w:asciiTheme="minorHAnsi" w:hAnsiTheme="minorHAnsi" w:cstheme="minorHAnsi"/>
          <w:sz w:val="22"/>
          <w:szCs w:val="22"/>
        </w:rPr>
        <w:t>International law recognizes that, because</w:t>
      </w:r>
      <w:r>
        <w:rPr>
          <w:rFonts w:asciiTheme="minorHAnsi" w:hAnsiTheme="minorHAnsi" w:cstheme="minorHAnsi"/>
          <w:sz w:val="22"/>
          <w:szCs w:val="22"/>
        </w:rPr>
        <w:t xml:space="preserve"> </w:t>
      </w:r>
      <w:r w:rsidRPr="00BB4E57">
        <w:rPr>
          <w:rFonts w:asciiTheme="minorHAnsi" w:hAnsiTheme="minorHAnsi" w:cstheme="minorHAnsi"/>
          <w:sz w:val="22"/>
          <w:szCs w:val="22"/>
        </w:rPr>
        <w:t>of their reliance on others for security and</w:t>
      </w:r>
      <w:r>
        <w:rPr>
          <w:rFonts w:asciiTheme="minorHAnsi" w:hAnsiTheme="minorHAnsi" w:cstheme="minorHAnsi"/>
          <w:sz w:val="22"/>
          <w:szCs w:val="22"/>
        </w:rPr>
        <w:t xml:space="preserve"> </w:t>
      </w:r>
      <w:r w:rsidRPr="00BB4E57">
        <w:rPr>
          <w:rFonts w:asciiTheme="minorHAnsi" w:hAnsiTheme="minorHAnsi" w:cstheme="minorHAnsi"/>
          <w:sz w:val="22"/>
          <w:szCs w:val="22"/>
        </w:rPr>
        <w:t>well</w:t>
      </w:r>
      <w:r w:rsidR="007B2C0C">
        <w:rPr>
          <w:rFonts w:asciiTheme="minorHAnsi" w:hAnsiTheme="minorHAnsi" w:cstheme="minorHAnsi"/>
          <w:sz w:val="22"/>
          <w:szCs w:val="22"/>
        </w:rPr>
        <w:t>-</w:t>
      </w:r>
      <w:r w:rsidRPr="00BB4E57">
        <w:rPr>
          <w:rFonts w:asciiTheme="minorHAnsi" w:hAnsiTheme="minorHAnsi" w:cstheme="minorHAnsi"/>
          <w:sz w:val="22"/>
          <w:szCs w:val="22"/>
        </w:rPr>
        <w:t>being, children are vulnerable to trafficking</w:t>
      </w:r>
      <w:r>
        <w:rPr>
          <w:rFonts w:asciiTheme="minorHAnsi" w:hAnsiTheme="minorHAnsi" w:cstheme="minorHAnsi"/>
          <w:sz w:val="22"/>
          <w:szCs w:val="22"/>
        </w:rPr>
        <w:t xml:space="preserve"> </w:t>
      </w:r>
      <w:r w:rsidRPr="00BB4E57">
        <w:rPr>
          <w:rFonts w:asciiTheme="minorHAnsi" w:hAnsiTheme="minorHAnsi" w:cstheme="minorHAnsi"/>
          <w:sz w:val="22"/>
          <w:szCs w:val="22"/>
        </w:rPr>
        <w:t>and related exploitation. In recognition of this</w:t>
      </w:r>
      <w:r>
        <w:rPr>
          <w:rFonts w:asciiTheme="minorHAnsi" w:hAnsiTheme="minorHAnsi" w:cstheme="minorHAnsi"/>
          <w:sz w:val="22"/>
          <w:szCs w:val="22"/>
        </w:rPr>
        <w:t xml:space="preserve"> </w:t>
      </w:r>
      <w:r w:rsidRPr="00BB4E57">
        <w:rPr>
          <w:rFonts w:asciiTheme="minorHAnsi" w:hAnsiTheme="minorHAnsi" w:cstheme="minorHAnsi"/>
          <w:sz w:val="22"/>
          <w:szCs w:val="22"/>
        </w:rPr>
        <w:t>vulnerability, children are accorded special rights</w:t>
      </w:r>
      <w:r>
        <w:rPr>
          <w:rFonts w:asciiTheme="minorHAnsi" w:hAnsiTheme="minorHAnsi" w:cstheme="minorHAnsi"/>
          <w:sz w:val="22"/>
          <w:szCs w:val="22"/>
        </w:rPr>
        <w:t xml:space="preserve"> </w:t>
      </w:r>
      <w:r w:rsidRPr="00BB4E57">
        <w:rPr>
          <w:rFonts w:asciiTheme="minorHAnsi" w:hAnsiTheme="minorHAnsi" w:cstheme="minorHAnsi"/>
          <w:sz w:val="22"/>
          <w:szCs w:val="22"/>
        </w:rPr>
        <w:t>of care and protection.</w:t>
      </w:r>
    </w:p>
    <w:p w14:paraId="79BB747B" w14:textId="77777777" w:rsidR="00C41951" w:rsidRDefault="00C41951" w:rsidP="0030512B">
      <w:pPr>
        <w:jc w:val="both"/>
        <w:rPr>
          <w:rFonts w:asciiTheme="minorHAnsi" w:hAnsiTheme="minorHAnsi" w:cstheme="minorHAnsi"/>
          <w:sz w:val="22"/>
          <w:szCs w:val="22"/>
        </w:rPr>
      </w:pPr>
      <w:r>
        <w:rPr>
          <w:rFonts w:asciiTheme="minorHAnsi" w:hAnsiTheme="minorHAnsi" w:cstheme="minorHAnsi"/>
          <w:sz w:val="22"/>
          <w:szCs w:val="22"/>
        </w:rPr>
        <w:t xml:space="preserve">The definition of trafficking stated in the </w:t>
      </w:r>
      <w:r w:rsidRPr="00056CF4">
        <w:rPr>
          <w:rFonts w:asciiTheme="minorHAnsi" w:hAnsiTheme="minorHAnsi" w:cstheme="minorHAnsi"/>
          <w:sz w:val="22"/>
          <w:szCs w:val="22"/>
        </w:rPr>
        <w:t>Protocol to Prevent, Suppress and Punish Trafficking in Persons Especially Women and Children, supplementing the</w:t>
      </w:r>
      <w:r>
        <w:rPr>
          <w:rFonts w:asciiTheme="minorHAnsi" w:hAnsiTheme="minorHAnsi" w:cstheme="minorHAnsi"/>
          <w:sz w:val="22"/>
          <w:szCs w:val="22"/>
        </w:rPr>
        <w:t xml:space="preserve"> </w:t>
      </w:r>
      <w:r w:rsidRPr="00056CF4">
        <w:rPr>
          <w:rFonts w:asciiTheme="minorHAnsi" w:hAnsiTheme="minorHAnsi" w:cstheme="minorHAnsi"/>
          <w:sz w:val="22"/>
          <w:szCs w:val="22"/>
        </w:rPr>
        <w:t>United Nations Convention against Transnational Organized Crime</w:t>
      </w:r>
      <w:r>
        <w:rPr>
          <w:rFonts w:asciiTheme="minorHAnsi" w:hAnsiTheme="minorHAnsi" w:cstheme="minorHAnsi"/>
          <w:sz w:val="22"/>
          <w:szCs w:val="22"/>
        </w:rPr>
        <w:t xml:space="preserve"> (the Palermo Protocol), specifically provides in Article 3:</w:t>
      </w:r>
    </w:p>
    <w:p w14:paraId="27709BCE" w14:textId="77777777" w:rsidR="00C41951" w:rsidRPr="00056CF4" w:rsidRDefault="00C41951" w:rsidP="00C41951">
      <w:pPr>
        <w:spacing w:line="276" w:lineRule="auto"/>
        <w:ind w:left="720"/>
        <w:jc w:val="both"/>
        <w:rPr>
          <w:rFonts w:asciiTheme="minorHAnsi" w:hAnsiTheme="minorHAnsi" w:cstheme="minorHAnsi"/>
          <w:sz w:val="22"/>
          <w:szCs w:val="22"/>
        </w:rPr>
      </w:pPr>
      <w:r w:rsidRPr="00056CF4">
        <w:rPr>
          <w:rFonts w:asciiTheme="minorHAnsi" w:hAnsiTheme="minorHAnsi" w:cstheme="minorHAnsi"/>
          <w:sz w:val="22"/>
          <w:szCs w:val="22"/>
        </w:rPr>
        <w:lastRenderedPageBreak/>
        <w:t>(c) The recruitment, transportation, transfer, harbouring or receipt of a child for the purpose of exploitation shall be considered "trafficking in persons" even if this does not involve any of the means set forth in subparagraph (a) of this article;</w:t>
      </w:r>
    </w:p>
    <w:p w14:paraId="2615F0E6" w14:textId="77777777" w:rsidR="00C41951" w:rsidRDefault="00C41951" w:rsidP="00C41951">
      <w:pPr>
        <w:spacing w:line="276" w:lineRule="auto"/>
        <w:ind w:left="720"/>
        <w:jc w:val="both"/>
        <w:rPr>
          <w:rFonts w:asciiTheme="minorHAnsi" w:hAnsiTheme="minorHAnsi" w:cstheme="minorHAnsi"/>
          <w:sz w:val="22"/>
          <w:szCs w:val="22"/>
        </w:rPr>
      </w:pPr>
      <w:r w:rsidRPr="00056CF4">
        <w:rPr>
          <w:rFonts w:asciiTheme="minorHAnsi" w:hAnsiTheme="minorHAnsi" w:cstheme="minorHAnsi"/>
          <w:sz w:val="22"/>
          <w:szCs w:val="22"/>
        </w:rPr>
        <w:t>(d) "Child" shall mean any person under eighteen years of age.</w:t>
      </w:r>
    </w:p>
    <w:p w14:paraId="36A533A7" w14:textId="184CF8D7" w:rsidR="00F27A1A" w:rsidRPr="00E60676" w:rsidRDefault="001D78DD" w:rsidP="0030512B">
      <w:pPr>
        <w:jc w:val="both"/>
        <w:rPr>
          <w:rFonts w:asciiTheme="minorHAnsi" w:hAnsiTheme="minorHAnsi" w:cstheme="minorHAnsi"/>
          <w:sz w:val="22"/>
          <w:szCs w:val="22"/>
        </w:rPr>
      </w:pPr>
      <w:r w:rsidRPr="00E60676">
        <w:rPr>
          <w:rFonts w:asciiTheme="minorHAnsi" w:hAnsiTheme="minorHAnsi" w:cstheme="minorHAnsi"/>
          <w:sz w:val="22"/>
          <w:szCs w:val="22"/>
        </w:rPr>
        <w:t>In its</w:t>
      </w:r>
      <w:r w:rsidR="00F27A1A" w:rsidRPr="00E60676">
        <w:rPr>
          <w:rFonts w:asciiTheme="minorHAnsi" w:hAnsiTheme="minorHAnsi" w:cstheme="minorHAnsi"/>
          <w:sz w:val="22"/>
          <w:szCs w:val="22"/>
        </w:rPr>
        <w:t xml:space="preserve"> General Recommendation no.38 </w:t>
      </w:r>
      <w:r w:rsidRPr="00E60676">
        <w:rPr>
          <w:rFonts w:asciiTheme="minorHAnsi" w:hAnsiTheme="minorHAnsi" w:cstheme="minorHAnsi"/>
          <w:sz w:val="22"/>
          <w:szCs w:val="22"/>
        </w:rPr>
        <w:t xml:space="preserve">on trafficking in women and girls in the context of global migration, </w:t>
      </w:r>
      <w:r w:rsidR="00F27A1A" w:rsidRPr="00E60676">
        <w:rPr>
          <w:rFonts w:asciiTheme="minorHAnsi" w:hAnsiTheme="minorHAnsi" w:cstheme="minorHAnsi"/>
          <w:sz w:val="22"/>
          <w:szCs w:val="22"/>
        </w:rPr>
        <w:t>the Committee on the Elimination of All Forms of Discrimination against Women</w:t>
      </w:r>
      <w:r w:rsidRPr="00E60676">
        <w:rPr>
          <w:rFonts w:asciiTheme="minorHAnsi" w:hAnsiTheme="minorHAnsi" w:cstheme="minorHAnsi"/>
          <w:sz w:val="22"/>
          <w:szCs w:val="22"/>
        </w:rPr>
        <w:t xml:space="preserve"> notes that</w:t>
      </w:r>
      <w:r w:rsidR="00F27A1A" w:rsidRPr="00E60676">
        <w:rPr>
          <w:rFonts w:asciiTheme="minorHAnsi" w:hAnsiTheme="minorHAnsi" w:cstheme="minorHAnsi"/>
          <w:sz w:val="22"/>
          <w:szCs w:val="22"/>
        </w:rPr>
        <w:t>:</w:t>
      </w:r>
      <w:r w:rsidR="0030512B">
        <w:rPr>
          <w:rStyle w:val="FootnoteReference"/>
          <w:rFonts w:asciiTheme="minorHAnsi" w:hAnsiTheme="minorHAnsi" w:cstheme="minorHAnsi"/>
          <w:sz w:val="22"/>
          <w:szCs w:val="22"/>
        </w:rPr>
        <w:footnoteReference w:id="2"/>
      </w:r>
    </w:p>
    <w:p w14:paraId="450E33AB" w14:textId="5F0DFCB9" w:rsidR="00F27A1A" w:rsidRPr="00E60676" w:rsidRDefault="00F27A1A" w:rsidP="00F27A1A">
      <w:pPr>
        <w:spacing w:line="276" w:lineRule="auto"/>
        <w:ind w:left="720"/>
        <w:jc w:val="both"/>
        <w:rPr>
          <w:rFonts w:asciiTheme="minorHAnsi" w:hAnsiTheme="minorHAnsi" w:cstheme="minorHAnsi"/>
          <w:sz w:val="22"/>
          <w:szCs w:val="22"/>
        </w:rPr>
      </w:pPr>
      <w:r w:rsidRPr="00E60676">
        <w:rPr>
          <w:rFonts w:asciiTheme="minorHAnsi" w:hAnsiTheme="minorHAnsi" w:cstheme="minorHAnsi"/>
          <w:sz w:val="22"/>
          <w:szCs w:val="22"/>
        </w:rPr>
        <w:t>Digital technologies have opened new possibilities to bring positive impact on the society. At the same time, they are posing new security challenges at both individual and state levels.</w:t>
      </w:r>
    </w:p>
    <w:p w14:paraId="5E7EF298" w14:textId="66789FB2" w:rsidR="00AB6281" w:rsidRPr="002C1DDD" w:rsidRDefault="00AB6281" w:rsidP="0030512B">
      <w:pPr>
        <w:jc w:val="both"/>
        <w:rPr>
          <w:rFonts w:asciiTheme="minorHAnsi" w:hAnsiTheme="minorHAnsi" w:cstheme="minorHAnsi"/>
          <w:sz w:val="22"/>
          <w:szCs w:val="22"/>
        </w:rPr>
      </w:pPr>
      <w:r w:rsidRPr="002C1DDD">
        <w:rPr>
          <w:rFonts w:asciiTheme="minorHAnsi" w:hAnsiTheme="minorHAnsi" w:cstheme="minorHAnsi"/>
          <w:sz w:val="22"/>
          <w:szCs w:val="22"/>
        </w:rPr>
        <w:t>Responding to the call for submissions by the Committee on the Rights of the Child regarding their draft General Comment on Children’s Rights in relation to the Digital Environment, the Special Rapporteur on trafficking in persons, espe</w:t>
      </w:r>
      <w:r w:rsidR="001D78DD">
        <w:rPr>
          <w:rFonts w:asciiTheme="minorHAnsi" w:hAnsiTheme="minorHAnsi" w:cstheme="minorHAnsi"/>
          <w:sz w:val="22"/>
          <w:szCs w:val="22"/>
        </w:rPr>
        <w:t xml:space="preserve">cially women and children, </w:t>
      </w:r>
      <w:r w:rsidR="00C41951">
        <w:rPr>
          <w:rFonts w:asciiTheme="minorHAnsi" w:hAnsiTheme="minorHAnsi" w:cstheme="minorHAnsi"/>
          <w:sz w:val="22"/>
          <w:szCs w:val="22"/>
        </w:rPr>
        <w:t>Ms</w:t>
      </w:r>
      <w:r w:rsidRPr="002C1DDD">
        <w:rPr>
          <w:rFonts w:asciiTheme="minorHAnsi" w:hAnsiTheme="minorHAnsi" w:cstheme="minorHAnsi"/>
          <w:sz w:val="22"/>
          <w:szCs w:val="22"/>
        </w:rPr>
        <w:t xml:space="preserve"> Siobhán Mullally, wishes to make the following comments to the </w:t>
      </w:r>
      <w:r w:rsidR="004F0552" w:rsidRPr="002C1DDD">
        <w:rPr>
          <w:rFonts w:asciiTheme="minorHAnsi" w:hAnsiTheme="minorHAnsi" w:cstheme="minorHAnsi"/>
          <w:sz w:val="22"/>
          <w:szCs w:val="22"/>
        </w:rPr>
        <w:t>draft text:</w:t>
      </w:r>
    </w:p>
    <w:p w14:paraId="11BF63F1" w14:textId="4E06F6C4" w:rsidR="00206745" w:rsidRPr="002C1DDD" w:rsidRDefault="005818E9" w:rsidP="00A52C9E">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Impact of COVID-19</w:t>
      </w:r>
    </w:p>
    <w:p w14:paraId="1AD2A9E3" w14:textId="007CB87F" w:rsidR="0007128B" w:rsidRPr="0030512B" w:rsidRDefault="005818E9" w:rsidP="0030512B">
      <w:pPr>
        <w:pStyle w:val="ListParagraph"/>
        <w:numPr>
          <w:ilvl w:val="0"/>
          <w:numId w:val="11"/>
        </w:numPr>
        <w:jc w:val="both"/>
        <w:rPr>
          <w:rFonts w:asciiTheme="minorHAnsi" w:hAnsiTheme="minorHAnsi" w:cstheme="minorHAnsi"/>
          <w:sz w:val="22"/>
          <w:szCs w:val="22"/>
        </w:rPr>
      </w:pPr>
      <w:r>
        <w:rPr>
          <w:rFonts w:asciiTheme="minorHAnsi" w:hAnsiTheme="minorHAnsi" w:cstheme="minorHAnsi"/>
          <w:sz w:val="22"/>
          <w:szCs w:val="22"/>
        </w:rPr>
        <w:t xml:space="preserve">The Special Rapporteur recommends acknowledging the major impact of the current global pandemic to children in a digital environment. </w:t>
      </w:r>
      <w:r w:rsidR="0073169A" w:rsidRPr="002C1DDD">
        <w:rPr>
          <w:rFonts w:asciiTheme="minorHAnsi" w:hAnsiTheme="minorHAnsi" w:cstheme="minorHAnsi"/>
          <w:sz w:val="22"/>
          <w:szCs w:val="22"/>
        </w:rPr>
        <w:t>The COVID-19 pandemic</w:t>
      </w:r>
      <w:r w:rsidR="00201648" w:rsidRPr="002C1DDD">
        <w:rPr>
          <w:rFonts w:asciiTheme="minorHAnsi" w:hAnsiTheme="minorHAnsi" w:cstheme="minorHAnsi"/>
          <w:sz w:val="22"/>
          <w:szCs w:val="22"/>
        </w:rPr>
        <w:t xml:space="preserve"> exacerbates the vulnerabilities of children to </w:t>
      </w:r>
      <w:r w:rsidR="00B96B6E" w:rsidRPr="002C1DDD">
        <w:rPr>
          <w:rFonts w:asciiTheme="minorHAnsi" w:hAnsiTheme="minorHAnsi" w:cstheme="minorHAnsi"/>
          <w:sz w:val="22"/>
          <w:szCs w:val="22"/>
        </w:rPr>
        <w:t>exploitation</w:t>
      </w:r>
      <w:r w:rsidR="007965B1" w:rsidRPr="002C1DDD">
        <w:rPr>
          <w:rFonts w:asciiTheme="minorHAnsi" w:hAnsiTheme="minorHAnsi" w:cstheme="minorHAnsi"/>
          <w:sz w:val="22"/>
          <w:szCs w:val="22"/>
        </w:rPr>
        <w:t xml:space="preserve"> with increased </w:t>
      </w:r>
      <w:r w:rsidR="00C16104">
        <w:rPr>
          <w:rFonts w:asciiTheme="minorHAnsi" w:hAnsiTheme="minorHAnsi" w:cstheme="minorHAnsi"/>
          <w:sz w:val="22"/>
          <w:szCs w:val="22"/>
        </w:rPr>
        <w:t>risk</w:t>
      </w:r>
      <w:r w:rsidR="007965B1" w:rsidRPr="002C1DDD">
        <w:rPr>
          <w:rFonts w:asciiTheme="minorHAnsi" w:hAnsiTheme="minorHAnsi" w:cstheme="minorHAnsi"/>
          <w:sz w:val="22"/>
          <w:szCs w:val="22"/>
        </w:rPr>
        <w:t xml:space="preserve"> due to the economic and social impact of the pandemic. This is </w:t>
      </w:r>
      <w:r w:rsidR="00B96B6E" w:rsidRPr="002C1DDD">
        <w:rPr>
          <w:rFonts w:asciiTheme="minorHAnsi" w:hAnsiTheme="minorHAnsi" w:cstheme="minorHAnsi"/>
          <w:sz w:val="22"/>
          <w:szCs w:val="22"/>
        </w:rPr>
        <w:t xml:space="preserve">particularly </w:t>
      </w:r>
      <w:r w:rsidR="00C16104">
        <w:rPr>
          <w:rFonts w:asciiTheme="minorHAnsi" w:hAnsiTheme="minorHAnsi" w:cstheme="minorHAnsi"/>
          <w:sz w:val="22"/>
          <w:szCs w:val="22"/>
        </w:rPr>
        <w:t xml:space="preserve">significant </w:t>
      </w:r>
      <w:r w:rsidR="00B96B6E" w:rsidRPr="002C1DDD">
        <w:rPr>
          <w:rFonts w:asciiTheme="minorHAnsi" w:hAnsiTheme="minorHAnsi" w:cstheme="minorHAnsi"/>
          <w:sz w:val="22"/>
          <w:szCs w:val="22"/>
        </w:rPr>
        <w:t xml:space="preserve">in the digital </w:t>
      </w:r>
      <w:r w:rsidR="008A7EFA" w:rsidRPr="002C1DDD">
        <w:rPr>
          <w:rFonts w:asciiTheme="minorHAnsi" w:hAnsiTheme="minorHAnsi" w:cstheme="minorHAnsi"/>
          <w:sz w:val="22"/>
          <w:szCs w:val="22"/>
        </w:rPr>
        <w:lastRenderedPageBreak/>
        <w:t>environment</w:t>
      </w:r>
      <w:r w:rsidR="0073145B" w:rsidRPr="002C1DDD">
        <w:rPr>
          <w:rFonts w:asciiTheme="minorHAnsi" w:hAnsiTheme="minorHAnsi" w:cstheme="minorHAnsi"/>
          <w:sz w:val="22"/>
          <w:szCs w:val="22"/>
        </w:rPr>
        <w:t xml:space="preserve"> </w:t>
      </w:r>
      <w:r w:rsidR="0012090B" w:rsidRPr="002C1DDD">
        <w:rPr>
          <w:rFonts w:asciiTheme="minorHAnsi" w:hAnsiTheme="minorHAnsi" w:cstheme="minorHAnsi"/>
          <w:sz w:val="22"/>
          <w:szCs w:val="22"/>
        </w:rPr>
        <w:t xml:space="preserve">where children are spending increased </w:t>
      </w:r>
      <w:r w:rsidR="00A677CE" w:rsidRPr="002C1DDD">
        <w:rPr>
          <w:rFonts w:asciiTheme="minorHAnsi" w:hAnsiTheme="minorHAnsi" w:cstheme="minorHAnsi"/>
          <w:sz w:val="22"/>
          <w:szCs w:val="22"/>
        </w:rPr>
        <w:t>time</w:t>
      </w:r>
      <w:r w:rsidR="00C16104">
        <w:rPr>
          <w:rFonts w:asciiTheme="minorHAnsi" w:hAnsiTheme="minorHAnsi" w:cstheme="minorHAnsi"/>
          <w:sz w:val="22"/>
          <w:szCs w:val="22"/>
        </w:rPr>
        <w:t>,</w:t>
      </w:r>
      <w:r w:rsidR="00A677CE" w:rsidRPr="002C1DDD">
        <w:rPr>
          <w:rFonts w:asciiTheme="minorHAnsi" w:hAnsiTheme="minorHAnsi" w:cstheme="minorHAnsi"/>
          <w:sz w:val="22"/>
          <w:szCs w:val="22"/>
        </w:rPr>
        <w:t xml:space="preserve"> </w:t>
      </w:r>
      <w:r w:rsidR="00C16104">
        <w:rPr>
          <w:rFonts w:asciiTheme="minorHAnsi" w:hAnsiTheme="minorHAnsi" w:cstheme="minorHAnsi"/>
          <w:sz w:val="22"/>
          <w:szCs w:val="22"/>
        </w:rPr>
        <w:t>due to school closures. S</w:t>
      </w:r>
      <w:r w:rsidR="00A677CE" w:rsidRPr="002C1DDD">
        <w:rPr>
          <w:rFonts w:asciiTheme="minorHAnsi" w:hAnsiTheme="minorHAnsi" w:cstheme="minorHAnsi"/>
          <w:sz w:val="22"/>
          <w:szCs w:val="22"/>
        </w:rPr>
        <w:t>ince</w:t>
      </w:r>
      <w:r w:rsidR="00EE5540" w:rsidRPr="002C1DDD">
        <w:rPr>
          <w:rFonts w:asciiTheme="minorHAnsi" w:hAnsiTheme="minorHAnsi" w:cstheme="minorHAnsi"/>
          <w:sz w:val="22"/>
          <w:szCs w:val="22"/>
        </w:rPr>
        <w:t xml:space="preserve"> the beginning of the COVID-19 crisis </w:t>
      </w:r>
      <w:r w:rsidR="008A7EFA" w:rsidRPr="002C1DDD">
        <w:rPr>
          <w:rFonts w:asciiTheme="minorHAnsi" w:hAnsiTheme="minorHAnsi" w:cstheme="minorHAnsi"/>
          <w:sz w:val="22"/>
          <w:szCs w:val="22"/>
        </w:rPr>
        <w:t>Europol</w:t>
      </w:r>
      <w:r w:rsidR="009C4BF4" w:rsidRPr="002C1DDD">
        <w:rPr>
          <w:rFonts w:asciiTheme="minorHAnsi" w:hAnsiTheme="minorHAnsi" w:cstheme="minorHAnsi"/>
          <w:sz w:val="22"/>
          <w:szCs w:val="22"/>
        </w:rPr>
        <w:t>’s law enforcement partners have</w:t>
      </w:r>
      <w:r w:rsidR="008A7EFA" w:rsidRPr="002C1DDD">
        <w:rPr>
          <w:rFonts w:asciiTheme="minorHAnsi" w:hAnsiTheme="minorHAnsi" w:cstheme="minorHAnsi"/>
          <w:sz w:val="22"/>
          <w:szCs w:val="22"/>
        </w:rPr>
        <w:t xml:space="preserve"> seen an increase in child sexual abuse cases</w:t>
      </w:r>
      <w:r w:rsidR="00814288" w:rsidRPr="002C1DDD">
        <w:rPr>
          <w:rFonts w:asciiTheme="minorHAnsi" w:hAnsiTheme="minorHAnsi" w:cstheme="minorHAnsi"/>
          <w:sz w:val="22"/>
          <w:szCs w:val="22"/>
        </w:rPr>
        <w:t xml:space="preserve"> in comparison to figures from 2019</w:t>
      </w:r>
      <w:r w:rsidR="008A7EFA" w:rsidRPr="002C1DDD">
        <w:rPr>
          <w:rFonts w:asciiTheme="minorHAnsi" w:hAnsiTheme="minorHAnsi" w:cstheme="minorHAnsi"/>
          <w:sz w:val="22"/>
          <w:szCs w:val="22"/>
        </w:rPr>
        <w:t>.</w:t>
      </w:r>
      <w:r w:rsidR="00E84632" w:rsidRPr="002C1DDD">
        <w:rPr>
          <w:rStyle w:val="FootnoteReference"/>
          <w:rFonts w:asciiTheme="minorHAnsi" w:hAnsiTheme="minorHAnsi" w:cstheme="minorHAnsi"/>
          <w:sz w:val="22"/>
          <w:szCs w:val="22"/>
        </w:rPr>
        <w:footnoteReference w:id="3"/>
      </w:r>
      <w:r w:rsidR="00671A8F" w:rsidRPr="002C1DDD">
        <w:rPr>
          <w:rFonts w:asciiTheme="minorHAnsi" w:hAnsiTheme="minorHAnsi" w:cstheme="minorHAnsi"/>
          <w:sz w:val="22"/>
          <w:szCs w:val="22"/>
        </w:rPr>
        <w:t xml:space="preserve"> </w:t>
      </w:r>
      <w:r w:rsidR="00CA5E6E">
        <w:rPr>
          <w:rFonts w:asciiTheme="minorHAnsi" w:hAnsiTheme="minorHAnsi" w:cstheme="minorHAnsi"/>
          <w:sz w:val="22"/>
          <w:szCs w:val="22"/>
        </w:rPr>
        <w:t>The COVID-19 pandemic has also seen a growth in recruitment for sexual exploitation online and technology facilitated child  trafficking</w:t>
      </w:r>
      <w:r w:rsidR="00C16104">
        <w:rPr>
          <w:rFonts w:asciiTheme="minorHAnsi" w:hAnsiTheme="minorHAnsi" w:cstheme="minorHAnsi"/>
          <w:sz w:val="22"/>
          <w:szCs w:val="22"/>
        </w:rPr>
        <w:t xml:space="preserve"> for the purpose of sexual exploitation</w:t>
      </w:r>
      <w:r w:rsidR="00CA5E6E">
        <w:rPr>
          <w:rFonts w:asciiTheme="minorHAnsi" w:hAnsiTheme="minorHAnsi" w:cstheme="minorHAnsi"/>
          <w:sz w:val="22"/>
          <w:szCs w:val="22"/>
        </w:rPr>
        <w:t>.</w:t>
      </w:r>
      <w:r w:rsidR="00CA5E6E">
        <w:rPr>
          <w:rStyle w:val="FootnoteReference"/>
          <w:rFonts w:asciiTheme="minorHAnsi" w:hAnsiTheme="minorHAnsi" w:cstheme="minorHAnsi"/>
          <w:sz w:val="22"/>
          <w:szCs w:val="22"/>
        </w:rPr>
        <w:footnoteReference w:id="4"/>
      </w:r>
    </w:p>
    <w:p w14:paraId="11FF7341" w14:textId="59999449" w:rsidR="004F0552" w:rsidRPr="002C1DDD" w:rsidRDefault="004F0552" w:rsidP="00A52C9E">
      <w:pPr>
        <w:spacing w:line="276" w:lineRule="auto"/>
        <w:jc w:val="both"/>
        <w:rPr>
          <w:rFonts w:asciiTheme="minorHAnsi" w:hAnsiTheme="minorHAnsi" w:cstheme="minorHAnsi"/>
          <w:b/>
          <w:bCs/>
          <w:sz w:val="22"/>
          <w:szCs w:val="22"/>
        </w:rPr>
      </w:pPr>
      <w:r w:rsidRPr="002C1DDD">
        <w:rPr>
          <w:rFonts w:asciiTheme="minorHAnsi" w:hAnsiTheme="minorHAnsi" w:cstheme="minorHAnsi"/>
          <w:b/>
          <w:bCs/>
          <w:sz w:val="22"/>
          <w:szCs w:val="22"/>
        </w:rPr>
        <w:t>The right to non-discrimination</w:t>
      </w:r>
      <w:r w:rsidR="002F2623" w:rsidRPr="002C1DDD">
        <w:rPr>
          <w:rFonts w:asciiTheme="minorHAnsi" w:hAnsiTheme="minorHAnsi" w:cstheme="minorHAnsi"/>
          <w:b/>
          <w:bCs/>
          <w:sz w:val="22"/>
          <w:szCs w:val="22"/>
        </w:rPr>
        <w:t xml:space="preserve"> (art. 2)</w:t>
      </w:r>
    </w:p>
    <w:p w14:paraId="391731CE" w14:textId="7A2AEA4B" w:rsidR="00AB6281" w:rsidRPr="002C1DDD" w:rsidRDefault="00B60012" w:rsidP="00A52C9E">
      <w:pPr>
        <w:pStyle w:val="ListParagraph"/>
        <w:numPr>
          <w:ilvl w:val="0"/>
          <w:numId w:val="11"/>
        </w:numPr>
        <w:jc w:val="both"/>
        <w:rPr>
          <w:rFonts w:asciiTheme="minorHAnsi" w:hAnsiTheme="minorHAnsi" w:cstheme="minorHAnsi"/>
          <w:b/>
          <w:bCs/>
          <w:sz w:val="22"/>
          <w:szCs w:val="22"/>
        </w:rPr>
      </w:pPr>
      <w:r w:rsidRPr="002C1DDD">
        <w:rPr>
          <w:rFonts w:asciiTheme="minorHAnsi" w:hAnsiTheme="minorHAnsi" w:cstheme="minorHAnsi"/>
          <w:b/>
          <w:bCs/>
          <w:sz w:val="22"/>
          <w:szCs w:val="22"/>
        </w:rPr>
        <w:t>Paragraph 12</w:t>
      </w:r>
      <w:r w:rsidRPr="002C1DDD">
        <w:rPr>
          <w:rFonts w:asciiTheme="minorHAnsi" w:hAnsiTheme="minorHAnsi" w:cstheme="minorHAnsi"/>
          <w:sz w:val="22"/>
          <w:szCs w:val="22"/>
        </w:rPr>
        <w:t>: The Special Rapporteur suggests making specific reference to</w:t>
      </w:r>
      <w:r w:rsidR="00791CAC" w:rsidRPr="002C1DDD">
        <w:rPr>
          <w:rFonts w:asciiTheme="minorHAnsi" w:hAnsiTheme="minorHAnsi" w:cstheme="minorHAnsi"/>
          <w:sz w:val="22"/>
          <w:szCs w:val="22"/>
        </w:rPr>
        <w:t xml:space="preserve"> trafficked children </w:t>
      </w:r>
      <w:r w:rsidR="00910B2A" w:rsidRPr="002C1DDD">
        <w:rPr>
          <w:rFonts w:asciiTheme="minorHAnsi" w:hAnsiTheme="minorHAnsi" w:cstheme="minorHAnsi"/>
          <w:sz w:val="22"/>
          <w:szCs w:val="22"/>
        </w:rPr>
        <w:t xml:space="preserve">as </w:t>
      </w:r>
      <w:r w:rsidR="00C16104">
        <w:rPr>
          <w:rFonts w:asciiTheme="minorHAnsi" w:hAnsiTheme="minorHAnsi" w:cstheme="minorHAnsi"/>
          <w:sz w:val="22"/>
          <w:szCs w:val="22"/>
        </w:rPr>
        <w:t xml:space="preserve">well as </w:t>
      </w:r>
      <w:r w:rsidR="00910B2A" w:rsidRPr="002C1DDD">
        <w:rPr>
          <w:rFonts w:asciiTheme="minorHAnsi" w:hAnsiTheme="minorHAnsi" w:cstheme="minorHAnsi"/>
          <w:sz w:val="22"/>
          <w:szCs w:val="22"/>
        </w:rPr>
        <w:t xml:space="preserve">children </w:t>
      </w:r>
      <w:r w:rsidR="00C16104">
        <w:rPr>
          <w:rFonts w:asciiTheme="minorHAnsi" w:hAnsiTheme="minorHAnsi" w:cstheme="minorHAnsi"/>
          <w:sz w:val="22"/>
          <w:szCs w:val="22"/>
        </w:rPr>
        <w:t xml:space="preserve">in other </w:t>
      </w:r>
      <w:r w:rsidR="00C41951">
        <w:rPr>
          <w:rFonts w:asciiTheme="minorHAnsi" w:hAnsiTheme="minorHAnsi" w:cstheme="minorHAnsi"/>
          <w:sz w:val="22"/>
          <w:szCs w:val="22"/>
        </w:rPr>
        <w:t>situations of risk</w:t>
      </w:r>
      <w:r w:rsidR="00910B2A" w:rsidRPr="002C1DDD">
        <w:rPr>
          <w:rFonts w:asciiTheme="minorHAnsi" w:hAnsiTheme="minorHAnsi" w:cstheme="minorHAnsi"/>
          <w:sz w:val="22"/>
          <w:szCs w:val="22"/>
        </w:rPr>
        <w:t>.</w:t>
      </w:r>
    </w:p>
    <w:p w14:paraId="420F56AF" w14:textId="43BBA0AB" w:rsidR="009409AD" w:rsidRPr="009D4940" w:rsidRDefault="009D4940" w:rsidP="009D4940">
      <w:pPr>
        <w:pStyle w:val="ListParagraph"/>
        <w:numPr>
          <w:ilvl w:val="0"/>
          <w:numId w:val="11"/>
        </w:numPr>
        <w:jc w:val="both"/>
        <w:rPr>
          <w:rFonts w:asciiTheme="minorHAnsi" w:hAnsiTheme="minorHAnsi" w:cstheme="minorHAnsi"/>
          <w:b/>
          <w:bCs/>
          <w:sz w:val="22"/>
          <w:szCs w:val="22"/>
        </w:rPr>
      </w:pPr>
      <w:r w:rsidRPr="009D4940">
        <w:rPr>
          <w:rFonts w:asciiTheme="minorHAnsi" w:hAnsiTheme="minorHAnsi" w:cstheme="minorHAnsi"/>
          <w:sz w:val="22"/>
          <w:szCs w:val="22"/>
        </w:rPr>
        <w:t>The Committee on the Elimination of Discrimination against Women has defined gender-based violence as impairing or nullifying the enjoyment by women and girls of human rights and fundamental freedoms and constitutes discrimination.</w:t>
      </w:r>
      <w:r w:rsidR="00892E0F">
        <w:rPr>
          <w:rStyle w:val="FootnoteReference"/>
          <w:rFonts w:asciiTheme="minorHAnsi" w:hAnsiTheme="minorHAnsi" w:cstheme="minorHAnsi"/>
          <w:sz w:val="22"/>
          <w:szCs w:val="22"/>
        </w:rPr>
        <w:footnoteReference w:id="5"/>
      </w:r>
      <w:r w:rsidR="00A84179">
        <w:rPr>
          <w:rFonts w:asciiTheme="minorHAnsi" w:hAnsiTheme="minorHAnsi" w:cstheme="minorHAnsi"/>
          <w:sz w:val="22"/>
          <w:szCs w:val="22"/>
        </w:rPr>
        <w:t xml:space="preserve"> </w:t>
      </w:r>
      <w:r w:rsidR="00A84179" w:rsidRPr="009D4940">
        <w:rPr>
          <w:rFonts w:asciiTheme="minorHAnsi" w:hAnsiTheme="minorHAnsi" w:cstheme="minorHAnsi"/>
          <w:sz w:val="22"/>
          <w:szCs w:val="22"/>
        </w:rPr>
        <w:t xml:space="preserve">Gender-based violence </w:t>
      </w:r>
      <w:r w:rsidR="00892E0F" w:rsidRPr="009D4940">
        <w:rPr>
          <w:rFonts w:asciiTheme="minorHAnsi" w:hAnsiTheme="minorHAnsi" w:cstheme="minorHAnsi"/>
          <w:sz w:val="22"/>
          <w:szCs w:val="22"/>
        </w:rPr>
        <w:t>has been acknowledged to include trafficking and exploitation of women and girls.</w:t>
      </w:r>
      <w:r w:rsidR="0051640B">
        <w:rPr>
          <w:rFonts w:asciiTheme="minorHAnsi" w:hAnsiTheme="minorHAnsi" w:cstheme="minorHAnsi"/>
          <w:sz w:val="22"/>
          <w:szCs w:val="22"/>
        </w:rPr>
        <w:t xml:space="preserve"> </w:t>
      </w:r>
      <w:r w:rsidR="005753F8" w:rsidRPr="009D4940">
        <w:rPr>
          <w:rFonts w:asciiTheme="minorHAnsi" w:hAnsiTheme="minorHAnsi" w:cstheme="minorHAnsi"/>
          <w:sz w:val="22"/>
          <w:szCs w:val="22"/>
        </w:rPr>
        <w:lastRenderedPageBreak/>
        <w:t xml:space="preserve">The Optional Protocol </w:t>
      </w:r>
      <w:r w:rsidR="00892E0F" w:rsidRPr="009D4940">
        <w:rPr>
          <w:rFonts w:asciiTheme="minorHAnsi" w:hAnsiTheme="minorHAnsi" w:cstheme="minorHAnsi"/>
          <w:sz w:val="22"/>
          <w:szCs w:val="22"/>
        </w:rPr>
        <w:t xml:space="preserve">to the Convention on the Rights of the </w:t>
      </w:r>
      <w:r w:rsidR="00C16104">
        <w:rPr>
          <w:rFonts w:asciiTheme="minorHAnsi" w:hAnsiTheme="minorHAnsi" w:cstheme="minorHAnsi"/>
          <w:sz w:val="22"/>
          <w:szCs w:val="22"/>
        </w:rPr>
        <w:t xml:space="preserve">Child </w:t>
      </w:r>
      <w:r w:rsidR="00CE2B62" w:rsidRPr="009D4940">
        <w:rPr>
          <w:rFonts w:asciiTheme="minorHAnsi" w:hAnsiTheme="minorHAnsi" w:cstheme="minorHAnsi"/>
          <w:sz w:val="22"/>
          <w:szCs w:val="22"/>
        </w:rPr>
        <w:t>on the </w:t>
      </w:r>
      <w:r w:rsidR="00664671" w:rsidRPr="009D4940">
        <w:rPr>
          <w:rFonts w:asciiTheme="minorHAnsi" w:hAnsiTheme="minorHAnsi" w:cstheme="minorHAnsi"/>
          <w:sz w:val="22"/>
          <w:szCs w:val="22"/>
        </w:rPr>
        <w:t>sale of children, child prostitution and child pornography</w:t>
      </w:r>
      <w:r w:rsidR="00C16104">
        <w:rPr>
          <w:rFonts w:asciiTheme="minorHAnsi" w:hAnsiTheme="minorHAnsi" w:cstheme="minorHAnsi"/>
          <w:sz w:val="22"/>
          <w:szCs w:val="22"/>
        </w:rPr>
        <w:t>,</w:t>
      </w:r>
      <w:r w:rsidR="00664671" w:rsidRPr="009D4940">
        <w:rPr>
          <w:rFonts w:asciiTheme="minorHAnsi" w:hAnsiTheme="minorHAnsi" w:cstheme="minorHAnsi"/>
          <w:sz w:val="22"/>
          <w:szCs w:val="22"/>
        </w:rPr>
        <w:t xml:space="preserve"> recognises </w:t>
      </w:r>
      <w:r w:rsidR="00173190" w:rsidRPr="009D4940">
        <w:rPr>
          <w:rFonts w:asciiTheme="minorHAnsi" w:hAnsiTheme="minorHAnsi" w:cstheme="minorHAnsi"/>
          <w:sz w:val="22"/>
          <w:szCs w:val="22"/>
        </w:rPr>
        <w:t>girl</w:t>
      </w:r>
      <w:r w:rsidR="00664671" w:rsidRPr="009D4940">
        <w:rPr>
          <w:rFonts w:asciiTheme="minorHAnsi" w:hAnsiTheme="minorHAnsi" w:cstheme="minorHAnsi"/>
          <w:sz w:val="22"/>
          <w:szCs w:val="22"/>
        </w:rPr>
        <w:t xml:space="preserve">s </w:t>
      </w:r>
      <w:r w:rsidR="005753F8" w:rsidRPr="009D4940">
        <w:rPr>
          <w:rFonts w:asciiTheme="minorHAnsi" w:hAnsiTheme="minorHAnsi" w:cstheme="minorHAnsi"/>
          <w:sz w:val="22"/>
          <w:szCs w:val="22"/>
        </w:rPr>
        <w:t>as being</w:t>
      </w:r>
      <w:r w:rsidR="00173190" w:rsidRPr="009D4940">
        <w:rPr>
          <w:rFonts w:asciiTheme="minorHAnsi" w:hAnsiTheme="minorHAnsi" w:cstheme="minorHAnsi"/>
          <w:sz w:val="22"/>
          <w:szCs w:val="22"/>
        </w:rPr>
        <w:t xml:space="preserve"> disproportionately represented among</w:t>
      </w:r>
      <w:r w:rsidR="00C55F60" w:rsidRPr="009D4940">
        <w:rPr>
          <w:rFonts w:asciiTheme="minorHAnsi" w:hAnsiTheme="minorHAnsi" w:cstheme="minorHAnsi"/>
          <w:sz w:val="22"/>
          <w:szCs w:val="22"/>
        </w:rPr>
        <w:t xml:space="preserve"> </w:t>
      </w:r>
      <w:r w:rsidR="00C16104">
        <w:rPr>
          <w:rFonts w:asciiTheme="minorHAnsi" w:hAnsiTheme="minorHAnsi" w:cstheme="minorHAnsi"/>
          <w:sz w:val="22"/>
          <w:szCs w:val="22"/>
        </w:rPr>
        <w:t xml:space="preserve">victims of </w:t>
      </w:r>
      <w:r w:rsidR="00C41951">
        <w:rPr>
          <w:rFonts w:asciiTheme="minorHAnsi" w:hAnsiTheme="minorHAnsi" w:cstheme="minorHAnsi"/>
          <w:sz w:val="22"/>
          <w:szCs w:val="22"/>
        </w:rPr>
        <w:t>sexual</w:t>
      </w:r>
      <w:r w:rsidR="00173190" w:rsidRPr="009D4940">
        <w:rPr>
          <w:rFonts w:asciiTheme="minorHAnsi" w:hAnsiTheme="minorHAnsi" w:cstheme="minorHAnsi"/>
          <w:sz w:val="22"/>
          <w:szCs w:val="22"/>
        </w:rPr>
        <w:t xml:space="preserve"> exploit</w:t>
      </w:r>
      <w:r w:rsidR="00C16104">
        <w:rPr>
          <w:rFonts w:asciiTheme="minorHAnsi" w:hAnsiTheme="minorHAnsi" w:cstheme="minorHAnsi"/>
          <w:sz w:val="22"/>
          <w:szCs w:val="22"/>
        </w:rPr>
        <w:t>ation.</w:t>
      </w:r>
      <w:r w:rsidR="00664671" w:rsidRPr="009D4940">
        <w:rPr>
          <w:rFonts w:asciiTheme="minorHAnsi" w:hAnsiTheme="minorHAnsi" w:cstheme="minorHAnsi"/>
          <w:sz w:val="22"/>
          <w:szCs w:val="22"/>
        </w:rPr>
        <w:t xml:space="preserve"> </w:t>
      </w:r>
      <w:r w:rsidR="0051640B">
        <w:rPr>
          <w:rFonts w:asciiTheme="minorHAnsi" w:hAnsiTheme="minorHAnsi" w:cstheme="minorHAnsi"/>
          <w:sz w:val="22"/>
          <w:szCs w:val="22"/>
        </w:rPr>
        <w:t xml:space="preserve"> </w:t>
      </w:r>
      <w:r w:rsidR="0051640B" w:rsidRPr="002C1DDD">
        <w:rPr>
          <w:rFonts w:asciiTheme="minorHAnsi" w:hAnsiTheme="minorHAnsi" w:cstheme="minorHAnsi"/>
          <w:sz w:val="22"/>
          <w:szCs w:val="22"/>
        </w:rPr>
        <w:t>UNODC has noted the scale of recruitment of girls by terrorist groups as a matter of particular concern</w:t>
      </w:r>
      <w:r w:rsidR="00C16104">
        <w:rPr>
          <w:rFonts w:asciiTheme="minorHAnsi" w:hAnsiTheme="minorHAnsi" w:cstheme="minorHAnsi"/>
          <w:sz w:val="22"/>
          <w:szCs w:val="22"/>
        </w:rPr>
        <w:t>, in particular in relation to sexual exploitation</w:t>
      </w:r>
      <w:r w:rsidR="0051640B" w:rsidRPr="002C1DDD">
        <w:rPr>
          <w:rFonts w:asciiTheme="minorHAnsi" w:hAnsiTheme="minorHAnsi" w:cstheme="minorHAnsi"/>
          <w:sz w:val="22"/>
          <w:szCs w:val="22"/>
        </w:rPr>
        <w:t>.</w:t>
      </w:r>
      <w:r w:rsidR="0051640B" w:rsidRPr="002C1DDD">
        <w:rPr>
          <w:rStyle w:val="FootnoteReference"/>
          <w:rFonts w:asciiTheme="minorHAnsi" w:hAnsiTheme="minorHAnsi" w:cstheme="minorHAnsi"/>
          <w:sz w:val="22"/>
          <w:szCs w:val="22"/>
        </w:rPr>
        <w:footnoteReference w:id="6"/>
      </w:r>
    </w:p>
    <w:p w14:paraId="73B2719B" w14:textId="5032F51D" w:rsidR="00D34140" w:rsidRPr="002C1DDD" w:rsidRDefault="00D34140" w:rsidP="00A52C9E">
      <w:pPr>
        <w:jc w:val="both"/>
        <w:rPr>
          <w:rFonts w:asciiTheme="minorHAnsi" w:hAnsiTheme="minorHAnsi" w:cstheme="minorHAnsi"/>
          <w:b/>
          <w:bCs/>
          <w:sz w:val="22"/>
          <w:szCs w:val="22"/>
        </w:rPr>
      </w:pPr>
      <w:r w:rsidRPr="002C1DDD">
        <w:rPr>
          <w:rFonts w:asciiTheme="minorHAnsi" w:hAnsiTheme="minorHAnsi" w:cstheme="minorHAnsi"/>
          <w:b/>
          <w:bCs/>
          <w:sz w:val="22"/>
          <w:szCs w:val="22"/>
        </w:rPr>
        <w:t>The best interests of the child (art. 3, para. 1)</w:t>
      </w:r>
    </w:p>
    <w:p w14:paraId="4DF239E4" w14:textId="6E02F69C" w:rsidR="00D34140" w:rsidRPr="002C1DDD" w:rsidRDefault="006C4C11" w:rsidP="00A52C9E">
      <w:pPr>
        <w:pStyle w:val="ListParagraph"/>
        <w:numPr>
          <w:ilvl w:val="0"/>
          <w:numId w:val="11"/>
        </w:numPr>
        <w:jc w:val="both"/>
        <w:rPr>
          <w:rFonts w:asciiTheme="minorHAnsi" w:hAnsiTheme="minorHAnsi" w:cstheme="minorHAnsi"/>
          <w:sz w:val="22"/>
          <w:szCs w:val="22"/>
        </w:rPr>
      </w:pPr>
      <w:r>
        <w:rPr>
          <w:rFonts w:asciiTheme="minorHAnsi" w:hAnsiTheme="minorHAnsi" w:cstheme="minorHAnsi"/>
          <w:sz w:val="22"/>
          <w:szCs w:val="22"/>
        </w:rPr>
        <w:t>The Special Rapporteur recommends referring to the OHCHR Commentary on Recommended Principles and Guidelines on Human Rights and Human Trafficking in relation to</w:t>
      </w:r>
      <w:r w:rsidR="001D78DD">
        <w:rPr>
          <w:rFonts w:asciiTheme="minorHAnsi" w:hAnsiTheme="minorHAnsi" w:cstheme="minorHAnsi"/>
          <w:sz w:val="22"/>
          <w:szCs w:val="22"/>
        </w:rPr>
        <w:t xml:space="preserve"> the </w:t>
      </w:r>
      <w:r>
        <w:rPr>
          <w:rFonts w:asciiTheme="minorHAnsi" w:hAnsiTheme="minorHAnsi" w:cstheme="minorHAnsi"/>
          <w:sz w:val="22"/>
          <w:szCs w:val="22"/>
        </w:rPr>
        <w:t>best interests of the child.</w:t>
      </w:r>
    </w:p>
    <w:p w14:paraId="509F24BD" w14:textId="2B624309" w:rsidR="002F2623" w:rsidRPr="002C1DDD" w:rsidRDefault="002F2623" w:rsidP="00A52C9E">
      <w:pPr>
        <w:jc w:val="both"/>
        <w:rPr>
          <w:rFonts w:asciiTheme="minorHAnsi" w:hAnsiTheme="minorHAnsi" w:cstheme="minorHAnsi"/>
          <w:b/>
          <w:bCs/>
          <w:sz w:val="22"/>
          <w:szCs w:val="22"/>
        </w:rPr>
      </w:pPr>
      <w:r w:rsidRPr="002C1DDD">
        <w:rPr>
          <w:rFonts w:asciiTheme="minorHAnsi" w:hAnsiTheme="minorHAnsi" w:cstheme="minorHAnsi"/>
          <w:b/>
          <w:bCs/>
          <w:sz w:val="22"/>
          <w:szCs w:val="22"/>
        </w:rPr>
        <w:t>Right to life, survival and development (art. 6)</w:t>
      </w:r>
    </w:p>
    <w:p w14:paraId="239D42ED" w14:textId="701327FF" w:rsidR="002F2623" w:rsidRPr="002C1DDD" w:rsidRDefault="002F2623" w:rsidP="00A52C9E">
      <w:pPr>
        <w:pStyle w:val="ListParagraph"/>
        <w:numPr>
          <w:ilvl w:val="0"/>
          <w:numId w:val="11"/>
        </w:numPr>
        <w:jc w:val="both"/>
        <w:rPr>
          <w:rFonts w:asciiTheme="minorHAnsi" w:hAnsiTheme="minorHAnsi" w:cstheme="minorHAnsi"/>
          <w:sz w:val="22"/>
          <w:szCs w:val="22"/>
        </w:rPr>
      </w:pPr>
      <w:r w:rsidRPr="002C1DDD">
        <w:rPr>
          <w:rFonts w:asciiTheme="minorHAnsi" w:hAnsiTheme="minorHAnsi" w:cstheme="minorHAnsi"/>
          <w:b/>
          <w:bCs/>
          <w:sz w:val="22"/>
          <w:szCs w:val="22"/>
        </w:rPr>
        <w:t>Par</w:t>
      </w:r>
      <w:r w:rsidR="006C4606" w:rsidRPr="002C1DDD">
        <w:rPr>
          <w:rFonts w:asciiTheme="minorHAnsi" w:hAnsiTheme="minorHAnsi" w:cstheme="minorHAnsi"/>
          <w:b/>
          <w:bCs/>
          <w:sz w:val="22"/>
          <w:szCs w:val="22"/>
        </w:rPr>
        <w:t>agraph 16</w:t>
      </w:r>
      <w:r w:rsidR="006C4606" w:rsidRPr="002C1DDD">
        <w:rPr>
          <w:rFonts w:asciiTheme="minorHAnsi" w:hAnsiTheme="minorHAnsi" w:cstheme="minorHAnsi"/>
          <w:sz w:val="22"/>
          <w:szCs w:val="22"/>
        </w:rPr>
        <w:t xml:space="preserve">: The Special Rapporteur recommends including “and other forms of coercion” in reference to </w:t>
      </w:r>
      <w:r w:rsidR="006B2C0C" w:rsidRPr="002C1DDD">
        <w:rPr>
          <w:rFonts w:asciiTheme="minorHAnsi" w:hAnsiTheme="minorHAnsi" w:cstheme="minorHAnsi"/>
          <w:sz w:val="22"/>
          <w:szCs w:val="22"/>
        </w:rPr>
        <w:t>risks and threats</w:t>
      </w:r>
      <w:r w:rsidR="00D936A4" w:rsidRPr="002C1DDD">
        <w:rPr>
          <w:rFonts w:asciiTheme="minorHAnsi" w:hAnsiTheme="minorHAnsi" w:cstheme="minorHAnsi"/>
          <w:sz w:val="22"/>
          <w:szCs w:val="22"/>
        </w:rPr>
        <w:t xml:space="preserve"> to children in</w:t>
      </w:r>
      <w:r w:rsidR="00C16104">
        <w:rPr>
          <w:rFonts w:asciiTheme="minorHAnsi" w:hAnsiTheme="minorHAnsi" w:cstheme="minorHAnsi"/>
          <w:sz w:val="22"/>
          <w:szCs w:val="22"/>
        </w:rPr>
        <w:t xml:space="preserve"> the digital environment</w:t>
      </w:r>
      <w:r w:rsidR="0038586B" w:rsidRPr="002C1DDD">
        <w:rPr>
          <w:rFonts w:asciiTheme="minorHAnsi" w:hAnsiTheme="minorHAnsi" w:cstheme="minorHAnsi"/>
          <w:sz w:val="22"/>
          <w:szCs w:val="22"/>
        </w:rPr>
        <w:t xml:space="preserve">. The Special Rapporteur also suggests including </w:t>
      </w:r>
      <w:r w:rsidR="00C16104">
        <w:rPr>
          <w:rFonts w:asciiTheme="minorHAnsi" w:hAnsiTheme="minorHAnsi" w:cstheme="minorHAnsi"/>
          <w:sz w:val="22"/>
          <w:szCs w:val="22"/>
        </w:rPr>
        <w:t xml:space="preserve">child </w:t>
      </w:r>
      <w:r w:rsidR="0038586B" w:rsidRPr="002C1DDD">
        <w:rPr>
          <w:rFonts w:asciiTheme="minorHAnsi" w:hAnsiTheme="minorHAnsi" w:cstheme="minorHAnsi"/>
          <w:sz w:val="22"/>
          <w:szCs w:val="22"/>
        </w:rPr>
        <w:t xml:space="preserve">trafficking as a </w:t>
      </w:r>
      <w:r w:rsidR="00C16104">
        <w:rPr>
          <w:rFonts w:asciiTheme="minorHAnsi" w:hAnsiTheme="minorHAnsi" w:cstheme="minorHAnsi"/>
          <w:sz w:val="22"/>
          <w:szCs w:val="22"/>
        </w:rPr>
        <w:t xml:space="preserve">specific </w:t>
      </w:r>
      <w:r w:rsidR="00325D55" w:rsidRPr="002C1DDD">
        <w:rPr>
          <w:rFonts w:asciiTheme="minorHAnsi" w:hAnsiTheme="minorHAnsi" w:cstheme="minorHAnsi"/>
          <w:sz w:val="22"/>
          <w:szCs w:val="22"/>
        </w:rPr>
        <w:t>listed risk</w:t>
      </w:r>
      <w:r w:rsidR="00C16104">
        <w:rPr>
          <w:rFonts w:asciiTheme="minorHAnsi" w:hAnsiTheme="minorHAnsi" w:cstheme="minorHAnsi"/>
          <w:sz w:val="22"/>
          <w:szCs w:val="22"/>
        </w:rPr>
        <w:t xml:space="preserve"> so as to raise greater awareness of such abuse and exploitation, and to highlight states’ positive obligations of due diligence in prevention of child trafficking in the digital environment</w:t>
      </w:r>
      <w:r w:rsidR="00325D55" w:rsidRPr="002C1DDD">
        <w:rPr>
          <w:rFonts w:asciiTheme="minorHAnsi" w:hAnsiTheme="minorHAnsi" w:cstheme="minorHAnsi"/>
          <w:sz w:val="22"/>
          <w:szCs w:val="22"/>
        </w:rPr>
        <w:t>.</w:t>
      </w:r>
      <w:r w:rsidR="00A95359" w:rsidRPr="002C1DDD">
        <w:rPr>
          <w:rFonts w:asciiTheme="minorHAnsi" w:hAnsiTheme="minorHAnsi" w:cstheme="minorHAnsi"/>
          <w:sz w:val="22"/>
          <w:szCs w:val="22"/>
        </w:rPr>
        <w:t xml:space="preserve"> </w:t>
      </w:r>
      <w:r w:rsidR="00C16104">
        <w:rPr>
          <w:rFonts w:asciiTheme="minorHAnsi" w:hAnsiTheme="minorHAnsi" w:cstheme="minorHAnsi"/>
          <w:sz w:val="22"/>
          <w:szCs w:val="22"/>
        </w:rPr>
        <w:t>T</w:t>
      </w:r>
      <w:r w:rsidR="00A95359" w:rsidRPr="002C1DDD">
        <w:rPr>
          <w:rFonts w:asciiTheme="minorHAnsi" w:hAnsiTheme="minorHAnsi" w:cstheme="minorHAnsi"/>
          <w:sz w:val="22"/>
          <w:szCs w:val="22"/>
        </w:rPr>
        <w:t xml:space="preserve">he report of the Special Rapporteur on the sale of children, child prostitution </w:t>
      </w:r>
      <w:r w:rsidR="004466E2" w:rsidRPr="002C1DDD">
        <w:rPr>
          <w:rFonts w:asciiTheme="minorHAnsi" w:hAnsiTheme="minorHAnsi" w:cstheme="minorHAnsi"/>
          <w:sz w:val="22"/>
          <w:szCs w:val="22"/>
        </w:rPr>
        <w:t>and child pornography</w:t>
      </w:r>
      <w:r w:rsidR="00C16104">
        <w:rPr>
          <w:rFonts w:asciiTheme="minorHAnsi" w:hAnsiTheme="minorHAnsi" w:cstheme="minorHAnsi"/>
          <w:sz w:val="22"/>
          <w:szCs w:val="22"/>
        </w:rPr>
        <w:t>,</w:t>
      </w:r>
      <w:r w:rsidR="004466E2" w:rsidRPr="002C1DDD">
        <w:rPr>
          <w:rFonts w:asciiTheme="minorHAnsi" w:hAnsiTheme="minorHAnsi" w:cstheme="minorHAnsi"/>
          <w:sz w:val="22"/>
          <w:szCs w:val="22"/>
        </w:rPr>
        <w:t xml:space="preserve"> presented to the Human Rights Council in 2015</w:t>
      </w:r>
      <w:r w:rsidR="00C16104">
        <w:rPr>
          <w:rFonts w:asciiTheme="minorHAnsi" w:hAnsiTheme="minorHAnsi" w:cstheme="minorHAnsi"/>
          <w:sz w:val="22"/>
          <w:szCs w:val="22"/>
        </w:rPr>
        <w:t>,</w:t>
      </w:r>
      <w:r w:rsidR="004466E2" w:rsidRPr="002C1DDD">
        <w:rPr>
          <w:rFonts w:asciiTheme="minorHAnsi" w:hAnsiTheme="minorHAnsi" w:cstheme="minorHAnsi"/>
          <w:sz w:val="22"/>
          <w:szCs w:val="22"/>
        </w:rPr>
        <w:t xml:space="preserve"> </w:t>
      </w:r>
      <w:r w:rsidR="00C16104">
        <w:rPr>
          <w:rFonts w:asciiTheme="minorHAnsi" w:hAnsiTheme="minorHAnsi" w:cstheme="minorHAnsi"/>
          <w:sz w:val="22"/>
          <w:szCs w:val="22"/>
        </w:rPr>
        <w:t xml:space="preserve">highlights specific </w:t>
      </w:r>
      <w:r w:rsidR="00B733D7" w:rsidRPr="002C1DDD">
        <w:rPr>
          <w:rFonts w:asciiTheme="minorHAnsi" w:hAnsiTheme="minorHAnsi" w:cstheme="minorHAnsi"/>
          <w:sz w:val="22"/>
          <w:szCs w:val="22"/>
        </w:rPr>
        <w:t xml:space="preserve">forms of </w:t>
      </w:r>
      <w:r w:rsidR="00C16104">
        <w:rPr>
          <w:rFonts w:asciiTheme="minorHAnsi" w:hAnsiTheme="minorHAnsi" w:cstheme="minorHAnsi"/>
          <w:sz w:val="22"/>
          <w:szCs w:val="22"/>
        </w:rPr>
        <w:lastRenderedPageBreak/>
        <w:t xml:space="preserve">exploitation and </w:t>
      </w:r>
      <w:r w:rsidR="00B733D7" w:rsidRPr="002C1DDD">
        <w:rPr>
          <w:rFonts w:asciiTheme="minorHAnsi" w:hAnsiTheme="minorHAnsi" w:cstheme="minorHAnsi"/>
          <w:sz w:val="22"/>
          <w:szCs w:val="22"/>
        </w:rPr>
        <w:t xml:space="preserve">abuse such as solicitation of children and live streaming of child abuse </w:t>
      </w:r>
      <w:r w:rsidR="00D17B0D" w:rsidRPr="002C1DDD">
        <w:rPr>
          <w:rFonts w:asciiTheme="minorHAnsi" w:hAnsiTheme="minorHAnsi" w:cstheme="minorHAnsi"/>
          <w:sz w:val="22"/>
          <w:szCs w:val="22"/>
        </w:rPr>
        <w:t>posed by information technologies.</w:t>
      </w:r>
      <w:r w:rsidR="0083036E" w:rsidRPr="002C1DDD">
        <w:rPr>
          <w:rStyle w:val="FootnoteReference"/>
          <w:rFonts w:asciiTheme="minorHAnsi" w:hAnsiTheme="minorHAnsi" w:cstheme="minorHAnsi"/>
          <w:sz w:val="22"/>
          <w:szCs w:val="22"/>
        </w:rPr>
        <w:footnoteReference w:id="7"/>
      </w:r>
      <w:r w:rsidR="00C16104">
        <w:rPr>
          <w:rFonts w:asciiTheme="minorHAnsi" w:hAnsiTheme="minorHAnsi" w:cstheme="minorHAnsi"/>
          <w:sz w:val="22"/>
          <w:szCs w:val="22"/>
        </w:rPr>
        <w:t xml:space="preserve"> Such online exploitation, and recruitment, may also fall within the defi</w:t>
      </w:r>
      <w:r w:rsidR="005F4DCD">
        <w:rPr>
          <w:rFonts w:asciiTheme="minorHAnsi" w:hAnsiTheme="minorHAnsi" w:cstheme="minorHAnsi"/>
          <w:sz w:val="22"/>
          <w:szCs w:val="22"/>
        </w:rPr>
        <w:t>nition of the crime and serious human rights violation of trafficking.</w:t>
      </w:r>
    </w:p>
    <w:p w14:paraId="67BE2269" w14:textId="4B10B5BE" w:rsidR="00325D55" w:rsidRPr="002C1DDD" w:rsidRDefault="000B2EEA" w:rsidP="00A52C9E">
      <w:pPr>
        <w:jc w:val="both"/>
        <w:rPr>
          <w:rFonts w:asciiTheme="minorHAnsi" w:hAnsiTheme="minorHAnsi" w:cstheme="minorHAnsi"/>
          <w:sz w:val="22"/>
          <w:szCs w:val="22"/>
        </w:rPr>
      </w:pPr>
      <w:r w:rsidRPr="002C1DDD">
        <w:rPr>
          <w:rFonts w:asciiTheme="minorHAnsi" w:hAnsiTheme="minorHAnsi" w:cstheme="minorHAnsi"/>
          <w:b/>
          <w:bCs/>
          <w:sz w:val="22"/>
          <w:szCs w:val="22"/>
          <w:u w:val="single"/>
        </w:rPr>
        <w:t>General measures of implementation by States (art. 4)</w:t>
      </w:r>
    </w:p>
    <w:p w14:paraId="53DAB710" w14:textId="571726C8" w:rsidR="00FC01A0" w:rsidRPr="002C1DDD" w:rsidRDefault="00FC01A0" w:rsidP="00A52C9E">
      <w:pPr>
        <w:pStyle w:val="ListParagraph"/>
        <w:numPr>
          <w:ilvl w:val="0"/>
          <w:numId w:val="14"/>
        </w:numPr>
        <w:ind w:left="284"/>
        <w:jc w:val="both"/>
        <w:rPr>
          <w:rFonts w:asciiTheme="minorHAnsi" w:hAnsiTheme="minorHAnsi" w:cstheme="minorHAnsi"/>
          <w:b/>
          <w:bCs/>
          <w:sz w:val="22"/>
          <w:szCs w:val="22"/>
        </w:rPr>
      </w:pPr>
      <w:r w:rsidRPr="002C1DDD">
        <w:rPr>
          <w:rFonts w:asciiTheme="minorHAnsi" w:hAnsiTheme="minorHAnsi" w:cstheme="minorHAnsi"/>
          <w:b/>
          <w:bCs/>
          <w:sz w:val="22"/>
          <w:szCs w:val="22"/>
        </w:rPr>
        <w:t>Legislation</w:t>
      </w:r>
    </w:p>
    <w:p w14:paraId="2E37A7EA" w14:textId="7A1A854D" w:rsidR="00E86091" w:rsidRPr="0030512B" w:rsidRDefault="002D124D" w:rsidP="00A52C9E">
      <w:pPr>
        <w:pStyle w:val="ListParagraph"/>
        <w:numPr>
          <w:ilvl w:val="0"/>
          <w:numId w:val="11"/>
        </w:numPr>
        <w:jc w:val="both"/>
        <w:rPr>
          <w:rFonts w:asciiTheme="minorHAnsi" w:hAnsiTheme="minorHAnsi" w:cstheme="minorHAnsi"/>
          <w:b/>
          <w:bCs/>
          <w:sz w:val="22"/>
          <w:szCs w:val="22"/>
        </w:rPr>
      </w:pPr>
      <w:r w:rsidRPr="002C1DDD">
        <w:rPr>
          <w:rFonts w:asciiTheme="minorHAnsi" w:hAnsiTheme="minorHAnsi" w:cstheme="minorHAnsi"/>
          <w:sz w:val="22"/>
          <w:szCs w:val="22"/>
        </w:rPr>
        <w:t xml:space="preserve">The Special Rapporteur highlights Article 3 of the Optional Protocol to the Convention on the Rights of the Child </w:t>
      </w:r>
      <w:r w:rsidR="007F6B10" w:rsidRPr="002C1DDD">
        <w:rPr>
          <w:rFonts w:asciiTheme="minorHAnsi" w:hAnsiTheme="minorHAnsi" w:cstheme="minorHAnsi"/>
          <w:sz w:val="22"/>
          <w:szCs w:val="22"/>
        </w:rPr>
        <w:t>on the sale of children, child prostitution and child pornography</w:t>
      </w:r>
      <w:r w:rsidR="005F4DCD">
        <w:rPr>
          <w:rFonts w:asciiTheme="minorHAnsi" w:hAnsiTheme="minorHAnsi" w:cstheme="minorHAnsi"/>
          <w:sz w:val="22"/>
          <w:szCs w:val="22"/>
        </w:rPr>
        <w:t>,</w:t>
      </w:r>
      <w:r w:rsidR="007F6B10" w:rsidRPr="002C1DDD">
        <w:rPr>
          <w:rFonts w:asciiTheme="minorHAnsi" w:hAnsiTheme="minorHAnsi" w:cstheme="minorHAnsi"/>
          <w:sz w:val="22"/>
          <w:szCs w:val="22"/>
        </w:rPr>
        <w:t xml:space="preserve"> which requires</w:t>
      </w:r>
      <w:r w:rsidR="00AD27E0" w:rsidRPr="002C1DDD">
        <w:rPr>
          <w:rFonts w:asciiTheme="minorHAnsi" w:hAnsiTheme="minorHAnsi" w:cstheme="minorHAnsi"/>
          <w:sz w:val="22"/>
          <w:szCs w:val="22"/>
        </w:rPr>
        <w:t xml:space="preserve"> </w:t>
      </w:r>
      <w:r w:rsidR="00130E30" w:rsidRPr="002C1DDD">
        <w:rPr>
          <w:rFonts w:asciiTheme="minorHAnsi" w:hAnsiTheme="minorHAnsi" w:cstheme="minorHAnsi"/>
          <w:sz w:val="22"/>
          <w:szCs w:val="22"/>
        </w:rPr>
        <w:t>States to ensure</w:t>
      </w:r>
      <w:r w:rsidR="005F4DCD">
        <w:rPr>
          <w:rFonts w:asciiTheme="minorHAnsi" w:hAnsiTheme="minorHAnsi" w:cstheme="minorHAnsi"/>
          <w:sz w:val="22"/>
          <w:szCs w:val="22"/>
        </w:rPr>
        <w:t xml:space="preserve"> that</w:t>
      </w:r>
      <w:r w:rsidR="00130E30" w:rsidRPr="002C1DDD">
        <w:rPr>
          <w:rFonts w:asciiTheme="minorHAnsi" w:hAnsiTheme="minorHAnsi" w:cstheme="minorHAnsi"/>
          <w:sz w:val="22"/>
          <w:szCs w:val="22"/>
        </w:rPr>
        <w:t xml:space="preserve"> </w:t>
      </w:r>
      <w:r w:rsidR="00CB67D6" w:rsidRPr="002C1DDD">
        <w:rPr>
          <w:rFonts w:asciiTheme="minorHAnsi" w:hAnsiTheme="minorHAnsi" w:cstheme="minorHAnsi"/>
          <w:sz w:val="22"/>
          <w:szCs w:val="22"/>
        </w:rPr>
        <w:t>acts related to the sale of children, child prostitution or child abuse material</w:t>
      </w:r>
      <w:r w:rsidR="005F4DCD">
        <w:rPr>
          <w:rFonts w:asciiTheme="minorHAnsi" w:hAnsiTheme="minorHAnsi" w:cstheme="minorHAnsi"/>
          <w:sz w:val="22"/>
          <w:szCs w:val="22"/>
        </w:rPr>
        <w:t>, are</w:t>
      </w:r>
      <w:r w:rsidR="008D2153" w:rsidRPr="002C1DDD">
        <w:rPr>
          <w:rFonts w:asciiTheme="minorHAnsi" w:hAnsiTheme="minorHAnsi" w:cstheme="minorHAnsi"/>
          <w:sz w:val="22"/>
          <w:szCs w:val="22"/>
        </w:rPr>
        <w:t xml:space="preserve"> covered under criminal or penal law </w:t>
      </w:r>
      <w:r w:rsidR="003A4745">
        <w:rPr>
          <w:rFonts w:asciiTheme="minorHAnsi" w:hAnsiTheme="minorHAnsi" w:cstheme="minorHAnsi"/>
          <w:sz w:val="22"/>
          <w:szCs w:val="22"/>
        </w:rPr>
        <w:t>and include acts</w:t>
      </w:r>
      <w:r w:rsidR="008D2153" w:rsidRPr="002C1DDD">
        <w:rPr>
          <w:rFonts w:asciiTheme="minorHAnsi" w:hAnsiTheme="minorHAnsi" w:cstheme="minorHAnsi"/>
          <w:sz w:val="22"/>
          <w:szCs w:val="22"/>
        </w:rPr>
        <w:t xml:space="preserve"> committed domestically or transnationally on an individual or organised basis</w:t>
      </w:r>
      <w:r w:rsidR="00125F7B" w:rsidRPr="002C1DDD">
        <w:rPr>
          <w:rFonts w:asciiTheme="minorHAnsi" w:hAnsiTheme="minorHAnsi" w:cstheme="minorHAnsi"/>
          <w:sz w:val="22"/>
          <w:szCs w:val="22"/>
        </w:rPr>
        <w:t>.</w:t>
      </w:r>
    </w:p>
    <w:p w14:paraId="6678C5BE" w14:textId="77777777" w:rsidR="0030512B" w:rsidRPr="0030512B" w:rsidRDefault="0030512B" w:rsidP="0030512B">
      <w:pPr>
        <w:ind w:left="360"/>
        <w:jc w:val="both"/>
        <w:rPr>
          <w:rFonts w:asciiTheme="minorHAnsi" w:hAnsiTheme="minorHAnsi" w:cstheme="minorHAnsi"/>
          <w:b/>
          <w:bCs/>
          <w:sz w:val="22"/>
          <w:szCs w:val="22"/>
        </w:rPr>
      </w:pPr>
    </w:p>
    <w:p w14:paraId="7C59214F" w14:textId="12342A99" w:rsidR="0030512B" w:rsidRPr="0030512B" w:rsidRDefault="00A52C9E" w:rsidP="0030512B">
      <w:pPr>
        <w:pStyle w:val="ListParagraph"/>
        <w:numPr>
          <w:ilvl w:val="0"/>
          <w:numId w:val="14"/>
        </w:numPr>
        <w:ind w:left="284"/>
        <w:jc w:val="both"/>
        <w:rPr>
          <w:rFonts w:asciiTheme="minorHAnsi" w:hAnsiTheme="minorHAnsi" w:cstheme="minorHAnsi"/>
          <w:b/>
          <w:bCs/>
          <w:sz w:val="22"/>
          <w:szCs w:val="22"/>
        </w:rPr>
      </w:pPr>
      <w:r w:rsidRPr="002C1DDD">
        <w:rPr>
          <w:rFonts w:asciiTheme="minorHAnsi" w:hAnsiTheme="minorHAnsi" w:cstheme="minorHAnsi"/>
          <w:b/>
          <w:bCs/>
          <w:sz w:val="22"/>
          <w:szCs w:val="22"/>
        </w:rPr>
        <w:t>C</w:t>
      </w:r>
      <w:r w:rsidR="0030512B">
        <w:rPr>
          <w:rFonts w:asciiTheme="minorHAnsi" w:hAnsiTheme="minorHAnsi" w:cstheme="minorHAnsi"/>
          <w:b/>
          <w:bCs/>
          <w:sz w:val="22"/>
          <w:szCs w:val="22"/>
        </w:rPr>
        <w:t>omprehensive policy and strategy.</w:t>
      </w:r>
    </w:p>
    <w:p w14:paraId="222DEB72" w14:textId="1F0304E6" w:rsidR="00A52C9E" w:rsidRPr="002C1DDD" w:rsidRDefault="00900B9F" w:rsidP="00A52C9E">
      <w:pPr>
        <w:pStyle w:val="ListParagraph"/>
        <w:numPr>
          <w:ilvl w:val="0"/>
          <w:numId w:val="11"/>
        </w:numPr>
        <w:jc w:val="both"/>
        <w:rPr>
          <w:rFonts w:asciiTheme="minorHAnsi" w:hAnsiTheme="minorHAnsi" w:cstheme="minorHAnsi"/>
          <w:sz w:val="22"/>
          <w:szCs w:val="22"/>
        </w:rPr>
      </w:pPr>
      <w:r w:rsidRPr="002C1DDD">
        <w:rPr>
          <w:rFonts w:asciiTheme="minorHAnsi" w:hAnsiTheme="minorHAnsi" w:cstheme="minorHAnsi"/>
          <w:sz w:val="22"/>
          <w:szCs w:val="22"/>
        </w:rPr>
        <w:t xml:space="preserve">Policies </w:t>
      </w:r>
      <w:r w:rsidR="00ED350F" w:rsidRPr="002C1DDD">
        <w:rPr>
          <w:rFonts w:asciiTheme="minorHAnsi" w:hAnsiTheme="minorHAnsi" w:cstheme="minorHAnsi"/>
          <w:sz w:val="22"/>
          <w:szCs w:val="22"/>
        </w:rPr>
        <w:t xml:space="preserve">and strategies for children’s protection in a digital environment </w:t>
      </w:r>
      <w:r w:rsidR="005F4DCD">
        <w:rPr>
          <w:rFonts w:asciiTheme="minorHAnsi" w:hAnsiTheme="minorHAnsi" w:cstheme="minorHAnsi"/>
          <w:sz w:val="22"/>
          <w:szCs w:val="22"/>
        </w:rPr>
        <w:t>must</w:t>
      </w:r>
      <w:r w:rsidR="00ED350F" w:rsidRPr="002C1DDD">
        <w:rPr>
          <w:rFonts w:asciiTheme="minorHAnsi" w:hAnsiTheme="minorHAnsi" w:cstheme="minorHAnsi"/>
          <w:sz w:val="22"/>
          <w:szCs w:val="22"/>
        </w:rPr>
        <w:t xml:space="preserve"> have special regard for Article 19 of the Convention on the Rights of the Child</w:t>
      </w:r>
      <w:r w:rsidR="006E2E6C">
        <w:rPr>
          <w:rFonts w:asciiTheme="minorHAnsi" w:hAnsiTheme="minorHAnsi" w:cstheme="minorHAnsi"/>
          <w:sz w:val="22"/>
          <w:szCs w:val="22"/>
        </w:rPr>
        <w:t>,</w:t>
      </w:r>
      <w:r w:rsidR="00ED350F" w:rsidRPr="002C1DDD">
        <w:rPr>
          <w:rFonts w:asciiTheme="minorHAnsi" w:hAnsiTheme="minorHAnsi" w:cstheme="minorHAnsi"/>
          <w:sz w:val="22"/>
          <w:szCs w:val="22"/>
        </w:rPr>
        <w:t xml:space="preserve"> which requires appropriate </w:t>
      </w:r>
      <w:r w:rsidR="00907D74" w:rsidRPr="002C1DDD">
        <w:rPr>
          <w:rFonts w:asciiTheme="minorHAnsi" w:hAnsiTheme="minorHAnsi" w:cstheme="minorHAnsi"/>
          <w:sz w:val="22"/>
          <w:szCs w:val="22"/>
        </w:rPr>
        <w:t>legislative, administrative, social and educational measure to protect children from all forms of physical or mental violence</w:t>
      </w:r>
      <w:r w:rsidR="00E1548B" w:rsidRPr="002C1DDD">
        <w:rPr>
          <w:rFonts w:asciiTheme="minorHAnsi" w:hAnsiTheme="minorHAnsi" w:cstheme="minorHAnsi"/>
          <w:sz w:val="22"/>
          <w:szCs w:val="22"/>
        </w:rPr>
        <w:t>, injury or abuse, neglect or negligent treatment, maltreatment or exploitation, including sexual abuse</w:t>
      </w:r>
      <w:r w:rsidR="005F4DCD">
        <w:rPr>
          <w:rFonts w:asciiTheme="minorHAnsi" w:hAnsiTheme="minorHAnsi" w:cstheme="minorHAnsi"/>
          <w:sz w:val="22"/>
          <w:szCs w:val="22"/>
        </w:rPr>
        <w:t xml:space="preserve"> and exploitation</w:t>
      </w:r>
      <w:r w:rsidR="00E1548B" w:rsidRPr="002C1DDD">
        <w:rPr>
          <w:rFonts w:asciiTheme="minorHAnsi" w:hAnsiTheme="minorHAnsi" w:cstheme="minorHAnsi"/>
          <w:sz w:val="22"/>
          <w:szCs w:val="22"/>
        </w:rPr>
        <w:t xml:space="preserve">, while </w:t>
      </w:r>
      <w:r w:rsidR="00E1548B" w:rsidRPr="002C1DDD">
        <w:rPr>
          <w:rFonts w:asciiTheme="minorHAnsi" w:hAnsiTheme="minorHAnsi" w:cstheme="minorHAnsi"/>
          <w:sz w:val="22"/>
          <w:szCs w:val="22"/>
        </w:rPr>
        <w:lastRenderedPageBreak/>
        <w:t>in the care of parent(s), legal guardian(s) or any other person who has the care of the child.</w:t>
      </w:r>
    </w:p>
    <w:p w14:paraId="357B0E5D" w14:textId="1A9CDC2E" w:rsidR="0030512B" w:rsidRPr="0030512B" w:rsidRDefault="00E84EC3" w:rsidP="0030512B">
      <w:pPr>
        <w:pStyle w:val="ListParagraph"/>
        <w:numPr>
          <w:ilvl w:val="0"/>
          <w:numId w:val="11"/>
        </w:numPr>
        <w:jc w:val="both"/>
        <w:rPr>
          <w:rFonts w:asciiTheme="minorHAnsi" w:hAnsiTheme="minorHAnsi" w:cstheme="minorHAnsi"/>
          <w:sz w:val="22"/>
          <w:szCs w:val="22"/>
        </w:rPr>
      </w:pPr>
      <w:r w:rsidRPr="002C1DDD">
        <w:rPr>
          <w:rFonts w:asciiTheme="minorHAnsi" w:hAnsiTheme="minorHAnsi" w:cstheme="minorHAnsi"/>
          <w:sz w:val="22"/>
          <w:szCs w:val="22"/>
        </w:rPr>
        <w:t xml:space="preserve">The Special Rapporteur recommends </w:t>
      </w:r>
      <w:r w:rsidR="005F4DCD">
        <w:rPr>
          <w:rFonts w:asciiTheme="minorHAnsi" w:hAnsiTheme="minorHAnsi" w:cstheme="minorHAnsi"/>
          <w:sz w:val="22"/>
          <w:szCs w:val="22"/>
        </w:rPr>
        <w:t xml:space="preserve">that </w:t>
      </w:r>
      <w:r w:rsidR="001D2B4F" w:rsidRPr="002C1DDD">
        <w:rPr>
          <w:rFonts w:asciiTheme="minorHAnsi" w:hAnsiTheme="minorHAnsi" w:cstheme="minorHAnsi"/>
          <w:sz w:val="22"/>
          <w:szCs w:val="22"/>
        </w:rPr>
        <w:t xml:space="preserve">State parties </w:t>
      </w:r>
      <w:r w:rsidR="005F4DCD">
        <w:rPr>
          <w:rFonts w:asciiTheme="minorHAnsi" w:hAnsiTheme="minorHAnsi" w:cstheme="minorHAnsi"/>
          <w:sz w:val="22"/>
          <w:szCs w:val="22"/>
        </w:rPr>
        <w:t>are</w:t>
      </w:r>
      <w:r w:rsidR="001D2B4F" w:rsidRPr="002C1DDD">
        <w:rPr>
          <w:rFonts w:asciiTheme="minorHAnsi" w:hAnsiTheme="minorHAnsi" w:cstheme="minorHAnsi"/>
          <w:sz w:val="22"/>
          <w:szCs w:val="22"/>
        </w:rPr>
        <w:t xml:space="preserve"> </w:t>
      </w:r>
      <w:r w:rsidR="005F4DCD">
        <w:rPr>
          <w:rFonts w:asciiTheme="minorHAnsi" w:hAnsiTheme="minorHAnsi" w:cstheme="minorHAnsi"/>
          <w:sz w:val="22"/>
          <w:szCs w:val="22"/>
        </w:rPr>
        <w:t>required</w:t>
      </w:r>
      <w:r w:rsidR="001D2B4F" w:rsidRPr="002C1DDD">
        <w:rPr>
          <w:rFonts w:asciiTheme="minorHAnsi" w:hAnsiTheme="minorHAnsi" w:cstheme="minorHAnsi"/>
          <w:sz w:val="22"/>
          <w:szCs w:val="22"/>
        </w:rPr>
        <w:t xml:space="preserve"> to take appropriate national</w:t>
      </w:r>
      <w:r w:rsidR="004E540E" w:rsidRPr="002C1DDD">
        <w:rPr>
          <w:rFonts w:asciiTheme="minorHAnsi" w:hAnsiTheme="minorHAnsi" w:cstheme="minorHAnsi"/>
          <w:sz w:val="22"/>
          <w:szCs w:val="22"/>
        </w:rPr>
        <w:t>,</w:t>
      </w:r>
      <w:r w:rsidR="001D2B4F" w:rsidRPr="002C1DDD">
        <w:rPr>
          <w:rFonts w:asciiTheme="minorHAnsi" w:hAnsiTheme="minorHAnsi" w:cstheme="minorHAnsi"/>
          <w:sz w:val="22"/>
          <w:szCs w:val="22"/>
        </w:rPr>
        <w:t xml:space="preserve"> bilateral and multilateral measures</w:t>
      </w:r>
      <w:r w:rsidR="006E2E6C">
        <w:rPr>
          <w:rFonts w:asciiTheme="minorHAnsi" w:hAnsiTheme="minorHAnsi" w:cstheme="minorHAnsi"/>
          <w:sz w:val="22"/>
          <w:szCs w:val="22"/>
        </w:rPr>
        <w:t>,</w:t>
      </w:r>
      <w:r w:rsidR="001D2B4F" w:rsidRPr="002C1DDD">
        <w:rPr>
          <w:rFonts w:asciiTheme="minorHAnsi" w:hAnsiTheme="minorHAnsi" w:cstheme="minorHAnsi"/>
          <w:sz w:val="22"/>
          <w:szCs w:val="22"/>
        </w:rPr>
        <w:t xml:space="preserve"> to prevent exploitative use of children </w:t>
      </w:r>
      <w:r w:rsidR="001C4C47" w:rsidRPr="002C1DDD">
        <w:rPr>
          <w:rFonts w:asciiTheme="minorHAnsi" w:hAnsiTheme="minorHAnsi" w:cstheme="minorHAnsi"/>
          <w:sz w:val="22"/>
          <w:szCs w:val="22"/>
        </w:rPr>
        <w:t xml:space="preserve">for </w:t>
      </w:r>
      <w:r w:rsidR="005F4DCD">
        <w:rPr>
          <w:rFonts w:asciiTheme="minorHAnsi" w:hAnsiTheme="minorHAnsi" w:cstheme="minorHAnsi"/>
          <w:sz w:val="22"/>
          <w:szCs w:val="22"/>
        </w:rPr>
        <w:t>“</w:t>
      </w:r>
      <w:r w:rsidR="001C4C47" w:rsidRPr="002C1DDD">
        <w:rPr>
          <w:rFonts w:asciiTheme="minorHAnsi" w:hAnsiTheme="minorHAnsi" w:cstheme="minorHAnsi"/>
          <w:sz w:val="22"/>
          <w:szCs w:val="22"/>
        </w:rPr>
        <w:t>pornographic performances and materials,</w:t>
      </w:r>
      <w:r w:rsidR="005F4DCD">
        <w:rPr>
          <w:rFonts w:asciiTheme="minorHAnsi" w:hAnsiTheme="minorHAnsi" w:cstheme="minorHAnsi"/>
          <w:sz w:val="22"/>
          <w:szCs w:val="22"/>
        </w:rPr>
        <w:t>”</w:t>
      </w:r>
      <w:r w:rsidR="001C4C47" w:rsidRPr="002C1DDD">
        <w:rPr>
          <w:rStyle w:val="FootnoteReference"/>
          <w:rFonts w:asciiTheme="minorHAnsi" w:hAnsiTheme="minorHAnsi" w:cstheme="minorHAnsi"/>
          <w:sz w:val="22"/>
          <w:szCs w:val="22"/>
        </w:rPr>
        <w:footnoteReference w:id="8"/>
      </w:r>
      <w:r w:rsidR="001C4C47" w:rsidRPr="002C1DDD">
        <w:rPr>
          <w:rFonts w:asciiTheme="minorHAnsi" w:hAnsiTheme="minorHAnsi" w:cstheme="minorHAnsi"/>
          <w:sz w:val="22"/>
          <w:szCs w:val="22"/>
        </w:rPr>
        <w:t xml:space="preserve"> the abduction, sale of or trafficking in children for any purpose or in any form</w:t>
      </w:r>
      <w:r w:rsidR="0008234B" w:rsidRPr="002C1DDD">
        <w:rPr>
          <w:rFonts w:asciiTheme="minorHAnsi" w:hAnsiTheme="minorHAnsi" w:cstheme="minorHAnsi"/>
          <w:sz w:val="22"/>
          <w:szCs w:val="22"/>
        </w:rPr>
        <w:t>,</w:t>
      </w:r>
      <w:r w:rsidR="001C4C47" w:rsidRPr="002C1DDD">
        <w:rPr>
          <w:rStyle w:val="FootnoteReference"/>
          <w:rFonts w:asciiTheme="minorHAnsi" w:hAnsiTheme="minorHAnsi" w:cstheme="minorHAnsi"/>
          <w:sz w:val="22"/>
          <w:szCs w:val="22"/>
        </w:rPr>
        <w:footnoteReference w:id="9"/>
      </w:r>
      <w:r w:rsidR="001C4C47" w:rsidRPr="002C1DDD">
        <w:rPr>
          <w:rFonts w:asciiTheme="minorHAnsi" w:hAnsiTheme="minorHAnsi" w:cstheme="minorHAnsi"/>
          <w:sz w:val="22"/>
          <w:szCs w:val="22"/>
        </w:rPr>
        <w:t xml:space="preserve"> </w:t>
      </w:r>
      <w:r w:rsidR="0008234B" w:rsidRPr="002C1DDD">
        <w:rPr>
          <w:rFonts w:asciiTheme="minorHAnsi" w:hAnsiTheme="minorHAnsi" w:cstheme="minorHAnsi"/>
          <w:sz w:val="22"/>
          <w:szCs w:val="22"/>
        </w:rPr>
        <w:t>particularly given the transnational nature of the digital environment.</w:t>
      </w:r>
      <w:r w:rsidR="00380709" w:rsidRPr="002C1DDD">
        <w:rPr>
          <w:rStyle w:val="FootnoteReference"/>
          <w:rFonts w:asciiTheme="minorHAnsi" w:hAnsiTheme="minorHAnsi" w:cstheme="minorHAnsi"/>
          <w:sz w:val="22"/>
          <w:szCs w:val="22"/>
        </w:rPr>
        <w:footnoteReference w:id="10"/>
      </w:r>
      <w:r w:rsidR="006E2E6C">
        <w:rPr>
          <w:rFonts w:asciiTheme="minorHAnsi" w:hAnsiTheme="minorHAnsi" w:cstheme="minorHAnsi"/>
          <w:sz w:val="22"/>
          <w:szCs w:val="22"/>
        </w:rPr>
        <w:t xml:space="preserve"> </w:t>
      </w:r>
    </w:p>
    <w:p w14:paraId="4069E05A" w14:textId="31E26C48" w:rsidR="0030512B" w:rsidRPr="0030512B" w:rsidRDefault="009460F3" w:rsidP="0030512B">
      <w:pPr>
        <w:pStyle w:val="ListParagraph"/>
        <w:numPr>
          <w:ilvl w:val="0"/>
          <w:numId w:val="18"/>
        </w:numPr>
        <w:ind w:left="284"/>
        <w:jc w:val="both"/>
        <w:rPr>
          <w:rFonts w:asciiTheme="minorHAnsi" w:hAnsiTheme="minorHAnsi" w:cstheme="minorHAnsi"/>
          <w:b/>
          <w:bCs/>
          <w:sz w:val="22"/>
          <w:szCs w:val="22"/>
        </w:rPr>
      </w:pPr>
      <w:r>
        <w:rPr>
          <w:rFonts w:asciiTheme="minorHAnsi" w:hAnsiTheme="minorHAnsi" w:cstheme="minorHAnsi"/>
          <w:b/>
          <w:bCs/>
          <w:sz w:val="22"/>
          <w:szCs w:val="22"/>
        </w:rPr>
        <w:t>Dissemination of information, awareness-raising and training</w:t>
      </w:r>
    </w:p>
    <w:p w14:paraId="20ECAE20" w14:textId="786C7356" w:rsidR="0030512B" w:rsidRPr="0030512B" w:rsidRDefault="00192E3C" w:rsidP="0030512B">
      <w:pPr>
        <w:pStyle w:val="ListParagraph"/>
        <w:numPr>
          <w:ilvl w:val="0"/>
          <w:numId w:val="11"/>
        </w:numPr>
        <w:jc w:val="both"/>
        <w:rPr>
          <w:rFonts w:asciiTheme="minorHAnsi" w:hAnsiTheme="minorHAnsi" w:cstheme="minorHAnsi"/>
          <w:sz w:val="22"/>
          <w:szCs w:val="22"/>
        </w:rPr>
      </w:pPr>
      <w:r>
        <w:rPr>
          <w:rFonts w:asciiTheme="minorHAnsi" w:hAnsiTheme="minorHAnsi" w:cstheme="minorHAnsi"/>
          <w:sz w:val="22"/>
          <w:szCs w:val="22"/>
        </w:rPr>
        <w:t>The Special Rapporteur suggests persons listed in paragraphs 33 and 34 should be informed on the risks and offenses related to the production, distribution, offering, selling or possession of child abuse</w:t>
      </w:r>
      <w:r w:rsidR="005F4DCD">
        <w:rPr>
          <w:rFonts w:asciiTheme="minorHAnsi" w:hAnsiTheme="minorHAnsi" w:cstheme="minorHAnsi"/>
          <w:sz w:val="22"/>
          <w:szCs w:val="22"/>
        </w:rPr>
        <w:t xml:space="preserve"> and exploitation</w:t>
      </w:r>
      <w:r>
        <w:rPr>
          <w:rFonts w:asciiTheme="minorHAnsi" w:hAnsiTheme="minorHAnsi" w:cstheme="minorHAnsi"/>
          <w:sz w:val="22"/>
          <w:szCs w:val="22"/>
        </w:rPr>
        <w:t xml:space="preserve"> materials.</w:t>
      </w:r>
      <w:r w:rsidR="006E2E6C">
        <w:rPr>
          <w:rFonts w:asciiTheme="minorHAnsi" w:hAnsiTheme="minorHAnsi" w:cstheme="minorHAnsi"/>
          <w:sz w:val="22"/>
          <w:szCs w:val="22"/>
        </w:rPr>
        <w:t xml:space="preserve"> Such offenses include child trafficking.</w:t>
      </w:r>
    </w:p>
    <w:p w14:paraId="40B2443D" w14:textId="54F518F6" w:rsidR="009460F3" w:rsidRDefault="009460F3" w:rsidP="009460F3">
      <w:pPr>
        <w:pStyle w:val="ListParagraph"/>
        <w:numPr>
          <w:ilvl w:val="0"/>
          <w:numId w:val="19"/>
        </w:numPr>
        <w:ind w:left="284"/>
        <w:jc w:val="both"/>
        <w:rPr>
          <w:rFonts w:asciiTheme="minorHAnsi" w:hAnsiTheme="minorHAnsi" w:cstheme="minorHAnsi"/>
          <w:b/>
          <w:bCs/>
          <w:sz w:val="22"/>
          <w:szCs w:val="22"/>
        </w:rPr>
      </w:pPr>
      <w:r>
        <w:rPr>
          <w:rFonts w:asciiTheme="minorHAnsi" w:hAnsiTheme="minorHAnsi" w:cstheme="minorHAnsi"/>
          <w:b/>
          <w:bCs/>
          <w:sz w:val="22"/>
          <w:szCs w:val="22"/>
        </w:rPr>
        <w:t>The business sector</w:t>
      </w:r>
    </w:p>
    <w:p w14:paraId="59CB786C" w14:textId="6124A36D" w:rsidR="00192E3C" w:rsidRDefault="00553B0A" w:rsidP="00192E3C">
      <w:pPr>
        <w:pStyle w:val="ListParagraph"/>
        <w:numPr>
          <w:ilvl w:val="0"/>
          <w:numId w:val="11"/>
        </w:numPr>
        <w:jc w:val="both"/>
        <w:rPr>
          <w:rFonts w:asciiTheme="minorHAnsi" w:hAnsiTheme="minorHAnsi" w:cstheme="minorHAnsi"/>
          <w:sz w:val="22"/>
          <w:szCs w:val="22"/>
        </w:rPr>
      </w:pPr>
      <w:r>
        <w:rPr>
          <w:rFonts w:asciiTheme="minorHAnsi" w:hAnsiTheme="minorHAnsi" w:cstheme="minorHAnsi"/>
          <w:sz w:val="22"/>
          <w:szCs w:val="22"/>
        </w:rPr>
        <w:t>The Special Rapporteur suggest</w:t>
      </w:r>
      <w:r w:rsidR="001D78DD">
        <w:rPr>
          <w:rFonts w:asciiTheme="minorHAnsi" w:hAnsiTheme="minorHAnsi" w:cstheme="minorHAnsi"/>
          <w:sz w:val="22"/>
          <w:szCs w:val="22"/>
        </w:rPr>
        <w:t>s</w:t>
      </w:r>
      <w:r>
        <w:rPr>
          <w:rFonts w:asciiTheme="minorHAnsi" w:hAnsiTheme="minorHAnsi" w:cstheme="minorHAnsi"/>
          <w:sz w:val="22"/>
          <w:szCs w:val="22"/>
        </w:rPr>
        <w:t xml:space="preserve"> specifying the requirements of a child-rights impact assessment in accordance with the UN Guiding Principles on Business and Human Rights.  These Guidelines specify that human rights due diligence extends beyond the activities of the core company to include harmful activities of affiliates and of business relations, </w:t>
      </w:r>
      <w:r>
        <w:rPr>
          <w:rFonts w:asciiTheme="minorHAnsi" w:hAnsiTheme="minorHAnsi" w:cstheme="minorHAnsi"/>
          <w:sz w:val="22"/>
          <w:szCs w:val="22"/>
        </w:rPr>
        <w:lastRenderedPageBreak/>
        <w:t>including those down the supply chain.</w:t>
      </w:r>
      <w:r>
        <w:rPr>
          <w:rStyle w:val="FootnoteReference"/>
          <w:rFonts w:asciiTheme="minorHAnsi" w:hAnsiTheme="minorHAnsi" w:cstheme="minorHAnsi"/>
          <w:sz w:val="22"/>
          <w:szCs w:val="22"/>
        </w:rPr>
        <w:footnoteReference w:id="11"/>
      </w:r>
      <w:r>
        <w:rPr>
          <w:rFonts w:asciiTheme="minorHAnsi" w:hAnsiTheme="minorHAnsi" w:cstheme="minorHAnsi"/>
          <w:sz w:val="22"/>
          <w:szCs w:val="22"/>
        </w:rPr>
        <w:t xml:space="preserve"> Businesses should identify, prevent, mitigate and account for how they address their impacts on human rights, this requires assessment of actual and potential human rights impact, integrating and acting upon findings, tracking responses and communicating how impacts are addressed.</w:t>
      </w:r>
      <w:r>
        <w:rPr>
          <w:rStyle w:val="FootnoteReference"/>
          <w:rFonts w:asciiTheme="minorHAnsi" w:hAnsiTheme="minorHAnsi" w:cstheme="minorHAnsi"/>
          <w:sz w:val="22"/>
          <w:szCs w:val="22"/>
        </w:rPr>
        <w:footnoteReference w:id="12"/>
      </w:r>
      <w:r>
        <w:rPr>
          <w:rFonts w:asciiTheme="minorHAnsi" w:hAnsiTheme="minorHAnsi" w:cstheme="minorHAnsi"/>
          <w:sz w:val="22"/>
          <w:szCs w:val="22"/>
        </w:rPr>
        <w:t xml:space="preserve"> Human rights impact assessments should go beyond traditional strategies in corporate social responsibility such as working conditions in corporations and their suppliers but </w:t>
      </w:r>
      <w:r w:rsidR="00997A31">
        <w:rPr>
          <w:rFonts w:asciiTheme="minorHAnsi" w:hAnsiTheme="minorHAnsi" w:cstheme="minorHAnsi"/>
          <w:sz w:val="22"/>
          <w:szCs w:val="22"/>
        </w:rPr>
        <w:t>also include an investigation how workers obtained employment to assess workers’ susceptibility to trafficking.</w:t>
      </w:r>
      <w:r w:rsidR="00997A31">
        <w:rPr>
          <w:rStyle w:val="FootnoteReference"/>
          <w:rFonts w:asciiTheme="minorHAnsi" w:hAnsiTheme="minorHAnsi" w:cstheme="minorHAnsi"/>
          <w:sz w:val="22"/>
          <w:szCs w:val="22"/>
        </w:rPr>
        <w:footnoteReference w:id="13"/>
      </w:r>
    </w:p>
    <w:p w14:paraId="680BB58E" w14:textId="69ACE788" w:rsidR="00EF21C0" w:rsidRPr="00A94459" w:rsidRDefault="007A0248" w:rsidP="00A94459">
      <w:pPr>
        <w:pStyle w:val="ListParagraph"/>
        <w:numPr>
          <w:ilvl w:val="0"/>
          <w:numId w:val="11"/>
        </w:numPr>
        <w:jc w:val="both"/>
        <w:rPr>
          <w:rFonts w:asciiTheme="minorHAnsi" w:hAnsiTheme="minorHAnsi" w:cstheme="minorHAnsi"/>
          <w:sz w:val="22"/>
          <w:szCs w:val="22"/>
        </w:rPr>
      </w:pPr>
      <w:r>
        <w:rPr>
          <w:rFonts w:asciiTheme="minorHAnsi" w:hAnsiTheme="minorHAnsi" w:cstheme="minorHAnsi"/>
          <w:sz w:val="22"/>
          <w:szCs w:val="22"/>
        </w:rPr>
        <w:t>States’ obligations of due diligence in prevention, protection and prosecution of child trafficking require positive action in relation to the role of the private sector. T</w:t>
      </w:r>
      <w:r w:rsidR="00997A31">
        <w:rPr>
          <w:rFonts w:asciiTheme="minorHAnsi" w:hAnsiTheme="minorHAnsi" w:cstheme="minorHAnsi"/>
          <w:sz w:val="22"/>
          <w:szCs w:val="22"/>
        </w:rPr>
        <w:t xml:space="preserve">he Special Rapporteur recommends </w:t>
      </w:r>
      <w:r>
        <w:rPr>
          <w:rFonts w:asciiTheme="minorHAnsi" w:hAnsiTheme="minorHAnsi" w:cstheme="minorHAnsi"/>
          <w:sz w:val="22"/>
          <w:szCs w:val="22"/>
        </w:rPr>
        <w:t xml:space="preserve">that States require businesses </w:t>
      </w:r>
      <w:r w:rsidR="00997A31">
        <w:rPr>
          <w:rFonts w:asciiTheme="minorHAnsi" w:hAnsiTheme="minorHAnsi" w:cstheme="minorHAnsi"/>
          <w:sz w:val="22"/>
          <w:szCs w:val="22"/>
        </w:rPr>
        <w:t>and their employees, including internet service providers and financ</w:t>
      </w:r>
      <w:r>
        <w:rPr>
          <w:rFonts w:asciiTheme="minorHAnsi" w:hAnsiTheme="minorHAnsi" w:cstheme="minorHAnsi"/>
          <w:sz w:val="22"/>
          <w:szCs w:val="22"/>
        </w:rPr>
        <w:t>ial</w:t>
      </w:r>
      <w:r w:rsidR="00997A31">
        <w:rPr>
          <w:rFonts w:asciiTheme="minorHAnsi" w:hAnsiTheme="minorHAnsi" w:cstheme="minorHAnsi"/>
          <w:sz w:val="22"/>
          <w:szCs w:val="22"/>
        </w:rPr>
        <w:t xml:space="preserve"> services, to report suspected </w:t>
      </w:r>
      <w:r>
        <w:rPr>
          <w:rFonts w:asciiTheme="minorHAnsi" w:hAnsiTheme="minorHAnsi" w:cstheme="minorHAnsi"/>
          <w:sz w:val="22"/>
          <w:szCs w:val="22"/>
        </w:rPr>
        <w:t xml:space="preserve">online </w:t>
      </w:r>
      <w:r w:rsidR="00997A31">
        <w:rPr>
          <w:rFonts w:asciiTheme="minorHAnsi" w:hAnsiTheme="minorHAnsi" w:cstheme="minorHAnsi"/>
          <w:sz w:val="22"/>
          <w:szCs w:val="22"/>
        </w:rPr>
        <w:t xml:space="preserve">child </w:t>
      </w:r>
      <w:r>
        <w:rPr>
          <w:rFonts w:asciiTheme="minorHAnsi" w:hAnsiTheme="minorHAnsi" w:cstheme="minorHAnsi"/>
          <w:sz w:val="22"/>
          <w:szCs w:val="22"/>
        </w:rPr>
        <w:t xml:space="preserve">sexual abuse and exploitation </w:t>
      </w:r>
      <w:r w:rsidR="00997A31">
        <w:rPr>
          <w:rFonts w:asciiTheme="minorHAnsi" w:hAnsiTheme="minorHAnsi" w:cstheme="minorHAnsi"/>
          <w:sz w:val="22"/>
          <w:szCs w:val="22"/>
        </w:rPr>
        <w:t>activities and offenses</w:t>
      </w:r>
      <w:r>
        <w:rPr>
          <w:rFonts w:asciiTheme="minorHAnsi" w:hAnsiTheme="minorHAnsi" w:cstheme="minorHAnsi"/>
          <w:sz w:val="22"/>
          <w:szCs w:val="22"/>
        </w:rPr>
        <w:t>,</w:t>
      </w:r>
      <w:r w:rsidR="00997A31">
        <w:rPr>
          <w:rFonts w:asciiTheme="minorHAnsi" w:hAnsiTheme="minorHAnsi" w:cstheme="minorHAnsi"/>
          <w:sz w:val="22"/>
          <w:szCs w:val="22"/>
        </w:rPr>
        <w:t xml:space="preserve"> to law enforcement </w:t>
      </w:r>
      <w:r>
        <w:rPr>
          <w:rFonts w:asciiTheme="minorHAnsi" w:hAnsiTheme="minorHAnsi" w:cstheme="minorHAnsi"/>
          <w:sz w:val="22"/>
          <w:szCs w:val="22"/>
        </w:rPr>
        <w:t xml:space="preserve">bodies </w:t>
      </w:r>
      <w:r w:rsidR="00997A31">
        <w:rPr>
          <w:rFonts w:asciiTheme="minorHAnsi" w:hAnsiTheme="minorHAnsi" w:cstheme="minorHAnsi"/>
          <w:sz w:val="22"/>
          <w:szCs w:val="22"/>
        </w:rPr>
        <w:t>or another mandated agency.</w:t>
      </w:r>
      <w:r w:rsidR="00997A31">
        <w:rPr>
          <w:rStyle w:val="FootnoteReference"/>
          <w:rFonts w:asciiTheme="minorHAnsi" w:hAnsiTheme="minorHAnsi" w:cstheme="minorHAnsi"/>
          <w:sz w:val="22"/>
          <w:szCs w:val="22"/>
        </w:rPr>
        <w:footnoteReference w:id="14"/>
      </w:r>
    </w:p>
    <w:p w14:paraId="3B0AD368" w14:textId="7141CCE6" w:rsidR="009460F3" w:rsidRDefault="009460F3" w:rsidP="009460F3">
      <w:pPr>
        <w:pStyle w:val="ListParagraph"/>
        <w:numPr>
          <w:ilvl w:val="0"/>
          <w:numId w:val="19"/>
        </w:numPr>
        <w:ind w:left="284"/>
        <w:jc w:val="both"/>
        <w:rPr>
          <w:rFonts w:asciiTheme="minorHAnsi" w:hAnsiTheme="minorHAnsi" w:cstheme="minorHAnsi"/>
          <w:b/>
          <w:bCs/>
          <w:sz w:val="22"/>
          <w:szCs w:val="22"/>
        </w:rPr>
      </w:pPr>
      <w:r>
        <w:rPr>
          <w:rFonts w:asciiTheme="minorHAnsi" w:hAnsiTheme="minorHAnsi" w:cstheme="minorHAnsi"/>
          <w:b/>
          <w:bCs/>
          <w:sz w:val="22"/>
          <w:szCs w:val="22"/>
        </w:rPr>
        <w:t>Commercial advertising and marketing</w:t>
      </w:r>
    </w:p>
    <w:p w14:paraId="0339DC87" w14:textId="7E345D85" w:rsidR="00997A31" w:rsidRPr="00CA5E6E" w:rsidRDefault="007A0248" w:rsidP="00CA5E6E">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lastRenderedPageBreak/>
        <w:t>Groups engaged in armed conflict and criminal activities, including those identified as t</w:t>
      </w:r>
      <w:r w:rsidR="00997A31">
        <w:rPr>
          <w:rFonts w:asciiTheme="minorHAnsi" w:hAnsiTheme="minorHAnsi" w:cstheme="minorHAnsi"/>
          <w:sz w:val="22"/>
          <w:szCs w:val="22"/>
        </w:rPr>
        <w:t>errorist and violent extremist groups increasingly use tailored approaches such as targeted advertising, enabled by digital environments</w:t>
      </w:r>
      <w:r>
        <w:rPr>
          <w:rFonts w:asciiTheme="minorHAnsi" w:hAnsiTheme="minorHAnsi" w:cstheme="minorHAnsi"/>
          <w:sz w:val="22"/>
          <w:szCs w:val="22"/>
        </w:rPr>
        <w:t xml:space="preserve"> and</w:t>
      </w:r>
      <w:r w:rsidR="00997A31">
        <w:rPr>
          <w:rFonts w:asciiTheme="minorHAnsi" w:hAnsiTheme="minorHAnsi" w:cstheme="minorHAnsi"/>
          <w:sz w:val="22"/>
          <w:szCs w:val="22"/>
        </w:rPr>
        <w:t xml:space="preserve"> social media platforms, to </w:t>
      </w:r>
      <w:r>
        <w:rPr>
          <w:rFonts w:asciiTheme="minorHAnsi" w:hAnsiTheme="minorHAnsi" w:cstheme="minorHAnsi"/>
          <w:sz w:val="22"/>
          <w:szCs w:val="22"/>
        </w:rPr>
        <w:t xml:space="preserve">contact children, with heightened risks of exploitation for the purpose of forced criminality, sexual exploitation and other forms of sexual exploitation. </w:t>
      </w:r>
      <w:r w:rsidR="00997A31">
        <w:rPr>
          <w:rStyle w:val="FootnoteReference"/>
          <w:rFonts w:asciiTheme="minorHAnsi" w:hAnsiTheme="minorHAnsi" w:cstheme="minorHAnsi"/>
          <w:sz w:val="22"/>
          <w:szCs w:val="22"/>
        </w:rPr>
        <w:footnoteReference w:id="15"/>
      </w:r>
      <w:r w:rsidR="00997A31">
        <w:rPr>
          <w:rFonts w:asciiTheme="minorHAnsi" w:hAnsiTheme="minorHAnsi" w:cstheme="minorHAnsi"/>
          <w:sz w:val="22"/>
          <w:szCs w:val="22"/>
        </w:rPr>
        <w:t xml:space="preserve"> </w:t>
      </w:r>
      <w:r w:rsidR="00CA5E6E">
        <w:rPr>
          <w:rFonts w:asciiTheme="minorHAnsi" w:hAnsiTheme="minorHAnsi" w:cstheme="minorHAnsi"/>
          <w:sz w:val="22"/>
          <w:szCs w:val="22"/>
        </w:rPr>
        <w:t xml:space="preserve">The Special Rapporteur recommends </w:t>
      </w:r>
      <w:r>
        <w:rPr>
          <w:rFonts w:asciiTheme="minorHAnsi" w:hAnsiTheme="minorHAnsi" w:cstheme="minorHAnsi"/>
          <w:sz w:val="22"/>
          <w:szCs w:val="22"/>
        </w:rPr>
        <w:t xml:space="preserve">that </w:t>
      </w:r>
      <w:r w:rsidR="00CA5E6E">
        <w:rPr>
          <w:rFonts w:asciiTheme="minorHAnsi" w:hAnsiTheme="minorHAnsi" w:cstheme="minorHAnsi"/>
          <w:sz w:val="22"/>
          <w:szCs w:val="22"/>
        </w:rPr>
        <w:t xml:space="preserve">States </w:t>
      </w:r>
      <w:r>
        <w:rPr>
          <w:rFonts w:asciiTheme="minorHAnsi" w:hAnsiTheme="minorHAnsi" w:cstheme="minorHAnsi"/>
          <w:sz w:val="22"/>
          <w:szCs w:val="22"/>
        </w:rPr>
        <w:t xml:space="preserve">are required to proactively engage with </w:t>
      </w:r>
      <w:r w:rsidR="00CA5E6E">
        <w:rPr>
          <w:rFonts w:asciiTheme="minorHAnsi" w:hAnsiTheme="minorHAnsi" w:cstheme="minorHAnsi"/>
          <w:sz w:val="22"/>
          <w:szCs w:val="22"/>
        </w:rPr>
        <w:t>internet service providers and advertising partners</w:t>
      </w:r>
      <w:r>
        <w:rPr>
          <w:rFonts w:asciiTheme="minorHAnsi" w:hAnsiTheme="minorHAnsi" w:cstheme="minorHAnsi"/>
          <w:sz w:val="22"/>
          <w:szCs w:val="22"/>
        </w:rPr>
        <w:t xml:space="preserve">, to </w:t>
      </w:r>
      <w:r w:rsidR="00CA5E6E">
        <w:rPr>
          <w:rFonts w:asciiTheme="minorHAnsi" w:hAnsiTheme="minorHAnsi" w:cstheme="minorHAnsi"/>
          <w:sz w:val="22"/>
          <w:szCs w:val="22"/>
        </w:rPr>
        <w:t>prevent such advertising re</w:t>
      </w:r>
      <w:r>
        <w:rPr>
          <w:rFonts w:asciiTheme="minorHAnsi" w:hAnsiTheme="minorHAnsi" w:cstheme="minorHAnsi"/>
          <w:sz w:val="22"/>
          <w:szCs w:val="22"/>
        </w:rPr>
        <w:t>aching children</w:t>
      </w:r>
      <w:r w:rsidR="00CF2101">
        <w:rPr>
          <w:rFonts w:asciiTheme="minorHAnsi" w:hAnsiTheme="minorHAnsi" w:cstheme="minorHAnsi"/>
          <w:sz w:val="22"/>
          <w:szCs w:val="22"/>
        </w:rPr>
        <w:t>,</w:t>
      </w:r>
      <w:r>
        <w:rPr>
          <w:rFonts w:asciiTheme="minorHAnsi" w:hAnsiTheme="minorHAnsi" w:cstheme="minorHAnsi"/>
          <w:sz w:val="22"/>
          <w:szCs w:val="22"/>
        </w:rPr>
        <w:t xml:space="preserve"> and attendant risks of online grooming and recruitment for the purpose of exploitation</w:t>
      </w:r>
      <w:r w:rsidR="00CA5E6E">
        <w:rPr>
          <w:rFonts w:asciiTheme="minorHAnsi" w:hAnsiTheme="minorHAnsi" w:cstheme="minorHAnsi"/>
          <w:sz w:val="22"/>
          <w:szCs w:val="22"/>
        </w:rPr>
        <w:t>.</w:t>
      </w:r>
      <w:r w:rsidR="00CF2101">
        <w:rPr>
          <w:rFonts w:asciiTheme="minorHAnsi" w:hAnsiTheme="minorHAnsi" w:cstheme="minorHAnsi"/>
          <w:sz w:val="22"/>
          <w:szCs w:val="22"/>
        </w:rPr>
        <w:t xml:space="preserve"> Reference should be made to </w:t>
      </w:r>
      <w:r w:rsidR="0011774D">
        <w:rPr>
          <w:rFonts w:asciiTheme="minorHAnsi" w:hAnsiTheme="minorHAnsi" w:cstheme="minorHAnsi"/>
          <w:sz w:val="22"/>
          <w:szCs w:val="22"/>
        </w:rPr>
        <w:t>S</w:t>
      </w:r>
      <w:r w:rsidR="00CF2101">
        <w:rPr>
          <w:rFonts w:asciiTheme="minorHAnsi" w:hAnsiTheme="minorHAnsi" w:cstheme="minorHAnsi"/>
          <w:sz w:val="22"/>
          <w:szCs w:val="22"/>
        </w:rPr>
        <w:t xml:space="preserve">tates’ </w:t>
      </w:r>
      <w:r w:rsidR="0011774D">
        <w:rPr>
          <w:rFonts w:asciiTheme="minorHAnsi" w:hAnsiTheme="minorHAnsi" w:cstheme="minorHAnsi"/>
          <w:sz w:val="22"/>
          <w:szCs w:val="22"/>
        </w:rPr>
        <w:t xml:space="preserve">positive </w:t>
      </w:r>
      <w:r w:rsidR="00CF2101">
        <w:rPr>
          <w:rFonts w:asciiTheme="minorHAnsi" w:hAnsiTheme="minorHAnsi" w:cstheme="minorHAnsi"/>
          <w:sz w:val="22"/>
          <w:szCs w:val="22"/>
        </w:rPr>
        <w:t>obligations of due diligence to prevent all forms of child trafficking.</w:t>
      </w:r>
      <w:r w:rsidR="0011774D">
        <w:rPr>
          <w:rStyle w:val="FootnoteReference"/>
          <w:rFonts w:asciiTheme="minorHAnsi" w:hAnsiTheme="minorHAnsi" w:cstheme="minorHAnsi"/>
          <w:sz w:val="22"/>
          <w:szCs w:val="22"/>
        </w:rPr>
        <w:footnoteReference w:id="16"/>
      </w:r>
    </w:p>
    <w:p w14:paraId="696C66C8" w14:textId="68F18110" w:rsidR="00A94459" w:rsidRPr="00A94459" w:rsidRDefault="00497437" w:rsidP="00A94459">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t>Digital technologies and o</w:t>
      </w:r>
      <w:r w:rsidR="00997A31" w:rsidRPr="00AC34E8">
        <w:rPr>
          <w:rFonts w:asciiTheme="minorHAnsi" w:hAnsiTheme="minorHAnsi" w:cstheme="minorHAnsi"/>
          <w:sz w:val="22"/>
          <w:szCs w:val="22"/>
        </w:rPr>
        <w:t xml:space="preserve">nline </w:t>
      </w:r>
      <w:r>
        <w:rPr>
          <w:rFonts w:asciiTheme="minorHAnsi" w:hAnsiTheme="minorHAnsi" w:cstheme="minorHAnsi"/>
          <w:sz w:val="22"/>
          <w:szCs w:val="22"/>
        </w:rPr>
        <w:t xml:space="preserve">awareness raising </w:t>
      </w:r>
      <w:r w:rsidR="00997A31" w:rsidRPr="00AC34E8">
        <w:rPr>
          <w:rFonts w:asciiTheme="minorHAnsi" w:hAnsiTheme="minorHAnsi" w:cstheme="minorHAnsi"/>
          <w:sz w:val="22"/>
          <w:szCs w:val="22"/>
        </w:rPr>
        <w:t xml:space="preserve">initiatives </w:t>
      </w:r>
      <w:r>
        <w:rPr>
          <w:rFonts w:asciiTheme="minorHAnsi" w:hAnsiTheme="minorHAnsi" w:cstheme="minorHAnsi"/>
          <w:sz w:val="22"/>
          <w:szCs w:val="22"/>
        </w:rPr>
        <w:t xml:space="preserve">may play an important positive role, in particular in preventing trafficking for the purpose of forced criminality and </w:t>
      </w:r>
      <w:r w:rsidR="001D080A">
        <w:rPr>
          <w:rFonts w:asciiTheme="minorHAnsi" w:hAnsiTheme="minorHAnsi" w:cstheme="minorHAnsi"/>
          <w:sz w:val="22"/>
          <w:szCs w:val="22"/>
        </w:rPr>
        <w:t>online recruitment and grooming</w:t>
      </w:r>
      <w:r>
        <w:rPr>
          <w:rFonts w:asciiTheme="minorHAnsi" w:hAnsiTheme="minorHAnsi" w:cstheme="minorHAnsi"/>
          <w:sz w:val="22"/>
          <w:szCs w:val="22"/>
        </w:rPr>
        <w:t>,</w:t>
      </w:r>
      <w:r w:rsidR="00997A31" w:rsidRPr="00AC34E8">
        <w:rPr>
          <w:rFonts w:asciiTheme="minorHAnsi" w:hAnsiTheme="minorHAnsi" w:cstheme="minorHAnsi"/>
          <w:sz w:val="22"/>
          <w:szCs w:val="22"/>
        </w:rPr>
        <w:t xml:space="preserve"> using targeted advertising or counter-narratives. Such </w:t>
      </w:r>
      <w:r w:rsidR="001D080A">
        <w:rPr>
          <w:rFonts w:asciiTheme="minorHAnsi" w:hAnsiTheme="minorHAnsi" w:cstheme="minorHAnsi"/>
          <w:sz w:val="22"/>
          <w:szCs w:val="22"/>
        </w:rPr>
        <w:t xml:space="preserve">prevention </w:t>
      </w:r>
      <w:r w:rsidR="00997A31" w:rsidRPr="00AC34E8">
        <w:rPr>
          <w:rFonts w:asciiTheme="minorHAnsi" w:hAnsiTheme="minorHAnsi" w:cstheme="minorHAnsi"/>
          <w:sz w:val="22"/>
          <w:szCs w:val="22"/>
        </w:rPr>
        <w:t xml:space="preserve">methods </w:t>
      </w:r>
      <w:r w:rsidR="001D080A">
        <w:rPr>
          <w:rFonts w:asciiTheme="minorHAnsi" w:hAnsiTheme="minorHAnsi" w:cstheme="minorHAnsi"/>
          <w:sz w:val="22"/>
          <w:szCs w:val="22"/>
        </w:rPr>
        <w:t>may be</w:t>
      </w:r>
      <w:r w:rsidR="00997A31" w:rsidRPr="00AC34E8">
        <w:rPr>
          <w:rFonts w:asciiTheme="minorHAnsi" w:hAnsiTheme="minorHAnsi" w:cstheme="minorHAnsi"/>
          <w:sz w:val="22"/>
          <w:szCs w:val="22"/>
        </w:rPr>
        <w:t xml:space="preserve"> </w:t>
      </w:r>
      <w:r>
        <w:rPr>
          <w:rFonts w:asciiTheme="minorHAnsi" w:hAnsiTheme="minorHAnsi" w:cstheme="minorHAnsi"/>
          <w:sz w:val="22"/>
          <w:szCs w:val="22"/>
        </w:rPr>
        <w:t xml:space="preserve">particularly </w:t>
      </w:r>
      <w:r w:rsidR="00997A31" w:rsidRPr="00AC34E8">
        <w:rPr>
          <w:rFonts w:asciiTheme="minorHAnsi" w:hAnsiTheme="minorHAnsi" w:cstheme="minorHAnsi"/>
          <w:sz w:val="22"/>
          <w:szCs w:val="22"/>
        </w:rPr>
        <w:t xml:space="preserve">effective when </w:t>
      </w:r>
      <w:r>
        <w:rPr>
          <w:rFonts w:asciiTheme="minorHAnsi" w:hAnsiTheme="minorHAnsi" w:cstheme="minorHAnsi"/>
          <w:sz w:val="22"/>
          <w:szCs w:val="22"/>
        </w:rPr>
        <w:t xml:space="preserve">undertaken </w:t>
      </w:r>
      <w:r w:rsidR="00997A31" w:rsidRPr="00AC34E8">
        <w:rPr>
          <w:rFonts w:asciiTheme="minorHAnsi" w:hAnsiTheme="minorHAnsi" w:cstheme="minorHAnsi"/>
          <w:sz w:val="22"/>
          <w:szCs w:val="22"/>
        </w:rPr>
        <w:t>in co-operation with internet service providers.</w:t>
      </w:r>
      <w:r w:rsidR="00997A31">
        <w:rPr>
          <w:rStyle w:val="FootnoteReference"/>
          <w:rFonts w:asciiTheme="minorHAnsi" w:hAnsiTheme="minorHAnsi" w:cstheme="minorHAnsi"/>
          <w:sz w:val="22"/>
          <w:szCs w:val="22"/>
        </w:rPr>
        <w:footnoteReference w:id="17"/>
      </w:r>
    </w:p>
    <w:p w14:paraId="0B10CFAE" w14:textId="06F1BB3F" w:rsidR="009460F3" w:rsidRDefault="009460F3" w:rsidP="009460F3">
      <w:pPr>
        <w:pStyle w:val="ListParagraph"/>
        <w:numPr>
          <w:ilvl w:val="0"/>
          <w:numId w:val="19"/>
        </w:numPr>
        <w:ind w:left="284"/>
        <w:jc w:val="both"/>
        <w:rPr>
          <w:rFonts w:asciiTheme="minorHAnsi" w:hAnsiTheme="minorHAnsi" w:cstheme="minorHAnsi"/>
          <w:b/>
          <w:bCs/>
          <w:sz w:val="22"/>
          <w:szCs w:val="22"/>
        </w:rPr>
      </w:pPr>
      <w:r>
        <w:rPr>
          <w:rFonts w:asciiTheme="minorHAnsi" w:hAnsiTheme="minorHAnsi" w:cstheme="minorHAnsi"/>
          <w:b/>
          <w:bCs/>
          <w:sz w:val="22"/>
          <w:szCs w:val="22"/>
        </w:rPr>
        <w:t>Remedies</w:t>
      </w:r>
    </w:p>
    <w:p w14:paraId="02A90A00" w14:textId="1D948D42" w:rsidR="00CA5E6E" w:rsidRPr="00523B90" w:rsidRDefault="001D080A" w:rsidP="001D080A">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lastRenderedPageBreak/>
        <w:t xml:space="preserve">Reference should be made </w:t>
      </w:r>
      <w:r w:rsidR="00CA5E6E">
        <w:rPr>
          <w:rFonts w:asciiTheme="minorHAnsi" w:hAnsiTheme="minorHAnsi" w:cstheme="minorHAnsi"/>
          <w:sz w:val="22"/>
          <w:szCs w:val="22"/>
        </w:rPr>
        <w:t>to the Committee’</w:t>
      </w:r>
      <w:r>
        <w:rPr>
          <w:rFonts w:asciiTheme="minorHAnsi" w:hAnsiTheme="minorHAnsi" w:cstheme="minorHAnsi"/>
          <w:sz w:val="22"/>
          <w:szCs w:val="22"/>
        </w:rPr>
        <w:t>s General Comment No. 5 (2003), that f</w:t>
      </w:r>
      <w:r w:rsidRPr="001D080A">
        <w:rPr>
          <w:rFonts w:asciiTheme="minorHAnsi" w:hAnsiTheme="minorHAnsi" w:cstheme="minorHAnsi"/>
          <w:sz w:val="22"/>
          <w:szCs w:val="22"/>
        </w:rPr>
        <w:t>or rights to have meaning, effective remedies must be available to redress violations</w:t>
      </w:r>
      <w:r>
        <w:rPr>
          <w:rFonts w:asciiTheme="minorHAnsi" w:hAnsiTheme="minorHAnsi" w:cstheme="minorHAnsi"/>
          <w:sz w:val="22"/>
          <w:szCs w:val="22"/>
        </w:rPr>
        <w:t>.</w:t>
      </w:r>
      <w:r w:rsidR="00CA5E6E">
        <w:rPr>
          <w:rStyle w:val="FootnoteReference"/>
          <w:rFonts w:asciiTheme="minorHAnsi" w:hAnsiTheme="minorHAnsi" w:cstheme="minorHAnsi"/>
          <w:sz w:val="22"/>
          <w:szCs w:val="22"/>
        </w:rPr>
        <w:footnoteReference w:id="18"/>
      </w:r>
      <w:r>
        <w:rPr>
          <w:rFonts w:asciiTheme="minorHAnsi" w:hAnsiTheme="minorHAnsi" w:cstheme="minorHAnsi"/>
          <w:sz w:val="22"/>
          <w:szCs w:val="22"/>
        </w:rPr>
        <w:t xml:space="preserve"> Effective access to remedies must be ensured to all child victims of trafficking, including where </w:t>
      </w:r>
      <w:r w:rsidR="0030512B">
        <w:rPr>
          <w:rFonts w:asciiTheme="minorHAnsi" w:hAnsiTheme="minorHAnsi" w:cstheme="minorHAnsi"/>
          <w:sz w:val="22"/>
          <w:szCs w:val="22"/>
        </w:rPr>
        <w:t>occurring</w:t>
      </w:r>
      <w:r>
        <w:rPr>
          <w:rFonts w:asciiTheme="minorHAnsi" w:hAnsiTheme="minorHAnsi" w:cstheme="minorHAnsi"/>
          <w:sz w:val="22"/>
          <w:szCs w:val="22"/>
        </w:rPr>
        <w:t xml:space="preserve"> in the digital environment. </w:t>
      </w:r>
    </w:p>
    <w:p w14:paraId="6EF19D16" w14:textId="5BE001EC" w:rsidR="00E31182" w:rsidRPr="00E31182" w:rsidRDefault="00523B90" w:rsidP="001D78DD">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b/>
          <w:bCs/>
          <w:sz w:val="22"/>
          <w:szCs w:val="22"/>
        </w:rPr>
        <w:t>Paragraph 45:</w:t>
      </w:r>
      <w:r>
        <w:rPr>
          <w:rFonts w:asciiTheme="minorHAnsi" w:hAnsiTheme="minorHAnsi" w:cstheme="minorHAnsi"/>
          <w:sz w:val="22"/>
          <w:szCs w:val="22"/>
        </w:rPr>
        <w:t xml:space="preserve"> The Special Rapporteur recommends </w:t>
      </w:r>
      <w:r w:rsidR="001D78DD">
        <w:rPr>
          <w:rFonts w:asciiTheme="minorHAnsi" w:hAnsiTheme="minorHAnsi" w:cstheme="minorHAnsi"/>
          <w:sz w:val="22"/>
          <w:szCs w:val="22"/>
        </w:rPr>
        <w:t xml:space="preserve">reference to States’ obligations to ensure that </w:t>
      </w:r>
      <w:r w:rsidR="00D44C2D">
        <w:rPr>
          <w:rFonts w:asciiTheme="minorHAnsi" w:hAnsiTheme="minorHAnsi" w:cstheme="minorHAnsi"/>
          <w:sz w:val="22"/>
          <w:szCs w:val="22"/>
        </w:rPr>
        <w:t xml:space="preserve">trafficking of </w:t>
      </w:r>
      <w:r>
        <w:rPr>
          <w:rFonts w:asciiTheme="minorHAnsi" w:hAnsiTheme="minorHAnsi" w:cstheme="minorHAnsi"/>
          <w:sz w:val="22"/>
          <w:szCs w:val="22"/>
        </w:rPr>
        <w:t xml:space="preserve"> children </w:t>
      </w:r>
      <w:r w:rsidR="00D44C2D">
        <w:rPr>
          <w:rFonts w:asciiTheme="minorHAnsi" w:hAnsiTheme="minorHAnsi" w:cstheme="minorHAnsi"/>
          <w:sz w:val="22"/>
          <w:szCs w:val="22"/>
        </w:rPr>
        <w:t>for all purposes of exploitation</w:t>
      </w:r>
      <w:r w:rsidR="001D78DD">
        <w:rPr>
          <w:rFonts w:asciiTheme="minorHAnsi" w:hAnsiTheme="minorHAnsi" w:cstheme="minorHAnsi"/>
          <w:sz w:val="22"/>
          <w:szCs w:val="22"/>
        </w:rPr>
        <w:t xml:space="preserve"> including through the use of digital technologies</w:t>
      </w:r>
      <w:r w:rsidR="00D44C2D">
        <w:rPr>
          <w:rFonts w:asciiTheme="minorHAnsi" w:hAnsiTheme="minorHAnsi" w:cstheme="minorHAnsi"/>
          <w:sz w:val="22"/>
          <w:szCs w:val="22"/>
        </w:rPr>
        <w:t xml:space="preserve">, </w:t>
      </w:r>
      <w:r w:rsidR="001D78DD">
        <w:rPr>
          <w:rFonts w:asciiTheme="minorHAnsi" w:hAnsiTheme="minorHAnsi" w:cstheme="minorHAnsi"/>
          <w:sz w:val="22"/>
          <w:szCs w:val="22"/>
        </w:rPr>
        <w:t>is</w:t>
      </w:r>
      <w:r>
        <w:rPr>
          <w:rFonts w:asciiTheme="minorHAnsi" w:hAnsiTheme="minorHAnsi" w:cstheme="minorHAnsi"/>
          <w:sz w:val="22"/>
          <w:szCs w:val="22"/>
        </w:rPr>
        <w:t xml:space="preserve"> </w:t>
      </w:r>
      <w:r w:rsidR="00E31182">
        <w:rPr>
          <w:rFonts w:asciiTheme="minorHAnsi" w:hAnsiTheme="minorHAnsi" w:cstheme="minorHAnsi"/>
          <w:sz w:val="22"/>
          <w:szCs w:val="22"/>
        </w:rPr>
        <w:t xml:space="preserve">subject to </w:t>
      </w:r>
      <w:r w:rsidR="001D78DD" w:rsidRPr="001D78DD">
        <w:rPr>
          <w:rFonts w:asciiTheme="minorHAnsi" w:hAnsiTheme="minorHAnsi" w:cstheme="minorHAnsi"/>
          <w:sz w:val="22"/>
          <w:szCs w:val="22"/>
        </w:rPr>
        <w:t>effective, proportionate and dissuasive sanctions</w:t>
      </w:r>
      <w:r w:rsidR="001D78DD">
        <w:rPr>
          <w:rFonts w:asciiTheme="minorHAnsi" w:hAnsiTheme="minorHAnsi" w:cstheme="minorHAnsi"/>
          <w:sz w:val="22"/>
          <w:szCs w:val="22"/>
        </w:rPr>
        <w:t>, recognising the gravity of the offence of child trafficking.</w:t>
      </w:r>
      <w:r w:rsidR="001D78DD">
        <w:rPr>
          <w:rStyle w:val="FootnoteReference"/>
          <w:rFonts w:asciiTheme="minorHAnsi" w:hAnsiTheme="minorHAnsi" w:cstheme="minorHAnsi"/>
          <w:sz w:val="22"/>
          <w:szCs w:val="22"/>
        </w:rPr>
        <w:footnoteReference w:id="19"/>
      </w:r>
      <w:r w:rsidR="001D78DD">
        <w:rPr>
          <w:rFonts w:asciiTheme="minorHAnsi" w:hAnsiTheme="minorHAnsi" w:cstheme="minorHAnsi"/>
          <w:sz w:val="22"/>
          <w:szCs w:val="22"/>
        </w:rPr>
        <w:t xml:space="preserve"> </w:t>
      </w:r>
    </w:p>
    <w:p w14:paraId="0144C0F8" w14:textId="74FEE212" w:rsidR="00E31182" w:rsidRPr="00E31182" w:rsidRDefault="00E31182" w:rsidP="00CA5E6E">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b/>
          <w:bCs/>
          <w:sz w:val="22"/>
          <w:szCs w:val="22"/>
        </w:rPr>
        <w:t>Paragraph 46</w:t>
      </w:r>
      <w:r>
        <w:rPr>
          <w:rFonts w:asciiTheme="minorHAnsi" w:hAnsiTheme="minorHAnsi" w:cstheme="minorHAnsi"/>
          <w:sz w:val="22"/>
          <w:szCs w:val="22"/>
        </w:rPr>
        <w:t xml:space="preserve">: </w:t>
      </w:r>
      <w:r w:rsidR="003834F0">
        <w:rPr>
          <w:rFonts w:asciiTheme="minorHAnsi" w:hAnsiTheme="minorHAnsi" w:cstheme="minorHAnsi"/>
          <w:sz w:val="22"/>
          <w:szCs w:val="22"/>
        </w:rPr>
        <w:t xml:space="preserve">The Special Rapporteur </w:t>
      </w:r>
      <w:r w:rsidR="00DB57C4">
        <w:rPr>
          <w:rFonts w:asciiTheme="minorHAnsi" w:hAnsiTheme="minorHAnsi" w:cstheme="minorHAnsi"/>
          <w:sz w:val="22"/>
          <w:szCs w:val="22"/>
        </w:rPr>
        <w:t xml:space="preserve">recommends the identification of trafficking victims be included in </w:t>
      </w:r>
      <w:r w:rsidR="00FB0568">
        <w:rPr>
          <w:rFonts w:asciiTheme="minorHAnsi" w:hAnsiTheme="minorHAnsi" w:cstheme="minorHAnsi"/>
          <w:sz w:val="22"/>
          <w:szCs w:val="22"/>
        </w:rPr>
        <w:t>the</w:t>
      </w:r>
      <w:r w:rsidR="00375192">
        <w:rPr>
          <w:rFonts w:asciiTheme="minorHAnsi" w:hAnsiTheme="minorHAnsi" w:cstheme="minorHAnsi"/>
          <w:sz w:val="22"/>
          <w:szCs w:val="22"/>
        </w:rPr>
        <w:t xml:space="preserve"> framework for the referral of </w:t>
      </w:r>
      <w:r w:rsidR="00497437">
        <w:rPr>
          <w:rFonts w:asciiTheme="minorHAnsi" w:hAnsiTheme="minorHAnsi" w:cstheme="minorHAnsi"/>
          <w:sz w:val="22"/>
          <w:szCs w:val="22"/>
        </w:rPr>
        <w:t xml:space="preserve">child </w:t>
      </w:r>
      <w:r w:rsidR="00375192">
        <w:rPr>
          <w:rFonts w:asciiTheme="minorHAnsi" w:hAnsiTheme="minorHAnsi" w:cstheme="minorHAnsi"/>
          <w:sz w:val="22"/>
          <w:szCs w:val="22"/>
        </w:rPr>
        <w:t xml:space="preserve">victims </w:t>
      </w:r>
      <w:r>
        <w:rPr>
          <w:rFonts w:asciiTheme="minorHAnsi" w:hAnsiTheme="minorHAnsi" w:cstheme="minorHAnsi"/>
          <w:sz w:val="22"/>
          <w:szCs w:val="22"/>
        </w:rPr>
        <w:t>to ensure the</w:t>
      </w:r>
      <w:r w:rsidR="00497437">
        <w:rPr>
          <w:rFonts w:asciiTheme="minorHAnsi" w:hAnsiTheme="minorHAnsi" w:cstheme="minorHAnsi"/>
          <w:sz w:val="22"/>
          <w:szCs w:val="22"/>
        </w:rPr>
        <w:t xml:space="preserve">y </w:t>
      </w:r>
      <w:r w:rsidR="00375192">
        <w:rPr>
          <w:rFonts w:asciiTheme="minorHAnsi" w:hAnsiTheme="minorHAnsi" w:cstheme="minorHAnsi"/>
          <w:sz w:val="22"/>
          <w:szCs w:val="22"/>
        </w:rPr>
        <w:t xml:space="preserve">receive necessary </w:t>
      </w:r>
      <w:r w:rsidR="00497437">
        <w:rPr>
          <w:rFonts w:asciiTheme="minorHAnsi" w:hAnsiTheme="minorHAnsi" w:cstheme="minorHAnsi"/>
          <w:sz w:val="22"/>
          <w:szCs w:val="22"/>
        </w:rPr>
        <w:t xml:space="preserve">specialised </w:t>
      </w:r>
      <w:r>
        <w:rPr>
          <w:rFonts w:asciiTheme="minorHAnsi" w:hAnsiTheme="minorHAnsi" w:cstheme="minorHAnsi"/>
          <w:sz w:val="22"/>
          <w:szCs w:val="22"/>
        </w:rPr>
        <w:t xml:space="preserve">support, follow-up care and </w:t>
      </w:r>
      <w:r w:rsidR="00497437">
        <w:rPr>
          <w:rFonts w:asciiTheme="minorHAnsi" w:hAnsiTheme="minorHAnsi" w:cstheme="minorHAnsi"/>
          <w:sz w:val="22"/>
          <w:szCs w:val="22"/>
        </w:rPr>
        <w:t xml:space="preserve">long-term </w:t>
      </w:r>
      <w:r>
        <w:rPr>
          <w:rFonts w:asciiTheme="minorHAnsi" w:hAnsiTheme="minorHAnsi" w:cstheme="minorHAnsi"/>
          <w:sz w:val="22"/>
          <w:szCs w:val="22"/>
        </w:rPr>
        <w:t xml:space="preserve">social </w:t>
      </w:r>
      <w:r w:rsidR="00497437">
        <w:rPr>
          <w:rFonts w:asciiTheme="minorHAnsi" w:hAnsiTheme="minorHAnsi" w:cstheme="minorHAnsi"/>
          <w:sz w:val="22"/>
          <w:szCs w:val="22"/>
        </w:rPr>
        <w:t>protection</w:t>
      </w:r>
      <w:r>
        <w:rPr>
          <w:rFonts w:asciiTheme="minorHAnsi" w:hAnsiTheme="minorHAnsi" w:cstheme="minorHAnsi"/>
          <w:sz w:val="22"/>
          <w:szCs w:val="22"/>
        </w:rPr>
        <w:t>.</w:t>
      </w:r>
      <w:r w:rsidR="0011774D">
        <w:rPr>
          <w:rStyle w:val="FootnoteReference"/>
          <w:rFonts w:asciiTheme="minorHAnsi" w:hAnsiTheme="minorHAnsi" w:cstheme="minorHAnsi"/>
          <w:sz w:val="22"/>
          <w:szCs w:val="22"/>
        </w:rPr>
        <w:footnoteReference w:id="20"/>
      </w:r>
      <w:r w:rsidR="006C6F2E">
        <w:rPr>
          <w:rFonts w:asciiTheme="minorHAnsi" w:hAnsiTheme="minorHAnsi" w:cstheme="minorHAnsi"/>
          <w:sz w:val="22"/>
          <w:szCs w:val="22"/>
        </w:rPr>
        <w:t xml:space="preserve"> </w:t>
      </w:r>
      <w:r w:rsidR="00E0438A">
        <w:rPr>
          <w:rFonts w:asciiTheme="minorHAnsi" w:hAnsiTheme="minorHAnsi" w:cstheme="minorHAnsi"/>
          <w:sz w:val="22"/>
          <w:szCs w:val="22"/>
        </w:rPr>
        <w:t>T</w:t>
      </w:r>
      <w:r w:rsidR="00653823">
        <w:rPr>
          <w:rFonts w:asciiTheme="minorHAnsi" w:hAnsiTheme="minorHAnsi" w:cstheme="minorHAnsi"/>
          <w:sz w:val="22"/>
          <w:szCs w:val="22"/>
        </w:rPr>
        <w:t>raditionally, t</w:t>
      </w:r>
      <w:r w:rsidR="00E0438A">
        <w:rPr>
          <w:rFonts w:asciiTheme="minorHAnsi" w:hAnsiTheme="minorHAnsi" w:cstheme="minorHAnsi"/>
          <w:sz w:val="22"/>
          <w:szCs w:val="22"/>
        </w:rPr>
        <w:t xml:space="preserve">raining of professionals </w:t>
      </w:r>
      <w:r w:rsidR="00653823">
        <w:rPr>
          <w:rFonts w:asciiTheme="minorHAnsi" w:hAnsiTheme="minorHAnsi" w:cstheme="minorHAnsi"/>
          <w:sz w:val="22"/>
          <w:szCs w:val="22"/>
        </w:rPr>
        <w:t xml:space="preserve">is focused on persons </w:t>
      </w:r>
      <w:r w:rsidR="00E0438A">
        <w:rPr>
          <w:rFonts w:asciiTheme="minorHAnsi" w:hAnsiTheme="minorHAnsi" w:cstheme="minorHAnsi"/>
          <w:sz w:val="22"/>
          <w:szCs w:val="22"/>
        </w:rPr>
        <w:t>interacting with vulnerable populations</w:t>
      </w:r>
      <w:r w:rsidR="00653823">
        <w:rPr>
          <w:rFonts w:asciiTheme="minorHAnsi" w:hAnsiTheme="minorHAnsi" w:cstheme="minorHAnsi"/>
          <w:sz w:val="22"/>
          <w:szCs w:val="22"/>
        </w:rPr>
        <w:t>.</w:t>
      </w:r>
      <w:r w:rsidR="004E0D5D">
        <w:rPr>
          <w:rStyle w:val="FootnoteReference"/>
          <w:rFonts w:asciiTheme="minorHAnsi" w:hAnsiTheme="minorHAnsi" w:cstheme="minorHAnsi"/>
          <w:sz w:val="22"/>
          <w:szCs w:val="22"/>
        </w:rPr>
        <w:footnoteReference w:id="21"/>
      </w:r>
      <w:r w:rsidR="00653823">
        <w:rPr>
          <w:rFonts w:asciiTheme="minorHAnsi" w:hAnsiTheme="minorHAnsi" w:cstheme="minorHAnsi"/>
          <w:sz w:val="22"/>
          <w:szCs w:val="22"/>
        </w:rPr>
        <w:t xml:space="preserve"> However</w:t>
      </w:r>
      <w:r w:rsidR="004E0D5D">
        <w:rPr>
          <w:rFonts w:asciiTheme="minorHAnsi" w:hAnsiTheme="minorHAnsi" w:cstheme="minorHAnsi"/>
          <w:sz w:val="22"/>
          <w:szCs w:val="22"/>
        </w:rPr>
        <w:t>,</w:t>
      </w:r>
      <w:r w:rsidR="00653823">
        <w:rPr>
          <w:rFonts w:asciiTheme="minorHAnsi" w:hAnsiTheme="minorHAnsi" w:cstheme="minorHAnsi"/>
          <w:sz w:val="22"/>
          <w:szCs w:val="22"/>
        </w:rPr>
        <w:t xml:space="preserve"> given the wide range of users in the digital environment </w:t>
      </w:r>
      <w:r w:rsidR="00051A0A">
        <w:rPr>
          <w:rFonts w:asciiTheme="minorHAnsi" w:hAnsiTheme="minorHAnsi" w:cstheme="minorHAnsi"/>
          <w:sz w:val="22"/>
          <w:szCs w:val="22"/>
        </w:rPr>
        <w:t xml:space="preserve">training on </w:t>
      </w:r>
      <w:r w:rsidR="00051A0A">
        <w:rPr>
          <w:rFonts w:asciiTheme="minorHAnsi" w:hAnsiTheme="minorHAnsi" w:cstheme="minorHAnsi"/>
          <w:sz w:val="22"/>
          <w:szCs w:val="22"/>
        </w:rPr>
        <w:lastRenderedPageBreak/>
        <w:t>identification</w:t>
      </w:r>
      <w:r w:rsidR="00497437">
        <w:rPr>
          <w:rFonts w:asciiTheme="minorHAnsi" w:hAnsiTheme="minorHAnsi" w:cstheme="minorHAnsi"/>
          <w:sz w:val="22"/>
          <w:szCs w:val="22"/>
        </w:rPr>
        <w:t xml:space="preserve"> of potential child victims of trafficking</w:t>
      </w:r>
      <w:r w:rsidR="00051A0A">
        <w:rPr>
          <w:rFonts w:asciiTheme="minorHAnsi" w:hAnsiTheme="minorHAnsi" w:cstheme="minorHAnsi"/>
          <w:sz w:val="22"/>
          <w:szCs w:val="22"/>
        </w:rPr>
        <w:t xml:space="preserve"> should </w:t>
      </w:r>
      <w:r w:rsidR="00497437">
        <w:rPr>
          <w:rFonts w:asciiTheme="minorHAnsi" w:hAnsiTheme="minorHAnsi" w:cstheme="minorHAnsi"/>
          <w:sz w:val="22"/>
          <w:szCs w:val="22"/>
        </w:rPr>
        <w:t xml:space="preserve">also </w:t>
      </w:r>
      <w:r w:rsidR="00051A0A">
        <w:rPr>
          <w:rFonts w:asciiTheme="minorHAnsi" w:hAnsiTheme="minorHAnsi" w:cstheme="minorHAnsi"/>
          <w:sz w:val="22"/>
          <w:szCs w:val="22"/>
        </w:rPr>
        <w:t xml:space="preserve">apply </w:t>
      </w:r>
      <w:r w:rsidR="0078402A">
        <w:rPr>
          <w:rFonts w:asciiTheme="minorHAnsi" w:hAnsiTheme="minorHAnsi" w:cstheme="minorHAnsi"/>
          <w:sz w:val="22"/>
          <w:szCs w:val="22"/>
        </w:rPr>
        <w:t xml:space="preserve">to </w:t>
      </w:r>
      <w:r w:rsidR="00051A0A">
        <w:rPr>
          <w:rFonts w:asciiTheme="minorHAnsi" w:hAnsiTheme="minorHAnsi" w:cstheme="minorHAnsi"/>
          <w:sz w:val="22"/>
          <w:szCs w:val="22"/>
        </w:rPr>
        <w:t>internet service providers</w:t>
      </w:r>
      <w:r w:rsidR="0078402A">
        <w:rPr>
          <w:rFonts w:asciiTheme="minorHAnsi" w:hAnsiTheme="minorHAnsi" w:cstheme="minorHAnsi"/>
          <w:sz w:val="22"/>
          <w:szCs w:val="22"/>
        </w:rPr>
        <w:t xml:space="preserve"> and financial services</w:t>
      </w:r>
      <w:r w:rsidR="004E0D5D">
        <w:rPr>
          <w:rFonts w:asciiTheme="minorHAnsi" w:hAnsiTheme="minorHAnsi" w:cstheme="minorHAnsi"/>
          <w:sz w:val="22"/>
          <w:szCs w:val="22"/>
        </w:rPr>
        <w:t>.</w:t>
      </w:r>
    </w:p>
    <w:p w14:paraId="6979798B" w14:textId="48372D5D" w:rsidR="00E31182" w:rsidRPr="00C016B0" w:rsidRDefault="00E31182" w:rsidP="00CA5E6E">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b/>
          <w:bCs/>
          <w:sz w:val="22"/>
          <w:szCs w:val="22"/>
        </w:rPr>
        <w:t>Paragraph 47</w:t>
      </w:r>
      <w:r>
        <w:rPr>
          <w:rFonts w:asciiTheme="minorHAnsi" w:hAnsiTheme="minorHAnsi" w:cstheme="minorHAnsi"/>
          <w:sz w:val="22"/>
          <w:szCs w:val="22"/>
        </w:rPr>
        <w:t xml:space="preserve">: </w:t>
      </w:r>
      <w:r w:rsidR="00CF2101">
        <w:rPr>
          <w:rFonts w:asciiTheme="minorHAnsi" w:hAnsiTheme="minorHAnsi" w:cstheme="minorHAnsi"/>
          <w:sz w:val="22"/>
          <w:szCs w:val="22"/>
        </w:rPr>
        <w:t>Reference should be made to the positive obligations of due diligence, to ensure that w</w:t>
      </w:r>
      <w:r>
        <w:rPr>
          <w:rFonts w:asciiTheme="minorHAnsi" w:hAnsiTheme="minorHAnsi" w:cstheme="minorHAnsi"/>
          <w:sz w:val="22"/>
          <w:szCs w:val="22"/>
        </w:rPr>
        <w:t xml:space="preserve">here </w:t>
      </w:r>
      <w:r w:rsidR="00CF2101">
        <w:rPr>
          <w:rFonts w:asciiTheme="minorHAnsi" w:hAnsiTheme="minorHAnsi" w:cstheme="minorHAnsi"/>
          <w:sz w:val="22"/>
          <w:szCs w:val="22"/>
        </w:rPr>
        <w:t xml:space="preserve">the trafficking is </w:t>
      </w:r>
      <w:r>
        <w:rPr>
          <w:rFonts w:asciiTheme="minorHAnsi" w:hAnsiTheme="minorHAnsi" w:cstheme="minorHAnsi"/>
          <w:sz w:val="22"/>
          <w:szCs w:val="22"/>
        </w:rPr>
        <w:t>committed or facilitated by a non-State actor, such as a business entity, guarantee</w:t>
      </w:r>
      <w:r w:rsidR="00CF2101">
        <w:rPr>
          <w:rFonts w:asciiTheme="minorHAnsi" w:hAnsiTheme="minorHAnsi" w:cstheme="minorHAnsi"/>
          <w:sz w:val="22"/>
          <w:szCs w:val="22"/>
        </w:rPr>
        <w:t>s of</w:t>
      </w:r>
      <w:r>
        <w:rPr>
          <w:rFonts w:asciiTheme="minorHAnsi" w:hAnsiTheme="minorHAnsi" w:cstheme="minorHAnsi"/>
          <w:sz w:val="22"/>
          <w:szCs w:val="22"/>
        </w:rPr>
        <w:t xml:space="preserve"> non-recurrence including by reform of policies, partnerships, or methods</w:t>
      </w:r>
      <w:r w:rsidR="00CF2101">
        <w:rPr>
          <w:rFonts w:asciiTheme="minorHAnsi" w:hAnsiTheme="minorHAnsi" w:cstheme="minorHAnsi"/>
          <w:sz w:val="22"/>
          <w:szCs w:val="22"/>
        </w:rPr>
        <w:t>, should be ensured</w:t>
      </w:r>
      <w:r>
        <w:rPr>
          <w:rFonts w:asciiTheme="minorHAnsi" w:hAnsiTheme="minorHAnsi" w:cstheme="minorHAnsi"/>
          <w:sz w:val="22"/>
          <w:szCs w:val="22"/>
        </w:rPr>
        <w:t>.</w:t>
      </w:r>
    </w:p>
    <w:p w14:paraId="05075836" w14:textId="6E01FAA5" w:rsidR="00A94459" w:rsidRPr="00CF2989" w:rsidRDefault="00C016B0" w:rsidP="00CF2989">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t xml:space="preserve">Article 39 of the Convention on the Rights of the Child requires States to take all appropriate measures to promote physical and psychological recovery and social reintegration of a child victim of, </w:t>
      </w:r>
      <w:r>
        <w:rPr>
          <w:rFonts w:asciiTheme="minorHAnsi" w:hAnsiTheme="minorHAnsi" w:cstheme="minorHAnsi"/>
          <w:i/>
          <w:iCs/>
          <w:sz w:val="22"/>
          <w:szCs w:val="22"/>
        </w:rPr>
        <w:t>inter alia</w:t>
      </w:r>
      <w:r>
        <w:rPr>
          <w:rFonts w:asciiTheme="minorHAnsi" w:hAnsiTheme="minorHAnsi" w:cstheme="minorHAnsi"/>
          <w:sz w:val="22"/>
          <w:szCs w:val="22"/>
        </w:rPr>
        <w:t>, exploitation, abuse or armed conflicts. The Special Rapporteur recommends the inclusion of reintegration in the discussion of remedies to violations.</w:t>
      </w:r>
    </w:p>
    <w:p w14:paraId="1BA59CE0" w14:textId="76E93D44" w:rsidR="009460F3" w:rsidRDefault="009460F3" w:rsidP="009460F3">
      <w:pPr>
        <w:ind w:left="-76"/>
        <w:jc w:val="both"/>
        <w:rPr>
          <w:rFonts w:asciiTheme="minorHAnsi" w:hAnsiTheme="minorHAnsi" w:cstheme="minorHAnsi"/>
          <w:b/>
          <w:bCs/>
          <w:sz w:val="22"/>
          <w:szCs w:val="22"/>
          <w:u w:val="single"/>
        </w:rPr>
      </w:pPr>
      <w:r>
        <w:rPr>
          <w:rFonts w:asciiTheme="minorHAnsi" w:hAnsiTheme="minorHAnsi" w:cstheme="minorHAnsi"/>
          <w:b/>
          <w:bCs/>
          <w:sz w:val="22"/>
          <w:szCs w:val="22"/>
          <w:u w:val="single"/>
        </w:rPr>
        <w:t>Civil rights and freedoms</w:t>
      </w:r>
    </w:p>
    <w:p w14:paraId="6CE0539C" w14:textId="4DF76E72" w:rsidR="009460F3" w:rsidRDefault="009460F3" w:rsidP="009460F3">
      <w:pPr>
        <w:pStyle w:val="ListParagraph"/>
        <w:numPr>
          <w:ilvl w:val="0"/>
          <w:numId w:val="20"/>
        </w:numPr>
        <w:jc w:val="both"/>
        <w:rPr>
          <w:rFonts w:asciiTheme="minorHAnsi" w:hAnsiTheme="minorHAnsi" w:cstheme="minorHAnsi"/>
          <w:b/>
          <w:bCs/>
          <w:sz w:val="22"/>
          <w:szCs w:val="22"/>
        </w:rPr>
      </w:pPr>
      <w:r>
        <w:rPr>
          <w:rFonts w:asciiTheme="minorHAnsi" w:hAnsiTheme="minorHAnsi" w:cstheme="minorHAnsi"/>
          <w:b/>
          <w:bCs/>
          <w:sz w:val="22"/>
          <w:szCs w:val="22"/>
        </w:rPr>
        <w:t>Access to information</w:t>
      </w:r>
    </w:p>
    <w:p w14:paraId="2854E6E7" w14:textId="329355D5" w:rsidR="0017187B" w:rsidRPr="0017187B" w:rsidRDefault="0017187B" w:rsidP="0017187B">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b/>
          <w:bCs/>
          <w:sz w:val="22"/>
          <w:szCs w:val="22"/>
        </w:rPr>
        <w:t xml:space="preserve">Paragraph </w:t>
      </w:r>
      <w:r w:rsidRPr="0017187B">
        <w:rPr>
          <w:rFonts w:asciiTheme="minorHAnsi" w:hAnsiTheme="minorHAnsi" w:cstheme="minorHAnsi"/>
          <w:sz w:val="22"/>
          <w:szCs w:val="22"/>
        </w:rPr>
        <w:t>52</w:t>
      </w:r>
      <w:r>
        <w:rPr>
          <w:rFonts w:asciiTheme="minorHAnsi" w:hAnsiTheme="minorHAnsi" w:cstheme="minorHAnsi"/>
          <w:sz w:val="22"/>
          <w:szCs w:val="22"/>
        </w:rPr>
        <w:t xml:space="preserve">: </w:t>
      </w:r>
      <w:r w:rsidRPr="0017187B">
        <w:rPr>
          <w:rFonts w:asciiTheme="minorHAnsi" w:hAnsiTheme="minorHAnsi" w:cstheme="minorHAnsi"/>
          <w:sz w:val="22"/>
          <w:szCs w:val="22"/>
        </w:rPr>
        <w:t>The</w:t>
      </w:r>
      <w:r>
        <w:rPr>
          <w:rFonts w:asciiTheme="minorHAnsi" w:hAnsiTheme="minorHAnsi" w:cstheme="minorHAnsi"/>
          <w:sz w:val="22"/>
          <w:szCs w:val="22"/>
        </w:rPr>
        <w:t xml:space="preserve"> Special Rapporteur recommends the creation of child-friendly, age appropri</w:t>
      </w:r>
      <w:r w:rsidR="007A0248">
        <w:rPr>
          <w:rFonts w:asciiTheme="minorHAnsi" w:hAnsiTheme="minorHAnsi" w:cstheme="minorHAnsi"/>
          <w:sz w:val="22"/>
          <w:szCs w:val="22"/>
        </w:rPr>
        <w:t>ate content for children including</w:t>
      </w:r>
      <w:r>
        <w:rPr>
          <w:rFonts w:asciiTheme="minorHAnsi" w:hAnsiTheme="minorHAnsi" w:cstheme="minorHAnsi"/>
          <w:sz w:val="22"/>
          <w:szCs w:val="22"/>
        </w:rPr>
        <w:t xml:space="preserve"> the provision of information on the risk of </w:t>
      </w:r>
      <w:r w:rsidR="00497437">
        <w:rPr>
          <w:rFonts w:asciiTheme="minorHAnsi" w:hAnsiTheme="minorHAnsi" w:cstheme="minorHAnsi"/>
          <w:sz w:val="22"/>
          <w:szCs w:val="22"/>
        </w:rPr>
        <w:t xml:space="preserve">trafficking for all forms of </w:t>
      </w:r>
      <w:r>
        <w:rPr>
          <w:rFonts w:asciiTheme="minorHAnsi" w:hAnsiTheme="minorHAnsi" w:cstheme="minorHAnsi"/>
          <w:sz w:val="22"/>
          <w:szCs w:val="22"/>
        </w:rPr>
        <w:t>exploitation, grooming and abuse</w:t>
      </w:r>
      <w:r w:rsidR="00497437">
        <w:rPr>
          <w:rFonts w:asciiTheme="minorHAnsi" w:hAnsiTheme="minorHAnsi" w:cstheme="minorHAnsi"/>
          <w:sz w:val="22"/>
          <w:szCs w:val="22"/>
        </w:rPr>
        <w:t>,</w:t>
      </w:r>
      <w:r>
        <w:rPr>
          <w:rFonts w:asciiTheme="minorHAnsi" w:hAnsiTheme="minorHAnsi" w:cstheme="minorHAnsi"/>
          <w:sz w:val="22"/>
          <w:szCs w:val="22"/>
        </w:rPr>
        <w:t xml:space="preserve"> in the digital environment.</w:t>
      </w:r>
    </w:p>
    <w:p w14:paraId="50F36B8A" w14:textId="44856AD9" w:rsidR="00192E3C" w:rsidRDefault="00192E3C" w:rsidP="00192E3C">
      <w:pPr>
        <w:ind w:left="-76"/>
        <w:jc w:val="both"/>
        <w:rPr>
          <w:rFonts w:asciiTheme="minorHAnsi" w:hAnsiTheme="minorHAnsi" w:cstheme="minorHAnsi"/>
          <w:b/>
          <w:bCs/>
          <w:sz w:val="22"/>
          <w:szCs w:val="22"/>
          <w:u w:val="single"/>
        </w:rPr>
      </w:pPr>
      <w:r>
        <w:rPr>
          <w:rFonts w:asciiTheme="minorHAnsi" w:hAnsiTheme="minorHAnsi" w:cstheme="minorHAnsi"/>
          <w:b/>
          <w:bCs/>
          <w:sz w:val="22"/>
          <w:szCs w:val="22"/>
          <w:u w:val="single"/>
        </w:rPr>
        <w:t>Violence against children</w:t>
      </w:r>
    </w:p>
    <w:p w14:paraId="52BE01B1" w14:textId="1431D328" w:rsidR="0051640B" w:rsidRPr="0051640B" w:rsidRDefault="0051640B" w:rsidP="00A72686">
      <w:pPr>
        <w:pStyle w:val="ListParagraph"/>
        <w:numPr>
          <w:ilvl w:val="0"/>
          <w:numId w:val="11"/>
        </w:numPr>
        <w:jc w:val="both"/>
        <w:rPr>
          <w:rFonts w:asciiTheme="minorHAnsi" w:hAnsiTheme="minorHAnsi" w:cstheme="minorHAnsi"/>
          <w:b/>
          <w:bCs/>
          <w:sz w:val="22"/>
          <w:szCs w:val="22"/>
          <w:u w:val="single"/>
        </w:rPr>
      </w:pPr>
      <w:r>
        <w:rPr>
          <w:rFonts w:asciiTheme="minorHAnsi" w:hAnsiTheme="minorHAnsi" w:cstheme="minorHAnsi"/>
          <w:sz w:val="22"/>
          <w:szCs w:val="22"/>
        </w:rPr>
        <w:lastRenderedPageBreak/>
        <w:t>Technological advances such as electronic currencies, social media and the dark web</w:t>
      </w:r>
      <w:r w:rsidR="00497437">
        <w:rPr>
          <w:rFonts w:asciiTheme="minorHAnsi" w:hAnsiTheme="minorHAnsi" w:cstheme="minorHAnsi"/>
          <w:sz w:val="22"/>
          <w:szCs w:val="22"/>
        </w:rPr>
        <w:t>,</w:t>
      </w:r>
      <w:r>
        <w:rPr>
          <w:rFonts w:asciiTheme="minorHAnsi" w:hAnsiTheme="minorHAnsi" w:cstheme="minorHAnsi"/>
          <w:sz w:val="22"/>
          <w:szCs w:val="22"/>
        </w:rPr>
        <w:t xml:space="preserve"> pose new security threats, particularly as they facilitate </w:t>
      </w:r>
      <w:r w:rsidR="00497437">
        <w:rPr>
          <w:rFonts w:asciiTheme="minorHAnsi" w:hAnsiTheme="minorHAnsi" w:cstheme="minorHAnsi"/>
          <w:sz w:val="22"/>
          <w:szCs w:val="22"/>
        </w:rPr>
        <w:t xml:space="preserve">child </w:t>
      </w:r>
      <w:r>
        <w:rPr>
          <w:rFonts w:asciiTheme="minorHAnsi" w:hAnsiTheme="minorHAnsi" w:cstheme="minorHAnsi"/>
          <w:sz w:val="22"/>
          <w:szCs w:val="22"/>
        </w:rPr>
        <w:t xml:space="preserve">trafficking, by allowing perpetrators to easily access </w:t>
      </w:r>
      <w:r w:rsidR="00B7042F">
        <w:rPr>
          <w:rFonts w:asciiTheme="minorHAnsi" w:hAnsiTheme="minorHAnsi" w:cstheme="minorHAnsi"/>
          <w:sz w:val="22"/>
          <w:szCs w:val="22"/>
        </w:rPr>
        <w:t>children,</w:t>
      </w:r>
      <w:r>
        <w:rPr>
          <w:rFonts w:asciiTheme="minorHAnsi" w:hAnsiTheme="minorHAnsi" w:cstheme="minorHAnsi"/>
          <w:sz w:val="22"/>
          <w:szCs w:val="22"/>
        </w:rPr>
        <w:t xml:space="preserve"> </w:t>
      </w:r>
      <w:r w:rsidR="00B7042F">
        <w:rPr>
          <w:rFonts w:asciiTheme="minorHAnsi" w:hAnsiTheme="minorHAnsi" w:cstheme="minorHAnsi"/>
          <w:sz w:val="22"/>
          <w:szCs w:val="22"/>
        </w:rPr>
        <w:t xml:space="preserve">while </w:t>
      </w:r>
      <w:r>
        <w:rPr>
          <w:rFonts w:asciiTheme="minorHAnsi" w:hAnsiTheme="minorHAnsi" w:cstheme="minorHAnsi"/>
          <w:sz w:val="22"/>
          <w:szCs w:val="22"/>
        </w:rPr>
        <w:t>remain</w:t>
      </w:r>
      <w:r w:rsidR="00B7042F">
        <w:rPr>
          <w:rFonts w:asciiTheme="minorHAnsi" w:hAnsiTheme="minorHAnsi" w:cstheme="minorHAnsi"/>
          <w:sz w:val="22"/>
          <w:szCs w:val="22"/>
        </w:rPr>
        <w:t>ing</w:t>
      </w:r>
      <w:r>
        <w:rPr>
          <w:rFonts w:asciiTheme="minorHAnsi" w:hAnsiTheme="minorHAnsi" w:cstheme="minorHAnsi"/>
          <w:sz w:val="22"/>
          <w:szCs w:val="22"/>
        </w:rPr>
        <w:t xml:space="preserve"> anonymous.</w:t>
      </w:r>
      <w:r>
        <w:rPr>
          <w:rStyle w:val="FootnoteReference"/>
          <w:rFonts w:asciiTheme="minorHAnsi" w:hAnsiTheme="minorHAnsi" w:cstheme="minorHAnsi"/>
          <w:sz w:val="22"/>
          <w:szCs w:val="22"/>
        </w:rPr>
        <w:footnoteReference w:id="22"/>
      </w:r>
    </w:p>
    <w:p w14:paraId="30D467D1" w14:textId="5B5F91C5" w:rsidR="00E01F42" w:rsidRPr="00E01F42" w:rsidRDefault="00276F05" w:rsidP="00A72686">
      <w:pPr>
        <w:pStyle w:val="ListParagraph"/>
        <w:numPr>
          <w:ilvl w:val="0"/>
          <w:numId w:val="11"/>
        </w:numPr>
        <w:jc w:val="both"/>
        <w:rPr>
          <w:rFonts w:asciiTheme="minorHAnsi" w:hAnsiTheme="minorHAnsi" w:cstheme="minorHAnsi"/>
          <w:b/>
          <w:bCs/>
          <w:sz w:val="22"/>
          <w:szCs w:val="22"/>
          <w:u w:val="single"/>
        </w:rPr>
      </w:pPr>
      <w:r>
        <w:rPr>
          <w:rFonts w:asciiTheme="minorHAnsi" w:hAnsiTheme="minorHAnsi" w:cstheme="minorHAnsi"/>
          <w:sz w:val="22"/>
          <w:szCs w:val="22"/>
        </w:rPr>
        <w:t>Protection of children against viol</w:t>
      </w:r>
      <w:r w:rsidR="00BB0D57">
        <w:rPr>
          <w:rFonts w:asciiTheme="minorHAnsi" w:hAnsiTheme="minorHAnsi" w:cstheme="minorHAnsi"/>
          <w:sz w:val="22"/>
          <w:szCs w:val="22"/>
        </w:rPr>
        <w:t xml:space="preserve">ence requires </w:t>
      </w:r>
      <w:r w:rsidR="00D3620B">
        <w:rPr>
          <w:rFonts w:asciiTheme="minorHAnsi" w:hAnsiTheme="minorHAnsi" w:cstheme="minorHAnsi"/>
          <w:sz w:val="22"/>
          <w:szCs w:val="22"/>
        </w:rPr>
        <w:t>acts</w:t>
      </w:r>
      <w:r w:rsidR="00BB0D57">
        <w:rPr>
          <w:rFonts w:asciiTheme="minorHAnsi" w:hAnsiTheme="minorHAnsi" w:cstheme="minorHAnsi"/>
          <w:sz w:val="22"/>
          <w:szCs w:val="22"/>
        </w:rPr>
        <w:t xml:space="preserve"> of violence against children be </w:t>
      </w:r>
      <w:r w:rsidR="00D3620B">
        <w:rPr>
          <w:rFonts w:asciiTheme="minorHAnsi" w:hAnsiTheme="minorHAnsi" w:cstheme="minorHAnsi"/>
          <w:sz w:val="22"/>
          <w:szCs w:val="22"/>
        </w:rPr>
        <w:t>investigated, punished and compensation provided to the victims</w:t>
      </w:r>
      <w:r w:rsidR="00F450F0">
        <w:rPr>
          <w:rFonts w:asciiTheme="minorHAnsi" w:hAnsiTheme="minorHAnsi" w:cstheme="minorHAnsi"/>
          <w:sz w:val="22"/>
          <w:szCs w:val="22"/>
        </w:rPr>
        <w:t>, including child victims of trafficking</w:t>
      </w:r>
      <w:r w:rsidR="00D3620B">
        <w:rPr>
          <w:rFonts w:asciiTheme="minorHAnsi" w:hAnsiTheme="minorHAnsi" w:cstheme="minorHAnsi"/>
          <w:sz w:val="22"/>
          <w:szCs w:val="22"/>
        </w:rPr>
        <w:t xml:space="preserve">. </w:t>
      </w:r>
      <w:r w:rsidR="00F450F0">
        <w:rPr>
          <w:rFonts w:asciiTheme="minorHAnsi" w:hAnsiTheme="minorHAnsi" w:cstheme="minorHAnsi"/>
          <w:sz w:val="22"/>
          <w:szCs w:val="22"/>
        </w:rPr>
        <w:t xml:space="preserve">States should be required to ensure that domestic law criminalises </w:t>
      </w:r>
      <w:r w:rsidR="00B7042F">
        <w:rPr>
          <w:rFonts w:asciiTheme="minorHAnsi" w:hAnsiTheme="minorHAnsi" w:cstheme="minorHAnsi"/>
          <w:sz w:val="22"/>
          <w:szCs w:val="22"/>
        </w:rPr>
        <w:t xml:space="preserve">all forms of </w:t>
      </w:r>
      <w:r w:rsidR="00F450F0">
        <w:rPr>
          <w:rFonts w:asciiTheme="minorHAnsi" w:hAnsiTheme="minorHAnsi" w:cstheme="minorHAnsi"/>
          <w:sz w:val="22"/>
          <w:szCs w:val="22"/>
        </w:rPr>
        <w:t xml:space="preserve">online trafficking of children, and that gaps in protection due to limitations in domestic criminal law </w:t>
      </w:r>
      <w:r w:rsidR="00CF2101">
        <w:rPr>
          <w:rFonts w:asciiTheme="minorHAnsi" w:hAnsiTheme="minorHAnsi" w:cstheme="minorHAnsi"/>
          <w:sz w:val="22"/>
          <w:szCs w:val="22"/>
        </w:rPr>
        <w:t xml:space="preserve">provisions and enforcement for online exploitation and abuse, </w:t>
      </w:r>
      <w:r w:rsidR="00F450F0">
        <w:rPr>
          <w:rFonts w:asciiTheme="minorHAnsi" w:hAnsiTheme="minorHAnsi" w:cstheme="minorHAnsi"/>
          <w:sz w:val="22"/>
          <w:szCs w:val="22"/>
        </w:rPr>
        <w:t>do not arise.</w:t>
      </w:r>
      <w:r w:rsidR="00DF3CA9">
        <w:rPr>
          <w:rStyle w:val="FootnoteReference"/>
          <w:rFonts w:asciiTheme="minorHAnsi" w:hAnsiTheme="minorHAnsi" w:cstheme="minorHAnsi"/>
          <w:sz w:val="22"/>
          <w:szCs w:val="22"/>
        </w:rPr>
        <w:footnoteReference w:id="23"/>
      </w:r>
      <w:r w:rsidR="000A3868">
        <w:rPr>
          <w:rFonts w:asciiTheme="minorHAnsi" w:hAnsiTheme="minorHAnsi" w:cstheme="minorHAnsi"/>
          <w:sz w:val="22"/>
          <w:szCs w:val="22"/>
        </w:rPr>
        <w:t xml:space="preserve"> </w:t>
      </w:r>
    </w:p>
    <w:p w14:paraId="7868A805" w14:textId="1297CC5A" w:rsidR="001B6AF2" w:rsidRPr="001B6AF2" w:rsidRDefault="00F450F0" w:rsidP="00A72686">
      <w:pPr>
        <w:pStyle w:val="ListParagraph"/>
        <w:numPr>
          <w:ilvl w:val="0"/>
          <w:numId w:val="11"/>
        </w:numPr>
        <w:jc w:val="both"/>
        <w:rPr>
          <w:rFonts w:asciiTheme="minorHAnsi" w:hAnsiTheme="minorHAnsi" w:cstheme="minorHAnsi"/>
          <w:b/>
          <w:bCs/>
          <w:sz w:val="22"/>
          <w:szCs w:val="22"/>
          <w:u w:val="single"/>
        </w:rPr>
      </w:pPr>
      <w:r>
        <w:rPr>
          <w:rFonts w:asciiTheme="minorHAnsi" w:hAnsiTheme="minorHAnsi" w:cstheme="minorHAnsi"/>
          <w:sz w:val="22"/>
          <w:szCs w:val="22"/>
        </w:rPr>
        <w:t xml:space="preserve">Digital technologies may also play an important role in effective investigations of </w:t>
      </w:r>
      <w:r w:rsidR="00CF2101">
        <w:rPr>
          <w:rFonts w:asciiTheme="minorHAnsi" w:hAnsiTheme="minorHAnsi" w:cstheme="minorHAnsi"/>
          <w:sz w:val="22"/>
          <w:szCs w:val="22"/>
        </w:rPr>
        <w:t xml:space="preserve">child </w:t>
      </w:r>
      <w:r>
        <w:rPr>
          <w:rFonts w:asciiTheme="minorHAnsi" w:hAnsiTheme="minorHAnsi" w:cstheme="minorHAnsi"/>
          <w:sz w:val="22"/>
          <w:szCs w:val="22"/>
        </w:rPr>
        <w:t>trafficking including through enhanced</w:t>
      </w:r>
      <w:r w:rsidR="00745508">
        <w:rPr>
          <w:rFonts w:asciiTheme="minorHAnsi" w:hAnsiTheme="minorHAnsi" w:cstheme="minorHAnsi"/>
          <w:sz w:val="22"/>
          <w:szCs w:val="22"/>
        </w:rPr>
        <w:t xml:space="preserve"> </w:t>
      </w:r>
      <w:r w:rsidR="000C54D3">
        <w:rPr>
          <w:rFonts w:asciiTheme="minorHAnsi" w:hAnsiTheme="minorHAnsi" w:cstheme="minorHAnsi"/>
          <w:sz w:val="22"/>
          <w:szCs w:val="22"/>
        </w:rPr>
        <w:t>tracing abilities through transactions and GPS location</w:t>
      </w:r>
      <w:r w:rsidR="007D5335">
        <w:rPr>
          <w:rFonts w:asciiTheme="minorHAnsi" w:hAnsiTheme="minorHAnsi" w:cstheme="minorHAnsi"/>
          <w:sz w:val="22"/>
          <w:szCs w:val="22"/>
        </w:rPr>
        <w:t>.</w:t>
      </w:r>
      <w:r w:rsidR="007D5335">
        <w:rPr>
          <w:rStyle w:val="FootnoteReference"/>
          <w:rFonts w:asciiTheme="minorHAnsi" w:hAnsiTheme="minorHAnsi" w:cstheme="minorHAnsi"/>
          <w:sz w:val="22"/>
          <w:szCs w:val="22"/>
        </w:rPr>
        <w:footnoteReference w:id="24"/>
      </w:r>
      <w:r w:rsidR="007D5335">
        <w:rPr>
          <w:rFonts w:asciiTheme="minorHAnsi" w:hAnsiTheme="minorHAnsi" w:cstheme="minorHAnsi"/>
          <w:sz w:val="22"/>
          <w:szCs w:val="22"/>
        </w:rPr>
        <w:t xml:space="preserve"> </w:t>
      </w:r>
      <w:r>
        <w:rPr>
          <w:rFonts w:asciiTheme="minorHAnsi" w:hAnsiTheme="minorHAnsi" w:cstheme="minorHAnsi"/>
          <w:sz w:val="22"/>
          <w:szCs w:val="22"/>
        </w:rPr>
        <w:t>Digital t</w:t>
      </w:r>
      <w:r w:rsidR="007D5335">
        <w:rPr>
          <w:rFonts w:asciiTheme="minorHAnsi" w:hAnsiTheme="minorHAnsi" w:cstheme="minorHAnsi"/>
          <w:sz w:val="22"/>
          <w:szCs w:val="22"/>
        </w:rPr>
        <w:t>echnolog</w:t>
      </w:r>
      <w:r>
        <w:rPr>
          <w:rFonts w:asciiTheme="minorHAnsi" w:hAnsiTheme="minorHAnsi" w:cstheme="minorHAnsi"/>
          <w:sz w:val="22"/>
          <w:szCs w:val="22"/>
        </w:rPr>
        <w:t>ies</w:t>
      </w:r>
      <w:r w:rsidR="007D5335">
        <w:rPr>
          <w:rFonts w:asciiTheme="minorHAnsi" w:hAnsiTheme="minorHAnsi" w:cstheme="minorHAnsi"/>
          <w:sz w:val="22"/>
          <w:szCs w:val="22"/>
        </w:rPr>
        <w:t xml:space="preserve"> can also assist authorities through the collection and analysis of data</w:t>
      </w:r>
      <w:r>
        <w:rPr>
          <w:rFonts w:asciiTheme="minorHAnsi" w:hAnsiTheme="minorHAnsi" w:cstheme="minorHAnsi"/>
          <w:sz w:val="22"/>
          <w:szCs w:val="22"/>
        </w:rPr>
        <w:t>,</w:t>
      </w:r>
      <w:r w:rsidR="007D5335">
        <w:rPr>
          <w:rFonts w:asciiTheme="minorHAnsi" w:hAnsiTheme="minorHAnsi" w:cstheme="minorHAnsi"/>
          <w:sz w:val="22"/>
          <w:szCs w:val="22"/>
        </w:rPr>
        <w:t xml:space="preserve"> facilitating </w:t>
      </w:r>
      <w:r>
        <w:rPr>
          <w:rFonts w:asciiTheme="minorHAnsi" w:hAnsiTheme="minorHAnsi" w:cstheme="minorHAnsi"/>
          <w:sz w:val="22"/>
          <w:szCs w:val="22"/>
        </w:rPr>
        <w:t xml:space="preserve">investigation and </w:t>
      </w:r>
      <w:r w:rsidR="007D5335">
        <w:rPr>
          <w:rFonts w:asciiTheme="minorHAnsi" w:hAnsiTheme="minorHAnsi" w:cstheme="minorHAnsi"/>
          <w:sz w:val="22"/>
          <w:szCs w:val="22"/>
        </w:rPr>
        <w:t>prosecution of traffickers.</w:t>
      </w:r>
      <w:r w:rsidR="007D5335">
        <w:rPr>
          <w:rStyle w:val="FootnoteReference"/>
          <w:rFonts w:asciiTheme="minorHAnsi" w:hAnsiTheme="minorHAnsi" w:cstheme="minorHAnsi"/>
          <w:sz w:val="22"/>
          <w:szCs w:val="22"/>
        </w:rPr>
        <w:footnoteReference w:id="25"/>
      </w:r>
      <w:r w:rsidR="00CF2101">
        <w:rPr>
          <w:rFonts w:asciiTheme="minorHAnsi" w:hAnsiTheme="minorHAnsi" w:cstheme="minorHAnsi"/>
          <w:sz w:val="22"/>
          <w:szCs w:val="22"/>
        </w:rPr>
        <w:t xml:space="preserve"> </w:t>
      </w:r>
      <w:r w:rsidR="00B7042F">
        <w:rPr>
          <w:rFonts w:asciiTheme="minorHAnsi" w:hAnsiTheme="minorHAnsi" w:cstheme="minorHAnsi"/>
          <w:sz w:val="22"/>
          <w:szCs w:val="22"/>
        </w:rPr>
        <w:t xml:space="preserve">Reference should </w:t>
      </w:r>
      <w:r w:rsidR="00B7042F">
        <w:rPr>
          <w:rFonts w:asciiTheme="minorHAnsi" w:hAnsiTheme="minorHAnsi" w:cstheme="minorHAnsi"/>
          <w:sz w:val="22"/>
          <w:szCs w:val="22"/>
        </w:rPr>
        <w:lastRenderedPageBreak/>
        <w:t xml:space="preserve">be made the important role of digital technologies in supporting states’ positive obligations of international cooperation to combat child trafficking and in supporting cooperation in the search for </w:t>
      </w:r>
      <w:r w:rsidR="00B7042F">
        <w:rPr>
          <w:rFonts w:ascii="Arial" w:hAnsi="Arial" w:cs="Arial"/>
          <w:color w:val="161616"/>
          <w:sz w:val="20"/>
          <w:szCs w:val="20"/>
          <w:shd w:val="clear" w:color="auto" w:fill="FFFFFF"/>
        </w:rPr>
        <w:t>missing children who may be victims of trafficking.</w:t>
      </w:r>
      <w:r w:rsidR="00B7042F">
        <w:rPr>
          <w:rStyle w:val="FootnoteReference"/>
          <w:rFonts w:ascii="Arial" w:hAnsi="Arial" w:cs="Arial"/>
          <w:color w:val="161616"/>
          <w:sz w:val="20"/>
          <w:szCs w:val="20"/>
          <w:shd w:val="clear" w:color="auto" w:fill="FFFFFF"/>
        </w:rPr>
        <w:footnoteReference w:id="26"/>
      </w:r>
    </w:p>
    <w:p w14:paraId="4D60DF8C" w14:textId="04A9327F" w:rsidR="00F547B9" w:rsidRPr="008610B8" w:rsidRDefault="00A72686" w:rsidP="00A72686">
      <w:pPr>
        <w:pStyle w:val="ListParagraph"/>
        <w:numPr>
          <w:ilvl w:val="0"/>
          <w:numId w:val="11"/>
        </w:numPr>
        <w:jc w:val="both"/>
        <w:rPr>
          <w:rFonts w:asciiTheme="minorHAnsi" w:hAnsiTheme="minorHAnsi" w:cstheme="minorHAnsi"/>
          <w:b/>
          <w:bCs/>
          <w:sz w:val="22"/>
          <w:szCs w:val="22"/>
          <w:u w:val="single"/>
        </w:rPr>
      </w:pPr>
      <w:r>
        <w:rPr>
          <w:rFonts w:asciiTheme="minorHAnsi" w:hAnsiTheme="minorHAnsi" w:cstheme="minorHAnsi"/>
          <w:b/>
          <w:bCs/>
          <w:sz w:val="22"/>
          <w:szCs w:val="22"/>
        </w:rPr>
        <w:t xml:space="preserve">Paragraph </w:t>
      </w:r>
      <w:r w:rsidR="005434E4">
        <w:rPr>
          <w:rFonts w:asciiTheme="minorHAnsi" w:hAnsiTheme="minorHAnsi" w:cstheme="minorHAnsi"/>
          <w:b/>
          <w:bCs/>
          <w:sz w:val="22"/>
          <w:szCs w:val="22"/>
        </w:rPr>
        <w:t xml:space="preserve">86: </w:t>
      </w:r>
      <w:r w:rsidR="005434E4">
        <w:rPr>
          <w:rFonts w:asciiTheme="minorHAnsi" w:hAnsiTheme="minorHAnsi" w:cstheme="minorHAnsi"/>
          <w:sz w:val="22"/>
          <w:szCs w:val="22"/>
        </w:rPr>
        <w:t xml:space="preserve">The Special Rapporteur recommends </w:t>
      </w:r>
      <w:r w:rsidR="00EA34C6">
        <w:rPr>
          <w:rFonts w:asciiTheme="minorHAnsi" w:hAnsiTheme="minorHAnsi" w:cstheme="minorHAnsi"/>
          <w:sz w:val="22"/>
          <w:szCs w:val="22"/>
        </w:rPr>
        <w:t>including reference to the non-punishment principle</w:t>
      </w:r>
      <w:r w:rsidR="00DC7B2D">
        <w:rPr>
          <w:rFonts w:asciiTheme="minorHAnsi" w:hAnsiTheme="minorHAnsi" w:cstheme="minorHAnsi"/>
          <w:sz w:val="22"/>
          <w:szCs w:val="22"/>
        </w:rPr>
        <w:t xml:space="preserve"> with respect to victims of trafficking,</w:t>
      </w:r>
      <w:r w:rsidR="00EA34C6">
        <w:rPr>
          <w:rFonts w:asciiTheme="minorHAnsi" w:hAnsiTheme="minorHAnsi" w:cstheme="minorHAnsi"/>
          <w:sz w:val="22"/>
          <w:szCs w:val="22"/>
        </w:rPr>
        <w:t xml:space="preserve"> </w:t>
      </w:r>
      <w:r w:rsidR="00CF2101">
        <w:rPr>
          <w:rFonts w:asciiTheme="minorHAnsi" w:hAnsiTheme="minorHAnsi" w:cstheme="minorHAnsi"/>
          <w:sz w:val="22"/>
          <w:szCs w:val="22"/>
        </w:rPr>
        <w:t xml:space="preserve">including </w:t>
      </w:r>
      <w:r w:rsidR="00F450F0">
        <w:rPr>
          <w:rFonts w:asciiTheme="minorHAnsi" w:hAnsiTheme="minorHAnsi" w:cstheme="minorHAnsi"/>
          <w:sz w:val="22"/>
          <w:szCs w:val="22"/>
        </w:rPr>
        <w:t xml:space="preserve">specifically </w:t>
      </w:r>
      <w:r w:rsidR="00EA34C6">
        <w:rPr>
          <w:rFonts w:asciiTheme="minorHAnsi" w:hAnsiTheme="minorHAnsi" w:cstheme="minorHAnsi"/>
          <w:sz w:val="22"/>
          <w:szCs w:val="22"/>
        </w:rPr>
        <w:t xml:space="preserve">with respect to children who </w:t>
      </w:r>
      <w:r w:rsidR="00D86AD5">
        <w:rPr>
          <w:rFonts w:asciiTheme="minorHAnsi" w:hAnsiTheme="minorHAnsi" w:cstheme="minorHAnsi"/>
          <w:sz w:val="22"/>
          <w:szCs w:val="22"/>
        </w:rPr>
        <w:t xml:space="preserve">have been trafficked </w:t>
      </w:r>
      <w:r w:rsidR="00F450F0">
        <w:rPr>
          <w:rFonts w:asciiTheme="minorHAnsi" w:hAnsiTheme="minorHAnsi" w:cstheme="minorHAnsi"/>
          <w:sz w:val="22"/>
          <w:szCs w:val="22"/>
        </w:rPr>
        <w:t>for the purpose of forced criminality</w:t>
      </w:r>
      <w:r w:rsidR="00DC7B2D">
        <w:rPr>
          <w:rFonts w:asciiTheme="minorHAnsi" w:hAnsiTheme="minorHAnsi" w:cstheme="minorHAnsi"/>
          <w:sz w:val="22"/>
          <w:szCs w:val="22"/>
        </w:rPr>
        <w:t xml:space="preserve"> or other</w:t>
      </w:r>
      <w:r w:rsidR="00F450F0">
        <w:rPr>
          <w:rFonts w:asciiTheme="minorHAnsi" w:hAnsiTheme="minorHAnsi" w:cstheme="minorHAnsi"/>
          <w:sz w:val="22"/>
          <w:szCs w:val="22"/>
        </w:rPr>
        <w:t xml:space="preserve"> forms of exploitation</w:t>
      </w:r>
      <w:r w:rsidR="00D86AD5">
        <w:rPr>
          <w:rFonts w:asciiTheme="minorHAnsi" w:hAnsiTheme="minorHAnsi" w:cstheme="minorHAnsi"/>
          <w:sz w:val="22"/>
          <w:szCs w:val="22"/>
        </w:rPr>
        <w:t>.</w:t>
      </w:r>
      <w:r w:rsidR="00D86AD5">
        <w:rPr>
          <w:rStyle w:val="FootnoteReference"/>
          <w:rFonts w:asciiTheme="minorHAnsi" w:hAnsiTheme="minorHAnsi" w:cstheme="minorHAnsi"/>
          <w:sz w:val="22"/>
          <w:szCs w:val="22"/>
        </w:rPr>
        <w:footnoteReference w:id="27"/>
      </w:r>
    </w:p>
    <w:p w14:paraId="5DFE54A0" w14:textId="46AECC7C" w:rsidR="008610B8" w:rsidRPr="00A72686" w:rsidRDefault="008D5F93" w:rsidP="00A72686">
      <w:pPr>
        <w:pStyle w:val="ListParagraph"/>
        <w:numPr>
          <w:ilvl w:val="0"/>
          <w:numId w:val="11"/>
        </w:numPr>
        <w:jc w:val="both"/>
        <w:rPr>
          <w:rFonts w:asciiTheme="minorHAnsi" w:hAnsiTheme="minorHAnsi" w:cstheme="minorHAnsi"/>
          <w:b/>
          <w:bCs/>
          <w:sz w:val="22"/>
          <w:szCs w:val="22"/>
          <w:u w:val="single"/>
        </w:rPr>
      </w:pPr>
      <w:r>
        <w:rPr>
          <w:rFonts w:asciiTheme="minorHAnsi" w:hAnsiTheme="minorHAnsi" w:cstheme="minorHAnsi"/>
          <w:b/>
          <w:bCs/>
          <w:sz w:val="22"/>
          <w:szCs w:val="22"/>
        </w:rPr>
        <w:t>Paragraph 87:</w:t>
      </w:r>
      <w:r>
        <w:rPr>
          <w:rFonts w:asciiTheme="minorHAnsi" w:hAnsiTheme="minorHAnsi" w:cstheme="minorHAnsi"/>
          <w:sz w:val="22"/>
          <w:szCs w:val="22"/>
        </w:rPr>
        <w:t xml:space="preserve"> The Special Rapporteur suggests highlighting States</w:t>
      </w:r>
      <w:r w:rsidR="00DC7B2D">
        <w:rPr>
          <w:rFonts w:asciiTheme="minorHAnsi" w:hAnsiTheme="minorHAnsi" w:cstheme="minorHAnsi"/>
          <w:sz w:val="22"/>
          <w:szCs w:val="22"/>
        </w:rPr>
        <w:t>’</w:t>
      </w:r>
      <w:r>
        <w:rPr>
          <w:rFonts w:asciiTheme="minorHAnsi" w:hAnsiTheme="minorHAnsi" w:cstheme="minorHAnsi"/>
          <w:sz w:val="22"/>
          <w:szCs w:val="22"/>
        </w:rPr>
        <w:t xml:space="preserve"> </w:t>
      </w:r>
      <w:r w:rsidR="00B7042F">
        <w:rPr>
          <w:rFonts w:asciiTheme="minorHAnsi" w:hAnsiTheme="minorHAnsi" w:cstheme="minorHAnsi"/>
          <w:sz w:val="22"/>
          <w:szCs w:val="22"/>
        </w:rPr>
        <w:t xml:space="preserve">positive </w:t>
      </w:r>
      <w:r>
        <w:rPr>
          <w:rFonts w:asciiTheme="minorHAnsi" w:hAnsiTheme="minorHAnsi" w:cstheme="minorHAnsi"/>
          <w:sz w:val="22"/>
          <w:szCs w:val="22"/>
        </w:rPr>
        <w:t xml:space="preserve">obligations to investigate, prosecute and </w:t>
      </w:r>
      <w:r w:rsidR="00DC7B2D">
        <w:rPr>
          <w:rFonts w:asciiTheme="minorHAnsi" w:hAnsiTheme="minorHAnsi" w:cstheme="minorHAnsi"/>
          <w:sz w:val="22"/>
          <w:szCs w:val="22"/>
        </w:rPr>
        <w:t>punish</w:t>
      </w:r>
      <w:r>
        <w:rPr>
          <w:rFonts w:asciiTheme="minorHAnsi" w:hAnsiTheme="minorHAnsi" w:cstheme="minorHAnsi"/>
          <w:sz w:val="22"/>
          <w:szCs w:val="22"/>
        </w:rPr>
        <w:t xml:space="preserve"> trafficking</w:t>
      </w:r>
      <w:r w:rsidR="00DC7B2D">
        <w:rPr>
          <w:rFonts w:asciiTheme="minorHAnsi" w:hAnsiTheme="minorHAnsi" w:cstheme="minorHAnsi"/>
          <w:sz w:val="22"/>
          <w:szCs w:val="22"/>
        </w:rPr>
        <w:t xml:space="preserve"> in persons</w:t>
      </w:r>
      <w:r w:rsidR="00785D25">
        <w:rPr>
          <w:rFonts w:asciiTheme="minorHAnsi" w:hAnsiTheme="minorHAnsi" w:cstheme="minorHAnsi"/>
          <w:sz w:val="22"/>
          <w:szCs w:val="22"/>
        </w:rPr>
        <w:t>, including its component acts and related conduct, whether committed by governmental or non-State actors</w:t>
      </w:r>
      <w:r w:rsidR="00F47B0F">
        <w:rPr>
          <w:rFonts w:asciiTheme="minorHAnsi" w:hAnsiTheme="minorHAnsi" w:cstheme="minorHAnsi"/>
          <w:sz w:val="22"/>
          <w:szCs w:val="22"/>
        </w:rPr>
        <w:t xml:space="preserve"> as per the OHCHR Recommended Principles and Guidelines on Human Rights and Human Trafficking.</w:t>
      </w:r>
      <w:r w:rsidR="00F47B0F">
        <w:rPr>
          <w:rStyle w:val="FootnoteReference"/>
          <w:rFonts w:asciiTheme="minorHAnsi" w:hAnsiTheme="minorHAnsi" w:cstheme="minorHAnsi"/>
          <w:sz w:val="22"/>
          <w:szCs w:val="22"/>
        </w:rPr>
        <w:footnoteReference w:id="28"/>
      </w:r>
    </w:p>
    <w:p w14:paraId="0D319838" w14:textId="0C0ADED9" w:rsidR="009460F3" w:rsidRPr="00192E3C" w:rsidRDefault="00192E3C" w:rsidP="00192E3C">
      <w:pPr>
        <w:ind w:left="-76"/>
        <w:jc w:val="both"/>
        <w:rPr>
          <w:rFonts w:asciiTheme="minorHAnsi" w:hAnsiTheme="minorHAnsi" w:cstheme="minorHAnsi"/>
          <w:b/>
          <w:bCs/>
          <w:sz w:val="22"/>
          <w:szCs w:val="22"/>
          <w:u w:val="single"/>
        </w:rPr>
      </w:pPr>
      <w:r>
        <w:rPr>
          <w:rFonts w:asciiTheme="minorHAnsi" w:hAnsiTheme="minorHAnsi" w:cstheme="minorHAnsi"/>
          <w:b/>
          <w:bCs/>
          <w:sz w:val="22"/>
          <w:szCs w:val="22"/>
          <w:u w:val="single"/>
        </w:rPr>
        <w:t>Children with disabilities</w:t>
      </w:r>
    </w:p>
    <w:p w14:paraId="70265E23" w14:textId="724FAB00" w:rsidR="009460F3" w:rsidRPr="009460F3" w:rsidRDefault="00990365" w:rsidP="00CA5E6E">
      <w:pPr>
        <w:pStyle w:val="ListParagraph"/>
        <w:numPr>
          <w:ilvl w:val="0"/>
          <w:numId w:val="11"/>
        </w:numPr>
        <w:jc w:val="both"/>
        <w:rPr>
          <w:rFonts w:asciiTheme="minorHAnsi" w:hAnsiTheme="minorHAnsi" w:cstheme="minorHAnsi"/>
          <w:sz w:val="22"/>
          <w:szCs w:val="22"/>
        </w:rPr>
      </w:pPr>
      <w:r>
        <w:rPr>
          <w:rFonts w:asciiTheme="minorHAnsi" w:hAnsiTheme="minorHAnsi" w:cstheme="minorHAnsi"/>
          <w:b/>
          <w:bCs/>
          <w:sz w:val="22"/>
          <w:szCs w:val="22"/>
        </w:rPr>
        <w:lastRenderedPageBreak/>
        <w:t>Paragraph 100</w:t>
      </w:r>
      <w:r>
        <w:rPr>
          <w:rFonts w:asciiTheme="minorHAnsi" w:hAnsiTheme="minorHAnsi" w:cstheme="minorHAnsi"/>
          <w:sz w:val="22"/>
          <w:szCs w:val="22"/>
        </w:rPr>
        <w:t>:</w:t>
      </w:r>
      <w:r w:rsidR="00B7042F">
        <w:rPr>
          <w:rFonts w:asciiTheme="minorHAnsi" w:hAnsiTheme="minorHAnsi" w:cstheme="minorHAnsi"/>
          <w:sz w:val="22"/>
          <w:szCs w:val="22"/>
        </w:rPr>
        <w:t xml:space="preserve"> The Special Rapporteur recommends</w:t>
      </w:r>
      <w:r>
        <w:rPr>
          <w:rFonts w:asciiTheme="minorHAnsi" w:hAnsiTheme="minorHAnsi" w:cstheme="minorHAnsi"/>
          <w:sz w:val="22"/>
          <w:szCs w:val="22"/>
        </w:rPr>
        <w:t xml:space="preserve"> including trafficking and exploitation as </w:t>
      </w:r>
      <w:r w:rsidR="00DC7B2D">
        <w:rPr>
          <w:rFonts w:asciiTheme="minorHAnsi" w:hAnsiTheme="minorHAnsi" w:cstheme="minorHAnsi"/>
          <w:sz w:val="22"/>
          <w:szCs w:val="22"/>
        </w:rPr>
        <w:t>specific online risks encountered by</w:t>
      </w:r>
      <w:r>
        <w:rPr>
          <w:rFonts w:asciiTheme="minorHAnsi" w:hAnsiTheme="minorHAnsi" w:cstheme="minorHAnsi"/>
          <w:sz w:val="22"/>
          <w:szCs w:val="22"/>
        </w:rPr>
        <w:t xml:space="preserve"> children with disabilities</w:t>
      </w:r>
      <w:r w:rsidR="00B7042F">
        <w:rPr>
          <w:rFonts w:asciiTheme="minorHAnsi" w:hAnsiTheme="minorHAnsi" w:cstheme="minorHAnsi"/>
          <w:sz w:val="22"/>
          <w:szCs w:val="22"/>
        </w:rPr>
        <w:t xml:space="preserve"> who may be targeted for all forms of exploitation</w:t>
      </w:r>
      <w:r>
        <w:rPr>
          <w:rFonts w:asciiTheme="minorHAnsi" w:hAnsiTheme="minorHAnsi" w:cstheme="minorHAnsi"/>
          <w:sz w:val="22"/>
          <w:szCs w:val="22"/>
        </w:rPr>
        <w:t>.</w:t>
      </w:r>
    </w:p>
    <w:p w14:paraId="225D38ED" w14:textId="338167C4" w:rsidR="00873919" w:rsidRDefault="00873919" w:rsidP="00873919">
      <w:pPr>
        <w:jc w:val="both"/>
        <w:rPr>
          <w:rFonts w:asciiTheme="minorHAnsi" w:hAnsiTheme="minorHAnsi" w:cstheme="minorHAnsi"/>
          <w:b/>
          <w:bCs/>
          <w:sz w:val="22"/>
          <w:szCs w:val="22"/>
          <w:u w:val="single"/>
        </w:rPr>
      </w:pPr>
      <w:r w:rsidRPr="002C1DDD">
        <w:rPr>
          <w:rFonts w:asciiTheme="minorHAnsi" w:hAnsiTheme="minorHAnsi" w:cstheme="minorHAnsi"/>
          <w:b/>
          <w:bCs/>
          <w:sz w:val="22"/>
          <w:szCs w:val="22"/>
          <w:u w:val="single"/>
        </w:rPr>
        <w:t>Education</w:t>
      </w:r>
    </w:p>
    <w:p w14:paraId="6ADC595D" w14:textId="2A35630B" w:rsidR="00873919" w:rsidRPr="00BE5A70" w:rsidRDefault="00990365" w:rsidP="008C7FA7">
      <w:pPr>
        <w:pStyle w:val="ListParagraph"/>
        <w:numPr>
          <w:ilvl w:val="0"/>
          <w:numId w:val="11"/>
        </w:numPr>
        <w:jc w:val="both"/>
        <w:rPr>
          <w:rFonts w:asciiTheme="minorHAnsi" w:hAnsiTheme="minorHAnsi" w:cstheme="minorHAnsi"/>
          <w:b/>
          <w:bCs/>
          <w:sz w:val="22"/>
          <w:szCs w:val="22"/>
          <w:u w:val="single"/>
        </w:rPr>
      </w:pPr>
      <w:r>
        <w:rPr>
          <w:rFonts w:asciiTheme="minorHAnsi" w:hAnsiTheme="minorHAnsi" w:cstheme="minorHAnsi"/>
          <w:b/>
          <w:bCs/>
          <w:sz w:val="22"/>
          <w:szCs w:val="22"/>
        </w:rPr>
        <w:t>Paragraph 113</w:t>
      </w:r>
      <w:r>
        <w:rPr>
          <w:rFonts w:asciiTheme="minorHAnsi" w:hAnsiTheme="minorHAnsi" w:cstheme="minorHAnsi"/>
          <w:sz w:val="22"/>
          <w:szCs w:val="22"/>
        </w:rPr>
        <w:t>: The Special Rapporteur recommends including trafficking and grooming as other forms of violence.</w:t>
      </w:r>
    </w:p>
    <w:p w14:paraId="5D25609E" w14:textId="503F441D" w:rsidR="00BE5A70" w:rsidRPr="0042515A" w:rsidRDefault="00BE5A70" w:rsidP="008C7FA7">
      <w:pPr>
        <w:pStyle w:val="ListParagraph"/>
        <w:numPr>
          <w:ilvl w:val="0"/>
          <w:numId w:val="11"/>
        </w:numPr>
        <w:jc w:val="both"/>
        <w:rPr>
          <w:rFonts w:asciiTheme="minorHAnsi" w:hAnsiTheme="minorHAnsi" w:cstheme="minorHAnsi"/>
          <w:b/>
          <w:bCs/>
          <w:sz w:val="22"/>
          <w:szCs w:val="22"/>
          <w:u w:val="single"/>
        </w:rPr>
      </w:pPr>
      <w:r>
        <w:rPr>
          <w:rFonts w:asciiTheme="minorHAnsi" w:hAnsiTheme="minorHAnsi" w:cstheme="minorHAnsi"/>
          <w:sz w:val="22"/>
          <w:szCs w:val="22"/>
        </w:rPr>
        <w:t xml:space="preserve">The Special Rapporteur recommends </w:t>
      </w:r>
      <w:r w:rsidR="0011774D">
        <w:rPr>
          <w:rFonts w:asciiTheme="minorHAnsi" w:hAnsiTheme="minorHAnsi" w:cstheme="minorHAnsi"/>
          <w:sz w:val="22"/>
          <w:szCs w:val="22"/>
        </w:rPr>
        <w:t xml:space="preserve">reference to the importance of </w:t>
      </w:r>
      <w:r w:rsidR="0038484D">
        <w:rPr>
          <w:rFonts w:asciiTheme="minorHAnsi" w:hAnsiTheme="minorHAnsi" w:cstheme="minorHAnsi"/>
          <w:sz w:val="22"/>
          <w:szCs w:val="22"/>
        </w:rPr>
        <w:t xml:space="preserve">education to teenagers </w:t>
      </w:r>
      <w:r w:rsidR="00B1106C" w:rsidRPr="00B1106C">
        <w:rPr>
          <w:rFonts w:asciiTheme="minorHAnsi" w:hAnsiTheme="minorHAnsi" w:cstheme="minorHAnsi"/>
          <w:sz w:val="22"/>
          <w:szCs w:val="22"/>
        </w:rPr>
        <w:t>about the risks of taking, or allowing others to take, intimate images, and that the dissemination of such images is a form of g</w:t>
      </w:r>
      <w:r w:rsidR="0011774D">
        <w:rPr>
          <w:rFonts w:asciiTheme="minorHAnsi" w:hAnsiTheme="minorHAnsi" w:cstheme="minorHAnsi"/>
          <w:sz w:val="22"/>
          <w:szCs w:val="22"/>
        </w:rPr>
        <w:t>ender-based violence</w:t>
      </w:r>
      <w:r w:rsidR="00B1106C" w:rsidRPr="00B1106C">
        <w:rPr>
          <w:rFonts w:asciiTheme="minorHAnsi" w:hAnsiTheme="minorHAnsi" w:cstheme="minorHAnsi"/>
          <w:sz w:val="22"/>
          <w:szCs w:val="22"/>
        </w:rPr>
        <w:t xml:space="preserve">. </w:t>
      </w:r>
      <w:r w:rsidR="0011774D">
        <w:rPr>
          <w:rFonts w:asciiTheme="minorHAnsi" w:hAnsiTheme="minorHAnsi" w:cstheme="minorHAnsi"/>
          <w:sz w:val="22"/>
          <w:szCs w:val="22"/>
        </w:rPr>
        <w:t xml:space="preserve">Further reference should be made to the importance of ensuring that children </w:t>
      </w:r>
      <w:r w:rsidR="00B1106C" w:rsidRPr="00B1106C">
        <w:rPr>
          <w:rFonts w:asciiTheme="minorHAnsi" w:hAnsiTheme="minorHAnsi" w:cstheme="minorHAnsi"/>
          <w:sz w:val="22"/>
          <w:szCs w:val="22"/>
        </w:rPr>
        <w:t>learn about safety on social media platforms and the Internet, and how to protect their own privacy online.</w:t>
      </w:r>
      <w:r w:rsidR="00B1106C">
        <w:rPr>
          <w:rStyle w:val="FootnoteReference"/>
          <w:rFonts w:asciiTheme="minorHAnsi" w:hAnsiTheme="minorHAnsi" w:cstheme="minorHAnsi"/>
          <w:sz w:val="22"/>
          <w:szCs w:val="22"/>
        </w:rPr>
        <w:footnoteReference w:id="29"/>
      </w:r>
    </w:p>
    <w:p w14:paraId="416E1A66" w14:textId="38CEA6A8" w:rsidR="008C7FA7" w:rsidRPr="002C1DDD" w:rsidRDefault="00E544E8" w:rsidP="008C7FA7">
      <w:pPr>
        <w:jc w:val="both"/>
        <w:rPr>
          <w:rFonts w:asciiTheme="minorHAnsi" w:hAnsiTheme="minorHAnsi" w:cstheme="minorHAnsi"/>
          <w:sz w:val="22"/>
          <w:szCs w:val="22"/>
        </w:rPr>
      </w:pPr>
      <w:r w:rsidRPr="002C1DDD">
        <w:rPr>
          <w:rFonts w:asciiTheme="minorHAnsi" w:hAnsiTheme="minorHAnsi" w:cstheme="minorHAnsi"/>
          <w:b/>
          <w:bCs/>
          <w:sz w:val="22"/>
          <w:szCs w:val="22"/>
          <w:u w:val="single"/>
        </w:rPr>
        <w:t xml:space="preserve">Special </w:t>
      </w:r>
      <w:r w:rsidR="00A305F0" w:rsidRPr="002C1DDD">
        <w:rPr>
          <w:rFonts w:asciiTheme="minorHAnsi" w:hAnsiTheme="minorHAnsi" w:cstheme="minorHAnsi"/>
          <w:b/>
          <w:bCs/>
          <w:sz w:val="22"/>
          <w:szCs w:val="22"/>
          <w:u w:val="single"/>
        </w:rPr>
        <w:t>protection measures</w:t>
      </w:r>
    </w:p>
    <w:p w14:paraId="011CEAB8" w14:textId="669D54EF" w:rsidR="00C54C16" w:rsidRPr="002C1DDD" w:rsidRDefault="00FA30F8" w:rsidP="00C54C16">
      <w:pPr>
        <w:pStyle w:val="ListParagraph"/>
        <w:numPr>
          <w:ilvl w:val="0"/>
          <w:numId w:val="15"/>
        </w:numPr>
        <w:ind w:left="284"/>
        <w:jc w:val="both"/>
        <w:rPr>
          <w:rFonts w:asciiTheme="minorHAnsi" w:hAnsiTheme="minorHAnsi" w:cstheme="minorHAnsi"/>
          <w:b/>
          <w:bCs/>
          <w:sz w:val="22"/>
          <w:szCs w:val="22"/>
        </w:rPr>
      </w:pPr>
      <w:r w:rsidRPr="002C1DDD">
        <w:rPr>
          <w:rFonts w:asciiTheme="minorHAnsi" w:hAnsiTheme="minorHAnsi" w:cstheme="minorHAnsi"/>
          <w:b/>
          <w:bCs/>
          <w:sz w:val="22"/>
          <w:szCs w:val="22"/>
        </w:rPr>
        <w:t>Protection from economic, sexual and other forms of exploitation</w:t>
      </w:r>
    </w:p>
    <w:p w14:paraId="0C8CB92F" w14:textId="02ECC8B6" w:rsidR="00683594" w:rsidRPr="00683594" w:rsidRDefault="00683594" w:rsidP="00CA5E6E">
      <w:pPr>
        <w:pStyle w:val="ListParagraph"/>
        <w:numPr>
          <w:ilvl w:val="0"/>
          <w:numId w:val="11"/>
        </w:numPr>
        <w:jc w:val="both"/>
        <w:rPr>
          <w:rFonts w:asciiTheme="minorHAnsi" w:hAnsiTheme="minorHAnsi" w:cstheme="minorHAnsi"/>
          <w:b/>
          <w:bCs/>
          <w:sz w:val="22"/>
          <w:szCs w:val="22"/>
        </w:rPr>
      </w:pPr>
      <w:r w:rsidRPr="002C1DDD">
        <w:rPr>
          <w:rFonts w:asciiTheme="minorHAnsi" w:hAnsiTheme="minorHAnsi" w:cstheme="minorHAnsi"/>
          <w:b/>
          <w:bCs/>
          <w:sz w:val="22"/>
          <w:szCs w:val="22"/>
        </w:rPr>
        <w:t>Paragraph 121</w:t>
      </w:r>
      <w:r>
        <w:rPr>
          <w:rFonts w:asciiTheme="minorHAnsi" w:hAnsiTheme="minorHAnsi" w:cstheme="minorHAnsi"/>
          <w:sz w:val="22"/>
          <w:szCs w:val="22"/>
        </w:rPr>
        <w:t>: The Special Rapporteur suggests including reference</w:t>
      </w:r>
      <w:r w:rsidR="00961AAF">
        <w:rPr>
          <w:rFonts w:asciiTheme="minorHAnsi" w:hAnsiTheme="minorHAnsi" w:cstheme="minorHAnsi"/>
          <w:sz w:val="22"/>
          <w:szCs w:val="22"/>
        </w:rPr>
        <w:t>s</w:t>
      </w:r>
      <w:r>
        <w:rPr>
          <w:rFonts w:asciiTheme="minorHAnsi" w:hAnsiTheme="minorHAnsi" w:cstheme="minorHAnsi"/>
          <w:sz w:val="22"/>
          <w:szCs w:val="22"/>
        </w:rPr>
        <w:t xml:space="preserve"> to the </w:t>
      </w:r>
      <w:r w:rsidR="00A94459">
        <w:rPr>
          <w:rFonts w:asciiTheme="minorHAnsi" w:hAnsiTheme="minorHAnsi" w:cstheme="minorHAnsi"/>
          <w:sz w:val="22"/>
          <w:szCs w:val="22"/>
        </w:rPr>
        <w:t xml:space="preserve">Palermo Protocol </w:t>
      </w:r>
      <w:r w:rsidR="00961AAF">
        <w:rPr>
          <w:rFonts w:asciiTheme="minorHAnsi" w:hAnsiTheme="minorHAnsi" w:cstheme="minorHAnsi"/>
          <w:sz w:val="22"/>
          <w:szCs w:val="22"/>
        </w:rPr>
        <w:t>and the OHCHR’s Recommended Principles and Guidelines on Human Rights and Human Trafficking.</w:t>
      </w:r>
    </w:p>
    <w:p w14:paraId="1396697D" w14:textId="5D9D8D99" w:rsidR="00892DE6" w:rsidRPr="00465E98" w:rsidRDefault="00AB59F8" w:rsidP="00465E98">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lastRenderedPageBreak/>
        <w:t>Children are subjected to trafficking fo</w:t>
      </w:r>
      <w:r w:rsidR="00422DC6">
        <w:rPr>
          <w:rFonts w:asciiTheme="minorHAnsi" w:hAnsiTheme="minorHAnsi" w:cstheme="minorHAnsi"/>
          <w:sz w:val="22"/>
          <w:szCs w:val="22"/>
        </w:rPr>
        <w:t xml:space="preserve">r purposes </w:t>
      </w:r>
      <w:r w:rsidR="00A671F2">
        <w:rPr>
          <w:rFonts w:asciiTheme="minorHAnsi" w:hAnsiTheme="minorHAnsi" w:cstheme="minorHAnsi"/>
          <w:sz w:val="22"/>
          <w:szCs w:val="22"/>
        </w:rPr>
        <w:t>of forced labour, forced begging, forced criminal activities and domestic servitude.</w:t>
      </w:r>
      <w:r w:rsidR="00A671F2">
        <w:rPr>
          <w:rStyle w:val="FootnoteReference"/>
          <w:rFonts w:asciiTheme="minorHAnsi" w:hAnsiTheme="minorHAnsi" w:cstheme="minorHAnsi"/>
          <w:sz w:val="22"/>
          <w:szCs w:val="22"/>
        </w:rPr>
        <w:footnoteReference w:id="30"/>
      </w:r>
      <w:r w:rsidR="007C0EBC">
        <w:rPr>
          <w:rFonts w:asciiTheme="minorHAnsi" w:hAnsiTheme="minorHAnsi" w:cstheme="minorHAnsi"/>
          <w:sz w:val="22"/>
          <w:szCs w:val="22"/>
        </w:rPr>
        <w:t xml:space="preserve"> </w:t>
      </w:r>
      <w:r w:rsidR="00863596">
        <w:rPr>
          <w:rFonts w:asciiTheme="minorHAnsi" w:hAnsiTheme="minorHAnsi" w:cstheme="minorHAnsi"/>
          <w:sz w:val="22"/>
          <w:szCs w:val="22"/>
        </w:rPr>
        <w:t>Girls are more likely to be victims of trafficking for the purposes of sexual exploitation</w:t>
      </w:r>
      <w:r w:rsidR="00B31FE4">
        <w:rPr>
          <w:rFonts w:asciiTheme="minorHAnsi" w:hAnsiTheme="minorHAnsi" w:cstheme="minorHAnsi"/>
          <w:sz w:val="22"/>
          <w:szCs w:val="22"/>
        </w:rPr>
        <w:t>, however this form of trafficking also effects boys.</w:t>
      </w:r>
      <w:r w:rsidR="00B31FE4">
        <w:rPr>
          <w:rStyle w:val="FootnoteReference"/>
          <w:rFonts w:asciiTheme="minorHAnsi" w:hAnsiTheme="minorHAnsi" w:cstheme="minorHAnsi"/>
          <w:sz w:val="22"/>
          <w:szCs w:val="22"/>
        </w:rPr>
        <w:footnoteReference w:id="31"/>
      </w:r>
      <w:r w:rsidR="00465E98">
        <w:rPr>
          <w:rFonts w:asciiTheme="minorHAnsi" w:hAnsiTheme="minorHAnsi" w:cstheme="minorHAnsi"/>
          <w:sz w:val="22"/>
          <w:szCs w:val="22"/>
        </w:rPr>
        <w:t xml:space="preserve"> </w:t>
      </w:r>
      <w:r w:rsidR="00BB72FB">
        <w:rPr>
          <w:rFonts w:asciiTheme="minorHAnsi" w:hAnsiTheme="minorHAnsi" w:cstheme="minorHAnsi"/>
          <w:sz w:val="22"/>
          <w:szCs w:val="22"/>
        </w:rPr>
        <w:t xml:space="preserve">Sexualised images </w:t>
      </w:r>
      <w:r w:rsidR="007B5509">
        <w:rPr>
          <w:rFonts w:asciiTheme="minorHAnsi" w:hAnsiTheme="minorHAnsi" w:cstheme="minorHAnsi"/>
          <w:sz w:val="22"/>
          <w:szCs w:val="22"/>
        </w:rPr>
        <w:t xml:space="preserve">of women and girls may be </w:t>
      </w:r>
      <w:r w:rsidR="00BB4E57">
        <w:rPr>
          <w:rFonts w:asciiTheme="minorHAnsi" w:hAnsiTheme="minorHAnsi" w:cstheme="minorHAnsi"/>
          <w:sz w:val="22"/>
          <w:szCs w:val="22"/>
        </w:rPr>
        <w:t xml:space="preserve">used </w:t>
      </w:r>
      <w:r w:rsidR="007B5509">
        <w:rPr>
          <w:rFonts w:asciiTheme="minorHAnsi" w:hAnsiTheme="minorHAnsi" w:cstheme="minorHAnsi"/>
          <w:sz w:val="22"/>
          <w:szCs w:val="22"/>
        </w:rPr>
        <w:t>as a tactic of control and coercion by traffickers</w:t>
      </w:r>
      <w:r w:rsidR="007E7DAB">
        <w:rPr>
          <w:rFonts w:asciiTheme="minorHAnsi" w:hAnsiTheme="minorHAnsi" w:cstheme="minorHAnsi"/>
          <w:sz w:val="22"/>
          <w:szCs w:val="22"/>
        </w:rPr>
        <w:t>.</w:t>
      </w:r>
      <w:r w:rsidR="007E7DAB">
        <w:rPr>
          <w:rStyle w:val="FootnoteReference"/>
          <w:rFonts w:asciiTheme="minorHAnsi" w:hAnsiTheme="minorHAnsi" w:cstheme="minorHAnsi"/>
          <w:sz w:val="22"/>
          <w:szCs w:val="22"/>
        </w:rPr>
        <w:footnoteReference w:id="32"/>
      </w:r>
    </w:p>
    <w:p w14:paraId="03D95885" w14:textId="155DFF76" w:rsidR="00D8096F" w:rsidRPr="00D8096F" w:rsidRDefault="00BB4E57" w:rsidP="00CA5E6E">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t>T</w:t>
      </w:r>
      <w:r w:rsidR="0052439E">
        <w:rPr>
          <w:rFonts w:asciiTheme="minorHAnsi" w:hAnsiTheme="minorHAnsi" w:cstheme="minorHAnsi"/>
          <w:sz w:val="22"/>
          <w:szCs w:val="22"/>
        </w:rPr>
        <w:t xml:space="preserve">he OHCHR Recommended Principles </w:t>
      </w:r>
      <w:r w:rsidR="00037897">
        <w:rPr>
          <w:rFonts w:asciiTheme="minorHAnsi" w:hAnsiTheme="minorHAnsi" w:cstheme="minorHAnsi"/>
          <w:sz w:val="22"/>
          <w:szCs w:val="22"/>
        </w:rPr>
        <w:t>and Guidelines</w:t>
      </w:r>
      <w:r w:rsidR="00990365">
        <w:rPr>
          <w:rFonts w:asciiTheme="minorHAnsi" w:hAnsiTheme="minorHAnsi" w:cstheme="minorHAnsi"/>
          <w:sz w:val="22"/>
          <w:szCs w:val="22"/>
        </w:rPr>
        <w:t xml:space="preserve"> on Human Rights and Human Trafficking</w:t>
      </w:r>
      <w:r w:rsidR="00037897">
        <w:rPr>
          <w:rFonts w:asciiTheme="minorHAnsi" w:hAnsiTheme="minorHAnsi" w:cstheme="minorHAnsi"/>
          <w:sz w:val="22"/>
          <w:szCs w:val="22"/>
        </w:rPr>
        <w:t xml:space="preserve"> require </w:t>
      </w:r>
      <w:r w:rsidR="009744E9">
        <w:rPr>
          <w:rFonts w:asciiTheme="minorHAnsi" w:hAnsiTheme="minorHAnsi" w:cstheme="minorHAnsi"/>
          <w:sz w:val="22"/>
          <w:szCs w:val="22"/>
        </w:rPr>
        <w:t>States to effectively investigate, prosecute and adjudicate trafficking and its component acts and conduct whether committed by State or non-State actors.</w:t>
      </w:r>
    </w:p>
    <w:p w14:paraId="7BEBED7B" w14:textId="3D067950" w:rsidR="00990365" w:rsidRPr="00990365" w:rsidRDefault="00990365" w:rsidP="00CA5E6E">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b/>
          <w:bCs/>
          <w:sz w:val="22"/>
          <w:szCs w:val="22"/>
        </w:rPr>
        <w:t>Paragraph 123:</w:t>
      </w:r>
      <w:r>
        <w:rPr>
          <w:rFonts w:asciiTheme="minorHAnsi" w:hAnsiTheme="minorHAnsi" w:cstheme="minorHAnsi"/>
          <w:sz w:val="22"/>
          <w:szCs w:val="22"/>
        </w:rPr>
        <w:t xml:space="preserve"> </w:t>
      </w:r>
      <w:r w:rsidR="00CD6B2B">
        <w:rPr>
          <w:rFonts w:asciiTheme="minorHAnsi" w:hAnsiTheme="minorHAnsi" w:cstheme="minorHAnsi"/>
          <w:sz w:val="22"/>
          <w:szCs w:val="22"/>
        </w:rPr>
        <w:t xml:space="preserve">Fraud and identity theft can facilitate the trafficking or grooming of children. </w:t>
      </w:r>
      <w:r>
        <w:rPr>
          <w:rFonts w:asciiTheme="minorHAnsi" w:hAnsiTheme="minorHAnsi" w:cstheme="minorHAnsi"/>
          <w:sz w:val="22"/>
          <w:szCs w:val="22"/>
        </w:rPr>
        <w:t>The Special Rapporteur recommends dissemination of information and awareness building</w:t>
      </w:r>
      <w:r w:rsidR="00CD6B2B">
        <w:rPr>
          <w:rFonts w:asciiTheme="minorHAnsi" w:hAnsiTheme="minorHAnsi" w:cstheme="minorHAnsi"/>
          <w:sz w:val="22"/>
          <w:szCs w:val="22"/>
        </w:rPr>
        <w:t>, among children and their parents,</w:t>
      </w:r>
      <w:r>
        <w:rPr>
          <w:rFonts w:asciiTheme="minorHAnsi" w:hAnsiTheme="minorHAnsi" w:cstheme="minorHAnsi"/>
          <w:sz w:val="22"/>
          <w:szCs w:val="22"/>
        </w:rPr>
        <w:t xml:space="preserve"> on the </w:t>
      </w:r>
      <w:r w:rsidR="00CD6B2B">
        <w:rPr>
          <w:rFonts w:asciiTheme="minorHAnsi" w:hAnsiTheme="minorHAnsi" w:cstheme="minorHAnsi"/>
          <w:sz w:val="22"/>
          <w:szCs w:val="22"/>
        </w:rPr>
        <w:t xml:space="preserve">risks of trafficking and exploitation in the digital environment. </w:t>
      </w:r>
    </w:p>
    <w:p w14:paraId="6ED338DB" w14:textId="1B7EE36D" w:rsidR="004F5433" w:rsidRPr="0030512B" w:rsidRDefault="00FA30F8" w:rsidP="004F5433">
      <w:pPr>
        <w:pStyle w:val="ListParagraph"/>
        <w:numPr>
          <w:ilvl w:val="0"/>
          <w:numId w:val="11"/>
        </w:numPr>
        <w:jc w:val="both"/>
        <w:rPr>
          <w:rFonts w:asciiTheme="minorHAnsi" w:hAnsiTheme="minorHAnsi" w:cstheme="minorHAnsi"/>
          <w:b/>
          <w:bCs/>
          <w:sz w:val="22"/>
          <w:szCs w:val="22"/>
        </w:rPr>
      </w:pPr>
      <w:r w:rsidRPr="002C1DDD">
        <w:rPr>
          <w:rFonts w:asciiTheme="minorHAnsi" w:hAnsiTheme="minorHAnsi" w:cstheme="minorHAnsi"/>
          <w:sz w:val="22"/>
          <w:szCs w:val="22"/>
        </w:rPr>
        <w:t xml:space="preserve">The Special Rapporteur while acknowledging the increased risk of exploitation facing children in an online environment, recognises the importance of technology in effectively combatting such exploitation. </w:t>
      </w:r>
      <w:r w:rsidR="004F5433">
        <w:rPr>
          <w:rFonts w:asciiTheme="minorHAnsi" w:hAnsiTheme="minorHAnsi" w:cstheme="minorHAnsi"/>
          <w:sz w:val="22"/>
          <w:szCs w:val="22"/>
        </w:rPr>
        <w:t xml:space="preserve">As outlined above (paras 12 and 13) technology companies can use instruments employed by traffickers to provide a counter-narrative to traffickers and recruitment for violent extremist groups. The Special Rapporteur also </w:t>
      </w:r>
      <w:r w:rsidR="004F5433">
        <w:rPr>
          <w:rFonts w:asciiTheme="minorHAnsi" w:hAnsiTheme="minorHAnsi" w:cstheme="minorHAnsi"/>
          <w:sz w:val="22"/>
          <w:szCs w:val="22"/>
        </w:rPr>
        <w:lastRenderedPageBreak/>
        <w:t>notes the potential for businesses to combat trafficking online by actively engaging in child rights impact assessments which analyse actions within their own corporation and business practices.</w:t>
      </w:r>
    </w:p>
    <w:p w14:paraId="6DE78012" w14:textId="77777777" w:rsidR="0030512B" w:rsidRPr="004F5433" w:rsidRDefault="0030512B" w:rsidP="0030512B">
      <w:pPr>
        <w:pStyle w:val="ListParagraph"/>
        <w:jc w:val="both"/>
        <w:rPr>
          <w:rFonts w:asciiTheme="minorHAnsi" w:hAnsiTheme="minorHAnsi" w:cstheme="minorHAnsi"/>
          <w:b/>
          <w:bCs/>
          <w:sz w:val="22"/>
          <w:szCs w:val="22"/>
        </w:rPr>
      </w:pPr>
    </w:p>
    <w:p w14:paraId="68867024" w14:textId="4930EFC5" w:rsidR="00F230EE" w:rsidRPr="002C1DDD" w:rsidRDefault="00F230EE" w:rsidP="00DD79D1">
      <w:pPr>
        <w:pStyle w:val="ListParagraph"/>
        <w:numPr>
          <w:ilvl w:val="0"/>
          <w:numId w:val="15"/>
        </w:numPr>
        <w:ind w:left="284"/>
        <w:jc w:val="both"/>
        <w:rPr>
          <w:rFonts w:asciiTheme="minorHAnsi" w:hAnsiTheme="minorHAnsi" w:cstheme="minorHAnsi"/>
          <w:b/>
          <w:bCs/>
          <w:sz w:val="22"/>
          <w:szCs w:val="22"/>
        </w:rPr>
      </w:pPr>
      <w:r w:rsidRPr="002C1DDD">
        <w:rPr>
          <w:rFonts w:asciiTheme="minorHAnsi" w:hAnsiTheme="minorHAnsi" w:cstheme="minorHAnsi"/>
          <w:b/>
          <w:bCs/>
          <w:sz w:val="22"/>
          <w:szCs w:val="22"/>
        </w:rPr>
        <w:t>Administration of child justice</w:t>
      </w:r>
    </w:p>
    <w:p w14:paraId="35AEDD47" w14:textId="16C26531" w:rsidR="006717D4" w:rsidRPr="006717D4" w:rsidRDefault="00CD6B2B" w:rsidP="006717D4">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t xml:space="preserve">In administering child justice </w:t>
      </w:r>
      <w:r w:rsidRPr="00DE384B">
        <w:rPr>
          <w:rFonts w:asciiTheme="minorHAnsi" w:hAnsiTheme="minorHAnsi" w:cstheme="minorHAnsi"/>
          <w:i/>
          <w:iCs/>
          <w:sz w:val="22"/>
          <w:szCs w:val="22"/>
        </w:rPr>
        <w:t>States</w:t>
      </w:r>
      <w:r>
        <w:rPr>
          <w:rFonts w:asciiTheme="minorHAnsi" w:hAnsiTheme="minorHAnsi" w:cstheme="minorHAnsi"/>
          <w:sz w:val="22"/>
          <w:szCs w:val="22"/>
        </w:rPr>
        <w:t xml:space="preserve"> must ensure the early application of the non-punishment principle to victims of child trafficking.</w:t>
      </w:r>
      <w:r w:rsidR="004B3784">
        <w:rPr>
          <w:rStyle w:val="FootnoteReference"/>
          <w:rFonts w:asciiTheme="minorHAnsi" w:hAnsiTheme="minorHAnsi" w:cstheme="minorHAnsi"/>
          <w:sz w:val="22"/>
          <w:szCs w:val="22"/>
        </w:rPr>
        <w:footnoteReference w:id="33"/>
      </w:r>
      <w:r>
        <w:rPr>
          <w:rFonts w:asciiTheme="minorHAnsi" w:hAnsiTheme="minorHAnsi" w:cstheme="minorHAnsi"/>
          <w:sz w:val="22"/>
          <w:szCs w:val="22"/>
        </w:rPr>
        <w:t xml:space="preserve"> </w:t>
      </w:r>
      <w:r w:rsidRPr="00605C6E">
        <w:rPr>
          <w:rFonts w:asciiTheme="minorHAnsi" w:hAnsiTheme="minorHAnsi" w:cstheme="minorHAnsi"/>
          <w:sz w:val="22"/>
          <w:szCs w:val="22"/>
        </w:rPr>
        <w:t>While the non-punishment principle must apply to trafficking victims</w:t>
      </w:r>
      <w:r w:rsidR="00B21EDC" w:rsidRPr="00605C6E">
        <w:rPr>
          <w:rFonts w:asciiTheme="minorHAnsi" w:hAnsiTheme="minorHAnsi" w:cstheme="minorHAnsi"/>
          <w:sz w:val="22"/>
          <w:szCs w:val="22"/>
        </w:rPr>
        <w:t>,</w:t>
      </w:r>
      <w:r w:rsidRPr="00605C6E">
        <w:rPr>
          <w:rFonts w:asciiTheme="minorHAnsi" w:hAnsiTheme="minorHAnsi" w:cstheme="minorHAnsi"/>
          <w:sz w:val="22"/>
          <w:szCs w:val="22"/>
        </w:rPr>
        <w:t xml:space="preserve"> research has found rehabilitation and restorative justice can be effective to facilitate reintegration</w:t>
      </w:r>
      <w:r w:rsidR="00B21EDC" w:rsidRPr="00605C6E">
        <w:rPr>
          <w:rFonts w:asciiTheme="minorHAnsi" w:hAnsiTheme="minorHAnsi" w:cstheme="minorHAnsi"/>
          <w:sz w:val="22"/>
          <w:szCs w:val="22"/>
        </w:rPr>
        <w:t xml:space="preserve"> of children previously associated with violent extremist groups</w:t>
      </w:r>
      <w:r w:rsidRPr="00605C6E">
        <w:rPr>
          <w:rFonts w:asciiTheme="minorHAnsi" w:hAnsiTheme="minorHAnsi" w:cstheme="minorHAnsi"/>
          <w:sz w:val="22"/>
          <w:szCs w:val="22"/>
        </w:rPr>
        <w:t>.</w:t>
      </w:r>
      <w:r>
        <w:rPr>
          <w:rStyle w:val="FootnoteReference"/>
          <w:rFonts w:asciiTheme="minorHAnsi" w:hAnsiTheme="minorHAnsi" w:cstheme="minorHAnsi"/>
          <w:sz w:val="22"/>
          <w:szCs w:val="22"/>
        </w:rPr>
        <w:footnoteReference w:id="34"/>
      </w:r>
    </w:p>
    <w:p w14:paraId="3AB0B7DB" w14:textId="2AA60C50" w:rsidR="006717D4" w:rsidRPr="0030512B" w:rsidRDefault="006717D4" w:rsidP="006717D4">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t>Children may also be involved in the recruitment or trafficking of children through the internet and social media.</w:t>
      </w:r>
      <w:r>
        <w:rPr>
          <w:rStyle w:val="FootnoteReference"/>
          <w:rFonts w:asciiTheme="minorHAnsi" w:hAnsiTheme="minorHAnsi" w:cstheme="minorHAnsi"/>
          <w:sz w:val="22"/>
          <w:szCs w:val="22"/>
        </w:rPr>
        <w:footnoteReference w:id="35"/>
      </w:r>
      <w:r>
        <w:rPr>
          <w:rFonts w:asciiTheme="minorHAnsi" w:hAnsiTheme="minorHAnsi" w:cstheme="minorHAnsi"/>
          <w:sz w:val="22"/>
          <w:szCs w:val="22"/>
        </w:rPr>
        <w:t xml:space="preserve"> States should recognise such children may too be victims of trafficking, otherwise States should look to alternatives to criminal justice focusing on measures to prevent re-offending.</w:t>
      </w:r>
    </w:p>
    <w:p w14:paraId="3F332950" w14:textId="77777777" w:rsidR="0030512B" w:rsidRPr="00EF21C0" w:rsidRDefault="0030512B" w:rsidP="0030512B">
      <w:pPr>
        <w:pStyle w:val="ListParagraph"/>
        <w:jc w:val="both"/>
        <w:rPr>
          <w:rFonts w:asciiTheme="minorHAnsi" w:hAnsiTheme="minorHAnsi" w:cstheme="minorHAnsi"/>
          <w:b/>
          <w:bCs/>
          <w:sz w:val="16"/>
          <w:szCs w:val="16"/>
        </w:rPr>
      </w:pPr>
    </w:p>
    <w:p w14:paraId="0F8D121D" w14:textId="4FC41CA5" w:rsidR="00EF21C0" w:rsidRPr="00EF21C0" w:rsidRDefault="00554299" w:rsidP="00EF21C0">
      <w:pPr>
        <w:pStyle w:val="ListParagraph"/>
        <w:numPr>
          <w:ilvl w:val="0"/>
          <w:numId w:val="15"/>
        </w:numPr>
        <w:ind w:left="284"/>
        <w:jc w:val="both"/>
        <w:rPr>
          <w:rFonts w:asciiTheme="minorHAnsi" w:hAnsiTheme="minorHAnsi" w:cstheme="minorHAnsi"/>
          <w:sz w:val="22"/>
          <w:szCs w:val="22"/>
        </w:rPr>
      </w:pPr>
      <w:r w:rsidRPr="002C1DDD">
        <w:rPr>
          <w:rFonts w:asciiTheme="minorHAnsi" w:hAnsiTheme="minorHAnsi" w:cstheme="minorHAnsi"/>
          <w:b/>
          <w:bCs/>
          <w:sz w:val="22"/>
          <w:szCs w:val="22"/>
        </w:rPr>
        <w:t>Protection of children in armed conflict, migration and other vulnerable situations</w:t>
      </w:r>
    </w:p>
    <w:p w14:paraId="066837BB" w14:textId="1EBC58BC" w:rsidR="004C75B7" w:rsidRPr="006717D4" w:rsidRDefault="004C75B7" w:rsidP="00CA5E6E">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lastRenderedPageBreak/>
        <w:t>While forcible recruitment of children often involves abduction or coercion recruiters also appeal to socio-economic factors and notions of martyrdom. The internet, particularly social media, has been used by violent extremist groups to recruit children from middle class families from Western countries through deception and exploitation of their vulnerability.</w:t>
      </w:r>
      <w:r>
        <w:rPr>
          <w:rStyle w:val="FootnoteReference"/>
          <w:rFonts w:asciiTheme="minorHAnsi" w:hAnsiTheme="minorHAnsi" w:cstheme="minorHAnsi"/>
          <w:sz w:val="22"/>
          <w:szCs w:val="22"/>
        </w:rPr>
        <w:footnoteReference w:id="36"/>
      </w:r>
      <w:r>
        <w:rPr>
          <w:rFonts w:asciiTheme="minorHAnsi" w:hAnsiTheme="minorHAnsi" w:cstheme="minorHAnsi"/>
          <w:sz w:val="22"/>
          <w:szCs w:val="22"/>
        </w:rPr>
        <w:t xml:space="preserve"> </w:t>
      </w:r>
    </w:p>
    <w:p w14:paraId="3AA4DCCB" w14:textId="07395811" w:rsidR="006717D4" w:rsidRPr="00990827" w:rsidRDefault="006717D4" w:rsidP="00CA5E6E">
      <w:pPr>
        <w:pStyle w:val="ListParagraph"/>
        <w:numPr>
          <w:ilvl w:val="0"/>
          <w:numId w:val="11"/>
        </w:numPr>
        <w:jc w:val="both"/>
        <w:rPr>
          <w:rFonts w:asciiTheme="minorHAnsi" w:hAnsiTheme="minorHAnsi" w:cstheme="minorHAnsi"/>
          <w:b/>
          <w:bCs/>
          <w:sz w:val="22"/>
          <w:szCs w:val="22"/>
        </w:rPr>
      </w:pPr>
      <w:r>
        <w:rPr>
          <w:rFonts w:asciiTheme="minorHAnsi" w:hAnsiTheme="minorHAnsi" w:cstheme="minorHAnsi"/>
          <w:sz w:val="22"/>
          <w:szCs w:val="22"/>
        </w:rPr>
        <w:t xml:space="preserve">As highlighted above, terrorist and violent extremist groups are using increasingly sophisticated targeted advertising to recruit and exploit children. </w:t>
      </w:r>
    </w:p>
    <w:p w14:paraId="06E3D08F" w14:textId="056213FF" w:rsidR="00340C1B" w:rsidRPr="002C1DDD" w:rsidRDefault="00340C1B" w:rsidP="00340C1B">
      <w:pPr>
        <w:jc w:val="both"/>
        <w:rPr>
          <w:rFonts w:asciiTheme="minorHAnsi" w:hAnsiTheme="minorHAnsi" w:cstheme="minorHAnsi"/>
          <w:sz w:val="22"/>
          <w:szCs w:val="22"/>
          <w:u w:val="single"/>
        </w:rPr>
      </w:pPr>
      <w:r w:rsidRPr="002C1DDD">
        <w:rPr>
          <w:rFonts w:asciiTheme="minorHAnsi" w:hAnsiTheme="minorHAnsi" w:cstheme="minorHAnsi"/>
          <w:b/>
          <w:bCs/>
          <w:sz w:val="22"/>
          <w:szCs w:val="22"/>
          <w:u w:val="single"/>
        </w:rPr>
        <w:t>International and regional cooperation</w:t>
      </w:r>
    </w:p>
    <w:p w14:paraId="5FC253E9" w14:textId="64D60855" w:rsidR="006717D4" w:rsidRDefault="00340C1B" w:rsidP="006717D4">
      <w:pPr>
        <w:pStyle w:val="ListParagraph"/>
        <w:numPr>
          <w:ilvl w:val="0"/>
          <w:numId w:val="11"/>
        </w:numPr>
        <w:jc w:val="both"/>
        <w:rPr>
          <w:rFonts w:asciiTheme="minorHAnsi" w:hAnsiTheme="minorHAnsi" w:cstheme="minorHAnsi"/>
          <w:sz w:val="22"/>
          <w:szCs w:val="22"/>
        </w:rPr>
      </w:pPr>
      <w:r w:rsidRPr="002C1DDD">
        <w:rPr>
          <w:rFonts w:asciiTheme="minorHAnsi" w:hAnsiTheme="minorHAnsi" w:cstheme="minorHAnsi"/>
          <w:b/>
          <w:bCs/>
          <w:sz w:val="22"/>
          <w:szCs w:val="22"/>
        </w:rPr>
        <w:t xml:space="preserve">Paragraph 128: </w:t>
      </w:r>
      <w:r w:rsidRPr="002C1DDD">
        <w:rPr>
          <w:rFonts w:asciiTheme="minorHAnsi" w:hAnsiTheme="minorHAnsi" w:cstheme="minorHAnsi"/>
          <w:sz w:val="22"/>
          <w:szCs w:val="22"/>
        </w:rPr>
        <w:t xml:space="preserve">The Special Rapporteur suggests </w:t>
      </w:r>
      <w:r w:rsidR="00C93FA3" w:rsidRPr="002C1DDD">
        <w:rPr>
          <w:rFonts w:asciiTheme="minorHAnsi" w:hAnsiTheme="minorHAnsi" w:cstheme="minorHAnsi"/>
          <w:sz w:val="22"/>
          <w:szCs w:val="22"/>
        </w:rPr>
        <w:t>the provision of international and regional evidence collection and sharing in addition to mutual legal assistance</w:t>
      </w:r>
      <w:r w:rsidR="00E843FE" w:rsidRPr="002C1DDD">
        <w:rPr>
          <w:rFonts w:asciiTheme="minorHAnsi" w:hAnsiTheme="minorHAnsi" w:cstheme="minorHAnsi"/>
          <w:sz w:val="22"/>
          <w:szCs w:val="22"/>
        </w:rPr>
        <w:t xml:space="preserve"> to ensure the protection of children’s rights online.</w:t>
      </w:r>
    </w:p>
    <w:p w14:paraId="5925F124" w14:textId="3754C203" w:rsidR="0011774D" w:rsidRPr="0011774D" w:rsidRDefault="006717D4" w:rsidP="0011774D">
      <w:pPr>
        <w:pStyle w:val="ListParagraph"/>
        <w:numPr>
          <w:ilvl w:val="0"/>
          <w:numId w:val="11"/>
        </w:numPr>
        <w:jc w:val="both"/>
      </w:pPr>
      <w:r w:rsidRPr="0011774D">
        <w:rPr>
          <w:rFonts w:asciiTheme="minorHAnsi" w:hAnsiTheme="minorHAnsi" w:cstheme="minorHAnsi"/>
          <w:sz w:val="22"/>
          <w:szCs w:val="22"/>
        </w:rPr>
        <w:t>Member States, United Nations entities, international and non-governmental organizations and civil society organizations should continue to raise awareness about risks of human trafficking and exploitation online among children, their parents and persons working with children through the use of the Internet and targeted social-media-based campaigns.</w:t>
      </w:r>
    </w:p>
    <w:p w14:paraId="49A3BBB0" w14:textId="0A77F248" w:rsidR="0011774D" w:rsidRPr="0011774D" w:rsidRDefault="0011774D" w:rsidP="0011774D">
      <w:pPr>
        <w:jc w:val="both"/>
        <w:rPr>
          <w:b/>
          <w:u w:val="single"/>
        </w:rPr>
      </w:pPr>
      <w:r w:rsidRPr="0011774D">
        <w:rPr>
          <w:rFonts w:asciiTheme="minorHAnsi" w:hAnsiTheme="minorHAnsi" w:cstheme="minorHAnsi"/>
          <w:b/>
          <w:sz w:val="22"/>
          <w:szCs w:val="22"/>
          <w:u w:val="single"/>
        </w:rPr>
        <w:t>Right to Privacy</w:t>
      </w:r>
    </w:p>
    <w:p w14:paraId="1BF83B67" w14:textId="4164BC2C" w:rsidR="00F450F0" w:rsidRPr="0030512B" w:rsidRDefault="0011774D" w:rsidP="0011774D">
      <w:pPr>
        <w:pStyle w:val="ListParagraph"/>
        <w:numPr>
          <w:ilvl w:val="0"/>
          <w:numId w:val="11"/>
        </w:numPr>
        <w:jc w:val="both"/>
        <w:rPr>
          <w:rFonts w:asciiTheme="minorHAnsi" w:hAnsiTheme="minorHAnsi" w:cstheme="minorHAnsi"/>
          <w:sz w:val="22"/>
          <w:szCs w:val="22"/>
        </w:rPr>
      </w:pPr>
      <w:r w:rsidRPr="0030512B">
        <w:rPr>
          <w:rFonts w:asciiTheme="minorHAnsi" w:hAnsiTheme="minorHAnsi" w:cstheme="minorHAnsi"/>
          <w:sz w:val="22"/>
          <w:szCs w:val="22"/>
        </w:rPr>
        <w:lastRenderedPageBreak/>
        <w:t xml:space="preserve">The Special Rapporteur recommends that reference is included to the importance of the right to privacy in the digital environment. </w:t>
      </w:r>
      <w:r w:rsidR="00F450F0" w:rsidRPr="0030512B">
        <w:rPr>
          <w:rFonts w:asciiTheme="minorHAnsi" w:hAnsiTheme="minorHAnsi" w:cstheme="minorHAnsi"/>
          <w:sz w:val="22"/>
          <w:szCs w:val="22"/>
        </w:rPr>
        <w:t>The Trafficking in Persons Protocol focuses on privacy and the protection of identity in the specific context of legal proceedings (art. 6 (1)). The Council of Europe Convention on Action against Trafficking in Hu</w:t>
      </w:r>
      <w:r w:rsidR="0030512B">
        <w:rPr>
          <w:rFonts w:asciiTheme="minorHAnsi" w:hAnsiTheme="minorHAnsi" w:cstheme="minorHAnsi"/>
          <w:sz w:val="22"/>
          <w:szCs w:val="22"/>
        </w:rPr>
        <w:t>man Beings</w:t>
      </w:r>
      <w:r w:rsidR="00F450F0" w:rsidRPr="0030512B">
        <w:rPr>
          <w:rFonts w:asciiTheme="minorHAnsi" w:hAnsiTheme="minorHAnsi" w:cstheme="minorHAnsi"/>
          <w:sz w:val="22"/>
          <w:szCs w:val="22"/>
        </w:rPr>
        <w:t xml:space="preserve"> recognizes that</w:t>
      </w:r>
      <w:r w:rsidRPr="0030512B">
        <w:rPr>
          <w:rFonts w:asciiTheme="minorHAnsi" w:hAnsiTheme="minorHAnsi" w:cstheme="minorHAnsi"/>
          <w:sz w:val="22"/>
          <w:szCs w:val="22"/>
        </w:rPr>
        <w:t>:</w:t>
      </w:r>
      <w:r w:rsidR="00F450F0" w:rsidRPr="0030512B">
        <w:rPr>
          <w:rFonts w:asciiTheme="minorHAnsi" w:hAnsiTheme="minorHAnsi" w:cstheme="minorHAnsi"/>
          <w:sz w:val="22"/>
          <w:szCs w:val="22"/>
        </w:rPr>
        <w:t xml:space="preserve"> “it would be particularly harmful for th[e] identity [of trafficked children] to be disclosed by the media or by other means” and requires States parties to:</w:t>
      </w:r>
    </w:p>
    <w:p w14:paraId="424C9C94" w14:textId="281E284A" w:rsidR="00F450F0" w:rsidRPr="0030512B" w:rsidRDefault="00F450F0" w:rsidP="0011774D">
      <w:pPr>
        <w:spacing w:after="0" w:line="240" w:lineRule="auto"/>
        <w:ind w:left="1440"/>
        <w:jc w:val="both"/>
        <w:rPr>
          <w:rFonts w:asciiTheme="minorHAnsi" w:hAnsiTheme="minorHAnsi" w:cstheme="majorHAnsi"/>
          <w:b/>
          <w:sz w:val="22"/>
          <w:szCs w:val="22"/>
        </w:rPr>
      </w:pPr>
      <w:r w:rsidRPr="0030512B">
        <w:rPr>
          <w:rFonts w:asciiTheme="minorHAnsi" w:hAnsiTheme="minorHAnsi" w:cstheme="majorHAnsi"/>
          <w:sz w:val="22"/>
          <w:szCs w:val="22"/>
        </w:rPr>
        <w:t>[…] adopt measures to ensure, in particular, that the identity, or details allowing the dentification, of a child victim of trafficking</w:t>
      </w:r>
      <w:r w:rsidR="0011774D" w:rsidRPr="0030512B">
        <w:rPr>
          <w:rFonts w:asciiTheme="minorHAnsi" w:hAnsiTheme="minorHAnsi" w:cstheme="majorHAnsi"/>
          <w:sz w:val="22"/>
          <w:szCs w:val="22"/>
        </w:rPr>
        <w:t xml:space="preserve"> </w:t>
      </w:r>
      <w:r w:rsidRPr="0030512B">
        <w:rPr>
          <w:rFonts w:asciiTheme="minorHAnsi" w:hAnsiTheme="minorHAnsi" w:cstheme="majorHAnsi"/>
          <w:sz w:val="22"/>
          <w:szCs w:val="22"/>
        </w:rPr>
        <w:t>are not made publicly known, through the media or by any other means, except, in exceptional circumstances, in order to facilitate the tracing of family members or otherwise secure the well-being and protection of the child (art. 11 (2)).</w:t>
      </w:r>
    </w:p>
    <w:sectPr w:rsidR="00F450F0" w:rsidRPr="0030512B" w:rsidSect="004F0552">
      <w:headerReference w:type="default" r:id="rId8"/>
      <w:footerReference w:type="default" r:id="rId9"/>
      <w:pgSz w:w="11906" w:h="16838"/>
      <w:pgMar w:top="1418" w:right="1440" w:bottom="1440" w:left="1440" w:header="0"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6CD11" w16cex:dateUtc="2020-11-11T20:50:00Z"/>
  <w16cex:commentExtensible w16cex:durableId="2356E527" w16cex:dateUtc="2020-11-11T22:33:00Z"/>
  <w16cex:commentExtensible w16cex:durableId="235774CA" w16cex:dateUtc="2020-11-12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892154" w16cid:durableId="2356CD11"/>
  <w16cid:commentId w16cid:paraId="25562181" w16cid:durableId="2356E527"/>
  <w16cid:commentId w16cid:paraId="3E73AA62" w16cid:durableId="235774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120E2" w14:textId="77777777" w:rsidR="00905A5A" w:rsidRDefault="00905A5A" w:rsidP="004F0552">
      <w:pPr>
        <w:spacing w:after="0" w:line="240" w:lineRule="auto"/>
      </w:pPr>
      <w:r>
        <w:separator/>
      </w:r>
    </w:p>
  </w:endnote>
  <w:endnote w:type="continuationSeparator" w:id="0">
    <w:p w14:paraId="3AD227D3" w14:textId="77777777" w:rsidR="00905A5A" w:rsidRDefault="00905A5A" w:rsidP="004F0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863823"/>
      <w:docPartObj>
        <w:docPartGallery w:val="Page Numbers (Bottom of Page)"/>
        <w:docPartUnique/>
      </w:docPartObj>
    </w:sdtPr>
    <w:sdtEndPr>
      <w:rPr>
        <w:rFonts w:asciiTheme="minorHAnsi" w:hAnsiTheme="minorHAnsi" w:cstheme="minorHAnsi"/>
        <w:noProof/>
        <w:color w:val="000000" w:themeColor="text1"/>
      </w:rPr>
    </w:sdtEndPr>
    <w:sdtContent>
      <w:p w14:paraId="140394C9" w14:textId="065594F8" w:rsidR="0011774D" w:rsidRPr="004F0552" w:rsidRDefault="0011774D">
        <w:pPr>
          <w:pStyle w:val="Footer"/>
          <w:jc w:val="center"/>
          <w:rPr>
            <w:rFonts w:asciiTheme="minorHAnsi" w:hAnsiTheme="minorHAnsi" w:cstheme="minorHAnsi"/>
            <w:color w:val="000000" w:themeColor="text1"/>
          </w:rPr>
        </w:pPr>
        <w:r w:rsidRPr="004F0552">
          <w:rPr>
            <w:rFonts w:asciiTheme="minorHAnsi" w:hAnsiTheme="minorHAnsi" w:cstheme="minorHAnsi"/>
            <w:color w:val="000000" w:themeColor="text1"/>
          </w:rPr>
          <w:fldChar w:fldCharType="begin"/>
        </w:r>
        <w:r w:rsidRPr="004F0552">
          <w:rPr>
            <w:rFonts w:asciiTheme="minorHAnsi" w:hAnsiTheme="minorHAnsi" w:cstheme="minorHAnsi"/>
            <w:color w:val="000000" w:themeColor="text1"/>
          </w:rPr>
          <w:instrText xml:space="preserve"> PAGE   \* MERGEFORMAT </w:instrText>
        </w:r>
        <w:r w:rsidRPr="004F0552">
          <w:rPr>
            <w:rFonts w:asciiTheme="minorHAnsi" w:hAnsiTheme="minorHAnsi" w:cstheme="minorHAnsi"/>
            <w:color w:val="000000" w:themeColor="text1"/>
          </w:rPr>
          <w:fldChar w:fldCharType="separate"/>
        </w:r>
        <w:r w:rsidR="003321F2">
          <w:rPr>
            <w:rFonts w:asciiTheme="minorHAnsi" w:hAnsiTheme="minorHAnsi" w:cstheme="minorHAnsi"/>
            <w:noProof/>
            <w:color w:val="000000" w:themeColor="text1"/>
          </w:rPr>
          <w:t>1</w:t>
        </w:r>
        <w:r w:rsidRPr="004F0552">
          <w:rPr>
            <w:rFonts w:asciiTheme="minorHAnsi" w:hAnsiTheme="minorHAnsi" w:cstheme="minorHAnsi"/>
            <w:noProof/>
            <w:color w:val="000000" w:themeColor="text1"/>
          </w:rPr>
          <w:fldChar w:fldCharType="end"/>
        </w:r>
      </w:p>
    </w:sdtContent>
  </w:sdt>
  <w:p w14:paraId="7107A0E6" w14:textId="77777777" w:rsidR="0011774D" w:rsidRDefault="00117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2F88E" w14:textId="77777777" w:rsidR="00905A5A" w:rsidRDefault="00905A5A" w:rsidP="004F0552">
      <w:pPr>
        <w:spacing w:after="0" w:line="240" w:lineRule="auto"/>
      </w:pPr>
      <w:r>
        <w:separator/>
      </w:r>
    </w:p>
  </w:footnote>
  <w:footnote w:type="continuationSeparator" w:id="0">
    <w:p w14:paraId="516F7063" w14:textId="77777777" w:rsidR="00905A5A" w:rsidRDefault="00905A5A" w:rsidP="004F0552">
      <w:pPr>
        <w:spacing w:after="0" w:line="240" w:lineRule="auto"/>
      </w:pPr>
      <w:r>
        <w:continuationSeparator/>
      </w:r>
    </w:p>
  </w:footnote>
  <w:footnote w:id="1">
    <w:p w14:paraId="6A74291D" w14:textId="4DF3133C" w:rsidR="0011774D" w:rsidRDefault="0011774D">
      <w:pPr>
        <w:pStyle w:val="FootnoteText"/>
      </w:pPr>
      <w:r>
        <w:rPr>
          <w:rStyle w:val="FootnoteReference"/>
        </w:rPr>
        <w:footnoteRef/>
      </w:r>
      <w:r>
        <w:t xml:space="preserve"> </w:t>
      </w:r>
      <w:r>
        <w:rPr>
          <w:rFonts w:asciiTheme="minorHAnsi" w:hAnsiTheme="minorHAnsi" w:cstheme="minorHAnsi"/>
          <w:sz w:val="22"/>
          <w:szCs w:val="22"/>
        </w:rPr>
        <w:t xml:space="preserve">OHCHR </w:t>
      </w:r>
      <w:r w:rsidRPr="00BB4E57">
        <w:rPr>
          <w:rFonts w:asciiTheme="minorHAnsi" w:hAnsiTheme="minorHAnsi" w:cstheme="minorHAnsi"/>
          <w:i/>
          <w:sz w:val="22"/>
          <w:szCs w:val="22"/>
        </w:rPr>
        <w:t>Recommended Principles and Guidelines on Human Rights and Human Trafficking C</w:t>
      </w:r>
      <w:r>
        <w:rPr>
          <w:rFonts w:asciiTheme="minorHAnsi" w:hAnsiTheme="minorHAnsi" w:cstheme="minorHAnsi"/>
          <w:i/>
          <w:sz w:val="22"/>
          <w:szCs w:val="22"/>
        </w:rPr>
        <w:t>ommentary</w:t>
      </w:r>
      <w:r>
        <w:t xml:space="preserve"> (2010) p. 112</w:t>
      </w:r>
    </w:p>
  </w:footnote>
  <w:footnote w:id="2">
    <w:p w14:paraId="78D56642" w14:textId="1B1B515E" w:rsidR="0030512B" w:rsidRPr="0030512B" w:rsidRDefault="0030512B">
      <w:pPr>
        <w:pStyle w:val="FootnoteText"/>
        <w:rPr>
          <w:lang w:val="en-GB"/>
        </w:rPr>
      </w:pPr>
      <w:r>
        <w:rPr>
          <w:rStyle w:val="FootnoteReference"/>
        </w:rPr>
        <w:footnoteRef/>
      </w:r>
      <w:r w:rsidRPr="00A94459">
        <w:rPr>
          <w:lang w:val="es-CO"/>
        </w:rPr>
        <w:t xml:space="preserve"> </w:t>
      </w:r>
      <w:r w:rsidRPr="0030512B">
        <w:rPr>
          <w:lang w:val="es-CO"/>
        </w:rPr>
        <w:t xml:space="preserve">UN Doc. CEDAW/C/GC/38, para. </w:t>
      </w:r>
      <w:r>
        <w:t>36 (6 November 2020).</w:t>
      </w:r>
    </w:p>
  </w:footnote>
  <w:footnote w:id="3">
    <w:p w14:paraId="1C0C2001" w14:textId="2CD41B58"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Europol </w:t>
      </w:r>
      <w:hyperlink r:id="rId1" w:history="1">
        <w:r w:rsidRPr="00B21EDC">
          <w:rPr>
            <w:rStyle w:val="Hyperlink"/>
            <w:rFonts w:asciiTheme="minorHAnsi" w:hAnsiTheme="minorHAnsi" w:cstheme="minorHAnsi"/>
            <w:i/>
            <w:iCs/>
          </w:rPr>
          <w:t>Exploiting Isolation: Offenders and victims of online child sexual abuse during the COVID-19 Pandemic</w:t>
        </w:r>
      </w:hyperlink>
      <w:r w:rsidRPr="00B21EDC">
        <w:rPr>
          <w:rFonts w:asciiTheme="minorHAnsi" w:hAnsiTheme="minorHAnsi" w:cstheme="minorHAnsi"/>
          <w:i/>
          <w:iCs/>
        </w:rPr>
        <w:t xml:space="preserve"> </w:t>
      </w:r>
      <w:r w:rsidRPr="00B21EDC">
        <w:rPr>
          <w:rFonts w:asciiTheme="minorHAnsi" w:hAnsiTheme="minorHAnsi" w:cstheme="minorHAnsi"/>
        </w:rPr>
        <w:t>(2020), p.7.</w:t>
      </w:r>
    </w:p>
  </w:footnote>
  <w:footnote w:id="4">
    <w:p w14:paraId="791B77F6" w14:textId="481A4DD9"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Committee on the Elimination of Discrimination against Women, General Recommendation No. 38 (2020) on trafficking in women and girls in the context of global migration, UN Doc. </w:t>
      </w:r>
      <w:hyperlink r:id="rId2" w:history="1">
        <w:r w:rsidRPr="00B21EDC">
          <w:rPr>
            <w:rStyle w:val="Hyperlink"/>
            <w:rFonts w:asciiTheme="minorHAnsi" w:hAnsiTheme="minorHAnsi" w:cstheme="minorHAnsi"/>
          </w:rPr>
          <w:t>CEDAW/C/GC/38</w:t>
        </w:r>
      </w:hyperlink>
      <w:r w:rsidRPr="00B21EDC">
        <w:rPr>
          <w:rFonts w:asciiTheme="minorHAnsi" w:hAnsiTheme="minorHAnsi" w:cstheme="minorHAnsi"/>
        </w:rPr>
        <w:t>, 6 November 2020, para 37.</w:t>
      </w:r>
    </w:p>
  </w:footnote>
  <w:footnote w:id="5">
    <w:p w14:paraId="75242875" w14:textId="03918B68" w:rsidR="0011774D" w:rsidRPr="00992E52" w:rsidRDefault="0011774D">
      <w:pPr>
        <w:pStyle w:val="FootnoteText"/>
        <w:rPr>
          <w:rFonts w:asciiTheme="minorHAnsi" w:hAnsiTheme="minorHAnsi" w:cstheme="minorHAnsi"/>
          <w:color w:val="FF0000"/>
        </w:rPr>
      </w:pPr>
      <w:r w:rsidRPr="00B21EDC">
        <w:rPr>
          <w:rStyle w:val="FootnoteReference"/>
          <w:rFonts w:asciiTheme="minorHAnsi" w:hAnsiTheme="minorHAnsi" w:cstheme="minorHAnsi"/>
        </w:rPr>
        <w:footnoteRef/>
      </w:r>
      <w:r w:rsidRPr="00B21EDC">
        <w:rPr>
          <w:rFonts w:asciiTheme="minorHAnsi" w:hAnsiTheme="minorHAnsi" w:cstheme="minorHAnsi"/>
        </w:rPr>
        <w:t xml:space="preserve"> Committee on the Elimination of Discrimination against Women, General Recommendation No. 38 (2020) on trafficking in women and girls in the context of global migration, UN Doc. </w:t>
      </w:r>
      <w:hyperlink r:id="rId3" w:history="1">
        <w:r w:rsidRPr="00B21EDC">
          <w:rPr>
            <w:rStyle w:val="Hyperlink"/>
            <w:rFonts w:asciiTheme="minorHAnsi" w:hAnsiTheme="minorHAnsi" w:cstheme="minorHAnsi"/>
          </w:rPr>
          <w:t>CEDAW/C/GC/38</w:t>
        </w:r>
      </w:hyperlink>
      <w:r w:rsidRPr="00B21EDC">
        <w:rPr>
          <w:rFonts w:asciiTheme="minorHAnsi" w:hAnsiTheme="minorHAnsi" w:cstheme="minorHAnsi"/>
        </w:rPr>
        <w:t>, 6 November 2020, para 10</w:t>
      </w:r>
      <w:r>
        <w:rPr>
          <w:rFonts w:asciiTheme="minorHAnsi" w:hAnsiTheme="minorHAnsi" w:cstheme="minorHAnsi"/>
        </w:rPr>
        <w:t xml:space="preserve">; Committee on the Elimination of Discrimination against Women, </w:t>
      </w:r>
      <w:hyperlink r:id="rId4" w:history="1">
        <w:r w:rsidRPr="003F39BA">
          <w:rPr>
            <w:rStyle w:val="Hyperlink"/>
            <w:rFonts w:asciiTheme="minorHAnsi" w:hAnsiTheme="minorHAnsi" w:cstheme="minorHAnsi"/>
          </w:rPr>
          <w:t>General Recommendation No. 19</w:t>
        </w:r>
      </w:hyperlink>
      <w:r>
        <w:rPr>
          <w:rFonts w:asciiTheme="minorHAnsi" w:hAnsiTheme="minorHAnsi" w:cstheme="minorHAnsi"/>
        </w:rPr>
        <w:t xml:space="preserve"> (1992), para 4; Committee on the Elimination of Discrimination General Recommendation No. 35 (2017) on </w:t>
      </w:r>
      <w:r w:rsidRPr="003F39BA">
        <w:rPr>
          <w:rFonts w:asciiTheme="minorHAnsi" w:hAnsiTheme="minorHAnsi" w:cstheme="minorHAnsi"/>
        </w:rPr>
        <w:t>gender-based violence against women, updating general recommendation No. 19</w:t>
      </w:r>
      <w:r>
        <w:rPr>
          <w:rFonts w:asciiTheme="minorHAnsi" w:hAnsiTheme="minorHAnsi" w:cstheme="minorHAnsi"/>
        </w:rPr>
        <w:t xml:space="preserve">, UN Doc. </w:t>
      </w:r>
      <w:hyperlink r:id="rId5" w:history="1">
        <w:r w:rsidRPr="003F39BA">
          <w:rPr>
            <w:rStyle w:val="Hyperlink"/>
            <w:rFonts w:asciiTheme="minorHAnsi" w:hAnsiTheme="minorHAnsi" w:cstheme="minorHAnsi"/>
          </w:rPr>
          <w:t>CEDAW/G/GC/35</w:t>
        </w:r>
      </w:hyperlink>
      <w:r>
        <w:rPr>
          <w:rFonts w:asciiTheme="minorHAnsi" w:hAnsiTheme="minorHAnsi" w:cstheme="minorHAnsi"/>
        </w:rPr>
        <w:t>, para 10.</w:t>
      </w:r>
    </w:p>
  </w:footnote>
  <w:footnote w:id="6">
    <w:p w14:paraId="4BF3E36C" w14:textId="77777777" w:rsidR="0011774D" w:rsidRPr="00B21EDC" w:rsidRDefault="0011774D" w:rsidP="0051640B">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United Nations Office on Drugs and Crime </w:t>
      </w:r>
      <w:hyperlink r:id="rId6" w:history="1">
        <w:r w:rsidRPr="00B21EDC">
          <w:rPr>
            <w:rStyle w:val="Hyperlink"/>
            <w:rFonts w:asciiTheme="minorHAnsi" w:hAnsiTheme="minorHAnsi" w:cstheme="minorHAnsi"/>
            <w:i/>
            <w:iCs/>
          </w:rPr>
          <w:t>Handbook on Children Recruited and Exploited by Terrorist and Violent Extremist Groups: The Role of the Justice System</w:t>
        </w:r>
      </w:hyperlink>
      <w:r w:rsidRPr="00B21EDC">
        <w:rPr>
          <w:rFonts w:asciiTheme="minorHAnsi" w:hAnsiTheme="minorHAnsi" w:cstheme="minorHAnsi"/>
        </w:rPr>
        <w:t xml:space="preserve"> (2017), p.14</w:t>
      </w:r>
    </w:p>
  </w:footnote>
  <w:footnote w:id="7">
    <w:p w14:paraId="796A59DE" w14:textId="3C3519C9"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Report of the Special Rapporteur on the sale of children, child prostitution and child pornography, UN Doc. </w:t>
      </w:r>
      <w:hyperlink r:id="rId7" w:history="1">
        <w:r w:rsidRPr="00B21EDC">
          <w:rPr>
            <w:rStyle w:val="Hyperlink"/>
            <w:rFonts w:asciiTheme="minorHAnsi" w:hAnsiTheme="minorHAnsi" w:cstheme="minorHAnsi"/>
          </w:rPr>
          <w:t>A/HRC/28/56</w:t>
        </w:r>
      </w:hyperlink>
      <w:r w:rsidRPr="00B21EDC">
        <w:rPr>
          <w:rFonts w:asciiTheme="minorHAnsi" w:hAnsiTheme="minorHAnsi" w:cstheme="minorHAnsi"/>
        </w:rPr>
        <w:t>, 22 December 2014, paras. 38 and 42.</w:t>
      </w:r>
    </w:p>
  </w:footnote>
  <w:footnote w:id="8">
    <w:p w14:paraId="55352829" w14:textId="7DBE5CE0"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Convention on the Rights of the Child, adopted on 20 November 1989, article 34.</w:t>
      </w:r>
    </w:p>
  </w:footnote>
  <w:footnote w:id="9">
    <w:p w14:paraId="73E2B69E" w14:textId="26D172F4"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Convention on the Rights of the Child, adopted on 20 November 1989, article 35.</w:t>
      </w:r>
    </w:p>
  </w:footnote>
  <w:footnote w:id="10">
    <w:p w14:paraId="223394CF" w14:textId="2F5C78C8"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See Directive 2011/36/EU of the European Parliament and of the Council of 5 April 2011 on preventing and combating trafficking in human beings and protecting its victims, article 18.</w:t>
      </w:r>
    </w:p>
  </w:footnote>
  <w:footnote w:id="11">
    <w:p w14:paraId="5D80FEA4" w14:textId="78551AD7"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United Nations Guiding Principles on Business and Human Rights (2011), principle 17 and commentary.</w:t>
      </w:r>
    </w:p>
  </w:footnote>
  <w:footnote w:id="12">
    <w:p w14:paraId="6E9DCD67" w14:textId="09C03183"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Ibid, principles 15(b), 17.</w:t>
      </w:r>
    </w:p>
  </w:footnote>
  <w:footnote w:id="13">
    <w:p w14:paraId="58071E61" w14:textId="5D4B48BF"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Report of the Special Rapporteur on trafficking in persons, especially women and children, UN Doc. </w:t>
      </w:r>
      <w:hyperlink r:id="rId8" w:history="1">
        <w:r w:rsidRPr="00B21EDC">
          <w:rPr>
            <w:rStyle w:val="Hyperlink"/>
            <w:rFonts w:asciiTheme="minorHAnsi" w:hAnsiTheme="minorHAnsi" w:cstheme="minorHAnsi"/>
          </w:rPr>
          <w:t>A/70/260</w:t>
        </w:r>
      </w:hyperlink>
      <w:r w:rsidRPr="00B21EDC">
        <w:rPr>
          <w:rFonts w:asciiTheme="minorHAnsi" w:hAnsiTheme="minorHAnsi" w:cstheme="minorHAnsi"/>
        </w:rPr>
        <w:t>, 3 August 2015, para 42.</w:t>
      </w:r>
    </w:p>
  </w:footnote>
  <w:footnote w:id="14">
    <w:p w14:paraId="09980BE9" w14:textId="11E99857"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International Centre for Missing and Exploited Children </w:t>
      </w:r>
      <w:hyperlink r:id="rId9" w:history="1">
        <w:r w:rsidRPr="00B21EDC">
          <w:rPr>
            <w:rStyle w:val="Hyperlink"/>
            <w:rFonts w:asciiTheme="minorHAnsi" w:hAnsiTheme="minorHAnsi" w:cstheme="minorHAnsi"/>
            <w:i/>
            <w:iCs/>
          </w:rPr>
          <w:t>Child Pornography: Model Legislation &amp; Global Review</w:t>
        </w:r>
      </w:hyperlink>
      <w:r w:rsidRPr="00B21EDC">
        <w:rPr>
          <w:rFonts w:asciiTheme="minorHAnsi" w:hAnsiTheme="minorHAnsi" w:cstheme="minorHAnsi"/>
        </w:rPr>
        <w:t xml:space="preserve"> (2016), p.5.</w:t>
      </w:r>
    </w:p>
  </w:footnote>
  <w:footnote w:id="15">
    <w:p w14:paraId="3D842F25" w14:textId="77777777" w:rsidR="0011774D" w:rsidRPr="00B21EDC" w:rsidRDefault="0011774D" w:rsidP="00997A31">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United Nations Office on Drugs and Crime </w:t>
      </w:r>
      <w:hyperlink r:id="rId10" w:history="1">
        <w:r w:rsidRPr="00B21EDC">
          <w:rPr>
            <w:rStyle w:val="Hyperlink"/>
            <w:rFonts w:asciiTheme="minorHAnsi" w:hAnsiTheme="minorHAnsi" w:cstheme="minorHAnsi"/>
            <w:i/>
            <w:iCs/>
          </w:rPr>
          <w:t>Handbook on Children Recruited and Exploited by Terrorist and Violent Extremist Groups: The Role of the Justice System</w:t>
        </w:r>
      </w:hyperlink>
      <w:r w:rsidRPr="00B21EDC">
        <w:rPr>
          <w:rFonts w:asciiTheme="minorHAnsi" w:hAnsiTheme="minorHAnsi" w:cstheme="minorHAnsi"/>
        </w:rPr>
        <w:t xml:space="preserve"> (2017), p.13.</w:t>
      </w:r>
    </w:p>
  </w:footnote>
  <w:footnote w:id="16">
    <w:p w14:paraId="39F4BC51" w14:textId="536AD0A6" w:rsidR="0011774D" w:rsidRPr="0011774D" w:rsidRDefault="0011774D">
      <w:pPr>
        <w:pStyle w:val="FootnoteText"/>
      </w:pPr>
      <w:r>
        <w:rPr>
          <w:rStyle w:val="FootnoteReference"/>
        </w:rPr>
        <w:footnoteRef/>
      </w:r>
      <w:r>
        <w:t xml:space="preserve"> Report of the Special Rapporteur on Trafficking in Persons, especially women and children (2015) </w:t>
      </w:r>
      <w:r w:rsidRPr="0011774D">
        <w:rPr>
          <w:i/>
        </w:rPr>
        <w:t>Due diligence and trafficking in persons</w:t>
      </w:r>
      <w:r>
        <w:rPr>
          <w:i/>
        </w:rPr>
        <w:t xml:space="preserve"> </w:t>
      </w:r>
      <w:r>
        <w:t>UN Doc. A/70/260</w:t>
      </w:r>
    </w:p>
  </w:footnote>
  <w:footnote w:id="17">
    <w:p w14:paraId="131180E6" w14:textId="77777777" w:rsidR="0011774D" w:rsidRPr="00B21EDC" w:rsidRDefault="0011774D" w:rsidP="00997A31">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See for example Google’s Redirect Method available at: </w:t>
      </w:r>
      <w:hyperlink r:id="rId11" w:history="1">
        <w:r w:rsidRPr="00B21EDC">
          <w:rPr>
            <w:rStyle w:val="Hyperlink"/>
            <w:rFonts w:asciiTheme="minorHAnsi" w:hAnsiTheme="minorHAnsi" w:cstheme="minorHAnsi"/>
          </w:rPr>
          <w:t>https://redirectmethod.org/</w:t>
        </w:r>
      </w:hyperlink>
      <w:r w:rsidRPr="00B21EDC">
        <w:rPr>
          <w:rFonts w:asciiTheme="minorHAnsi" w:hAnsiTheme="minorHAnsi" w:cstheme="minorHAnsi"/>
        </w:rPr>
        <w:t xml:space="preserve">. </w:t>
      </w:r>
    </w:p>
  </w:footnote>
  <w:footnote w:id="18">
    <w:p w14:paraId="346392DB" w14:textId="4D13CFCF"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Committee on the Rights of the Child General Comment No. 5: General Measures of Implementation of the Convention on the Rights of the Child, UN Doc. </w:t>
      </w:r>
      <w:hyperlink r:id="rId12" w:history="1">
        <w:r w:rsidRPr="00B21EDC">
          <w:rPr>
            <w:rStyle w:val="Hyperlink"/>
            <w:rFonts w:asciiTheme="minorHAnsi" w:hAnsiTheme="minorHAnsi" w:cstheme="minorHAnsi"/>
          </w:rPr>
          <w:t>CRC/GC/2003/5</w:t>
        </w:r>
      </w:hyperlink>
      <w:r w:rsidRPr="00B21EDC">
        <w:rPr>
          <w:rFonts w:asciiTheme="minorHAnsi" w:hAnsiTheme="minorHAnsi" w:cstheme="minorHAnsi"/>
        </w:rPr>
        <w:t>, 27 November 2003, para 24.</w:t>
      </w:r>
    </w:p>
  </w:footnote>
  <w:footnote w:id="19">
    <w:p w14:paraId="3BB69B9E" w14:textId="0BA49947" w:rsidR="0011774D" w:rsidRDefault="0011774D">
      <w:pPr>
        <w:pStyle w:val="FootnoteText"/>
      </w:pPr>
      <w:r>
        <w:rPr>
          <w:rStyle w:val="FootnoteReference"/>
        </w:rPr>
        <w:footnoteRef/>
      </w:r>
      <w:r>
        <w:t xml:space="preserve"> Articles 23(1) and 24, Council of Europe Convention on Action Against Trafficking in Human Beings, </w:t>
      </w:r>
      <w:r w:rsidRPr="001D78DD">
        <w:t>Council of Europe Treaty Series - No. 197</w:t>
      </w:r>
      <w:r>
        <w:t xml:space="preserve"> </w:t>
      </w:r>
    </w:p>
  </w:footnote>
  <w:footnote w:id="20">
    <w:p w14:paraId="7133B85C" w14:textId="20C7EE64" w:rsidR="0011774D" w:rsidRDefault="0011774D">
      <w:pPr>
        <w:pStyle w:val="FootnoteText"/>
      </w:pPr>
      <w:r>
        <w:rPr>
          <w:rStyle w:val="FootnoteReference"/>
        </w:rPr>
        <w:footnoteRef/>
      </w:r>
      <w:r>
        <w:t xml:space="preserve"> See: Report of the UN Special Rapporteur on Trafficking in Persons, especially women and girls (2019) </w:t>
      </w:r>
      <w:r w:rsidRPr="0011774D">
        <w:rPr>
          <w:i/>
        </w:rPr>
        <w:t>Innovative and transformative models of social inclusion of survivors of trafficking in persons into societies</w:t>
      </w:r>
      <w:r>
        <w:t>, UN Doc.</w:t>
      </w:r>
      <w:r w:rsidRPr="0011774D">
        <w:t xml:space="preserve"> A/HRC/41/46</w:t>
      </w:r>
    </w:p>
  </w:footnote>
  <w:footnote w:id="21">
    <w:p w14:paraId="7DC1AE87" w14:textId="59FCA267" w:rsidR="0011774D" w:rsidRDefault="0011774D">
      <w:pPr>
        <w:pStyle w:val="FootnoteText"/>
      </w:pPr>
      <w:r>
        <w:rPr>
          <w:rStyle w:val="FootnoteReference"/>
        </w:rPr>
        <w:footnoteRef/>
      </w:r>
      <w:r>
        <w:t xml:space="preserve"> Report of the Secretary-General on trafficking in persons in armed conflict, UN Doc. </w:t>
      </w:r>
      <w:hyperlink r:id="rId13" w:history="1">
        <w:r w:rsidRPr="004F5433">
          <w:rPr>
            <w:rStyle w:val="Hyperlink"/>
          </w:rPr>
          <w:t>S/2017/939</w:t>
        </w:r>
      </w:hyperlink>
      <w:r>
        <w:t>, 10 November 2017, para 22.</w:t>
      </w:r>
    </w:p>
  </w:footnote>
  <w:footnote w:id="22">
    <w:p w14:paraId="3BF53E7A" w14:textId="14A6623A" w:rsidR="0011774D" w:rsidRDefault="0011774D">
      <w:pPr>
        <w:pStyle w:val="FootnoteText"/>
      </w:pPr>
      <w:r>
        <w:rPr>
          <w:rStyle w:val="FootnoteReference"/>
        </w:rPr>
        <w:footnoteRef/>
      </w:r>
      <w:r>
        <w:t xml:space="preserve"> </w:t>
      </w:r>
      <w:r w:rsidRPr="00B21EDC">
        <w:rPr>
          <w:rFonts w:asciiTheme="minorHAnsi" w:hAnsiTheme="minorHAnsi" w:cstheme="minorHAnsi"/>
        </w:rPr>
        <w:t xml:space="preserve">Committee on the Elimination of Discrimination against Women, General Recommendation No. 38 (2020) on trafficking in women and girls in the context of global migration, </w:t>
      </w:r>
      <w:r>
        <w:rPr>
          <w:rFonts w:asciiTheme="minorHAnsi" w:hAnsiTheme="minorHAnsi" w:cstheme="minorHAnsi"/>
        </w:rPr>
        <w:t xml:space="preserve">UN </w:t>
      </w:r>
      <w:r w:rsidRPr="00B21EDC">
        <w:rPr>
          <w:rFonts w:asciiTheme="minorHAnsi" w:hAnsiTheme="minorHAnsi" w:cstheme="minorHAnsi"/>
        </w:rPr>
        <w:t xml:space="preserve">Doc. </w:t>
      </w:r>
      <w:hyperlink r:id="rId14" w:history="1">
        <w:r w:rsidRPr="00B21EDC">
          <w:rPr>
            <w:rStyle w:val="Hyperlink"/>
            <w:rFonts w:asciiTheme="minorHAnsi" w:hAnsiTheme="minorHAnsi" w:cstheme="minorHAnsi"/>
          </w:rPr>
          <w:t>CEDAW/C/GC/38</w:t>
        </w:r>
      </w:hyperlink>
      <w:r>
        <w:rPr>
          <w:rStyle w:val="Hyperlink"/>
          <w:rFonts w:asciiTheme="minorHAnsi" w:hAnsiTheme="minorHAnsi" w:cstheme="minorHAnsi"/>
        </w:rPr>
        <w:t xml:space="preserve">, </w:t>
      </w:r>
      <w:r>
        <w:rPr>
          <w:rFonts w:asciiTheme="minorHAnsi" w:hAnsiTheme="minorHAnsi" w:cstheme="minorHAnsi"/>
        </w:rPr>
        <w:t>para 36.</w:t>
      </w:r>
    </w:p>
  </w:footnote>
  <w:footnote w:id="23">
    <w:p w14:paraId="5CFF3A45" w14:textId="50B06F5A" w:rsidR="0011774D" w:rsidRDefault="0011774D">
      <w:pPr>
        <w:pStyle w:val="FootnoteText"/>
      </w:pPr>
      <w:r>
        <w:rPr>
          <w:rStyle w:val="FootnoteReference"/>
        </w:rPr>
        <w:footnoteRef/>
      </w:r>
      <w:r>
        <w:t xml:space="preserve"> Report of the Special Rapporteur on violence against women, its causes and consequences on online violence against women and girls from a human rights perspective, UN Doc. </w:t>
      </w:r>
      <w:hyperlink r:id="rId15" w:history="1">
        <w:r w:rsidRPr="00912702">
          <w:rPr>
            <w:rStyle w:val="Hyperlink"/>
          </w:rPr>
          <w:t>A/HRC/38/47</w:t>
        </w:r>
      </w:hyperlink>
      <w:r>
        <w:t>, 18 June 2018, para 82</w:t>
      </w:r>
    </w:p>
  </w:footnote>
  <w:footnote w:id="24">
    <w:p w14:paraId="325FFD8C" w14:textId="617CECEC" w:rsidR="0011774D" w:rsidRDefault="0011774D">
      <w:pPr>
        <w:pStyle w:val="FootnoteText"/>
      </w:pPr>
      <w:r>
        <w:rPr>
          <w:rStyle w:val="FootnoteReference"/>
        </w:rPr>
        <w:footnoteRef/>
      </w:r>
      <w:r>
        <w:t xml:space="preserve"> Report of the Secretary-General on Trafficking in women and girls, UN Doc. </w:t>
      </w:r>
      <w:hyperlink r:id="rId16" w:history="1">
        <w:r w:rsidRPr="006F17E8">
          <w:rPr>
            <w:rStyle w:val="Hyperlink"/>
          </w:rPr>
          <w:t>A/73/263</w:t>
        </w:r>
      </w:hyperlink>
      <w:r>
        <w:t>, 27 July 2018, Para 28</w:t>
      </w:r>
    </w:p>
  </w:footnote>
  <w:footnote w:id="25">
    <w:p w14:paraId="3439A356" w14:textId="5ACE15B9" w:rsidR="0011774D" w:rsidRPr="007D5335" w:rsidRDefault="0011774D">
      <w:pPr>
        <w:pStyle w:val="FootnoteText"/>
      </w:pPr>
      <w:r>
        <w:rPr>
          <w:rStyle w:val="FootnoteReference"/>
        </w:rPr>
        <w:footnoteRef/>
      </w:r>
      <w:r>
        <w:t xml:space="preserve"> Ibid.</w:t>
      </w:r>
    </w:p>
  </w:footnote>
  <w:footnote w:id="26">
    <w:p w14:paraId="648765CB" w14:textId="73BA1C41" w:rsidR="0011774D" w:rsidRDefault="0011774D">
      <w:pPr>
        <w:pStyle w:val="FootnoteText"/>
      </w:pPr>
      <w:r>
        <w:rPr>
          <w:rStyle w:val="FootnoteReference"/>
        </w:rPr>
        <w:footnoteRef/>
      </w:r>
      <w:r>
        <w:t xml:space="preserve"> See: Council of Europe Convention on Action against Trafficking in Human Beings, Article 33(2). </w:t>
      </w:r>
    </w:p>
  </w:footnote>
  <w:footnote w:id="27">
    <w:p w14:paraId="29F8397B" w14:textId="401EEE46" w:rsidR="0011774D" w:rsidRPr="007B2C0C" w:rsidRDefault="0011774D" w:rsidP="007B2C0C">
      <w:pPr>
        <w:pStyle w:val="FootnoteText"/>
        <w:rPr>
          <w:i/>
        </w:rPr>
      </w:pPr>
      <w:r>
        <w:rPr>
          <w:rStyle w:val="FootnoteReference"/>
        </w:rPr>
        <w:footnoteRef/>
      </w:r>
      <w:r>
        <w:t xml:space="preserve"> Office of the High Commissioner on Human Rights Recommended Principles and Guidelines on Human Rights and Human Trafficking (2002), principles 7, 4.5. See also UN Special Rapporteur on Trafficking in Persons, especially women and children (2020) </w:t>
      </w:r>
      <w:r w:rsidRPr="007B2C0C">
        <w:rPr>
          <w:i/>
        </w:rPr>
        <w:t>The importance of implementing the non-punishment provision: the obligation to protect victims</w:t>
      </w:r>
      <w:r>
        <w:rPr>
          <w:i/>
        </w:rPr>
        <w:t>.</w:t>
      </w:r>
    </w:p>
  </w:footnote>
  <w:footnote w:id="28">
    <w:p w14:paraId="611B25B7" w14:textId="639EECB8" w:rsidR="0011774D" w:rsidRDefault="0011774D">
      <w:pPr>
        <w:pStyle w:val="FootnoteText"/>
      </w:pPr>
      <w:r>
        <w:rPr>
          <w:rStyle w:val="FootnoteReference"/>
        </w:rPr>
        <w:footnoteRef/>
      </w:r>
      <w:r>
        <w:t xml:space="preserve"> Office of the High Commissioner on Human Rights Recommended Principles and Guidelines on Human Rights and Human Trafficking (2002), principle 13.</w:t>
      </w:r>
    </w:p>
  </w:footnote>
  <w:footnote w:id="29">
    <w:p w14:paraId="5F8152ED" w14:textId="461C2B3B" w:rsidR="0011774D" w:rsidRDefault="0011774D">
      <w:pPr>
        <w:pStyle w:val="FootnoteText"/>
      </w:pPr>
      <w:r>
        <w:rPr>
          <w:rStyle w:val="FootnoteReference"/>
        </w:rPr>
        <w:footnoteRef/>
      </w:r>
      <w:r>
        <w:t xml:space="preserve"> Report of the Special Rapporteur on violence against women, its causes and consequences on online violence against women and girls from a human rights perspective, UN Doc. </w:t>
      </w:r>
      <w:hyperlink r:id="rId17" w:history="1">
        <w:r w:rsidRPr="00912702">
          <w:rPr>
            <w:rStyle w:val="Hyperlink"/>
          </w:rPr>
          <w:t>A/HRC/38/47</w:t>
        </w:r>
      </w:hyperlink>
      <w:r>
        <w:t>, 18 June 2018, para 111.</w:t>
      </w:r>
    </w:p>
  </w:footnote>
  <w:footnote w:id="30">
    <w:p w14:paraId="36EE7EEE" w14:textId="69C81A21" w:rsidR="0011774D" w:rsidRPr="00DE384B" w:rsidRDefault="0011774D">
      <w:pPr>
        <w:pStyle w:val="FootnoteText"/>
        <w:rPr>
          <w:i/>
          <w:iCs/>
        </w:rPr>
      </w:pPr>
      <w:r>
        <w:rPr>
          <w:rStyle w:val="FootnoteReference"/>
        </w:rPr>
        <w:footnoteRef/>
      </w:r>
      <w:r>
        <w:t xml:space="preserve"> Group of Experts on Action against Trafficking in Human Beings, </w:t>
      </w:r>
      <w:hyperlink r:id="rId18" w:history="1">
        <w:r w:rsidRPr="004F5433">
          <w:rPr>
            <w:rStyle w:val="Hyperlink"/>
            <w:i/>
            <w:iCs/>
          </w:rPr>
          <w:t>6</w:t>
        </w:r>
        <w:r w:rsidRPr="004F5433">
          <w:rPr>
            <w:rStyle w:val="Hyperlink"/>
            <w:i/>
            <w:iCs/>
            <w:vertAlign w:val="superscript"/>
          </w:rPr>
          <w:t>th</w:t>
        </w:r>
        <w:r w:rsidRPr="004F5433">
          <w:rPr>
            <w:rStyle w:val="Hyperlink"/>
            <w:i/>
            <w:iCs/>
          </w:rPr>
          <w:t xml:space="preserve"> General Report on GRETA’S Activities</w:t>
        </w:r>
      </w:hyperlink>
      <w:r>
        <w:rPr>
          <w:i/>
          <w:iCs/>
        </w:rPr>
        <w:t xml:space="preserve"> </w:t>
      </w:r>
      <w:r>
        <w:t>(2017)</w:t>
      </w:r>
      <w:r>
        <w:rPr>
          <w:i/>
          <w:iCs/>
        </w:rPr>
        <w:t xml:space="preserve">, </w:t>
      </w:r>
      <w:r>
        <w:t>para 83.</w:t>
      </w:r>
    </w:p>
  </w:footnote>
  <w:footnote w:id="31">
    <w:p w14:paraId="4D138E2C" w14:textId="66A036E4" w:rsidR="0011774D" w:rsidRPr="00DE384B" w:rsidRDefault="0011774D">
      <w:pPr>
        <w:pStyle w:val="FootnoteText"/>
        <w:rPr>
          <w:i/>
          <w:iCs/>
        </w:rPr>
      </w:pPr>
      <w:r>
        <w:rPr>
          <w:rStyle w:val="FootnoteReference"/>
        </w:rPr>
        <w:footnoteRef/>
      </w:r>
      <w:r>
        <w:t xml:space="preserve"> Ibid.</w:t>
      </w:r>
    </w:p>
  </w:footnote>
  <w:footnote w:id="32">
    <w:p w14:paraId="0E0B8459" w14:textId="7300A9F9" w:rsidR="0011774D" w:rsidRDefault="0011774D">
      <w:pPr>
        <w:pStyle w:val="FootnoteText"/>
      </w:pPr>
      <w:r>
        <w:rPr>
          <w:rStyle w:val="FootnoteReference"/>
        </w:rPr>
        <w:footnoteRef/>
      </w:r>
      <w:r>
        <w:t xml:space="preserve"> Report of the Secretary-General on Trafficking in women and girl, UN Doc. </w:t>
      </w:r>
      <w:hyperlink r:id="rId19" w:history="1">
        <w:r w:rsidRPr="006F17E8">
          <w:rPr>
            <w:rStyle w:val="Hyperlink"/>
          </w:rPr>
          <w:t>A/73/263</w:t>
        </w:r>
      </w:hyperlink>
      <w:r>
        <w:t>, 27 July 2018, para 27.</w:t>
      </w:r>
    </w:p>
  </w:footnote>
  <w:footnote w:id="33">
    <w:p w14:paraId="6EAD461A" w14:textId="6AD5C0E6" w:rsidR="0011774D" w:rsidRDefault="0011774D">
      <w:pPr>
        <w:pStyle w:val="FootnoteText"/>
      </w:pPr>
      <w:r>
        <w:rPr>
          <w:rStyle w:val="FootnoteReference"/>
        </w:rPr>
        <w:footnoteRef/>
      </w:r>
      <w:r>
        <w:t xml:space="preserve"> Office of the High Commissioner on Human Rights Recommended Principles and Guidelines on Human Rights and Human Trafficking (2002), principles 7, 4.5.</w:t>
      </w:r>
    </w:p>
  </w:footnote>
  <w:footnote w:id="34">
    <w:p w14:paraId="7B28245B" w14:textId="3BEE6916" w:rsidR="0011774D" w:rsidRPr="00B21EDC" w:rsidRDefault="0011774D">
      <w:pPr>
        <w:pStyle w:val="FootnoteText"/>
        <w:rPr>
          <w:rFonts w:asciiTheme="minorHAnsi" w:hAnsiTheme="minorHAnsi" w:cstheme="minorHAnsi"/>
        </w:rPr>
      </w:pPr>
      <w:r w:rsidRPr="00B21EDC">
        <w:rPr>
          <w:rStyle w:val="FootnoteReference"/>
          <w:rFonts w:asciiTheme="minorHAnsi" w:hAnsiTheme="minorHAnsi" w:cstheme="minorHAnsi"/>
        </w:rPr>
        <w:footnoteRef/>
      </w:r>
      <w:r w:rsidRPr="00B21EDC">
        <w:rPr>
          <w:rFonts w:asciiTheme="minorHAnsi" w:hAnsiTheme="minorHAnsi" w:cstheme="minorHAnsi"/>
        </w:rPr>
        <w:t xml:space="preserve"> Office of the Special Representative of the Secretary-General on Violence Against Children </w:t>
      </w:r>
      <w:hyperlink r:id="rId20" w:history="1">
        <w:r w:rsidRPr="00B21EDC">
          <w:rPr>
            <w:rStyle w:val="Hyperlink"/>
            <w:rFonts w:asciiTheme="minorHAnsi" w:hAnsiTheme="minorHAnsi" w:cstheme="minorHAnsi"/>
            <w:i/>
            <w:iCs/>
          </w:rPr>
          <w:t>Solutions for Children Previously Affiliated With Extremist Groups: An Evidence Base to Inform Repatriation, Rehabilitation and Reintegration</w:t>
        </w:r>
      </w:hyperlink>
      <w:r w:rsidRPr="00B21EDC">
        <w:rPr>
          <w:rFonts w:asciiTheme="minorHAnsi" w:hAnsiTheme="minorHAnsi" w:cstheme="minorHAnsi"/>
          <w:i/>
          <w:iCs/>
        </w:rPr>
        <w:t xml:space="preserve"> </w:t>
      </w:r>
      <w:r w:rsidRPr="00B21EDC">
        <w:rPr>
          <w:rFonts w:asciiTheme="minorHAnsi" w:hAnsiTheme="minorHAnsi" w:cstheme="minorHAnsi"/>
        </w:rPr>
        <w:t>(2020), p.21.</w:t>
      </w:r>
    </w:p>
  </w:footnote>
  <w:footnote w:id="35">
    <w:p w14:paraId="60A11604" w14:textId="4F8DD771" w:rsidR="0011774D" w:rsidRDefault="0011774D">
      <w:pPr>
        <w:pStyle w:val="FootnoteText"/>
      </w:pPr>
      <w:r>
        <w:rPr>
          <w:rStyle w:val="FootnoteReference"/>
        </w:rPr>
        <w:footnoteRef/>
      </w:r>
      <w:r>
        <w:t xml:space="preserve"> Report of the Special Rapporteur on trafficking in persons, especially women and children, UN Doc. </w:t>
      </w:r>
      <w:hyperlink r:id="rId21" w:history="1">
        <w:r w:rsidRPr="004F5433">
          <w:rPr>
            <w:rStyle w:val="Hyperlink"/>
          </w:rPr>
          <w:t>A/71/303</w:t>
        </w:r>
      </w:hyperlink>
      <w:r>
        <w:t>, 5 August 2016, para 31.</w:t>
      </w:r>
    </w:p>
  </w:footnote>
  <w:footnote w:id="36">
    <w:p w14:paraId="4AAC2EA4" w14:textId="051CA782" w:rsidR="0011774D" w:rsidRDefault="0011774D">
      <w:pPr>
        <w:pStyle w:val="FootnoteText"/>
      </w:pPr>
      <w:r>
        <w:rPr>
          <w:rStyle w:val="FootnoteReference"/>
        </w:rPr>
        <w:footnoteRef/>
      </w:r>
      <w:r>
        <w:t xml:space="preserve"> Ibid, para 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1C0F1" w14:textId="4BCF1456" w:rsidR="0011774D" w:rsidRDefault="0011774D" w:rsidP="004F0552">
    <w:pPr>
      <w:spacing w:after="0" w:line="240" w:lineRule="auto"/>
      <w:jc w:val="center"/>
      <w:rPr>
        <w:rFonts w:asciiTheme="minorHAnsi" w:hAnsiTheme="minorHAnsi" w:cstheme="minorHAnsi"/>
        <w:sz w:val="18"/>
        <w:szCs w:val="18"/>
      </w:rPr>
    </w:pPr>
    <w:r>
      <w:rPr>
        <w:rFonts w:asciiTheme="minorHAnsi" w:hAnsiTheme="minorHAnsi" w:cstheme="minorHAnsi"/>
        <w:noProof/>
        <w:sz w:val="18"/>
        <w:szCs w:val="18"/>
        <w:lang w:val="en-GB" w:eastAsia="en-GB"/>
      </w:rPr>
      <w:drawing>
        <wp:inline distT="0" distB="0" distL="0" distR="0" wp14:anchorId="1A7CD73D" wp14:editId="425A09F0">
          <wp:extent cx="2147777" cy="860648"/>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biLevel thresh="75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47777" cy="860648"/>
                  </a:xfrm>
                  <a:prstGeom prst="rect">
                    <a:avLst/>
                  </a:prstGeom>
                  <a:noFill/>
                  <a:ln>
                    <a:noFill/>
                  </a:ln>
                </pic:spPr>
              </pic:pic>
            </a:graphicData>
          </a:graphic>
        </wp:inline>
      </w:drawing>
    </w:r>
  </w:p>
  <w:p w14:paraId="5A33C207" w14:textId="59310630" w:rsidR="0011774D" w:rsidRDefault="0011774D" w:rsidP="004F0552">
    <w:pPr>
      <w:spacing w:after="0" w:line="240" w:lineRule="auto"/>
      <w:jc w:val="center"/>
      <w:rPr>
        <w:rFonts w:asciiTheme="minorHAnsi" w:hAnsiTheme="minorHAnsi" w:cstheme="minorHAnsi"/>
        <w:sz w:val="18"/>
        <w:szCs w:val="18"/>
      </w:rPr>
    </w:pPr>
  </w:p>
  <w:p w14:paraId="48C752D4" w14:textId="77777777" w:rsidR="0011774D" w:rsidRDefault="0011774D" w:rsidP="004F0552">
    <w:pPr>
      <w:spacing w:after="0" w:line="240" w:lineRule="auto"/>
      <w:jc w:val="center"/>
      <w:rPr>
        <w:rFonts w:asciiTheme="minorHAnsi" w:hAnsiTheme="minorHAnsi" w:cstheme="minorHAnsi"/>
        <w:sz w:val="18"/>
        <w:szCs w:val="18"/>
      </w:rPr>
    </w:pPr>
  </w:p>
  <w:p w14:paraId="0EA776B7" w14:textId="77777777" w:rsidR="0011774D" w:rsidRPr="003321F2" w:rsidRDefault="0011774D" w:rsidP="004F0552">
    <w:pPr>
      <w:spacing w:after="0" w:line="240" w:lineRule="auto"/>
      <w:jc w:val="center"/>
      <w:rPr>
        <w:rFonts w:asciiTheme="minorHAnsi" w:hAnsiTheme="minorHAnsi" w:cstheme="minorHAnsi"/>
        <w:sz w:val="18"/>
        <w:szCs w:val="18"/>
        <w:lang w:val="fr-CH"/>
      </w:rPr>
    </w:pPr>
    <w:r w:rsidRPr="003321F2">
      <w:rPr>
        <w:rFonts w:asciiTheme="minorHAnsi" w:hAnsiTheme="minorHAnsi" w:cstheme="minorHAnsi"/>
        <w:sz w:val="18"/>
        <w:szCs w:val="18"/>
        <w:lang w:val="fr-CH"/>
      </w:rPr>
      <w:t>PALAIS DES NATIONS • 1211 GENEVA 10, SWITZERLAND</w:t>
    </w:r>
  </w:p>
  <w:p w14:paraId="4981FABC" w14:textId="77777777" w:rsidR="0011774D" w:rsidRPr="003321F2" w:rsidRDefault="0011774D" w:rsidP="004F0552">
    <w:pPr>
      <w:spacing w:after="0" w:line="240" w:lineRule="auto"/>
      <w:jc w:val="center"/>
      <w:rPr>
        <w:rFonts w:asciiTheme="minorHAnsi" w:hAnsiTheme="minorHAnsi" w:cstheme="minorHAnsi"/>
        <w:sz w:val="18"/>
        <w:szCs w:val="18"/>
        <w:lang w:val="fr-CH"/>
      </w:rPr>
    </w:pPr>
    <w:r w:rsidRPr="003321F2">
      <w:rPr>
        <w:rFonts w:asciiTheme="minorHAnsi" w:hAnsiTheme="minorHAnsi" w:cstheme="minorHAnsi"/>
        <w:sz w:val="18"/>
        <w:szCs w:val="18"/>
        <w:lang w:val="fr-CH"/>
      </w:rPr>
      <w:t xml:space="preserve"> www.ohchr.org • TEL: +41 22 917 9000 • FAX: +41 22 917 9008 • E-MAIL: registry@ohchr.org</w:t>
    </w:r>
  </w:p>
  <w:p w14:paraId="730F4E16" w14:textId="77777777" w:rsidR="0011774D" w:rsidRPr="003321F2" w:rsidRDefault="00117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9654E"/>
    <w:multiLevelType w:val="multilevel"/>
    <w:tmpl w:val="6D1C56C4"/>
    <w:lvl w:ilvl="0">
      <w:start w:val="1"/>
      <w:numFmt w:val="decimal"/>
      <w:pStyle w:val="Heading2"/>
      <w:lvlText w:val="%1."/>
      <w:lvlJc w:val="left"/>
      <w:pPr>
        <w:ind w:left="360" w:hanging="360"/>
      </w:pPr>
      <w:rPr>
        <w:rFonts w:ascii="Constantia" w:hAnsi="Constantia" w:hint="default"/>
        <w:sz w:val="24"/>
      </w:rPr>
    </w:lvl>
    <w:lvl w:ilvl="1">
      <w:start w:val="1"/>
      <w:numFmt w:val="decimal"/>
      <w:lvlText w:val="%1.%2"/>
      <w:lvlJc w:val="left"/>
      <w:pPr>
        <w:ind w:left="720" w:hanging="360"/>
      </w:pPr>
      <w:rPr>
        <w:rFonts w:ascii="Constantia" w:hAnsi="Constantia" w:hint="default"/>
        <w:sz w:val="24"/>
      </w:rPr>
    </w:lvl>
    <w:lvl w:ilvl="2">
      <w:start w:val="1"/>
      <w:numFmt w:val="decimal"/>
      <w:lvlText w:val="%1.%2.%3"/>
      <w:lvlJc w:val="left"/>
      <w:pPr>
        <w:ind w:left="1080" w:hanging="360"/>
      </w:pPr>
      <w:rPr>
        <w:rFonts w:ascii="Constantia" w:hAnsi="Constantia" w:hint="default"/>
        <w:sz w:val="24"/>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0D2B50B6"/>
    <w:multiLevelType w:val="hybridMultilevel"/>
    <w:tmpl w:val="EB4A1614"/>
    <w:lvl w:ilvl="0" w:tplc="82BE4418">
      <w:start w:val="1"/>
      <w:numFmt w:val="upperLetter"/>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21A11D2"/>
    <w:multiLevelType w:val="multilevel"/>
    <w:tmpl w:val="4D6A65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1C3759D"/>
    <w:multiLevelType w:val="hybridMultilevel"/>
    <w:tmpl w:val="8D14BAD6"/>
    <w:lvl w:ilvl="0" w:tplc="18090015">
      <w:start w:val="7"/>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2C34ADB"/>
    <w:multiLevelType w:val="hybridMultilevel"/>
    <w:tmpl w:val="F1F285A8"/>
    <w:lvl w:ilvl="0" w:tplc="20FA9846">
      <w:start w:val="1"/>
      <w:numFmt w:val="decimal"/>
      <w:lvlText w:val="%1."/>
      <w:lvlJc w:val="left"/>
      <w:pPr>
        <w:ind w:left="720" w:hanging="360"/>
      </w:pPr>
      <w:rPr>
        <w:rFonts w:hint="default"/>
        <w:b w:val="0"/>
        <w:bCs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4174CD0"/>
    <w:multiLevelType w:val="hybridMultilevel"/>
    <w:tmpl w:val="655CF21E"/>
    <w:lvl w:ilvl="0" w:tplc="20FA9846">
      <w:start w:val="1"/>
      <w:numFmt w:val="decimal"/>
      <w:lvlText w:val="%1."/>
      <w:lvlJc w:val="left"/>
      <w:pPr>
        <w:ind w:left="720" w:hanging="360"/>
      </w:pPr>
      <w:rPr>
        <w:rFonts w:hint="default"/>
        <w:b w:val="0"/>
        <w:bCs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4213102"/>
    <w:multiLevelType w:val="hybridMultilevel"/>
    <w:tmpl w:val="C26EAE6A"/>
    <w:lvl w:ilvl="0" w:tplc="20FA9846">
      <w:start w:val="1"/>
      <w:numFmt w:val="decimal"/>
      <w:lvlText w:val="%1."/>
      <w:lvlJc w:val="left"/>
      <w:pPr>
        <w:ind w:left="720" w:hanging="360"/>
      </w:pPr>
      <w:rPr>
        <w:rFonts w:hint="default"/>
        <w:b w:val="0"/>
        <w:bCs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6592505"/>
    <w:multiLevelType w:val="hybridMultilevel"/>
    <w:tmpl w:val="1298A3A8"/>
    <w:lvl w:ilvl="0" w:tplc="D96C93BC">
      <w:start w:val="1"/>
      <w:numFmt w:val="decimal"/>
      <w:pStyle w:val="Heading1A"/>
      <w:lvlText w:val="(%1)"/>
      <w:lvlJc w:val="left"/>
      <w:pPr>
        <w:ind w:left="720" w:hanging="360"/>
      </w:pPr>
      <w:rPr>
        <w:rFonts w:hint="default"/>
        <w:b/>
        <w:bCs/>
        <w:i w:val="0"/>
        <w:iCs/>
        <w:color w:val="007976"/>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733560E"/>
    <w:multiLevelType w:val="hybridMultilevel"/>
    <w:tmpl w:val="FE56E234"/>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AE776B9"/>
    <w:multiLevelType w:val="hybridMultilevel"/>
    <w:tmpl w:val="089CC05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2196871"/>
    <w:multiLevelType w:val="hybridMultilevel"/>
    <w:tmpl w:val="E682D032"/>
    <w:lvl w:ilvl="0" w:tplc="BEFEB3A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2F1626C"/>
    <w:multiLevelType w:val="hybridMultilevel"/>
    <w:tmpl w:val="A4C21784"/>
    <w:lvl w:ilvl="0" w:tplc="2910CECA">
      <w:start w:val="9"/>
      <w:numFmt w:val="upp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2" w15:restartNumberingAfterBreak="0">
    <w:nsid w:val="490F0AFC"/>
    <w:multiLevelType w:val="hybridMultilevel"/>
    <w:tmpl w:val="DFF65E4E"/>
    <w:lvl w:ilvl="0" w:tplc="06C8692A">
      <w:start w:val="1"/>
      <w:numFmt w:val="upperLetter"/>
      <w:lvlText w:val="%1."/>
      <w:lvlJc w:val="left"/>
      <w:pPr>
        <w:ind w:left="284" w:hanging="360"/>
      </w:pPr>
      <w:rPr>
        <w:rFonts w:hint="default"/>
      </w:rPr>
    </w:lvl>
    <w:lvl w:ilvl="1" w:tplc="18090019" w:tentative="1">
      <w:start w:val="1"/>
      <w:numFmt w:val="lowerLetter"/>
      <w:lvlText w:val="%2."/>
      <w:lvlJc w:val="left"/>
      <w:pPr>
        <w:ind w:left="1004" w:hanging="360"/>
      </w:pPr>
    </w:lvl>
    <w:lvl w:ilvl="2" w:tplc="1809001B" w:tentative="1">
      <w:start w:val="1"/>
      <w:numFmt w:val="lowerRoman"/>
      <w:lvlText w:val="%3."/>
      <w:lvlJc w:val="right"/>
      <w:pPr>
        <w:ind w:left="1724" w:hanging="180"/>
      </w:pPr>
    </w:lvl>
    <w:lvl w:ilvl="3" w:tplc="1809000F" w:tentative="1">
      <w:start w:val="1"/>
      <w:numFmt w:val="decimal"/>
      <w:lvlText w:val="%4."/>
      <w:lvlJc w:val="left"/>
      <w:pPr>
        <w:ind w:left="2444" w:hanging="360"/>
      </w:pPr>
    </w:lvl>
    <w:lvl w:ilvl="4" w:tplc="18090019" w:tentative="1">
      <w:start w:val="1"/>
      <w:numFmt w:val="lowerLetter"/>
      <w:lvlText w:val="%5."/>
      <w:lvlJc w:val="left"/>
      <w:pPr>
        <w:ind w:left="3164" w:hanging="360"/>
      </w:pPr>
    </w:lvl>
    <w:lvl w:ilvl="5" w:tplc="1809001B" w:tentative="1">
      <w:start w:val="1"/>
      <w:numFmt w:val="lowerRoman"/>
      <w:lvlText w:val="%6."/>
      <w:lvlJc w:val="right"/>
      <w:pPr>
        <w:ind w:left="3884" w:hanging="180"/>
      </w:pPr>
    </w:lvl>
    <w:lvl w:ilvl="6" w:tplc="1809000F" w:tentative="1">
      <w:start w:val="1"/>
      <w:numFmt w:val="decimal"/>
      <w:lvlText w:val="%7."/>
      <w:lvlJc w:val="left"/>
      <w:pPr>
        <w:ind w:left="4604" w:hanging="360"/>
      </w:pPr>
    </w:lvl>
    <w:lvl w:ilvl="7" w:tplc="18090019" w:tentative="1">
      <w:start w:val="1"/>
      <w:numFmt w:val="lowerLetter"/>
      <w:lvlText w:val="%8."/>
      <w:lvlJc w:val="left"/>
      <w:pPr>
        <w:ind w:left="5324" w:hanging="360"/>
      </w:pPr>
    </w:lvl>
    <w:lvl w:ilvl="8" w:tplc="1809001B" w:tentative="1">
      <w:start w:val="1"/>
      <w:numFmt w:val="lowerRoman"/>
      <w:lvlText w:val="%9."/>
      <w:lvlJc w:val="right"/>
      <w:pPr>
        <w:ind w:left="6044" w:hanging="180"/>
      </w:pPr>
    </w:lvl>
  </w:abstractNum>
  <w:abstractNum w:abstractNumId="13" w15:restartNumberingAfterBreak="0">
    <w:nsid w:val="510D1946"/>
    <w:multiLevelType w:val="multilevel"/>
    <w:tmpl w:val="745C4794"/>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pStyle w:val="Heading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A1C203C"/>
    <w:multiLevelType w:val="hybridMultilevel"/>
    <w:tmpl w:val="F1F285A8"/>
    <w:lvl w:ilvl="0" w:tplc="20FA9846">
      <w:start w:val="1"/>
      <w:numFmt w:val="decimal"/>
      <w:lvlText w:val="%1."/>
      <w:lvlJc w:val="left"/>
      <w:pPr>
        <w:ind w:left="720" w:hanging="360"/>
      </w:pPr>
      <w:rPr>
        <w:rFonts w:hint="default"/>
        <w:b w:val="0"/>
        <w:bCs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8DA37C6"/>
    <w:multiLevelType w:val="hybridMultilevel"/>
    <w:tmpl w:val="EADEC5A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9DF5F2C"/>
    <w:multiLevelType w:val="hybridMultilevel"/>
    <w:tmpl w:val="FFEEECFE"/>
    <w:lvl w:ilvl="0" w:tplc="08090001">
      <w:start w:val="1"/>
      <w:numFmt w:val="bullet"/>
      <w:lvlText w:val=""/>
      <w:lvlJc w:val="left"/>
      <w:pPr>
        <w:ind w:left="720" w:hanging="360"/>
      </w:pPr>
      <w:rPr>
        <w:rFonts w:ascii="Symbol" w:hAnsi="Symbol" w:hint="default"/>
        <w:b w:val="0"/>
        <w:bCs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AC024C8"/>
    <w:multiLevelType w:val="hybridMultilevel"/>
    <w:tmpl w:val="40F4496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63944FC"/>
    <w:multiLevelType w:val="multilevel"/>
    <w:tmpl w:val="BE8A60CA"/>
    <w:lvl w:ilvl="0">
      <w:start w:val="1"/>
      <w:numFmt w:val="decimal"/>
      <w:lvlText w:val="%1."/>
      <w:lvlJc w:val="left"/>
      <w:pPr>
        <w:ind w:left="360" w:hanging="360"/>
      </w:pPr>
      <w:rPr>
        <w:rFonts w:ascii="Constantia" w:hAnsi="Constantia" w:hint="default"/>
        <w:sz w:val="24"/>
      </w:rPr>
    </w:lvl>
    <w:lvl w:ilvl="1">
      <w:start w:val="1"/>
      <w:numFmt w:val="decimal"/>
      <w:lvlText w:val="%1.%2"/>
      <w:lvlJc w:val="left"/>
      <w:pPr>
        <w:ind w:left="720" w:hanging="360"/>
      </w:pPr>
      <w:rPr>
        <w:rFonts w:ascii="Constantia" w:hAnsi="Constantia" w:hint="default"/>
        <w:sz w:val="24"/>
      </w:rPr>
    </w:lvl>
    <w:lvl w:ilvl="2">
      <w:start w:val="1"/>
      <w:numFmt w:val="decimal"/>
      <w:lvlText w:val="%1.%2.%3"/>
      <w:lvlJc w:val="left"/>
      <w:pPr>
        <w:ind w:left="1080" w:hanging="360"/>
      </w:pPr>
      <w:rPr>
        <w:rFonts w:ascii="Constantia" w:hAnsi="Constantia" w:hint="default"/>
        <w:sz w:val="24"/>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0"/>
  </w:num>
  <w:num w:numId="2">
    <w:abstractNumId w:val="10"/>
  </w:num>
  <w:num w:numId="3">
    <w:abstractNumId w:val="7"/>
  </w:num>
  <w:num w:numId="4">
    <w:abstractNumId w:val="2"/>
  </w:num>
  <w:num w:numId="5">
    <w:abstractNumId w:val="0"/>
  </w:num>
  <w:num w:numId="6">
    <w:abstractNumId w:val="0"/>
  </w:num>
  <w:num w:numId="7">
    <w:abstractNumId w:val="18"/>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6"/>
  </w:num>
  <w:num w:numId="12">
    <w:abstractNumId w:val="17"/>
  </w:num>
  <w:num w:numId="13">
    <w:abstractNumId w:val="15"/>
  </w:num>
  <w:num w:numId="14">
    <w:abstractNumId w:val="9"/>
  </w:num>
  <w:num w:numId="15">
    <w:abstractNumId w:val="1"/>
  </w:num>
  <w:num w:numId="16">
    <w:abstractNumId w:val="5"/>
  </w:num>
  <w:num w:numId="17">
    <w:abstractNumId w:val="6"/>
  </w:num>
  <w:num w:numId="18">
    <w:abstractNumId w:val="3"/>
  </w:num>
  <w:num w:numId="19">
    <w:abstractNumId w:val="11"/>
  </w:num>
  <w:num w:numId="20">
    <w:abstractNumId w:val="12"/>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81"/>
    <w:rsid w:val="00002CB6"/>
    <w:rsid w:val="000101D6"/>
    <w:rsid w:val="000111A6"/>
    <w:rsid w:val="00014808"/>
    <w:rsid w:val="000216C5"/>
    <w:rsid w:val="00037897"/>
    <w:rsid w:val="00045564"/>
    <w:rsid w:val="00051A0A"/>
    <w:rsid w:val="00056CF4"/>
    <w:rsid w:val="00062D1A"/>
    <w:rsid w:val="0007128B"/>
    <w:rsid w:val="00072172"/>
    <w:rsid w:val="00081B5C"/>
    <w:rsid w:val="0008234B"/>
    <w:rsid w:val="000A0F52"/>
    <w:rsid w:val="000A3868"/>
    <w:rsid w:val="000B2EEA"/>
    <w:rsid w:val="000C54D3"/>
    <w:rsid w:val="00110EDF"/>
    <w:rsid w:val="0011774D"/>
    <w:rsid w:val="0012090B"/>
    <w:rsid w:val="0012478B"/>
    <w:rsid w:val="00125F7B"/>
    <w:rsid w:val="00130E30"/>
    <w:rsid w:val="00151BAD"/>
    <w:rsid w:val="0017187B"/>
    <w:rsid w:val="00173190"/>
    <w:rsid w:val="00192E3C"/>
    <w:rsid w:val="001A77AE"/>
    <w:rsid w:val="001B6AF2"/>
    <w:rsid w:val="001C4C47"/>
    <w:rsid w:val="001D080A"/>
    <w:rsid w:val="001D2B4F"/>
    <w:rsid w:val="001D78DD"/>
    <w:rsid w:val="00201648"/>
    <w:rsid w:val="00204121"/>
    <w:rsid w:val="00206745"/>
    <w:rsid w:val="002118FF"/>
    <w:rsid w:val="00224F1F"/>
    <w:rsid w:val="002461AD"/>
    <w:rsid w:val="00276F05"/>
    <w:rsid w:val="002871B0"/>
    <w:rsid w:val="00287726"/>
    <w:rsid w:val="002B47D5"/>
    <w:rsid w:val="002B63C0"/>
    <w:rsid w:val="002C1161"/>
    <w:rsid w:val="002C1DDD"/>
    <w:rsid w:val="002D124D"/>
    <w:rsid w:val="002E74A5"/>
    <w:rsid w:val="002F2623"/>
    <w:rsid w:val="00301D31"/>
    <w:rsid w:val="0030512B"/>
    <w:rsid w:val="0031555F"/>
    <w:rsid w:val="00325D55"/>
    <w:rsid w:val="003321F2"/>
    <w:rsid w:val="00340C1B"/>
    <w:rsid w:val="00350123"/>
    <w:rsid w:val="003572D0"/>
    <w:rsid w:val="00363B06"/>
    <w:rsid w:val="003646F1"/>
    <w:rsid w:val="00365407"/>
    <w:rsid w:val="00375192"/>
    <w:rsid w:val="00380709"/>
    <w:rsid w:val="003834F0"/>
    <w:rsid w:val="0038484D"/>
    <w:rsid w:val="0038586B"/>
    <w:rsid w:val="00390D4B"/>
    <w:rsid w:val="003943BE"/>
    <w:rsid w:val="0039644D"/>
    <w:rsid w:val="003A4745"/>
    <w:rsid w:val="003A7ACD"/>
    <w:rsid w:val="003D1C95"/>
    <w:rsid w:val="003D4F1E"/>
    <w:rsid w:val="003E74F4"/>
    <w:rsid w:val="003F39BA"/>
    <w:rsid w:val="004054AB"/>
    <w:rsid w:val="00422DC6"/>
    <w:rsid w:val="0042515A"/>
    <w:rsid w:val="004426F9"/>
    <w:rsid w:val="004466E2"/>
    <w:rsid w:val="0046415F"/>
    <w:rsid w:val="00465E98"/>
    <w:rsid w:val="00486930"/>
    <w:rsid w:val="00497437"/>
    <w:rsid w:val="004B3784"/>
    <w:rsid w:val="004C75B7"/>
    <w:rsid w:val="004C7C50"/>
    <w:rsid w:val="004E0D5D"/>
    <w:rsid w:val="004E3CC9"/>
    <w:rsid w:val="004E540E"/>
    <w:rsid w:val="004F0552"/>
    <w:rsid w:val="004F5433"/>
    <w:rsid w:val="0051640B"/>
    <w:rsid w:val="00523B90"/>
    <w:rsid w:val="0052439E"/>
    <w:rsid w:val="00530EEA"/>
    <w:rsid w:val="005434E4"/>
    <w:rsid w:val="00553B0A"/>
    <w:rsid w:val="00554299"/>
    <w:rsid w:val="005753F8"/>
    <w:rsid w:val="005818E9"/>
    <w:rsid w:val="005D5471"/>
    <w:rsid w:val="005F4DCD"/>
    <w:rsid w:val="00605C6E"/>
    <w:rsid w:val="0060784F"/>
    <w:rsid w:val="006243AB"/>
    <w:rsid w:val="00625042"/>
    <w:rsid w:val="00627D30"/>
    <w:rsid w:val="00644FF2"/>
    <w:rsid w:val="00653823"/>
    <w:rsid w:val="00664671"/>
    <w:rsid w:val="006671B1"/>
    <w:rsid w:val="006717D4"/>
    <w:rsid w:val="00671A8F"/>
    <w:rsid w:val="006773E2"/>
    <w:rsid w:val="00683594"/>
    <w:rsid w:val="006B0403"/>
    <w:rsid w:val="006B2C0C"/>
    <w:rsid w:val="006C4606"/>
    <w:rsid w:val="006C4C11"/>
    <w:rsid w:val="006C6F2E"/>
    <w:rsid w:val="006C7E9B"/>
    <w:rsid w:val="006E2E6C"/>
    <w:rsid w:val="006F17E8"/>
    <w:rsid w:val="0071477D"/>
    <w:rsid w:val="0073145B"/>
    <w:rsid w:val="0073169A"/>
    <w:rsid w:val="0074028B"/>
    <w:rsid w:val="00745508"/>
    <w:rsid w:val="007536AF"/>
    <w:rsid w:val="00773B18"/>
    <w:rsid w:val="007818BA"/>
    <w:rsid w:val="0078402A"/>
    <w:rsid w:val="00785D25"/>
    <w:rsid w:val="00791CAC"/>
    <w:rsid w:val="007965B1"/>
    <w:rsid w:val="007A0248"/>
    <w:rsid w:val="007A587D"/>
    <w:rsid w:val="007B2C0C"/>
    <w:rsid w:val="007B5509"/>
    <w:rsid w:val="007B6225"/>
    <w:rsid w:val="007C0EBC"/>
    <w:rsid w:val="007C1C3B"/>
    <w:rsid w:val="007C3682"/>
    <w:rsid w:val="007D5335"/>
    <w:rsid w:val="007E0CC6"/>
    <w:rsid w:val="007E761C"/>
    <w:rsid w:val="007E7DAB"/>
    <w:rsid w:val="007F41CC"/>
    <w:rsid w:val="007F6B10"/>
    <w:rsid w:val="00812369"/>
    <w:rsid w:val="00814288"/>
    <w:rsid w:val="00825602"/>
    <w:rsid w:val="0083036E"/>
    <w:rsid w:val="00846C36"/>
    <w:rsid w:val="008527C5"/>
    <w:rsid w:val="008610B8"/>
    <w:rsid w:val="00863596"/>
    <w:rsid w:val="00873919"/>
    <w:rsid w:val="00876321"/>
    <w:rsid w:val="00892DE6"/>
    <w:rsid w:val="00892E0F"/>
    <w:rsid w:val="008A4DF8"/>
    <w:rsid w:val="008A7EFA"/>
    <w:rsid w:val="008B5C77"/>
    <w:rsid w:val="008C7FA7"/>
    <w:rsid w:val="008D2153"/>
    <w:rsid w:val="008D5F93"/>
    <w:rsid w:val="00900B9F"/>
    <w:rsid w:val="009023CE"/>
    <w:rsid w:val="00905A5A"/>
    <w:rsid w:val="00907D74"/>
    <w:rsid w:val="00910B2A"/>
    <w:rsid w:val="00912702"/>
    <w:rsid w:val="00915B91"/>
    <w:rsid w:val="00920E05"/>
    <w:rsid w:val="009409AD"/>
    <w:rsid w:val="009460F3"/>
    <w:rsid w:val="00961AAF"/>
    <w:rsid w:val="00965720"/>
    <w:rsid w:val="009744E9"/>
    <w:rsid w:val="00990365"/>
    <w:rsid w:val="00990827"/>
    <w:rsid w:val="00990DDE"/>
    <w:rsid w:val="00992E52"/>
    <w:rsid w:val="00997A31"/>
    <w:rsid w:val="009C2D31"/>
    <w:rsid w:val="009C4BF4"/>
    <w:rsid w:val="009D4940"/>
    <w:rsid w:val="009F4D2C"/>
    <w:rsid w:val="00A14A72"/>
    <w:rsid w:val="00A16187"/>
    <w:rsid w:val="00A2332B"/>
    <w:rsid w:val="00A236D9"/>
    <w:rsid w:val="00A305F0"/>
    <w:rsid w:val="00A41A19"/>
    <w:rsid w:val="00A52C9E"/>
    <w:rsid w:val="00A66E46"/>
    <w:rsid w:val="00A671F2"/>
    <w:rsid w:val="00A677CE"/>
    <w:rsid w:val="00A72686"/>
    <w:rsid w:val="00A77766"/>
    <w:rsid w:val="00A82078"/>
    <w:rsid w:val="00A84179"/>
    <w:rsid w:val="00A90922"/>
    <w:rsid w:val="00A94459"/>
    <w:rsid w:val="00A95359"/>
    <w:rsid w:val="00AB0037"/>
    <w:rsid w:val="00AB59F8"/>
    <w:rsid w:val="00AB6281"/>
    <w:rsid w:val="00AC34E8"/>
    <w:rsid w:val="00AD27E0"/>
    <w:rsid w:val="00AF374E"/>
    <w:rsid w:val="00B1106C"/>
    <w:rsid w:val="00B2123A"/>
    <w:rsid w:val="00B21EDC"/>
    <w:rsid w:val="00B30B73"/>
    <w:rsid w:val="00B31FE4"/>
    <w:rsid w:val="00B3702C"/>
    <w:rsid w:val="00B43A71"/>
    <w:rsid w:val="00B4535A"/>
    <w:rsid w:val="00B532D4"/>
    <w:rsid w:val="00B60012"/>
    <w:rsid w:val="00B7042F"/>
    <w:rsid w:val="00B71F84"/>
    <w:rsid w:val="00B733D7"/>
    <w:rsid w:val="00B82864"/>
    <w:rsid w:val="00B82E17"/>
    <w:rsid w:val="00B917E0"/>
    <w:rsid w:val="00B96B6E"/>
    <w:rsid w:val="00B97D9D"/>
    <w:rsid w:val="00BA4317"/>
    <w:rsid w:val="00BA5336"/>
    <w:rsid w:val="00BB0D57"/>
    <w:rsid w:val="00BB4E57"/>
    <w:rsid w:val="00BB72FB"/>
    <w:rsid w:val="00BD78E2"/>
    <w:rsid w:val="00BE1C2B"/>
    <w:rsid w:val="00BE5A70"/>
    <w:rsid w:val="00BF5430"/>
    <w:rsid w:val="00C016B0"/>
    <w:rsid w:val="00C02DB2"/>
    <w:rsid w:val="00C16104"/>
    <w:rsid w:val="00C224C0"/>
    <w:rsid w:val="00C41951"/>
    <w:rsid w:val="00C46E39"/>
    <w:rsid w:val="00C54C16"/>
    <w:rsid w:val="00C55F60"/>
    <w:rsid w:val="00C578CE"/>
    <w:rsid w:val="00C93FA3"/>
    <w:rsid w:val="00CA3C3F"/>
    <w:rsid w:val="00CA4642"/>
    <w:rsid w:val="00CA5E6E"/>
    <w:rsid w:val="00CB44F0"/>
    <w:rsid w:val="00CB5F52"/>
    <w:rsid w:val="00CB67D6"/>
    <w:rsid w:val="00CB72A9"/>
    <w:rsid w:val="00CD6B2B"/>
    <w:rsid w:val="00CE2B62"/>
    <w:rsid w:val="00CF2101"/>
    <w:rsid w:val="00CF2989"/>
    <w:rsid w:val="00D17B0D"/>
    <w:rsid w:val="00D34140"/>
    <w:rsid w:val="00D3620B"/>
    <w:rsid w:val="00D36617"/>
    <w:rsid w:val="00D44C2D"/>
    <w:rsid w:val="00D8096F"/>
    <w:rsid w:val="00D86AD5"/>
    <w:rsid w:val="00D936A4"/>
    <w:rsid w:val="00DB57C4"/>
    <w:rsid w:val="00DC44AE"/>
    <w:rsid w:val="00DC7B2D"/>
    <w:rsid w:val="00DD79D1"/>
    <w:rsid w:val="00DE2554"/>
    <w:rsid w:val="00DE321A"/>
    <w:rsid w:val="00DE384B"/>
    <w:rsid w:val="00DE3EA4"/>
    <w:rsid w:val="00DE6255"/>
    <w:rsid w:val="00DF3CA9"/>
    <w:rsid w:val="00E01C48"/>
    <w:rsid w:val="00E01F42"/>
    <w:rsid w:val="00E0438A"/>
    <w:rsid w:val="00E1548B"/>
    <w:rsid w:val="00E166ED"/>
    <w:rsid w:val="00E2759F"/>
    <w:rsid w:val="00E3061F"/>
    <w:rsid w:val="00E31182"/>
    <w:rsid w:val="00E4572D"/>
    <w:rsid w:val="00E52F93"/>
    <w:rsid w:val="00E544E8"/>
    <w:rsid w:val="00E60676"/>
    <w:rsid w:val="00E72304"/>
    <w:rsid w:val="00E843FE"/>
    <w:rsid w:val="00E84632"/>
    <w:rsid w:val="00E84EC3"/>
    <w:rsid w:val="00E86091"/>
    <w:rsid w:val="00EA34C6"/>
    <w:rsid w:val="00EB22C8"/>
    <w:rsid w:val="00ED350F"/>
    <w:rsid w:val="00EE5540"/>
    <w:rsid w:val="00EE6076"/>
    <w:rsid w:val="00EF21C0"/>
    <w:rsid w:val="00F00DB4"/>
    <w:rsid w:val="00F230EE"/>
    <w:rsid w:val="00F27A1A"/>
    <w:rsid w:val="00F32CA2"/>
    <w:rsid w:val="00F37AD0"/>
    <w:rsid w:val="00F450F0"/>
    <w:rsid w:val="00F47B0F"/>
    <w:rsid w:val="00F5118F"/>
    <w:rsid w:val="00F516F9"/>
    <w:rsid w:val="00F547B9"/>
    <w:rsid w:val="00F57A81"/>
    <w:rsid w:val="00F6161B"/>
    <w:rsid w:val="00FA0CA9"/>
    <w:rsid w:val="00FA30F8"/>
    <w:rsid w:val="00FB0568"/>
    <w:rsid w:val="00FB5A8B"/>
    <w:rsid w:val="00FC01A0"/>
    <w:rsid w:val="00FE4181"/>
    <w:rsid w:val="00FF37DF"/>
    <w:rsid w:val="00FF6F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B92405"/>
  <w15:chartTrackingRefBased/>
  <w15:docId w15:val="{9B0D9201-F60E-4B9E-8863-110A43BC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CB6"/>
    <w:pPr>
      <w:spacing w:line="360" w:lineRule="auto"/>
    </w:pPr>
    <w:rPr>
      <w:rFonts w:ascii="Garamond" w:hAnsi="Garamond"/>
      <w:sz w:val="24"/>
      <w:szCs w:val="24"/>
    </w:rPr>
  </w:style>
  <w:style w:type="paragraph" w:styleId="Heading1">
    <w:name w:val="heading 1"/>
    <w:basedOn w:val="Normal"/>
    <w:next w:val="Normal"/>
    <w:link w:val="Heading1Char"/>
    <w:uiPriority w:val="9"/>
    <w:qFormat/>
    <w:rsid w:val="00B82E17"/>
    <w:pPr>
      <w:jc w:val="center"/>
      <w:outlineLvl w:val="0"/>
    </w:pPr>
    <w:rPr>
      <w:rFonts w:ascii="Constantia" w:hAnsi="Constantia" w:cs="Times New Roman"/>
      <w:b/>
      <w:bCs/>
      <w:sz w:val="28"/>
      <w:szCs w:val="28"/>
      <w:u w:val="single"/>
    </w:rPr>
  </w:style>
  <w:style w:type="paragraph" w:styleId="Heading2">
    <w:name w:val="heading 2"/>
    <w:basedOn w:val="Normal"/>
    <w:next w:val="Heading3"/>
    <w:link w:val="Heading2Char"/>
    <w:autoRedefine/>
    <w:uiPriority w:val="9"/>
    <w:unhideWhenUsed/>
    <w:qFormat/>
    <w:rsid w:val="00B82E17"/>
    <w:pPr>
      <w:numPr>
        <w:numId w:val="6"/>
      </w:numPr>
      <w:jc w:val="center"/>
      <w:outlineLvl w:val="1"/>
    </w:pPr>
    <w:rPr>
      <w:rFonts w:ascii="Constantia" w:hAnsi="Constantia" w:cs="Times New Roman"/>
      <w:b/>
      <w:bCs/>
      <w:iCs/>
    </w:rPr>
  </w:style>
  <w:style w:type="paragraph" w:styleId="Heading3">
    <w:name w:val="heading 3"/>
    <w:basedOn w:val="Normal"/>
    <w:next w:val="Normal"/>
    <w:link w:val="Heading3Char"/>
    <w:autoRedefine/>
    <w:uiPriority w:val="9"/>
    <w:unhideWhenUsed/>
    <w:qFormat/>
    <w:rsid w:val="00B82E17"/>
    <w:pPr>
      <w:numPr>
        <w:ilvl w:val="1"/>
        <w:numId w:val="8"/>
      </w:numPr>
      <w:ind w:left="720" w:hanging="360"/>
      <w:outlineLvl w:val="2"/>
    </w:pPr>
    <w:rPr>
      <w:rFonts w:ascii="Constantia" w:hAnsi="Constantia" w:cs="Times New Roman"/>
      <w:i/>
      <w:iCs/>
      <w:u w:val="single"/>
    </w:rPr>
  </w:style>
  <w:style w:type="paragraph" w:styleId="Heading4">
    <w:name w:val="heading 4"/>
    <w:basedOn w:val="Normal"/>
    <w:next w:val="Normal"/>
    <w:link w:val="Heading4Char"/>
    <w:uiPriority w:val="9"/>
    <w:unhideWhenUsed/>
    <w:rsid w:val="00B82E17"/>
    <w:pPr>
      <w:keepNext/>
      <w:keepLines/>
      <w:numPr>
        <w:ilvl w:val="2"/>
        <w:numId w:val="9"/>
      </w:numPr>
      <w:spacing w:before="220" w:beforeAutospacing="1" w:after="220" w:afterAutospacing="1"/>
      <w:ind w:left="1287" w:hanging="567"/>
      <w:textAlignment w:val="baseline"/>
      <w:outlineLvl w:val="3"/>
    </w:pPr>
    <w:rPr>
      <w:rFonts w:ascii="Constantia" w:eastAsiaTheme="majorEastAsia" w:hAnsi="Constantia" w:cstheme="majorBidi"/>
      <w:i/>
      <w:iCs/>
      <w:lang w:eastAsia="en-IE"/>
    </w:rPr>
  </w:style>
  <w:style w:type="paragraph" w:styleId="Heading5">
    <w:name w:val="heading 5"/>
    <w:basedOn w:val="Normal"/>
    <w:link w:val="Heading5Char"/>
    <w:uiPriority w:val="9"/>
    <w:qFormat/>
    <w:rsid w:val="00DE321A"/>
    <w:pPr>
      <w:spacing w:before="100" w:beforeAutospacing="1" w:after="100" w:afterAutospacing="1" w:line="240" w:lineRule="auto"/>
      <w:ind w:left="1440"/>
      <w:jc w:val="both"/>
      <w:textAlignment w:val="baseline"/>
      <w:outlineLvl w:val="4"/>
    </w:pPr>
    <w:rPr>
      <w:rFonts w:eastAsia="Times New Roman" w:cs="Arial"/>
      <w:i/>
      <w:color w:val="00797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Heading1"/>
    <w:link w:val="Heading1AChar"/>
    <w:qFormat/>
    <w:rsid w:val="00DE321A"/>
    <w:pPr>
      <w:numPr>
        <w:numId w:val="3"/>
      </w:numPr>
    </w:pPr>
    <w:rPr>
      <w:caps/>
      <w:lang w:val="en-GB"/>
    </w:rPr>
  </w:style>
  <w:style w:type="character" w:customStyle="1" w:styleId="Heading1AChar">
    <w:name w:val="Heading 1A Char"/>
    <w:basedOn w:val="Heading1Char"/>
    <w:link w:val="Heading1A"/>
    <w:rsid w:val="00DE321A"/>
    <w:rPr>
      <w:rFonts w:asciiTheme="majorHAnsi" w:eastAsia="Calibri" w:hAnsiTheme="majorHAnsi" w:cstheme="majorBidi"/>
      <w:b/>
      <w:bCs/>
      <w:caps/>
      <w:color w:val="7030A0"/>
      <w:sz w:val="36"/>
      <w:szCs w:val="28"/>
      <w:u w:val="single"/>
      <w:lang w:val="en-GB" w:eastAsia="en-IE"/>
    </w:rPr>
  </w:style>
  <w:style w:type="character" w:customStyle="1" w:styleId="Heading1Char">
    <w:name w:val="Heading 1 Char"/>
    <w:basedOn w:val="DefaultParagraphFont"/>
    <w:link w:val="Heading1"/>
    <w:uiPriority w:val="9"/>
    <w:rsid w:val="00B82E17"/>
    <w:rPr>
      <w:rFonts w:ascii="Constantia" w:hAnsi="Constantia" w:cs="Times New Roman"/>
      <w:b/>
      <w:bCs/>
      <w:sz w:val="28"/>
      <w:szCs w:val="28"/>
      <w:u w:val="single"/>
    </w:rPr>
  </w:style>
  <w:style w:type="paragraph" w:customStyle="1" w:styleId="Subheading1">
    <w:name w:val="Subheading 1"/>
    <w:basedOn w:val="Heading1"/>
    <w:link w:val="Subheading1Char"/>
    <w:qFormat/>
    <w:rsid w:val="00DE321A"/>
    <w:pPr>
      <w:ind w:left="720"/>
    </w:pPr>
    <w:rPr>
      <w:rFonts w:ascii="Calibri" w:hAnsi="Calibri"/>
      <w:bCs w:val="0"/>
      <w:caps/>
      <w:szCs w:val="26"/>
    </w:rPr>
  </w:style>
  <w:style w:type="character" w:customStyle="1" w:styleId="Subheading1Char">
    <w:name w:val="Subheading 1 Char"/>
    <w:basedOn w:val="Heading1Char"/>
    <w:link w:val="Subheading1"/>
    <w:rsid w:val="00DE321A"/>
    <w:rPr>
      <w:rFonts w:ascii="Calibri" w:eastAsia="Calibri" w:hAnsi="Calibri" w:cstheme="majorBidi"/>
      <w:b/>
      <w:bCs w:val="0"/>
      <w:caps/>
      <w:color w:val="7030A0"/>
      <w:sz w:val="28"/>
      <w:szCs w:val="26"/>
      <w:u w:val="single"/>
      <w:lang w:eastAsia="en-IE"/>
    </w:rPr>
  </w:style>
  <w:style w:type="character" w:customStyle="1" w:styleId="Heading2Char">
    <w:name w:val="Heading 2 Char"/>
    <w:basedOn w:val="DefaultParagraphFont"/>
    <w:link w:val="Heading2"/>
    <w:uiPriority w:val="9"/>
    <w:rsid w:val="00B82E17"/>
    <w:rPr>
      <w:rFonts w:ascii="Constantia" w:hAnsi="Constantia" w:cs="Times New Roman"/>
      <w:b/>
      <w:bCs/>
      <w:iCs/>
      <w:sz w:val="24"/>
      <w:szCs w:val="24"/>
    </w:rPr>
  </w:style>
  <w:style w:type="character" w:customStyle="1" w:styleId="Heading3Char">
    <w:name w:val="Heading 3 Char"/>
    <w:basedOn w:val="DefaultParagraphFont"/>
    <w:link w:val="Heading3"/>
    <w:uiPriority w:val="9"/>
    <w:rsid w:val="00B82E17"/>
    <w:rPr>
      <w:rFonts w:ascii="Constantia" w:hAnsi="Constantia" w:cs="Times New Roman"/>
      <w:i/>
      <w:iCs/>
      <w:sz w:val="24"/>
      <w:szCs w:val="24"/>
      <w:u w:val="single"/>
    </w:rPr>
  </w:style>
  <w:style w:type="character" w:customStyle="1" w:styleId="Heading4Char">
    <w:name w:val="Heading 4 Char"/>
    <w:basedOn w:val="DefaultParagraphFont"/>
    <w:link w:val="Heading4"/>
    <w:uiPriority w:val="9"/>
    <w:rsid w:val="00B82E17"/>
    <w:rPr>
      <w:rFonts w:ascii="Constantia" w:eastAsiaTheme="majorEastAsia" w:hAnsi="Constantia" w:cstheme="majorBidi"/>
      <w:i/>
      <w:iCs/>
      <w:sz w:val="24"/>
      <w:szCs w:val="24"/>
      <w:lang w:eastAsia="en-IE"/>
    </w:rPr>
  </w:style>
  <w:style w:type="character" w:customStyle="1" w:styleId="Heading5Char">
    <w:name w:val="Heading 5 Char"/>
    <w:basedOn w:val="DefaultParagraphFont"/>
    <w:link w:val="Heading5"/>
    <w:uiPriority w:val="9"/>
    <w:rsid w:val="00DE321A"/>
    <w:rPr>
      <w:rFonts w:eastAsia="Times New Roman" w:cs="Arial"/>
      <w:i/>
      <w:color w:val="007976"/>
      <w:lang w:eastAsia="en-IE"/>
    </w:rPr>
  </w:style>
  <w:style w:type="paragraph" w:styleId="BalloonText">
    <w:name w:val="Balloon Text"/>
    <w:basedOn w:val="Normal"/>
    <w:link w:val="BalloonTextChar"/>
    <w:uiPriority w:val="99"/>
    <w:semiHidden/>
    <w:unhideWhenUsed/>
    <w:rsid w:val="00AB6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281"/>
    <w:rPr>
      <w:rFonts w:ascii="Segoe UI" w:hAnsi="Segoe UI" w:cs="Segoe UI"/>
      <w:sz w:val="18"/>
      <w:szCs w:val="18"/>
    </w:rPr>
  </w:style>
  <w:style w:type="character" w:styleId="Hyperlink">
    <w:name w:val="Hyperlink"/>
    <w:basedOn w:val="DefaultParagraphFont"/>
    <w:uiPriority w:val="99"/>
    <w:unhideWhenUsed/>
    <w:rsid w:val="00AB6281"/>
    <w:rPr>
      <w:color w:val="0563C1" w:themeColor="hyperlink"/>
      <w:u w:val="single"/>
    </w:rPr>
  </w:style>
  <w:style w:type="character" w:customStyle="1" w:styleId="UnresolvedMention">
    <w:name w:val="Unresolved Mention"/>
    <w:basedOn w:val="DefaultParagraphFont"/>
    <w:uiPriority w:val="99"/>
    <w:semiHidden/>
    <w:unhideWhenUsed/>
    <w:rsid w:val="00AB6281"/>
    <w:rPr>
      <w:color w:val="605E5C"/>
      <w:shd w:val="clear" w:color="auto" w:fill="E1DFDD"/>
    </w:rPr>
  </w:style>
  <w:style w:type="paragraph" w:styleId="Header">
    <w:name w:val="header"/>
    <w:basedOn w:val="Normal"/>
    <w:link w:val="HeaderChar"/>
    <w:uiPriority w:val="99"/>
    <w:unhideWhenUsed/>
    <w:rsid w:val="004F0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552"/>
    <w:rPr>
      <w:rFonts w:ascii="Garamond" w:hAnsi="Garamond"/>
      <w:sz w:val="24"/>
      <w:szCs w:val="24"/>
    </w:rPr>
  </w:style>
  <w:style w:type="paragraph" w:styleId="Footer">
    <w:name w:val="footer"/>
    <w:basedOn w:val="Normal"/>
    <w:link w:val="FooterChar"/>
    <w:uiPriority w:val="99"/>
    <w:unhideWhenUsed/>
    <w:rsid w:val="004F0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552"/>
    <w:rPr>
      <w:rFonts w:ascii="Garamond" w:hAnsi="Garamond"/>
      <w:sz w:val="24"/>
      <w:szCs w:val="24"/>
    </w:rPr>
  </w:style>
  <w:style w:type="paragraph" w:styleId="ListParagraph">
    <w:name w:val="List Paragraph"/>
    <w:basedOn w:val="Normal"/>
    <w:uiPriority w:val="34"/>
    <w:qFormat/>
    <w:rsid w:val="004F0552"/>
    <w:pPr>
      <w:ind w:left="720"/>
      <w:contextualSpacing/>
    </w:pPr>
  </w:style>
  <w:style w:type="paragraph" w:styleId="FootnoteText">
    <w:name w:val="footnote text"/>
    <w:basedOn w:val="Normal"/>
    <w:link w:val="FootnoteTextChar"/>
    <w:uiPriority w:val="99"/>
    <w:semiHidden/>
    <w:unhideWhenUsed/>
    <w:rsid w:val="008303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036E"/>
    <w:rPr>
      <w:rFonts w:ascii="Garamond" w:hAnsi="Garamond"/>
      <w:sz w:val="20"/>
      <w:szCs w:val="20"/>
    </w:rPr>
  </w:style>
  <w:style w:type="character" w:styleId="FootnoteReference">
    <w:name w:val="footnote reference"/>
    <w:basedOn w:val="DefaultParagraphFont"/>
    <w:uiPriority w:val="99"/>
    <w:semiHidden/>
    <w:unhideWhenUsed/>
    <w:rsid w:val="0083036E"/>
    <w:rPr>
      <w:vertAlign w:val="superscript"/>
    </w:rPr>
  </w:style>
  <w:style w:type="character" w:styleId="CommentReference">
    <w:name w:val="annotation reference"/>
    <w:basedOn w:val="DefaultParagraphFont"/>
    <w:uiPriority w:val="99"/>
    <w:semiHidden/>
    <w:unhideWhenUsed/>
    <w:rsid w:val="00192E3C"/>
    <w:rPr>
      <w:sz w:val="16"/>
      <w:szCs w:val="16"/>
    </w:rPr>
  </w:style>
  <w:style w:type="paragraph" w:styleId="CommentText">
    <w:name w:val="annotation text"/>
    <w:basedOn w:val="Normal"/>
    <w:link w:val="CommentTextChar"/>
    <w:uiPriority w:val="99"/>
    <w:semiHidden/>
    <w:unhideWhenUsed/>
    <w:rsid w:val="00192E3C"/>
    <w:pPr>
      <w:spacing w:line="240" w:lineRule="auto"/>
    </w:pPr>
    <w:rPr>
      <w:sz w:val="20"/>
      <w:szCs w:val="20"/>
    </w:rPr>
  </w:style>
  <w:style w:type="character" w:customStyle="1" w:styleId="CommentTextChar">
    <w:name w:val="Comment Text Char"/>
    <w:basedOn w:val="DefaultParagraphFont"/>
    <w:link w:val="CommentText"/>
    <w:uiPriority w:val="99"/>
    <w:semiHidden/>
    <w:rsid w:val="00192E3C"/>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92E3C"/>
    <w:rPr>
      <w:b/>
      <w:bCs/>
    </w:rPr>
  </w:style>
  <w:style w:type="character" w:customStyle="1" w:styleId="CommentSubjectChar">
    <w:name w:val="Comment Subject Char"/>
    <w:basedOn w:val="CommentTextChar"/>
    <w:link w:val="CommentSubject"/>
    <w:uiPriority w:val="99"/>
    <w:semiHidden/>
    <w:rsid w:val="00192E3C"/>
    <w:rPr>
      <w:rFonts w:ascii="Garamond" w:hAnsi="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documents-dds-ny.un.org/doc/UNDOC/GEN/N15/241/37/PDF/N1524137.pdf?OpenElement" TargetMode="External"/><Relationship Id="rId13" Type="http://schemas.openxmlformats.org/officeDocument/2006/relationships/hyperlink" Target="https://undocs.org/S/2017/939" TargetMode="External"/><Relationship Id="rId18" Type="http://schemas.openxmlformats.org/officeDocument/2006/relationships/hyperlink" Target="https://rm.coe.int/1680706a42" TargetMode="External"/><Relationship Id="rId3" Type="http://schemas.openxmlformats.org/officeDocument/2006/relationships/hyperlink" Target="https://tbinternet.ohchr.org/_layouts/15/treatybodyexternal/Download.aspx?symbolno=CEDAW/C/GC/38&amp;Lang=en" TargetMode="External"/><Relationship Id="rId21" Type="http://schemas.openxmlformats.org/officeDocument/2006/relationships/hyperlink" Target="https://undocs.org/A/71/303" TargetMode="External"/><Relationship Id="rId7" Type="http://schemas.openxmlformats.org/officeDocument/2006/relationships/hyperlink" Target="https://undocs.org/A/HRC/28/56" TargetMode="External"/><Relationship Id="rId12" Type="http://schemas.openxmlformats.org/officeDocument/2006/relationships/hyperlink" Target="https://www.refworld.org/docid/4538834f11.html" TargetMode="External"/><Relationship Id="rId17" Type="http://schemas.openxmlformats.org/officeDocument/2006/relationships/hyperlink" Target="https://undocs.org/en/A/HRC/38/47" TargetMode="External"/><Relationship Id="rId2" Type="http://schemas.openxmlformats.org/officeDocument/2006/relationships/hyperlink" Target="https://tbinternet.ohchr.org/_layouts/15/treatybodyexternal/Download.aspx?symbolno=CEDAW/C/GC/38&amp;Lang=en" TargetMode="External"/><Relationship Id="rId16" Type="http://schemas.openxmlformats.org/officeDocument/2006/relationships/hyperlink" Target="https://undocs.org/en/A/73/263" TargetMode="External"/><Relationship Id="rId20" Type="http://schemas.openxmlformats.org/officeDocument/2006/relationships/hyperlink" Target="https://violenceagainstchildren.un.org/sites/violenceagainstchildren.un.org/files/2020/reports_extremism/un_hq_osrsg_solutions_for_children_previously_affiliated_with_extremist_groups_20-01153_lo-res.pdf" TargetMode="External"/><Relationship Id="rId1" Type="http://schemas.openxmlformats.org/officeDocument/2006/relationships/hyperlink" Target="https://www.europol.europa.eu/publications-documents/exploiting-isolation-offenders-and-victims-of-online-child-sexual-abuse-during-covid-19-pandemic" TargetMode="External"/><Relationship Id="rId6" Type="http://schemas.openxmlformats.org/officeDocument/2006/relationships/hyperlink" Target="https://www.unodc.org/documents/justice-and-prison-reform/Child-Victims/Handbook_on_Children_Recruited_and_Exploited_by_Terrorist_and_Violent_Extremist_Groups_the_Role_of_the_Justice_System.E.pdf" TargetMode="External"/><Relationship Id="rId11" Type="http://schemas.openxmlformats.org/officeDocument/2006/relationships/hyperlink" Target="https://redirectmethod.org/" TargetMode="External"/><Relationship Id="rId5" Type="http://schemas.openxmlformats.org/officeDocument/2006/relationships/hyperlink" Target="https://tbinternet.ohchr.org/Treaties/CEDAW/Shared%20Documents/1_Global/CEDAW_C_GC_35_8267_E.pdf" TargetMode="External"/><Relationship Id="rId15" Type="http://schemas.openxmlformats.org/officeDocument/2006/relationships/hyperlink" Target="https://undocs.org/en/A/HRC/38/47" TargetMode="External"/><Relationship Id="rId10" Type="http://schemas.openxmlformats.org/officeDocument/2006/relationships/hyperlink" Target="https://www.unodc.org/documents/justice-and-prison-reform/Child-Victims/Handbook_on_Children_Recruited_and_Exploited_by_Terrorist_and_Violent_Extremist_Groups_the_Role_of_the_Justice_System.E.pdf" TargetMode="External"/><Relationship Id="rId19" Type="http://schemas.openxmlformats.org/officeDocument/2006/relationships/hyperlink" Target="https://undocs.org/en/A/73/263" TargetMode="External"/><Relationship Id="rId4" Type="http://schemas.openxmlformats.org/officeDocument/2006/relationships/hyperlink" Target="https://tbinternet.ohchr.org/Treaties/CEDAW/Shared%20Documents/1_Global/INT_CEDAW_GEC_3731_E.pdf" TargetMode="External"/><Relationship Id="rId9" Type="http://schemas.openxmlformats.org/officeDocument/2006/relationships/hyperlink" Target="https://www.icmec.org/wp-content/uploads/2016/02/Child-Pornography-Model-Law-8th-Ed-Final-linked.pdf" TargetMode="External"/><Relationship Id="rId14" Type="http://schemas.openxmlformats.org/officeDocument/2006/relationships/hyperlink" Target="https://tbinternet.ohchr.org/_layouts/15/treatybodyexternal/Download.aspx?symbolno=CEDAW/C/GC/38&amp;Lang=en"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47B80E-DEA6-4D1C-AFFA-10801DAE8802}">
  <ds:schemaRefs>
    <ds:schemaRef ds:uri="http://schemas.openxmlformats.org/officeDocument/2006/bibliography"/>
  </ds:schemaRefs>
</ds:datastoreItem>
</file>

<file path=customXml/itemProps2.xml><?xml version="1.0" encoding="utf-8"?>
<ds:datastoreItem xmlns:ds="http://schemas.openxmlformats.org/officeDocument/2006/customXml" ds:itemID="{F15EE899-40D6-4D6B-AD22-E2E885677A95}"/>
</file>

<file path=customXml/itemProps3.xml><?xml version="1.0" encoding="utf-8"?>
<ds:datastoreItem xmlns:ds="http://schemas.openxmlformats.org/officeDocument/2006/customXml" ds:itemID="{4AD6F425-34A2-434C-A716-07F66031BD8D}"/>
</file>

<file path=customXml/itemProps4.xml><?xml version="1.0" encoding="utf-8"?>
<ds:datastoreItem xmlns:ds="http://schemas.openxmlformats.org/officeDocument/2006/customXml" ds:itemID="{DF1B0804-9D3C-460E-B8CD-FDB9AADE9A17}"/>
</file>

<file path=docProps/app.xml><?xml version="1.0" encoding="utf-8"?>
<Properties xmlns="http://schemas.openxmlformats.org/officeDocument/2006/extended-properties" xmlns:vt="http://schemas.openxmlformats.org/officeDocument/2006/docPropsVTypes">
  <Template>Normal.dotm</Template>
  <TotalTime>1</TotalTime>
  <Pages>10</Pages>
  <Words>2711</Words>
  <Characters>16354</Characters>
  <Application>Microsoft Office Word</Application>
  <DocSecurity>4</DocSecurity>
  <Lines>247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Dunbar, Róisín</dc:creator>
  <cp:keywords/>
  <dc:description/>
  <cp:lastModifiedBy>Monica NASCIMENTO e SILVA</cp:lastModifiedBy>
  <cp:revision>2</cp:revision>
  <dcterms:created xsi:type="dcterms:W3CDTF">2020-11-13T12:06:00Z</dcterms:created>
  <dcterms:modified xsi:type="dcterms:W3CDTF">2020-11-13T12:06:00Z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