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30" w:rsidRPr="00984CDE" w:rsidRDefault="00CE3754" w:rsidP="00984CD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DE">
        <w:rPr>
          <w:rFonts w:ascii="Times New Roman" w:hAnsi="Times New Roman" w:cs="Times New Roman"/>
          <w:b/>
          <w:sz w:val="24"/>
          <w:szCs w:val="24"/>
        </w:rPr>
        <w:t>Contribuciones del Estado paraguayo</w:t>
      </w:r>
    </w:p>
    <w:p w:rsidR="00EC7A30" w:rsidRPr="00984CDE" w:rsidRDefault="00EC7A30" w:rsidP="00984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F06" w:rsidRPr="00984CDE" w:rsidRDefault="003F5F06" w:rsidP="00984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CDE">
        <w:rPr>
          <w:rFonts w:ascii="Times New Roman" w:hAnsi="Times New Roman" w:cs="Times New Roman"/>
          <w:b/>
          <w:bCs/>
          <w:sz w:val="24"/>
          <w:szCs w:val="24"/>
        </w:rPr>
        <w:t xml:space="preserve">Proyecto de </w:t>
      </w:r>
      <w:r w:rsidR="00AF6B6C" w:rsidRPr="00984CDE">
        <w:rPr>
          <w:rFonts w:ascii="Times New Roman" w:hAnsi="Times New Roman" w:cs="Times New Roman"/>
          <w:b/>
          <w:bCs/>
          <w:sz w:val="24"/>
          <w:szCs w:val="24"/>
        </w:rPr>
        <w:t>Comentario</w:t>
      </w:r>
      <w:r w:rsidRPr="00984CDE">
        <w:rPr>
          <w:rFonts w:ascii="Times New Roman" w:hAnsi="Times New Roman" w:cs="Times New Roman"/>
          <w:b/>
          <w:bCs/>
          <w:sz w:val="24"/>
          <w:szCs w:val="24"/>
        </w:rPr>
        <w:t xml:space="preserve"> General N° 25 del Comité de los Derechos del Niño de las Naciones Unidas</w:t>
      </w:r>
      <w:r w:rsidR="000C1D7B" w:rsidRPr="00984CDE">
        <w:rPr>
          <w:rFonts w:ascii="Times New Roman" w:hAnsi="Times New Roman" w:cs="Times New Roman"/>
          <w:b/>
          <w:bCs/>
          <w:sz w:val="24"/>
          <w:szCs w:val="24"/>
        </w:rPr>
        <w:t xml:space="preserve"> sobre los derechos del niño en relación con el entorno digital </w:t>
      </w:r>
    </w:p>
    <w:p w:rsidR="00CE3754" w:rsidRPr="00984CDE" w:rsidRDefault="00CE3754" w:rsidP="00984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F06" w:rsidRPr="00984CDE" w:rsidRDefault="003F5F06" w:rsidP="00984C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984CDE">
        <w:rPr>
          <w:rFonts w:ascii="Times New Roman" w:hAnsi="Times New Roman" w:cs="Times New Roman"/>
          <w:sz w:val="24"/>
          <w:szCs w:val="24"/>
        </w:rPr>
        <w:tab/>
      </w:r>
      <w:r w:rsidR="001618A6" w:rsidRPr="00984CDE">
        <w:rPr>
          <w:rFonts w:ascii="Times New Roman" w:hAnsi="Times New Roman" w:cs="Times New Roman"/>
          <w:sz w:val="24"/>
          <w:szCs w:val="24"/>
        </w:rPr>
        <w:t xml:space="preserve">En atención a </w:t>
      </w:r>
      <w:r w:rsidR="00CE3754" w:rsidRPr="00984CDE">
        <w:rPr>
          <w:rFonts w:ascii="Times New Roman" w:hAnsi="Times New Roman" w:cs="Times New Roman"/>
          <w:sz w:val="24"/>
          <w:szCs w:val="24"/>
        </w:rPr>
        <w:t>la Nota</w:t>
      </w:r>
      <w:r w:rsidR="00EC7A30" w:rsidRPr="00984CDE">
        <w:rPr>
          <w:rFonts w:ascii="Times New Roman" w:hAnsi="Times New Roman" w:cs="Times New Roman"/>
          <w:sz w:val="24"/>
          <w:szCs w:val="24"/>
        </w:rPr>
        <w:t xml:space="preserve"> </w:t>
      </w:r>
      <w:r w:rsidR="00CE3754" w:rsidRPr="00984CDE">
        <w:rPr>
          <w:rFonts w:ascii="Times New Roman" w:hAnsi="Times New Roman" w:cs="Times New Roman"/>
          <w:sz w:val="24"/>
          <w:szCs w:val="24"/>
          <w:lang w:val="es-ES"/>
        </w:rPr>
        <w:t>CRC/AF</w:t>
      </w:r>
      <w:r w:rsidR="00AF6B6C" w:rsidRPr="00984CD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E3754" w:rsidRPr="00984CDE">
        <w:rPr>
          <w:rFonts w:ascii="Times New Roman" w:hAnsi="Times New Roman" w:cs="Times New Roman"/>
          <w:sz w:val="24"/>
          <w:szCs w:val="24"/>
          <w:lang w:val="es-ES"/>
        </w:rPr>
        <w:t>de fecha 12 de agosto de 2020</w:t>
      </w:r>
      <w:r w:rsidR="00AF6B6C" w:rsidRPr="00984CDE">
        <w:rPr>
          <w:rFonts w:ascii="Times New Roman" w:hAnsi="Times New Roman" w:cs="Times New Roman"/>
          <w:sz w:val="24"/>
          <w:szCs w:val="24"/>
          <w:lang w:val="es-ES"/>
        </w:rPr>
        <w:t xml:space="preserve">, por el que la Oficina de la Alta Comisionada de las Naciones Unidas para los Derechos Humanos transmite una solicitud de contribuciones sobre </w:t>
      </w:r>
      <w:r w:rsidR="00AF6B6C" w:rsidRPr="00984CDE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es-PY"/>
        </w:rPr>
        <w:t xml:space="preserve">el proyecto del comentario general elaborado por el Comité de los Derechos del Niño </w:t>
      </w:r>
      <w:r w:rsidR="00F53CC9" w:rsidRPr="00984CDE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es-PY"/>
        </w:rPr>
        <w:t>respecto a</w:t>
      </w:r>
      <w:r w:rsidR="00AF6B6C" w:rsidRPr="00984CDE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es-PY"/>
        </w:rPr>
        <w:t xml:space="preserve"> los derechos del niño en relación con el entorno digital, </w:t>
      </w:r>
      <w:r w:rsidR="00AF6B6C" w:rsidRPr="00984CDE">
        <w:rPr>
          <w:rFonts w:ascii="Times New Roman" w:eastAsiaTheme="minorHAnsi" w:hAnsi="Times New Roman" w:cs="Times New Roman"/>
          <w:color w:val="000000"/>
          <w:sz w:val="24"/>
          <w:szCs w:val="24"/>
          <w:lang w:val="es-PY"/>
        </w:rPr>
        <w:t>conforme al</w:t>
      </w:r>
      <w:r w:rsidR="00AF6B6C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mandato </w:t>
      </w:r>
      <w:r w:rsidR="00F53CC9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conferido </w:t>
      </w:r>
      <w:r w:rsidR="00AF6B6C" w:rsidRPr="00984CDE">
        <w:rPr>
          <w:rFonts w:ascii="Times New Roman" w:hAnsi="Times New Roman" w:cs="Times New Roman"/>
          <w:sz w:val="24"/>
          <w:szCs w:val="24"/>
          <w:lang w:val="es-PY"/>
        </w:rPr>
        <w:t>en virtud del Artículo 45 de la Convención, el Minis</w:t>
      </w:r>
      <w:r w:rsidR="00F53CC9" w:rsidRPr="00984CDE">
        <w:rPr>
          <w:rFonts w:ascii="Times New Roman" w:hAnsi="Times New Roman" w:cs="Times New Roman"/>
          <w:sz w:val="24"/>
          <w:szCs w:val="24"/>
          <w:lang w:val="es-PY"/>
        </w:rPr>
        <w:t>terio de Relaciones Exteriores</w:t>
      </w:r>
      <w:r w:rsidR="00984CDE">
        <w:rPr>
          <w:rFonts w:ascii="Times New Roman" w:hAnsi="Times New Roman" w:cs="Times New Roman"/>
          <w:sz w:val="24"/>
          <w:szCs w:val="24"/>
          <w:lang w:val="es-PY"/>
        </w:rPr>
        <w:t xml:space="preserve"> de la República del Paraguay</w:t>
      </w:r>
      <w:r w:rsidR="00F53CC9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, </w:t>
      </w:r>
      <w:r w:rsidR="00AF6B6C" w:rsidRPr="00984CDE">
        <w:rPr>
          <w:rFonts w:ascii="Times New Roman" w:hAnsi="Times New Roman" w:cs="Times New Roman"/>
          <w:sz w:val="24"/>
          <w:szCs w:val="24"/>
          <w:lang w:val="es-PY"/>
        </w:rPr>
        <w:t>cumple en remitir las siguientes observaciones, resultantes de un proceso de consultas con las instituciones nacionales competentes, entre ellas el Ministerio de la Niñez y la Adolescencia, el Ministerio de Tecnologías de la Información y Comunicación, el Ministerio de Educación y Ciencias, y la Corte Suprema de Justicia:</w:t>
      </w:r>
    </w:p>
    <w:p w:rsidR="00F53CC9" w:rsidRPr="00984CDE" w:rsidRDefault="00F53CC9" w:rsidP="00984C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F53CC9" w:rsidRPr="00984CDE" w:rsidRDefault="00F53CC9" w:rsidP="00984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En primer término, la República del Paraguay considera que el proyecto de comentario general constituye un instrumento de importancia capital que proporcionará a los Estados orientaciones útiles sobre las medidas necesarias para garantizar la protección y el acceso de los niños, niñas y adolescentes al uso de las tecnologías de información y comunicación, basándose en la participación protagónica, el empoderamiento y el acceso a la información. </w:t>
      </w:r>
    </w:p>
    <w:p w:rsidR="00F53CC9" w:rsidRPr="00984CDE" w:rsidRDefault="00F53CC9" w:rsidP="00984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F53CC9" w:rsidRPr="00984CDE" w:rsidRDefault="00F53CC9" w:rsidP="00984CDE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4CDE">
        <w:rPr>
          <w:rFonts w:ascii="Times New Roman" w:hAnsi="Times New Roman" w:cs="Times New Roman"/>
          <w:b/>
          <w:sz w:val="24"/>
          <w:szCs w:val="24"/>
          <w:lang w:val="es-ES"/>
        </w:rPr>
        <w:t>Relevancia de las tecnologías digitales en el contexto de la pandemia de COVID-19</w:t>
      </w:r>
    </w:p>
    <w:p w:rsidR="00AF6B6C" w:rsidRPr="00984CDE" w:rsidRDefault="00AF6B6C" w:rsidP="0098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:rsidR="001618A6" w:rsidRPr="00984CDE" w:rsidRDefault="00F53CC9" w:rsidP="00984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El impacto multidimensional de la pandemia de COVID-19 plantea un contexto mundial </w:t>
      </w:r>
      <w:r w:rsidR="00DD1513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caracterizado por </w:t>
      </w:r>
      <w:r w:rsidR="001618A6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serios desafíos en diversos ámbitos y desde </w:t>
      </w:r>
      <w:r w:rsidR="00DD1513" w:rsidRPr="00984CDE">
        <w:rPr>
          <w:rFonts w:ascii="Times New Roman" w:hAnsi="Times New Roman" w:cs="Times New Roman"/>
          <w:sz w:val="24"/>
          <w:szCs w:val="24"/>
          <w:lang w:val="es-PY"/>
        </w:rPr>
        <w:t>varia</w:t>
      </w:r>
      <w:r w:rsidR="00984CDE">
        <w:rPr>
          <w:rFonts w:ascii="Times New Roman" w:hAnsi="Times New Roman" w:cs="Times New Roman"/>
          <w:sz w:val="24"/>
          <w:szCs w:val="24"/>
          <w:lang w:val="es-PY"/>
        </w:rPr>
        <w:t>s</w:t>
      </w:r>
      <w:r w:rsidR="001618A6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perspectivas, en lo relativo tanto a los sectores en situación de vulnerabilidad, como a los derechos afectados.</w:t>
      </w:r>
      <w:r w:rsidR="00DD1513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Al respecto, </w:t>
      </w:r>
      <w:r w:rsidR="001618A6" w:rsidRPr="00984CDE">
        <w:rPr>
          <w:rFonts w:ascii="Times New Roman" w:hAnsi="Times New Roman" w:cs="Times New Roman"/>
          <w:sz w:val="24"/>
          <w:szCs w:val="24"/>
          <w:lang w:val="es-PY"/>
        </w:rPr>
        <w:t>es crucial tomar acciones en un marco de derechos humanos para garantizar que las medidas adoptadas en re</w:t>
      </w:r>
      <w:r w:rsidR="00DD1513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spuesta a la pandemia </w:t>
      </w:r>
      <w:r w:rsidR="001618A6" w:rsidRPr="00984CDE">
        <w:rPr>
          <w:rFonts w:ascii="Times New Roman" w:hAnsi="Times New Roman" w:cs="Times New Roman"/>
          <w:sz w:val="24"/>
          <w:szCs w:val="24"/>
          <w:lang w:val="es-PY"/>
        </w:rPr>
        <w:t>profundicen situaciones preexistentes de desigualda</w:t>
      </w:r>
      <w:r w:rsidR="00DD1513" w:rsidRPr="00984CDE">
        <w:rPr>
          <w:rFonts w:ascii="Times New Roman" w:hAnsi="Times New Roman" w:cs="Times New Roman"/>
          <w:sz w:val="24"/>
          <w:szCs w:val="24"/>
          <w:lang w:val="es-PY"/>
        </w:rPr>
        <w:t>d y vulnerabilidad.</w:t>
      </w:r>
    </w:p>
    <w:p w:rsidR="001618A6" w:rsidRPr="00984CDE" w:rsidRDefault="001618A6" w:rsidP="00984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DD1513" w:rsidRPr="00984CDE" w:rsidRDefault="00DD1513" w:rsidP="00984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984CDE">
        <w:rPr>
          <w:rFonts w:ascii="Times New Roman" w:hAnsi="Times New Roman" w:cs="Times New Roman"/>
          <w:sz w:val="24"/>
          <w:szCs w:val="24"/>
          <w:lang w:val="es-PY"/>
        </w:rPr>
        <w:t>En ese sentido, reconociendo que el acceso significativo a las tecnologías digitales puede ayudar a los niños</w:t>
      </w:r>
      <w:r w:rsidR="00984CDE">
        <w:rPr>
          <w:rFonts w:ascii="Times New Roman" w:hAnsi="Times New Roman" w:cs="Times New Roman"/>
          <w:sz w:val="24"/>
          <w:szCs w:val="24"/>
          <w:lang w:val="es-PY"/>
        </w:rPr>
        <w:t>, niñas y adolescentes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a realizar toda la gama de sus derechos civiles, políticos, culturales, económicos, soci</w:t>
      </w:r>
      <w:r w:rsidR="00984CDE">
        <w:rPr>
          <w:rFonts w:ascii="Times New Roman" w:hAnsi="Times New Roman" w:cs="Times New Roman"/>
          <w:sz w:val="24"/>
          <w:szCs w:val="24"/>
          <w:lang w:val="es-PY"/>
        </w:rPr>
        <w:t>ales, culturales y ambientales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, así como que la no inclusión digital aumenta la probabilidad de exacerbar las desigualdades ya existentes, resulta importante que se aborde 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>de manera específica el impacto de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situaciones excepcionales, como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la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actual 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>pandemia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>,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en el pleno ejercicio de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>l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>os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derecho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>s y el relevante rol que adquieren las tecnologías digitales en ese contexto.</w:t>
      </w:r>
    </w:p>
    <w:p w:rsidR="00CB411C" w:rsidRPr="00984CDE" w:rsidRDefault="00CB411C" w:rsidP="00984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F53CC9" w:rsidRPr="00984CDE" w:rsidRDefault="00CB411C" w:rsidP="00984C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Consecuentemente, se considera relevante incluir referencias a este tipo de circunstancias en los siguientes </w:t>
      </w:r>
      <w:r w:rsidR="00984CDE">
        <w:rPr>
          <w:rFonts w:ascii="Times New Roman" w:hAnsi="Times New Roman" w:cs="Times New Roman"/>
          <w:sz w:val="24"/>
          <w:szCs w:val="24"/>
          <w:lang w:val="es-PY"/>
        </w:rPr>
        <w:t>capítulos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: </w:t>
      </w:r>
      <w:r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I. </w:t>
      </w:r>
      <w:proofErr w:type="spellStart"/>
      <w:r w:rsidRPr="00984CDE">
        <w:rPr>
          <w:rFonts w:ascii="Times New Roman" w:hAnsi="Times New Roman" w:cs="Times New Roman"/>
          <w:i/>
          <w:sz w:val="24"/>
          <w:szCs w:val="24"/>
          <w:lang w:val="es-PY"/>
        </w:rPr>
        <w:t>Introduction</w:t>
      </w:r>
      <w:proofErr w:type="spellEnd"/>
      <w:r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; III. General Principles - A. The right to non-discrimination; V. </w:t>
      </w:r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General measures of implementation by States –</w:t>
      </w:r>
      <w:r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D</w:t>
      </w:r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.</w:t>
      </w:r>
      <w:r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</w:t>
      </w:r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Allocation of resources</w:t>
      </w:r>
      <w:r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; y XI. </w:t>
      </w:r>
      <w:proofErr w:type="spellStart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Education</w:t>
      </w:r>
      <w:proofErr w:type="spellEnd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, </w:t>
      </w:r>
      <w:proofErr w:type="spellStart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leisure</w:t>
      </w:r>
      <w:proofErr w:type="spellEnd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and cultural </w:t>
      </w:r>
      <w:proofErr w:type="spellStart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activities</w:t>
      </w:r>
      <w:proofErr w:type="spellEnd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</w:t>
      </w:r>
      <w:r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- A. </w:t>
      </w:r>
      <w:proofErr w:type="spellStart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The</w:t>
      </w:r>
      <w:proofErr w:type="spellEnd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</w:t>
      </w:r>
      <w:proofErr w:type="spellStart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right</w:t>
      </w:r>
      <w:proofErr w:type="spellEnd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</w:t>
      </w:r>
      <w:proofErr w:type="spellStart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to</w:t>
      </w:r>
      <w:proofErr w:type="spellEnd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</w:t>
      </w:r>
      <w:proofErr w:type="spellStart"/>
      <w:r w:rsidR="000C209A" w:rsidRPr="00984CDE">
        <w:rPr>
          <w:rFonts w:ascii="Times New Roman" w:hAnsi="Times New Roman" w:cs="Times New Roman"/>
          <w:i/>
          <w:sz w:val="24"/>
          <w:szCs w:val="24"/>
          <w:lang w:val="es-PY"/>
        </w:rPr>
        <w:t>education</w:t>
      </w:r>
      <w:proofErr w:type="spellEnd"/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, con especial énfasis en el derecho a la educación, habida cuenta de 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la importancia de los medios tecnológicos e internet para la puesta en práctica de nuevas modalidades remotas de enseñanza-aprendizaje,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así como 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>la necesidad de garantizar el acceso libre, equitativo, eficiente e inclusivo a m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>edios tecnológicos y a internet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, a fin de reducir la brecha digital y mitigar los efectos nocivos de las medidas excepcionales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como los de </w:t>
      </w:r>
      <w:r w:rsidR="009402AB" w:rsidRPr="00984CDE">
        <w:rPr>
          <w:rFonts w:ascii="Times New Roman" w:hAnsi="Times New Roman" w:cs="Times New Roman"/>
          <w:sz w:val="24"/>
          <w:szCs w:val="24"/>
          <w:lang w:val="es-PY"/>
        </w:rPr>
        <w:t>respuesta a la pandemia sobre el derecho a una educación de calidad.</w:t>
      </w:r>
      <w:bookmarkStart w:id="0" w:name="_GoBack"/>
      <w:bookmarkEnd w:id="0"/>
    </w:p>
    <w:p w:rsidR="00F53CC9" w:rsidRPr="00984CDE" w:rsidRDefault="00F53CC9" w:rsidP="00984C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70240" w:rsidRPr="00984CDE" w:rsidRDefault="00CB411C" w:rsidP="00984CDE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DE">
        <w:rPr>
          <w:rFonts w:ascii="Times New Roman" w:hAnsi="Times New Roman" w:cs="Times New Roman"/>
          <w:b/>
          <w:sz w:val="24"/>
          <w:szCs w:val="24"/>
        </w:rPr>
        <w:t>2</w:t>
      </w:r>
      <w:r w:rsidR="00A70240" w:rsidRPr="00984CDE">
        <w:rPr>
          <w:rFonts w:ascii="Times New Roman" w:hAnsi="Times New Roman" w:cs="Times New Roman"/>
          <w:b/>
          <w:sz w:val="24"/>
          <w:szCs w:val="24"/>
        </w:rPr>
        <w:t>.</w:t>
      </w:r>
      <w:r w:rsidR="00A70240" w:rsidRPr="00984CDE">
        <w:rPr>
          <w:rFonts w:ascii="Times New Roman" w:hAnsi="Times New Roman" w:cs="Times New Roman"/>
          <w:b/>
          <w:sz w:val="24"/>
          <w:szCs w:val="24"/>
        </w:rPr>
        <w:tab/>
        <w:t xml:space="preserve">Adaptación de la utilización de medios tecnológicos para </w:t>
      </w:r>
      <w:r w:rsidR="0061676E" w:rsidRPr="00984CDE">
        <w:rPr>
          <w:rFonts w:ascii="Times New Roman" w:eastAsia="Times New Roman" w:hAnsi="Times New Roman" w:cs="Times New Roman"/>
          <w:b/>
          <w:sz w:val="24"/>
          <w:szCs w:val="24"/>
          <w:lang w:val="es-PY" w:eastAsia="es-ES_tradnl"/>
        </w:rPr>
        <w:t xml:space="preserve">niños, niñas y adolescentes </w:t>
      </w:r>
      <w:proofErr w:type="spellStart"/>
      <w:r w:rsidR="00A70240" w:rsidRPr="00984CDE">
        <w:rPr>
          <w:rFonts w:ascii="Times New Roman" w:hAnsi="Times New Roman" w:cs="Times New Roman"/>
          <w:b/>
          <w:sz w:val="24"/>
          <w:szCs w:val="24"/>
        </w:rPr>
        <w:t>neurodiversos</w:t>
      </w:r>
      <w:proofErr w:type="spellEnd"/>
      <w:r w:rsidR="00A70240" w:rsidRPr="00984C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70240" w:rsidRPr="00984CDE" w:rsidRDefault="00A70240" w:rsidP="00984CDE">
      <w:pPr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A70240" w:rsidRPr="00984CDE" w:rsidRDefault="00AD7507" w:rsidP="00984CDE">
      <w:pPr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984CDE">
        <w:rPr>
          <w:rFonts w:ascii="Times New Roman" w:hAnsi="Times New Roman" w:cs="Times New Roman"/>
          <w:sz w:val="24"/>
          <w:szCs w:val="24"/>
          <w:lang w:val="es-PY"/>
        </w:rPr>
        <w:tab/>
      </w:r>
      <w:r w:rsidR="00A70240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El avance de la neurociencia ha tenido efecto en múltiples áreas del conocimiento y una de las que se ha visto beneficiada es la educación. Al entender mejor el funciomiento neurológico de los niños, podemos conocer la mejor manera para llevar a cabo los procesos de enseñanza-aprendizaje.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>Al respecto</w:t>
      </w:r>
      <w:r w:rsidR="00A70240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,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es importante delinear </w:t>
      </w:r>
      <w:r w:rsidR="00A70240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premisas sobre cómo lograr la aplicación de la educación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en los 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>niños, niñas y adolescentes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neurodiversos y la adaptación de los</w:t>
      </w:r>
      <w:r w:rsidR="00A70240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medios tecnólogicos en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virtud al </w:t>
      </w:r>
      <w:r w:rsidR="00A70240" w:rsidRPr="00984CDE">
        <w:rPr>
          <w:rFonts w:ascii="Times New Roman" w:hAnsi="Times New Roman" w:cs="Times New Roman"/>
          <w:sz w:val="24"/>
          <w:szCs w:val="24"/>
          <w:lang w:val="es-PY"/>
        </w:rPr>
        <w:t>aula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virtual</w:t>
      </w:r>
      <w:r w:rsidR="00A70240" w:rsidRPr="00984CDE">
        <w:rPr>
          <w:rFonts w:ascii="Times New Roman" w:hAnsi="Times New Roman" w:cs="Times New Roman"/>
          <w:sz w:val="24"/>
          <w:szCs w:val="24"/>
          <w:lang w:val="es-PY"/>
        </w:rPr>
        <w:t>. Especialmente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>,</w:t>
      </w:r>
      <w:r w:rsidR="00A70240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las que desarrollan estrategias que beneficien a la neurodiversidad y en las que se promueva un aprendizaje significativo.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0C1D7B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AD7507" w:rsidRPr="00984CDE" w:rsidRDefault="00AD7507" w:rsidP="00984CDE">
      <w:pPr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777E86" w:rsidRPr="00984CDE" w:rsidRDefault="00AD7507" w:rsidP="00984CD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CDE">
        <w:rPr>
          <w:rFonts w:ascii="Times New Roman" w:hAnsi="Times New Roman" w:cs="Times New Roman"/>
          <w:sz w:val="24"/>
          <w:szCs w:val="24"/>
          <w:lang w:val="es-PY"/>
        </w:rPr>
        <w:tab/>
        <w:t>Para el efecto, se</w:t>
      </w:r>
      <w:r w:rsidR="00CB411C" w:rsidRPr="00984CDE">
        <w:rPr>
          <w:rFonts w:ascii="Times New Roman" w:hAnsi="Times New Roman" w:cs="Times New Roman"/>
          <w:sz w:val="24"/>
          <w:szCs w:val="24"/>
          <w:lang w:val="es-PY"/>
        </w:rPr>
        <w:t>ría sumamente relevante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 la inclusión de un apartado sobre el tema de referencia </w:t>
      </w:r>
      <w:r w:rsidR="00777E86" w:rsidRPr="00984CDE">
        <w:rPr>
          <w:rFonts w:ascii="Times New Roman" w:hAnsi="Times New Roman" w:cs="Times New Roman"/>
          <w:sz w:val="24"/>
          <w:szCs w:val="24"/>
        </w:rPr>
        <w:t xml:space="preserve">en los capítulos </w:t>
      </w:r>
      <w:r w:rsidR="00777E86" w:rsidRPr="00984CDE">
        <w:rPr>
          <w:rFonts w:ascii="Times New Roman" w:hAnsi="Times New Roman" w:cs="Times New Roman"/>
          <w:i/>
          <w:sz w:val="24"/>
          <w:szCs w:val="24"/>
        </w:rPr>
        <w:t xml:space="preserve">IX. </w:t>
      </w:r>
      <w:proofErr w:type="gramStart"/>
      <w:r w:rsidR="00777E86" w:rsidRPr="00984CDE"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Children with disabilities</w:t>
      </w:r>
      <w:r w:rsidR="00CB411C" w:rsidRPr="00984CDE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777E86" w:rsidRPr="00984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XI.</w:t>
      </w:r>
      <w:proofErr w:type="gramEnd"/>
      <w:r w:rsidR="00777E86" w:rsidRPr="00984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777E86" w:rsidRPr="00984CDE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Education, leisure and cultural activities</w:t>
      </w:r>
      <w:r w:rsidR="000C209A" w:rsidRPr="00984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A.</w:t>
      </w:r>
      <w:proofErr w:type="gramEnd"/>
      <w:r w:rsidR="000C209A" w:rsidRPr="00984C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777E86" w:rsidRPr="00984CD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right to education</w:t>
      </w:r>
      <w:r w:rsidRPr="00984CD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984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E86" w:rsidRPr="00984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0240" w:rsidRPr="00984CDE" w:rsidRDefault="00A70240" w:rsidP="00984CD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7507" w:rsidRPr="00984CDE" w:rsidRDefault="000C209A" w:rsidP="00984CDE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DE">
        <w:rPr>
          <w:rFonts w:ascii="Times New Roman" w:hAnsi="Times New Roman" w:cs="Times New Roman"/>
          <w:b/>
          <w:sz w:val="24"/>
          <w:szCs w:val="24"/>
        </w:rPr>
        <w:t>3</w:t>
      </w:r>
      <w:r w:rsidR="00777E86" w:rsidRPr="00984CDE">
        <w:rPr>
          <w:rFonts w:ascii="Times New Roman" w:hAnsi="Times New Roman" w:cs="Times New Roman"/>
          <w:b/>
          <w:sz w:val="24"/>
          <w:szCs w:val="24"/>
        </w:rPr>
        <w:t>.</w:t>
      </w:r>
      <w:r w:rsidR="00777E86" w:rsidRPr="00984CDE">
        <w:rPr>
          <w:rFonts w:ascii="Times New Roman" w:hAnsi="Times New Roman" w:cs="Times New Roman"/>
          <w:b/>
          <w:sz w:val="24"/>
          <w:szCs w:val="24"/>
        </w:rPr>
        <w:tab/>
      </w:r>
      <w:r w:rsidRPr="00984CDE">
        <w:rPr>
          <w:rFonts w:ascii="Times New Roman" w:hAnsi="Times New Roman" w:cs="Times New Roman"/>
          <w:b/>
          <w:sz w:val="24"/>
          <w:szCs w:val="24"/>
        </w:rPr>
        <w:t>Determinación de criterios para definir</w:t>
      </w:r>
      <w:r w:rsidR="00AD7507" w:rsidRPr="00984CDE">
        <w:rPr>
          <w:rFonts w:ascii="Times New Roman" w:hAnsi="Times New Roman" w:cs="Times New Roman"/>
          <w:b/>
          <w:sz w:val="24"/>
          <w:szCs w:val="24"/>
        </w:rPr>
        <w:t xml:space="preserve"> los contenidos nocivos en internet </w:t>
      </w:r>
    </w:p>
    <w:p w:rsidR="00AD7507" w:rsidRPr="00984CDE" w:rsidRDefault="00AD7507" w:rsidP="00984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D7B" w:rsidRPr="00984CDE" w:rsidRDefault="00AD7507" w:rsidP="00984CDE">
      <w:pPr>
        <w:jc w:val="both"/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</w:pPr>
      <w:r w:rsidRPr="00984CDE">
        <w:rPr>
          <w:rFonts w:ascii="Times New Roman" w:hAnsi="Times New Roman" w:cs="Times New Roman"/>
          <w:sz w:val="24"/>
          <w:szCs w:val="24"/>
        </w:rPr>
        <w:tab/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El avance de la 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>tecnología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 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>de la información y la comunicación ha puesto al alcance de niños, niñas y adolescentes una serie de oportunidades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 para 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>estar conectados, compartir, aprender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 y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 acceder a 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la 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información. Sin embargo, este acceso a gran escala 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>al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 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>i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nternet y a la tecnología también plantea desafíos considerables para 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su </w:t>
      </w:r>
      <w:r w:rsidR="0061676E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>segurida</w:t>
      </w:r>
      <w:r w:rsidR="000C1D7B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d debido a los contenidos nocivos se existen en las redes. </w:t>
      </w:r>
    </w:p>
    <w:p w:rsidR="000C1D7B" w:rsidRPr="00984CDE" w:rsidRDefault="000C1D7B" w:rsidP="00984CDE">
      <w:pPr>
        <w:jc w:val="both"/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</w:pPr>
    </w:p>
    <w:p w:rsidR="00817A4F" w:rsidRPr="00984CDE" w:rsidRDefault="000C1D7B" w:rsidP="00984CDE">
      <w:pPr>
        <w:jc w:val="both"/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</w:pPr>
      <w:r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ab/>
        <w:t xml:space="preserve">En ese sentido, </w:t>
      </w:r>
      <w:r w:rsidR="000C209A" w:rsidRPr="00984CDE">
        <w:rPr>
          <w:rFonts w:ascii="Times New Roman" w:eastAsia="Times New Roman" w:hAnsi="Times New Roman" w:cs="Times New Roman"/>
          <w:sz w:val="24"/>
          <w:szCs w:val="24"/>
          <w:lang w:val="es-PY" w:eastAsia="es-ES_tradnl"/>
        </w:rPr>
        <w:t xml:space="preserve">sería un aporte fundamental del Comité para guiar las acciones de los Estados, </w:t>
      </w:r>
      <w:r w:rsidRPr="00984CDE">
        <w:rPr>
          <w:rFonts w:ascii="Times New Roman" w:hAnsi="Times New Roman" w:cs="Times New Roman"/>
          <w:sz w:val="24"/>
          <w:szCs w:val="24"/>
        </w:rPr>
        <w:t>la i</w:t>
      </w:r>
      <w:r w:rsidR="00777E86" w:rsidRPr="00984CDE">
        <w:rPr>
          <w:rFonts w:ascii="Times New Roman" w:hAnsi="Times New Roman" w:cs="Times New Roman"/>
          <w:sz w:val="24"/>
          <w:szCs w:val="24"/>
        </w:rPr>
        <w:t xml:space="preserve">nclusión </w:t>
      </w:r>
      <w:r w:rsidRPr="00984CDE">
        <w:rPr>
          <w:rFonts w:ascii="Times New Roman" w:hAnsi="Times New Roman" w:cs="Times New Roman"/>
          <w:sz w:val="24"/>
          <w:szCs w:val="24"/>
        </w:rPr>
        <w:t xml:space="preserve">de un apartado </w:t>
      </w:r>
      <w:r w:rsidR="000C209A" w:rsidRPr="00984CDE">
        <w:rPr>
          <w:rFonts w:ascii="Times New Roman" w:hAnsi="Times New Roman" w:cs="Times New Roman"/>
          <w:sz w:val="24"/>
          <w:szCs w:val="24"/>
        </w:rPr>
        <w:t xml:space="preserve">en el que se determinen los criterios a ser considerados a fin de definir los contenidos nocivos en internet, </w:t>
      </w:r>
      <w:r w:rsidR="00777E86" w:rsidRPr="00984CDE">
        <w:rPr>
          <w:rFonts w:ascii="Times New Roman" w:hAnsi="Times New Roman" w:cs="Times New Roman"/>
          <w:sz w:val="24"/>
          <w:szCs w:val="24"/>
        </w:rPr>
        <w:t xml:space="preserve">en el capítulo </w:t>
      </w:r>
      <w:r w:rsidR="00777E86" w:rsidRPr="00984CDE">
        <w:rPr>
          <w:rFonts w:ascii="Times New Roman" w:hAnsi="Times New Roman" w:cs="Times New Roman"/>
          <w:i/>
          <w:sz w:val="24"/>
          <w:szCs w:val="24"/>
        </w:rPr>
        <w:t>VII.</w:t>
      </w:r>
      <w:r w:rsidR="00777E86" w:rsidRPr="0098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E86" w:rsidRPr="00984CDE">
        <w:rPr>
          <w:rFonts w:ascii="Times New Roman" w:hAnsi="Times New Roman" w:cs="Times New Roman"/>
          <w:i/>
          <w:iCs/>
          <w:sz w:val="24"/>
          <w:szCs w:val="24"/>
        </w:rPr>
        <w:lastRenderedPageBreak/>
        <w:t>Violence</w:t>
      </w:r>
      <w:proofErr w:type="spellEnd"/>
      <w:r w:rsidR="00777E86" w:rsidRPr="00984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7E86" w:rsidRPr="00984CDE">
        <w:rPr>
          <w:rFonts w:ascii="Times New Roman" w:hAnsi="Times New Roman" w:cs="Times New Roman"/>
          <w:i/>
          <w:iCs/>
          <w:sz w:val="24"/>
          <w:szCs w:val="24"/>
        </w:rPr>
        <w:t>against</w:t>
      </w:r>
      <w:proofErr w:type="spellEnd"/>
      <w:r w:rsidR="00777E86" w:rsidRPr="00984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7E86" w:rsidRPr="00984CDE"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spellEnd"/>
      <w:r w:rsidR="000C209A" w:rsidRPr="00984CDE">
        <w:rPr>
          <w:rFonts w:ascii="Times New Roman" w:hAnsi="Times New Roman" w:cs="Times New Roman"/>
          <w:sz w:val="24"/>
          <w:szCs w:val="24"/>
        </w:rPr>
        <w:t xml:space="preserve">, con la finalidad de lograr mayor eficacia en la protección de los niños, niñas y adolescentes en el entorno digital. </w:t>
      </w:r>
      <w:r w:rsidRPr="0098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D7B" w:rsidRPr="00984CDE" w:rsidRDefault="000C1D7B" w:rsidP="00984CD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618A6" w:rsidRPr="00984CDE" w:rsidRDefault="000C209A" w:rsidP="00984CDE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4CDE">
        <w:rPr>
          <w:rFonts w:ascii="Times New Roman" w:hAnsi="Times New Roman" w:cs="Times New Roman"/>
          <w:b/>
          <w:noProof/>
          <w:sz w:val="24"/>
          <w:szCs w:val="24"/>
          <w:lang w:val="es-PY" w:eastAsia="es-PY"/>
        </w:rPr>
        <w:t xml:space="preserve">4. </w:t>
      </w:r>
      <w:r w:rsidR="00074EB8" w:rsidRPr="00984CDE">
        <w:rPr>
          <w:rFonts w:ascii="Times New Roman" w:hAnsi="Times New Roman" w:cs="Times New Roman"/>
          <w:b/>
          <w:sz w:val="24"/>
          <w:szCs w:val="24"/>
          <w:lang w:val="es-ES"/>
        </w:rPr>
        <w:t>Importancia</w:t>
      </w:r>
      <w:r w:rsidR="001618A6" w:rsidRPr="00984CD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</w:t>
      </w:r>
      <w:r w:rsidR="00074EB8" w:rsidRPr="00984CDE">
        <w:rPr>
          <w:rFonts w:ascii="Times New Roman" w:hAnsi="Times New Roman" w:cs="Times New Roman"/>
          <w:b/>
          <w:sz w:val="24"/>
          <w:szCs w:val="24"/>
          <w:lang w:val="es-ES"/>
        </w:rPr>
        <w:t xml:space="preserve">l abordaje </w:t>
      </w:r>
      <w:proofErr w:type="spellStart"/>
      <w:r w:rsidR="00074EB8" w:rsidRPr="00984CDE">
        <w:rPr>
          <w:rFonts w:ascii="Times New Roman" w:hAnsi="Times New Roman" w:cs="Times New Roman"/>
          <w:b/>
          <w:sz w:val="24"/>
          <w:szCs w:val="24"/>
          <w:lang w:val="es-ES"/>
        </w:rPr>
        <w:t>multiactor</w:t>
      </w:r>
      <w:proofErr w:type="spellEnd"/>
      <w:r w:rsidR="00074EB8" w:rsidRPr="00984CD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</w:t>
      </w:r>
      <w:r w:rsidR="001618A6" w:rsidRPr="00984CD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 cooperación y asistencia técnica para el fomento de capacidades</w:t>
      </w:r>
    </w:p>
    <w:p w:rsidR="000C209A" w:rsidRPr="00984CDE" w:rsidRDefault="000C209A" w:rsidP="00984CD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84CDE" w:rsidRDefault="000C209A" w:rsidP="00984CDE">
      <w:pPr>
        <w:jc w:val="both"/>
        <w:rPr>
          <w:rFonts w:ascii="Times New Roman" w:hAnsi="Times New Roman" w:cs="Times New Roman"/>
          <w:sz w:val="24"/>
          <w:szCs w:val="24"/>
        </w:rPr>
      </w:pPr>
      <w:r w:rsidRPr="00984CDE">
        <w:rPr>
          <w:rFonts w:ascii="Times New Roman" w:hAnsi="Times New Roman" w:cs="Times New Roman"/>
          <w:sz w:val="24"/>
          <w:szCs w:val="24"/>
          <w:lang w:val="es-ES"/>
        </w:rPr>
        <w:tab/>
        <w:t xml:space="preserve">Finalmente, 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considerando que el tema abordado en el proyecto de comentario general plantea desafíos extraordinarios que deben ser abordados a través del diálogo entre diferentes sectores de la sociedad y </w:t>
      </w:r>
      <w:r w:rsidR="00074EB8" w:rsidRPr="00984CDE">
        <w:rPr>
          <w:rFonts w:ascii="Times New Roman" w:hAnsi="Times New Roman" w:cs="Times New Roman"/>
          <w:sz w:val="24"/>
          <w:szCs w:val="24"/>
          <w:lang w:val="es-PY"/>
        </w:rPr>
        <w:t>con un rol protagónico de los diversos actores de la comunidad internacional</w:t>
      </w:r>
      <w:r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, </w:t>
      </w:r>
      <w:r w:rsidR="00074EB8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encontramos importante la inclusión de referencias, en el capítulo </w:t>
      </w:r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V. General </w:t>
      </w:r>
      <w:proofErr w:type="spellStart"/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>measures</w:t>
      </w:r>
      <w:proofErr w:type="spellEnd"/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of </w:t>
      </w:r>
      <w:proofErr w:type="spellStart"/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>implementation</w:t>
      </w:r>
      <w:proofErr w:type="spellEnd"/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</w:t>
      </w:r>
      <w:proofErr w:type="spellStart"/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>by</w:t>
      </w:r>
      <w:proofErr w:type="spellEnd"/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 xml:space="preserve"> </w:t>
      </w:r>
      <w:proofErr w:type="spellStart"/>
      <w:r w:rsidR="00074EB8" w:rsidRPr="00984CDE">
        <w:rPr>
          <w:rFonts w:ascii="Times New Roman" w:hAnsi="Times New Roman" w:cs="Times New Roman"/>
          <w:i/>
          <w:sz w:val="24"/>
          <w:szCs w:val="24"/>
          <w:lang w:val="es-PY"/>
        </w:rPr>
        <w:t>States</w:t>
      </w:r>
      <w:proofErr w:type="spellEnd"/>
      <w:r w:rsidR="00074EB8" w:rsidRPr="00984CDE">
        <w:rPr>
          <w:rFonts w:ascii="Times New Roman" w:hAnsi="Times New Roman" w:cs="Times New Roman"/>
          <w:sz w:val="24"/>
          <w:szCs w:val="24"/>
          <w:lang w:val="es-PY"/>
        </w:rPr>
        <w:t xml:space="preserve">, </w:t>
      </w:r>
      <w:r w:rsidR="00984CDE">
        <w:rPr>
          <w:rFonts w:ascii="Times New Roman" w:hAnsi="Times New Roman" w:cs="Times New Roman"/>
          <w:sz w:val="24"/>
          <w:szCs w:val="24"/>
          <w:lang w:val="es-PY"/>
        </w:rPr>
        <w:t xml:space="preserve">a </w:t>
      </w:r>
      <w:r w:rsidR="00984CDE" w:rsidRPr="00984CDE">
        <w:rPr>
          <w:rFonts w:ascii="Times New Roman" w:hAnsi="Times New Roman" w:cs="Times New Roman"/>
          <w:sz w:val="24"/>
          <w:szCs w:val="24"/>
        </w:rPr>
        <w:t xml:space="preserve">la necesidad </w:t>
      </w:r>
      <w:r w:rsidR="00984CDE">
        <w:rPr>
          <w:rFonts w:ascii="Times New Roman" w:hAnsi="Times New Roman" w:cs="Times New Roman"/>
          <w:sz w:val="24"/>
          <w:szCs w:val="24"/>
        </w:rPr>
        <w:t xml:space="preserve">de </w:t>
      </w:r>
      <w:r w:rsidR="00984CDE" w:rsidRPr="00984CDE">
        <w:rPr>
          <w:rFonts w:ascii="Times New Roman" w:hAnsi="Times New Roman" w:cs="Times New Roman"/>
          <w:sz w:val="24"/>
          <w:szCs w:val="24"/>
        </w:rPr>
        <w:t xml:space="preserve">colaboración </w:t>
      </w:r>
      <w:r w:rsidR="00984CDE">
        <w:rPr>
          <w:rFonts w:ascii="Times New Roman" w:hAnsi="Times New Roman" w:cs="Times New Roman"/>
          <w:sz w:val="24"/>
          <w:szCs w:val="24"/>
        </w:rPr>
        <w:t xml:space="preserve">e </w:t>
      </w:r>
      <w:r w:rsidR="00984CDE" w:rsidRPr="00984CDE">
        <w:rPr>
          <w:rFonts w:ascii="Times New Roman" w:hAnsi="Times New Roman" w:cs="Times New Roman"/>
          <w:sz w:val="24"/>
          <w:szCs w:val="24"/>
        </w:rPr>
        <w:t>involucramiento de la sociedad civil, el sector privado, la academia, y otros actores relevantes</w:t>
      </w:r>
      <w:r w:rsidR="00984CDE">
        <w:rPr>
          <w:rFonts w:ascii="Times New Roman" w:hAnsi="Times New Roman" w:cs="Times New Roman"/>
          <w:sz w:val="24"/>
          <w:szCs w:val="24"/>
        </w:rPr>
        <w:t>,</w:t>
      </w:r>
      <w:r w:rsidR="00984CDE" w:rsidRPr="00984CDE">
        <w:rPr>
          <w:rFonts w:ascii="Times New Roman" w:hAnsi="Times New Roman" w:cs="Times New Roman"/>
          <w:sz w:val="24"/>
          <w:szCs w:val="24"/>
        </w:rPr>
        <w:t xml:space="preserve"> en el desarrollo de mecanismos y estrategias tanto para la prevención como para la protección de los niños, niñas y adolescentes en el uso de las tecnologías, en el entendimiento de que las familias, la sociedad y el Estado tenemos responsabilidades comunes pero diferenciadas en la defensa y promoción de sus derechos</w:t>
      </w:r>
      <w:r w:rsidR="00984CDE">
        <w:rPr>
          <w:rFonts w:ascii="Times New Roman" w:hAnsi="Times New Roman" w:cs="Times New Roman"/>
          <w:sz w:val="24"/>
          <w:szCs w:val="24"/>
        </w:rPr>
        <w:t>.</w:t>
      </w:r>
    </w:p>
    <w:p w:rsidR="00984CDE" w:rsidRDefault="00984CDE" w:rsidP="00984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09A" w:rsidRPr="00984CDE" w:rsidRDefault="00984CDE" w:rsidP="00984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no puede perderse de vista el fundamental rol de</w:t>
      </w:r>
      <w:r w:rsidRPr="00984CDE">
        <w:rPr>
          <w:rFonts w:ascii="Times New Roman" w:hAnsi="Times New Roman" w:cs="Times New Roman"/>
          <w:sz w:val="24"/>
          <w:szCs w:val="24"/>
        </w:rPr>
        <w:t xml:space="preserve"> la cooperación internacional para el intercambio de experiencias y re</w:t>
      </w:r>
      <w:r>
        <w:rPr>
          <w:rFonts w:ascii="Times New Roman" w:hAnsi="Times New Roman" w:cs="Times New Roman"/>
          <w:sz w:val="24"/>
          <w:szCs w:val="24"/>
        </w:rPr>
        <w:t xml:space="preserve">cursos y fomento de capacidades, así como la necesidad de </w:t>
      </w:r>
      <w:r w:rsidR="000C209A" w:rsidRPr="00984CDE">
        <w:rPr>
          <w:rFonts w:ascii="Times New Roman" w:hAnsi="Times New Roman" w:cs="Times New Roman"/>
          <w:sz w:val="24"/>
          <w:szCs w:val="24"/>
        </w:rPr>
        <w:t xml:space="preserve">una reacción aún más contundente </w:t>
      </w:r>
      <w:r>
        <w:rPr>
          <w:rFonts w:ascii="Times New Roman" w:hAnsi="Times New Roman" w:cs="Times New Roman"/>
          <w:sz w:val="24"/>
          <w:szCs w:val="24"/>
        </w:rPr>
        <w:t xml:space="preserve">de los organismos internacionales, que esté </w:t>
      </w:r>
      <w:r w:rsidR="000C209A" w:rsidRPr="00984CDE">
        <w:rPr>
          <w:rFonts w:ascii="Times New Roman" w:hAnsi="Times New Roman" w:cs="Times New Roman"/>
          <w:sz w:val="24"/>
          <w:szCs w:val="24"/>
        </w:rPr>
        <w:t>adaptada a las necesidades de cada región, en términos de medidas adicionales de apoyo financiero y asistencia técnica.</w:t>
      </w:r>
    </w:p>
    <w:p w:rsidR="00074EB8" w:rsidRPr="00984CDE" w:rsidRDefault="00074EB8" w:rsidP="00984CD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522D6" w:rsidRPr="00984CDE" w:rsidRDefault="00777E86" w:rsidP="00984CD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es-MX" w:eastAsia="es-ES_tradnl"/>
        </w:rPr>
      </w:pPr>
      <w:r w:rsidRPr="00984CD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EC7A30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Estado paraguayo reitera </w:t>
      </w:r>
      <w:r w:rsidR="00A70240" w:rsidRPr="00984CDE">
        <w:rPr>
          <w:rFonts w:ascii="Times New Roman" w:hAnsi="Times New Roman" w:cs="Times New Roman"/>
          <w:sz w:val="24"/>
          <w:szCs w:val="24"/>
          <w:lang w:val="es-MX" w:eastAsia="es-ES_tradnl"/>
        </w:rPr>
        <w:t>a</w:t>
      </w:r>
      <w:r w:rsidR="000C1D7B" w:rsidRPr="00984CDE">
        <w:rPr>
          <w:rFonts w:ascii="Times New Roman" w:hAnsi="Times New Roman" w:cs="Times New Roman"/>
          <w:sz w:val="24"/>
          <w:szCs w:val="24"/>
          <w:lang w:val="es-MX" w:eastAsia="es-ES_tradnl"/>
        </w:rPr>
        <w:t>l</w:t>
      </w:r>
      <w:r w:rsidR="00A70240" w:rsidRPr="00984CDE">
        <w:rPr>
          <w:rFonts w:ascii="Times New Roman" w:hAnsi="Times New Roman" w:cs="Times New Roman"/>
          <w:sz w:val="24"/>
          <w:szCs w:val="24"/>
          <w:lang w:val="es-MX" w:eastAsia="es-ES_tradnl"/>
        </w:rPr>
        <w:t xml:space="preserve"> Honorable Comité de Derechos del Niño de las Naciones Unidas</w:t>
      </w:r>
      <w:r w:rsidR="00A70240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EC7A30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su </w:t>
      </w:r>
      <w:r w:rsidR="00984CDE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legítima </w:t>
      </w:r>
      <w:r w:rsidR="00EC7A30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predisposición de </w:t>
      </w:r>
      <w:r w:rsidR="00EC7A30" w:rsidRPr="00984CDE">
        <w:rPr>
          <w:rFonts w:ascii="Times New Roman" w:hAnsi="Times New Roman" w:cs="Times New Roman"/>
          <w:sz w:val="24"/>
          <w:szCs w:val="24"/>
          <w:lang w:val="es-ES"/>
        </w:rPr>
        <w:t>seguir empeñando su</w:t>
      </w:r>
      <w:r w:rsidR="00984CDE" w:rsidRPr="00984CD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EC7A30" w:rsidRPr="00984CDE">
        <w:rPr>
          <w:rFonts w:ascii="Times New Roman" w:hAnsi="Times New Roman" w:cs="Times New Roman"/>
          <w:sz w:val="24"/>
          <w:szCs w:val="24"/>
          <w:lang w:val="es-ES"/>
        </w:rPr>
        <w:t xml:space="preserve"> máximo</w:t>
      </w:r>
      <w:r w:rsidR="00984CDE" w:rsidRPr="00984CD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EC7A30" w:rsidRPr="00984CD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4CDE" w:rsidRPr="00984CDE">
        <w:rPr>
          <w:rFonts w:ascii="Times New Roman" w:hAnsi="Times New Roman" w:cs="Times New Roman"/>
          <w:sz w:val="24"/>
          <w:szCs w:val="24"/>
          <w:lang w:val="es-ES"/>
        </w:rPr>
        <w:t xml:space="preserve">esfuerzos y su firme compromiso para seguir colaborando constructivamente con el Sistema Internacional de protección de los derechos humanos, para </w:t>
      </w:r>
      <w:r w:rsidR="00EC7A30" w:rsidRPr="00984CDE">
        <w:rPr>
          <w:rFonts w:ascii="Times New Roman" w:hAnsi="Times New Roman" w:cs="Times New Roman"/>
          <w:sz w:val="24"/>
          <w:szCs w:val="24"/>
          <w:lang w:val="es-ES"/>
        </w:rPr>
        <w:t xml:space="preserve">la determinación e implementación de medidas efectivas que </w:t>
      </w:r>
      <w:r w:rsidR="00EC7A30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permitan garantizar el resguardo y la protección de los derechos </w:t>
      </w:r>
      <w:r w:rsidR="00984CDE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>de los niños, niñas y adolescentes sujetos a su jurisdicción</w:t>
      </w:r>
      <w:r w:rsidR="00A70240" w:rsidRPr="00984CD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. </w:t>
      </w:r>
    </w:p>
    <w:p w:rsidR="00984CDE" w:rsidRDefault="00984CDE" w:rsidP="005D0BEA">
      <w:pPr>
        <w:shd w:val="clear" w:color="auto" w:fill="FFFFFF"/>
        <w:jc w:val="right"/>
        <w:rPr>
          <w:rFonts w:ascii="Edwardian Script ITC" w:hAnsi="Edwardian Script ITC" w:cs="Times New Roman"/>
          <w:sz w:val="36"/>
          <w:szCs w:val="36"/>
        </w:rPr>
      </w:pPr>
    </w:p>
    <w:p w:rsidR="00F21845" w:rsidRDefault="005D0BEA" w:rsidP="005D0BEA">
      <w:pPr>
        <w:shd w:val="clear" w:color="auto" w:fill="FFFFFF"/>
        <w:jc w:val="right"/>
      </w:pPr>
      <w:r>
        <w:rPr>
          <w:rFonts w:ascii="Edwardian Script ITC" w:hAnsi="Edwardian Script ITC" w:cs="Times New Roman"/>
          <w:sz w:val="36"/>
          <w:szCs w:val="36"/>
        </w:rPr>
        <w:t>Asunción</w:t>
      </w:r>
      <w:proofErr w:type="gramStart"/>
      <w:r>
        <w:rPr>
          <w:rFonts w:ascii="Edwardian Script ITC" w:hAnsi="Edwardian Script ITC" w:cs="Times New Roman"/>
          <w:sz w:val="36"/>
          <w:szCs w:val="36"/>
        </w:rPr>
        <w:t>,</w:t>
      </w:r>
      <w:r w:rsidR="00984CDE">
        <w:rPr>
          <w:rFonts w:ascii="Edwardian Script ITC" w:hAnsi="Edwardian Script ITC" w:cs="Times New Roman"/>
          <w:sz w:val="36"/>
          <w:szCs w:val="36"/>
        </w:rPr>
        <w:t>15</w:t>
      </w:r>
      <w:proofErr w:type="gramEnd"/>
      <w:r w:rsidR="00A70240">
        <w:rPr>
          <w:rFonts w:ascii="Edwardian Script ITC" w:hAnsi="Edwardian Script ITC" w:cs="Times New Roman"/>
          <w:sz w:val="36"/>
          <w:szCs w:val="36"/>
        </w:rPr>
        <w:t xml:space="preserve"> </w:t>
      </w:r>
      <w:r w:rsidR="00EC7A30">
        <w:rPr>
          <w:rFonts w:ascii="Edwardian Script ITC" w:hAnsi="Edwardian Script ITC" w:cs="Times New Roman"/>
          <w:sz w:val="36"/>
          <w:szCs w:val="36"/>
        </w:rPr>
        <w:t xml:space="preserve">de </w:t>
      </w:r>
      <w:r w:rsidR="00A70240">
        <w:rPr>
          <w:rFonts w:ascii="Edwardian Script ITC" w:hAnsi="Edwardian Script ITC" w:cs="Times New Roman"/>
          <w:sz w:val="36"/>
          <w:szCs w:val="36"/>
        </w:rPr>
        <w:t xml:space="preserve">noviembre </w:t>
      </w:r>
      <w:r w:rsidR="00EC7A30" w:rsidRPr="00A71D1A">
        <w:rPr>
          <w:rFonts w:ascii="Edwardian Script ITC" w:hAnsi="Edwardian Script ITC" w:cs="Times New Roman"/>
          <w:sz w:val="36"/>
          <w:szCs w:val="36"/>
        </w:rPr>
        <w:t xml:space="preserve">del 2020 </w:t>
      </w:r>
      <w:r w:rsidR="00984CDE">
        <w:rPr>
          <w:rFonts w:ascii="Edwardian Script ITC" w:hAnsi="Edwardian Script ITC" w:cs="Times New Roman"/>
          <w:sz w:val="36"/>
          <w:szCs w:val="36"/>
        </w:rPr>
        <w:t>.</w:t>
      </w:r>
    </w:p>
    <w:sectPr w:rsidR="00F21845" w:rsidSect="00074EB8">
      <w:headerReference w:type="default" r:id="rId9"/>
      <w:footerReference w:type="default" r:id="rId10"/>
      <w:pgSz w:w="11907" w:h="16840" w:code="9"/>
      <w:pgMar w:top="851" w:right="1418" w:bottom="992" w:left="1701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B8" w:rsidRDefault="00074EB8">
      <w:r>
        <w:separator/>
      </w:r>
    </w:p>
  </w:endnote>
  <w:endnote w:type="continuationSeparator" w:id="0">
    <w:p w:rsidR="00074EB8" w:rsidRDefault="0007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B8" w:rsidRDefault="00074EB8" w:rsidP="00CB411C">
    <w:pPr>
      <w:tabs>
        <w:tab w:val="center" w:pos="4419"/>
        <w:tab w:val="right" w:pos="8838"/>
      </w:tabs>
      <w:rPr>
        <w:sz w:val="6"/>
        <w:szCs w:val="6"/>
      </w:rPr>
    </w:pPr>
  </w:p>
  <w:p w:rsidR="00074EB8" w:rsidRDefault="00074EB8" w:rsidP="00CB411C">
    <w:pPr>
      <w:tabs>
        <w:tab w:val="center" w:pos="4419"/>
        <w:tab w:val="right" w:pos="8838"/>
      </w:tabs>
      <w:rPr>
        <w:sz w:val="6"/>
        <w:szCs w:val="6"/>
      </w:rPr>
    </w:pPr>
  </w:p>
  <w:p w:rsidR="00074EB8" w:rsidRDefault="00074EB8" w:rsidP="00CB411C">
    <w:pPr>
      <w:tabs>
        <w:tab w:val="center" w:pos="4419"/>
        <w:tab w:val="right" w:pos="8838"/>
      </w:tabs>
      <w:rPr>
        <w:sz w:val="6"/>
        <w:szCs w:val="6"/>
      </w:rPr>
    </w:pPr>
  </w:p>
  <w:p w:rsidR="00074EB8" w:rsidRDefault="00074EB8" w:rsidP="00CB411C">
    <w:pPr>
      <w:tabs>
        <w:tab w:val="center" w:pos="4419"/>
        <w:tab w:val="right" w:pos="8838"/>
      </w:tabs>
      <w:rPr>
        <w:sz w:val="6"/>
        <w:szCs w:val="6"/>
      </w:rPr>
    </w:pPr>
  </w:p>
  <w:p w:rsidR="00074EB8" w:rsidRDefault="00074EB8" w:rsidP="00CB411C">
    <w:pPr>
      <w:tabs>
        <w:tab w:val="center" w:pos="4419"/>
        <w:tab w:val="right" w:pos="8838"/>
      </w:tabs>
      <w:rPr>
        <w:sz w:val="6"/>
        <w:szCs w:val="6"/>
      </w:rPr>
    </w:pPr>
  </w:p>
  <w:p w:rsidR="00074EB8" w:rsidRPr="00501407" w:rsidRDefault="00074EB8" w:rsidP="00CB411C">
    <w:pPr>
      <w:tabs>
        <w:tab w:val="center" w:pos="4419"/>
        <w:tab w:val="right" w:pos="8838"/>
      </w:tabs>
      <w:rPr>
        <w:sz w:val="6"/>
        <w:szCs w:val="6"/>
      </w:rPr>
    </w:pPr>
  </w:p>
  <w:p w:rsidR="00984CDE" w:rsidRPr="00501407" w:rsidRDefault="00984CDE" w:rsidP="00CB411C">
    <w:pPr>
      <w:pBdr>
        <w:top w:val="single" w:sz="4" w:space="0" w:color="auto"/>
      </w:pBdr>
      <w:tabs>
        <w:tab w:val="center" w:pos="4419"/>
        <w:tab w:val="right" w:pos="8838"/>
      </w:tabs>
      <w:jc w:val="center"/>
      <w:rPr>
        <w:rFonts w:ascii="Cambria" w:eastAsia="Calibri" w:hAnsi="Cambria" w:cs="Times New Roman"/>
      </w:rPr>
    </w:pPr>
  </w:p>
  <w:p w:rsidR="00074EB8" w:rsidRPr="00501407" w:rsidRDefault="00074EB8" w:rsidP="00CB411C">
    <w:pPr>
      <w:pBdr>
        <w:top w:val="single" w:sz="4" w:space="0" w:color="auto"/>
      </w:pBdr>
      <w:tabs>
        <w:tab w:val="center" w:pos="4419"/>
        <w:tab w:val="right" w:pos="8838"/>
      </w:tabs>
      <w:jc w:val="center"/>
      <w:rPr>
        <w:rFonts w:ascii="Cambria" w:eastAsia="Calibri" w:hAnsi="Cambria" w:cs="Times New Roman"/>
      </w:rPr>
    </w:pPr>
    <w:r w:rsidRPr="00501407">
      <w:rPr>
        <w:rFonts w:ascii="Cambria" w:eastAsia="Calibri" w:hAnsi="Cambria" w:cs="Times New Roman"/>
      </w:rPr>
      <w:t xml:space="preserve">14 de Mayo N° 337 c/ Palma. Edificio Ex </w:t>
    </w:r>
    <w:proofErr w:type="spellStart"/>
    <w:r w:rsidRPr="00501407">
      <w:rPr>
        <w:rFonts w:ascii="Cambria" w:eastAsia="Calibri" w:hAnsi="Cambria" w:cs="Times New Roman"/>
      </w:rPr>
      <w:t>Asubank</w:t>
    </w:r>
    <w:proofErr w:type="spellEnd"/>
    <w:r w:rsidRPr="00501407">
      <w:rPr>
        <w:rFonts w:ascii="Cambria" w:eastAsia="Calibri" w:hAnsi="Cambria" w:cs="Times New Roman"/>
      </w:rPr>
      <w:t>. Piso 15°. Asunción, Paraguay</w:t>
    </w:r>
  </w:p>
  <w:p w:rsidR="00074EB8" w:rsidRDefault="00074EB8" w:rsidP="00CB411C">
    <w:pPr>
      <w:pBdr>
        <w:top w:val="single" w:sz="4" w:space="0" w:color="auto"/>
      </w:pBdr>
      <w:tabs>
        <w:tab w:val="center" w:pos="4419"/>
        <w:tab w:val="right" w:pos="8838"/>
      </w:tabs>
      <w:jc w:val="center"/>
      <w:rPr>
        <w:rFonts w:ascii="Cambria" w:eastAsia="Calibri" w:hAnsi="Cambria" w:cs="Times New Roman"/>
      </w:rPr>
    </w:pPr>
    <w:r w:rsidRPr="00501407">
      <w:rPr>
        <w:rFonts w:ascii="Cambria" w:eastAsia="Calibri" w:hAnsi="Cambria" w:cs="Times New Roman"/>
      </w:rPr>
      <w:t xml:space="preserve">Teléfono: (+595 21) 448 409 - </w:t>
    </w:r>
    <w:hyperlink r:id="rId1" w:history="1">
      <w:r w:rsidR="00984CDE" w:rsidRPr="0054323E">
        <w:rPr>
          <w:rStyle w:val="Hipervnculo"/>
          <w:rFonts w:ascii="Cambria" w:eastAsia="Calibri" w:hAnsi="Cambria" w:cs="Times New Roman"/>
        </w:rPr>
        <w:t>ddhh@mre.gov.py</w:t>
      </w:r>
    </w:hyperlink>
  </w:p>
  <w:p w:rsidR="00984CDE" w:rsidRPr="00CB411C" w:rsidRDefault="00984CDE" w:rsidP="00984CDE">
    <w:pPr>
      <w:pBdr>
        <w:top w:val="single" w:sz="4" w:space="0" w:color="auto"/>
      </w:pBdr>
      <w:tabs>
        <w:tab w:val="center" w:pos="4419"/>
        <w:tab w:val="right" w:pos="8838"/>
      </w:tabs>
      <w:rPr>
        <w:rFonts w:ascii="Cambria" w:eastAsia="Calibri" w:hAnsi="Cambria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B8" w:rsidRDefault="00074EB8">
      <w:r>
        <w:separator/>
      </w:r>
    </w:p>
  </w:footnote>
  <w:footnote w:type="continuationSeparator" w:id="0">
    <w:p w:rsidR="00074EB8" w:rsidRDefault="0007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B8" w:rsidRDefault="00074EB8" w:rsidP="00C601CD">
    <w:pPr>
      <w:jc w:val="center"/>
      <w:rPr>
        <w:rFonts w:ascii="Edwardian Script ITC" w:hAnsi="Edwardian Script ITC"/>
        <w:sz w:val="28"/>
        <w:szCs w:val="28"/>
      </w:rPr>
    </w:pPr>
    <w:r w:rsidRPr="00B83F11">
      <w:rPr>
        <w:rFonts w:ascii="Edwardian Script ITC" w:hAnsi="Edwardian Script ITC"/>
        <w:sz w:val="28"/>
        <w:szCs w:val="28"/>
      </w:rPr>
      <w:t xml:space="preserve">Sesquicentenario de </w:t>
    </w:r>
    <w:r>
      <w:rPr>
        <w:rFonts w:ascii="Edwardian Script ITC" w:hAnsi="Edwardian Script ITC"/>
        <w:sz w:val="28"/>
        <w:szCs w:val="28"/>
      </w:rPr>
      <w:t>la Epopeya Nacional 1864 – 1870</w:t>
    </w:r>
  </w:p>
  <w:p w:rsidR="00074EB8" w:rsidRDefault="00074EB8" w:rsidP="00C601CD">
    <w:pPr>
      <w:jc w:val="center"/>
      <w:rPr>
        <w:rFonts w:ascii="Edwardian Script ITC" w:hAnsi="Edwardian Script ITC"/>
        <w:sz w:val="28"/>
        <w:szCs w:val="28"/>
      </w:rPr>
    </w:pP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090DB34D" wp14:editId="6DA45049">
          <wp:simplePos x="0" y="0"/>
          <wp:positionH relativeFrom="column">
            <wp:posOffset>4643755</wp:posOffset>
          </wp:positionH>
          <wp:positionV relativeFrom="paragraph">
            <wp:posOffset>185420</wp:posOffset>
          </wp:positionV>
          <wp:extent cx="978535" cy="527685"/>
          <wp:effectExtent l="0" t="0" r="0" b="5715"/>
          <wp:wrapNone/>
          <wp:docPr id="2" name="Imagen 2" descr="Descripción: La imagen puede contener: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a imagen puede contener: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32" t="37090" r="4213" b="38524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53A8ED04" wp14:editId="12998CE5">
          <wp:simplePos x="0" y="0"/>
          <wp:positionH relativeFrom="column">
            <wp:posOffset>1907667</wp:posOffset>
          </wp:positionH>
          <wp:positionV relativeFrom="paragraph">
            <wp:posOffset>184785</wp:posOffset>
          </wp:positionV>
          <wp:extent cx="2529205" cy="527685"/>
          <wp:effectExtent l="0" t="0" r="0" b="0"/>
          <wp:wrapNone/>
          <wp:docPr id="5" name="Imagen 5" descr="C:\Users\-\Desktop\logos snna\SNNA_gobierno nacional guara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\Desktop\logos snna\SNNA_gobierno nacional guaraní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27BEE9E3" wp14:editId="621F61E2">
          <wp:simplePos x="0" y="0"/>
          <wp:positionH relativeFrom="column">
            <wp:posOffset>-17780</wp:posOffset>
          </wp:positionH>
          <wp:positionV relativeFrom="paragraph">
            <wp:posOffset>122555</wp:posOffset>
          </wp:positionV>
          <wp:extent cx="1818409" cy="779318"/>
          <wp:effectExtent l="0" t="0" r="0" b="1905"/>
          <wp:wrapNone/>
          <wp:docPr id="3" name="Imagen 3" descr="C:\Users\rortega\Desktop\cabecera_mre_bilingue_v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rortega\Desktop\cabecera_mre_bilingue_v2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4"/>
                  <a:stretch/>
                </pic:blipFill>
                <pic:spPr bwMode="auto">
                  <a:xfrm>
                    <a:off x="0" y="0"/>
                    <a:ext cx="1818409" cy="779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EB8" w:rsidRDefault="00074EB8" w:rsidP="00C601CD">
    <w:pPr>
      <w:tabs>
        <w:tab w:val="right" w:pos="-4962"/>
        <w:tab w:val="center" w:pos="4252"/>
        <w:tab w:val="right" w:pos="8504"/>
      </w:tabs>
      <w:jc w:val="center"/>
      <w:rPr>
        <w:rFonts w:ascii="Edwardian Script ITC" w:eastAsia="Times New Roman" w:hAnsi="Edwardian Script ITC"/>
        <w:noProof/>
        <w:sz w:val="40"/>
        <w:lang w:eastAsia="es-PY"/>
      </w:rPr>
    </w:pPr>
  </w:p>
  <w:p w:rsidR="00074EB8" w:rsidRDefault="00074EB8" w:rsidP="00C601CD">
    <w:pPr>
      <w:tabs>
        <w:tab w:val="right" w:pos="-4962"/>
        <w:tab w:val="center" w:pos="4252"/>
        <w:tab w:val="left" w:pos="4956"/>
        <w:tab w:val="left" w:pos="5664"/>
      </w:tabs>
      <w:rPr>
        <w:rFonts w:ascii="Edwardian Script ITC" w:eastAsia="Times New Roman" w:hAnsi="Edwardian Script ITC"/>
        <w:noProof/>
        <w:sz w:val="40"/>
        <w:lang w:eastAsia="es-PY"/>
      </w:rPr>
    </w:pPr>
    <w:r>
      <w:rPr>
        <w:rFonts w:ascii="Edwardian Script ITC" w:eastAsia="Times New Roman" w:hAnsi="Edwardian Script ITC"/>
        <w:noProof/>
        <w:sz w:val="40"/>
        <w:lang w:eastAsia="es-PY"/>
      </w:rPr>
      <w:tab/>
    </w:r>
    <w:r>
      <w:rPr>
        <w:rFonts w:ascii="Edwardian Script ITC" w:eastAsia="Times New Roman" w:hAnsi="Edwardian Script ITC"/>
        <w:noProof/>
        <w:sz w:val="40"/>
        <w:lang w:eastAsia="es-PY"/>
      </w:rPr>
      <w:tab/>
    </w:r>
    <w:r>
      <w:rPr>
        <w:rFonts w:ascii="Edwardian Script ITC" w:eastAsia="Times New Roman" w:hAnsi="Edwardian Script ITC"/>
        <w:noProof/>
        <w:sz w:val="40"/>
        <w:lang w:eastAsia="es-PY"/>
      </w:rPr>
      <w:tab/>
    </w:r>
    <w:r>
      <w:rPr>
        <w:rFonts w:ascii="Edwardian Script ITC" w:eastAsia="Times New Roman" w:hAnsi="Edwardian Script ITC"/>
        <w:noProof/>
        <w:sz w:val="40"/>
        <w:lang w:eastAsia="es-PY"/>
      </w:rPr>
      <w:tab/>
    </w:r>
    <w:r>
      <w:rPr>
        <w:rFonts w:ascii="Edwardian Script ITC" w:eastAsia="Times New Roman" w:hAnsi="Edwardian Script ITC"/>
        <w:noProof/>
        <w:sz w:val="40"/>
        <w:lang w:eastAsia="es-PY"/>
      </w:rPr>
      <w:tab/>
    </w:r>
  </w:p>
  <w:p w:rsidR="00074EB8" w:rsidRPr="00962338" w:rsidRDefault="00074EB8" w:rsidP="00C601CD">
    <w:pPr>
      <w:pBdr>
        <w:bottom w:val="single" w:sz="6" w:space="1" w:color="auto"/>
      </w:pBdr>
      <w:jc w:val="center"/>
      <w:rPr>
        <w:rFonts w:ascii="Edwardian Script ITC" w:hAnsi="Edwardian Script ITC"/>
        <w:b/>
        <w:sz w:val="36"/>
        <w:szCs w:val="36"/>
      </w:rPr>
    </w:pPr>
    <w:r w:rsidRPr="00EB6B41">
      <w:rPr>
        <w:rFonts w:ascii="Edwardian Script ITC" w:hAnsi="Edwardian Script ITC"/>
        <w:sz w:val="36"/>
        <w:szCs w:val="36"/>
      </w:rPr>
      <w:t>Unidad General de Derechos Humanos</w:t>
    </w:r>
  </w:p>
  <w:p w:rsidR="00074EB8" w:rsidRPr="001C0EA2" w:rsidRDefault="00074EB8" w:rsidP="00C601CD">
    <w:pPr>
      <w:pBdr>
        <w:bottom w:val="single" w:sz="6" w:space="1" w:color="auto"/>
      </w:pBdr>
      <w:jc w:val="center"/>
      <w:rPr>
        <w:rFonts w:ascii="Edwardian Script ITC" w:hAnsi="Edwardian Script ITC"/>
        <w:sz w:val="14"/>
        <w:szCs w:val="14"/>
      </w:rPr>
    </w:pPr>
  </w:p>
  <w:p w:rsidR="00074EB8" w:rsidRPr="00E334CE" w:rsidRDefault="00074EB8" w:rsidP="00C601CD">
    <w:pPr>
      <w:tabs>
        <w:tab w:val="left" w:pos="4770"/>
      </w:tabs>
      <w:rPr>
        <w:rFonts w:ascii="Edwardian Script ITC" w:hAnsi="Edwardian Script ITC"/>
        <w:sz w:val="10"/>
      </w:rPr>
    </w:pPr>
  </w:p>
  <w:p w:rsidR="00074EB8" w:rsidRPr="008A3E71" w:rsidRDefault="00074EB8" w:rsidP="00C601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176"/>
    <w:multiLevelType w:val="hybridMultilevel"/>
    <w:tmpl w:val="EBEEC73E"/>
    <w:lvl w:ilvl="0" w:tplc="2730BE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05E9B"/>
    <w:multiLevelType w:val="hybridMultilevel"/>
    <w:tmpl w:val="C4D2495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1423"/>
    <w:multiLevelType w:val="hybridMultilevel"/>
    <w:tmpl w:val="D72431E8"/>
    <w:lvl w:ilvl="0" w:tplc="1BE8E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CC1"/>
    <w:multiLevelType w:val="hybridMultilevel"/>
    <w:tmpl w:val="937ED604"/>
    <w:lvl w:ilvl="0" w:tplc="EAC2CE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0150"/>
    <w:multiLevelType w:val="hybridMultilevel"/>
    <w:tmpl w:val="810290E0"/>
    <w:lvl w:ilvl="0" w:tplc="99A03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406D1E"/>
    <w:multiLevelType w:val="hybridMultilevel"/>
    <w:tmpl w:val="B0229806"/>
    <w:lvl w:ilvl="0" w:tplc="A8C2CDA4">
      <w:start w:val="4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A605CA"/>
    <w:multiLevelType w:val="hybridMultilevel"/>
    <w:tmpl w:val="CF50EC50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1AF621B"/>
    <w:multiLevelType w:val="hybridMultilevel"/>
    <w:tmpl w:val="6DF257E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1584C"/>
    <w:multiLevelType w:val="hybridMultilevel"/>
    <w:tmpl w:val="605C2E9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57C6D"/>
    <w:multiLevelType w:val="hybridMultilevel"/>
    <w:tmpl w:val="636EF2A4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30"/>
    <w:rsid w:val="00007248"/>
    <w:rsid w:val="00074EB8"/>
    <w:rsid w:val="000C1D7B"/>
    <w:rsid w:val="000C209A"/>
    <w:rsid w:val="000F39C8"/>
    <w:rsid w:val="00123085"/>
    <w:rsid w:val="001618A6"/>
    <w:rsid w:val="00243F99"/>
    <w:rsid w:val="00254E18"/>
    <w:rsid w:val="0029610E"/>
    <w:rsid w:val="002B3DC4"/>
    <w:rsid w:val="002C31F9"/>
    <w:rsid w:val="002C6D93"/>
    <w:rsid w:val="003F5F06"/>
    <w:rsid w:val="004522D6"/>
    <w:rsid w:val="004854B1"/>
    <w:rsid w:val="004C72AB"/>
    <w:rsid w:val="004F1FC6"/>
    <w:rsid w:val="00506D84"/>
    <w:rsid w:val="00546022"/>
    <w:rsid w:val="0055645A"/>
    <w:rsid w:val="005967A0"/>
    <w:rsid w:val="005D0BEA"/>
    <w:rsid w:val="0060626D"/>
    <w:rsid w:val="0061676E"/>
    <w:rsid w:val="0063326E"/>
    <w:rsid w:val="00777E86"/>
    <w:rsid w:val="00807A39"/>
    <w:rsid w:val="00817A4F"/>
    <w:rsid w:val="008D4618"/>
    <w:rsid w:val="009375A8"/>
    <w:rsid w:val="009402AB"/>
    <w:rsid w:val="009560A8"/>
    <w:rsid w:val="009711CC"/>
    <w:rsid w:val="00984CDE"/>
    <w:rsid w:val="009B3DEA"/>
    <w:rsid w:val="009E5F85"/>
    <w:rsid w:val="00A61C50"/>
    <w:rsid w:val="00A70240"/>
    <w:rsid w:val="00AD36F4"/>
    <w:rsid w:val="00AD7507"/>
    <w:rsid w:val="00AF6B6C"/>
    <w:rsid w:val="00BC1E50"/>
    <w:rsid w:val="00C601CD"/>
    <w:rsid w:val="00C83530"/>
    <w:rsid w:val="00CB411C"/>
    <w:rsid w:val="00CD427E"/>
    <w:rsid w:val="00CE3754"/>
    <w:rsid w:val="00D77357"/>
    <w:rsid w:val="00D861C8"/>
    <w:rsid w:val="00DD1513"/>
    <w:rsid w:val="00EC19B7"/>
    <w:rsid w:val="00EC7A30"/>
    <w:rsid w:val="00F21845"/>
    <w:rsid w:val="00F53CC9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A30"/>
    <w:pPr>
      <w:spacing w:after="0" w:line="240" w:lineRule="auto"/>
    </w:pPr>
    <w:rPr>
      <w:rFonts w:ascii="Times" w:eastAsia="Times" w:hAnsi="Times" w:cs="Times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A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C7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A30"/>
    <w:rPr>
      <w:rFonts w:ascii="Times" w:eastAsia="Times" w:hAnsi="Times" w:cs="Times"/>
      <w:sz w:val="20"/>
      <w:szCs w:val="20"/>
      <w:lang w:val="es-ES_tradnl"/>
    </w:rPr>
  </w:style>
  <w:style w:type="paragraph" w:styleId="Sinespaciado">
    <w:name w:val="No Spacing"/>
    <w:uiPriority w:val="1"/>
    <w:qFormat/>
    <w:rsid w:val="00EC7A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A30"/>
    <w:rPr>
      <w:rFonts w:ascii="Tahoma" w:eastAsia="Times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0724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61C50"/>
    <w:pPr>
      <w:spacing w:after="120"/>
    </w:pPr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1C5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23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085"/>
    <w:rPr>
      <w:rFonts w:ascii="Times" w:eastAsia="Times" w:hAnsi="Times" w:cs="Times"/>
      <w:sz w:val="20"/>
      <w:szCs w:val="20"/>
      <w:lang w:val="es-ES_tradnl"/>
    </w:rPr>
  </w:style>
  <w:style w:type="paragraph" w:customStyle="1" w:styleId="Textoindependiente1">
    <w:name w:val="Texto independiente1"/>
    <w:basedOn w:val="Normal"/>
    <w:rsid w:val="009711C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es-ES" w:eastAsia="ar-SA"/>
    </w:rPr>
  </w:style>
  <w:style w:type="paragraph" w:customStyle="1" w:styleId="Default">
    <w:name w:val="Default"/>
    <w:rsid w:val="00CE3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customStyle="1" w:styleId="H1G">
    <w:name w:val="_ H_1_G"/>
    <w:basedOn w:val="Normal"/>
    <w:next w:val="Normal"/>
    <w:qFormat/>
    <w:rsid w:val="009402A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lang w:val="en-GB"/>
    </w:rPr>
  </w:style>
  <w:style w:type="paragraph" w:customStyle="1" w:styleId="HChG">
    <w:name w:val="_ H _Ch_G"/>
    <w:basedOn w:val="Normal"/>
    <w:next w:val="Normal"/>
    <w:qFormat/>
    <w:rsid w:val="009402A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SingleTxtGCar">
    <w:name w:val="_ Single Txt_G Car"/>
    <w:link w:val="SingleTxtG"/>
    <w:locked/>
    <w:rsid w:val="00DD1513"/>
    <w:rPr>
      <w:lang w:val="en-GB"/>
    </w:rPr>
  </w:style>
  <w:style w:type="paragraph" w:customStyle="1" w:styleId="SingleTxtG">
    <w:name w:val="_ Single Txt_G"/>
    <w:basedOn w:val="Normal"/>
    <w:link w:val="SingleTxtGCar"/>
    <w:qFormat/>
    <w:rsid w:val="00DD1513"/>
    <w:pPr>
      <w:suppressAutoHyphens/>
      <w:spacing w:after="120" w:line="240" w:lineRule="atLeast"/>
      <w:ind w:left="1134" w:right="1134"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ipervnculo">
    <w:name w:val="Hyperlink"/>
    <w:basedOn w:val="Fuentedeprrafopredeter"/>
    <w:uiPriority w:val="99"/>
    <w:unhideWhenUsed/>
    <w:rsid w:val="00984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A30"/>
    <w:pPr>
      <w:spacing w:after="0" w:line="240" w:lineRule="auto"/>
    </w:pPr>
    <w:rPr>
      <w:rFonts w:ascii="Times" w:eastAsia="Times" w:hAnsi="Times" w:cs="Times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A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C7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A30"/>
    <w:rPr>
      <w:rFonts w:ascii="Times" w:eastAsia="Times" w:hAnsi="Times" w:cs="Times"/>
      <w:sz w:val="20"/>
      <w:szCs w:val="20"/>
      <w:lang w:val="es-ES_tradnl"/>
    </w:rPr>
  </w:style>
  <w:style w:type="paragraph" w:styleId="Sinespaciado">
    <w:name w:val="No Spacing"/>
    <w:uiPriority w:val="1"/>
    <w:qFormat/>
    <w:rsid w:val="00EC7A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A30"/>
    <w:rPr>
      <w:rFonts w:ascii="Tahoma" w:eastAsia="Times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0724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61C50"/>
    <w:pPr>
      <w:spacing w:after="120"/>
    </w:pPr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1C5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23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085"/>
    <w:rPr>
      <w:rFonts w:ascii="Times" w:eastAsia="Times" w:hAnsi="Times" w:cs="Times"/>
      <w:sz w:val="20"/>
      <w:szCs w:val="20"/>
      <w:lang w:val="es-ES_tradnl"/>
    </w:rPr>
  </w:style>
  <w:style w:type="paragraph" w:customStyle="1" w:styleId="Textoindependiente1">
    <w:name w:val="Texto independiente1"/>
    <w:basedOn w:val="Normal"/>
    <w:rsid w:val="009711C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es-ES" w:eastAsia="ar-SA"/>
    </w:rPr>
  </w:style>
  <w:style w:type="paragraph" w:customStyle="1" w:styleId="Default">
    <w:name w:val="Default"/>
    <w:rsid w:val="00CE3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customStyle="1" w:styleId="H1G">
    <w:name w:val="_ H_1_G"/>
    <w:basedOn w:val="Normal"/>
    <w:next w:val="Normal"/>
    <w:qFormat/>
    <w:rsid w:val="009402A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lang w:val="en-GB"/>
    </w:rPr>
  </w:style>
  <w:style w:type="paragraph" w:customStyle="1" w:styleId="HChG">
    <w:name w:val="_ H _Ch_G"/>
    <w:basedOn w:val="Normal"/>
    <w:next w:val="Normal"/>
    <w:qFormat/>
    <w:rsid w:val="009402A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SingleTxtGCar">
    <w:name w:val="_ Single Txt_G Car"/>
    <w:link w:val="SingleTxtG"/>
    <w:locked/>
    <w:rsid w:val="00DD1513"/>
    <w:rPr>
      <w:lang w:val="en-GB"/>
    </w:rPr>
  </w:style>
  <w:style w:type="paragraph" w:customStyle="1" w:styleId="SingleTxtG">
    <w:name w:val="_ Single Txt_G"/>
    <w:basedOn w:val="Normal"/>
    <w:link w:val="SingleTxtGCar"/>
    <w:qFormat/>
    <w:rsid w:val="00DD1513"/>
    <w:pPr>
      <w:suppressAutoHyphens/>
      <w:spacing w:after="120" w:line="240" w:lineRule="atLeast"/>
      <w:ind w:left="1134" w:right="1134"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ipervnculo">
    <w:name w:val="Hyperlink"/>
    <w:basedOn w:val="Fuentedeprrafopredeter"/>
    <w:uiPriority w:val="99"/>
    <w:unhideWhenUsed/>
    <w:rsid w:val="00984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hh@mre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07F97E-198E-43AB-B4C8-D5FD0603B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389FD-9F4E-4008-BEFC-01D675D10DDB}"/>
</file>

<file path=customXml/itemProps3.xml><?xml version="1.0" encoding="utf-8"?>
<ds:datastoreItem xmlns:ds="http://schemas.openxmlformats.org/officeDocument/2006/customXml" ds:itemID="{FECB3AAD-518C-4027-BB51-D904DC84667E}"/>
</file>

<file path=customXml/itemProps4.xml><?xml version="1.0" encoding="utf-8"?>
<ds:datastoreItem xmlns:ds="http://schemas.openxmlformats.org/officeDocument/2006/customXml" ds:itemID="{4F4AD3C6-6509-4B06-9574-2B155DD07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6</cp:revision>
  <dcterms:created xsi:type="dcterms:W3CDTF">2020-04-07T20:59:00Z</dcterms:created>
  <dcterms:modified xsi:type="dcterms:W3CDTF">2020-11-17T00:57:00Z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