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163C" w14:textId="175580FB" w:rsidR="00941760" w:rsidRPr="009667E2" w:rsidRDefault="009667E2" w:rsidP="000C4547">
      <w:pPr>
        <w:jc w:val="center"/>
        <w:rPr>
          <w:b/>
          <w:bCs/>
          <w:sz w:val="28"/>
          <w:szCs w:val="28"/>
        </w:rPr>
      </w:pPr>
      <w:r w:rsidRPr="009667E2">
        <w:rPr>
          <w:b/>
          <w:bCs/>
          <w:sz w:val="28"/>
          <w:szCs w:val="28"/>
        </w:rPr>
        <w:t xml:space="preserve">Privacy and children’s rights: Considering the role of </w:t>
      </w:r>
      <w:r w:rsidR="00463496">
        <w:rPr>
          <w:b/>
          <w:bCs/>
          <w:sz w:val="28"/>
          <w:szCs w:val="28"/>
        </w:rPr>
        <w:t>non-state actors</w:t>
      </w:r>
      <w:r w:rsidRPr="009667E2">
        <w:rPr>
          <w:b/>
          <w:bCs/>
          <w:sz w:val="28"/>
          <w:szCs w:val="28"/>
        </w:rPr>
        <w:t xml:space="preserve"> in the dissemination of a child’s personal information online</w:t>
      </w:r>
    </w:p>
    <w:p w14:paraId="3916553A" w14:textId="4B4689BC" w:rsidR="00941760" w:rsidRPr="009667E2" w:rsidRDefault="009667E2" w:rsidP="009667E2">
      <w:pPr>
        <w:spacing w:before="120"/>
        <w:jc w:val="center"/>
        <w:rPr>
          <w:bCs/>
          <w:i/>
          <w:sz w:val="24"/>
          <w:szCs w:val="24"/>
        </w:rPr>
      </w:pPr>
      <w:r w:rsidRPr="009667E2">
        <w:rPr>
          <w:bCs/>
          <w:i/>
          <w:sz w:val="24"/>
          <w:szCs w:val="24"/>
        </w:rPr>
        <w:t xml:space="preserve">Cassandra </w:t>
      </w:r>
      <w:proofErr w:type="spellStart"/>
      <w:r w:rsidRPr="009667E2">
        <w:rPr>
          <w:bCs/>
          <w:i/>
          <w:sz w:val="24"/>
          <w:szCs w:val="24"/>
        </w:rPr>
        <w:t>Seery</w:t>
      </w:r>
      <w:proofErr w:type="spellEnd"/>
      <w:r>
        <w:rPr>
          <w:rStyle w:val="FootnoteReference"/>
          <w:bCs/>
          <w:i/>
          <w:szCs w:val="24"/>
        </w:rPr>
        <w:footnoteReference w:id="1"/>
      </w:r>
    </w:p>
    <w:p w14:paraId="5D220E53" w14:textId="77777777" w:rsidR="00941760" w:rsidRDefault="00941760" w:rsidP="00F64BB5">
      <w:pPr>
        <w:rPr>
          <w:b/>
          <w:bCs/>
          <w:sz w:val="24"/>
          <w:szCs w:val="24"/>
        </w:rPr>
      </w:pPr>
    </w:p>
    <w:p w14:paraId="492B7BC1" w14:textId="1AFAD493" w:rsidR="00941760" w:rsidRPr="00FC40AF" w:rsidRDefault="009667E2" w:rsidP="009667E2">
      <w:pPr>
        <w:pStyle w:val="SingleTxtG"/>
        <w:tabs>
          <w:tab w:val="left" w:pos="4536"/>
        </w:tabs>
        <w:adjustRightInd w:val="0"/>
        <w:jc w:val="center"/>
      </w:pPr>
      <w:r>
        <w:rPr>
          <w:i/>
          <w:iCs/>
        </w:rPr>
        <w:t>A submission to the Committee on the Rights of the Child regarding the proposed General Comment on children’s rights in relation to the digital environment</w:t>
      </w:r>
    </w:p>
    <w:p w14:paraId="769F4825" w14:textId="579FBDD5" w:rsidR="00941760" w:rsidRDefault="00941760" w:rsidP="00F64BB5">
      <w:pPr>
        <w:rPr>
          <w:b/>
          <w:bCs/>
          <w:sz w:val="24"/>
          <w:szCs w:val="24"/>
        </w:rPr>
      </w:pPr>
    </w:p>
    <w:p w14:paraId="1F0F4572" w14:textId="7FA0B94D" w:rsidR="00941760" w:rsidRDefault="00941760" w:rsidP="00F64BB5">
      <w:pPr>
        <w:pStyle w:val="HChG"/>
        <w:numPr>
          <w:ilvl w:val="0"/>
          <w:numId w:val="9"/>
        </w:numPr>
        <w:spacing w:before="120"/>
      </w:pPr>
      <w:r>
        <w:t>Introduction</w:t>
      </w:r>
    </w:p>
    <w:p w14:paraId="17BD8C54" w14:textId="05709340" w:rsidR="00585F61" w:rsidRPr="00F91D08" w:rsidRDefault="00167775" w:rsidP="00585F61">
      <w:pPr>
        <w:pStyle w:val="ListParagraph"/>
        <w:numPr>
          <w:ilvl w:val="0"/>
          <w:numId w:val="10"/>
        </w:numPr>
        <w:spacing w:before="120"/>
        <w:jc w:val="both"/>
        <w:rPr>
          <w:bCs/>
          <w:sz w:val="22"/>
          <w:szCs w:val="22"/>
        </w:rPr>
      </w:pPr>
      <w:r w:rsidRPr="00F91D08">
        <w:rPr>
          <w:bCs/>
          <w:sz w:val="22"/>
          <w:szCs w:val="22"/>
        </w:rPr>
        <w:t xml:space="preserve">When the </w:t>
      </w:r>
      <w:r w:rsidRPr="00F91D08">
        <w:rPr>
          <w:bCs/>
          <w:i/>
          <w:sz w:val="22"/>
          <w:szCs w:val="22"/>
        </w:rPr>
        <w:t>Convention on the Rights of the Child</w:t>
      </w:r>
      <w:r w:rsidRPr="00F91D08">
        <w:rPr>
          <w:bCs/>
          <w:sz w:val="22"/>
          <w:szCs w:val="22"/>
        </w:rPr>
        <w:t xml:space="preserve"> came into force in </w:t>
      </w:r>
      <w:r w:rsidR="00A8402E" w:rsidRPr="00F91D08">
        <w:rPr>
          <w:bCs/>
          <w:sz w:val="22"/>
          <w:szCs w:val="22"/>
        </w:rPr>
        <w:t>2 September</w:t>
      </w:r>
      <w:r w:rsidRPr="00F91D08">
        <w:rPr>
          <w:bCs/>
          <w:sz w:val="22"/>
          <w:szCs w:val="22"/>
        </w:rPr>
        <w:t xml:space="preserve"> 1990, there was no </w:t>
      </w:r>
      <w:r w:rsidR="00585F61" w:rsidRPr="00F91D08">
        <w:rPr>
          <w:bCs/>
          <w:sz w:val="22"/>
          <w:szCs w:val="22"/>
        </w:rPr>
        <w:t>meaningful way</w:t>
      </w:r>
      <w:r w:rsidRPr="00F91D08">
        <w:rPr>
          <w:bCs/>
          <w:sz w:val="22"/>
          <w:szCs w:val="22"/>
        </w:rPr>
        <w:t xml:space="preserve"> </w:t>
      </w:r>
      <w:r w:rsidR="00585F61" w:rsidRPr="00F91D08">
        <w:rPr>
          <w:bCs/>
          <w:sz w:val="22"/>
          <w:szCs w:val="22"/>
        </w:rPr>
        <w:t xml:space="preserve">to consider </w:t>
      </w:r>
      <w:r w:rsidRPr="00F91D08">
        <w:rPr>
          <w:bCs/>
          <w:sz w:val="22"/>
          <w:szCs w:val="22"/>
        </w:rPr>
        <w:t>the impact of the digital environment on children. The invention of the World Wide Web –</w:t>
      </w:r>
      <w:r w:rsidR="00A8402E" w:rsidRPr="00F91D08">
        <w:rPr>
          <w:bCs/>
          <w:sz w:val="22"/>
          <w:szCs w:val="22"/>
        </w:rPr>
        <w:t xml:space="preserve"> </w:t>
      </w:r>
      <w:r w:rsidRPr="00F91D08">
        <w:rPr>
          <w:bCs/>
          <w:sz w:val="22"/>
          <w:szCs w:val="22"/>
        </w:rPr>
        <w:t>the internet as we know it today – effectively began entering the mainstream population from 1990</w:t>
      </w:r>
      <w:r w:rsidR="00585F61" w:rsidRPr="00F91D08">
        <w:rPr>
          <w:bCs/>
          <w:sz w:val="22"/>
          <w:szCs w:val="22"/>
        </w:rPr>
        <w:t>,</w:t>
      </w:r>
      <w:r w:rsidRPr="00F91D08">
        <w:rPr>
          <w:bCs/>
          <w:sz w:val="22"/>
          <w:szCs w:val="22"/>
        </w:rPr>
        <w:t xml:space="preserve"> and it was</w:t>
      </w:r>
      <w:r w:rsidR="00EF51B4" w:rsidRPr="00F91D08">
        <w:rPr>
          <w:bCs/>
          <w:sz w:val="22"/>
          <w:szCs w:val="22"/>
        </w:rPr>
        <w:t xml:space="preserve"> not</w:t>
      </w:r>
      <w:r w:rsidRPr="00F91D08">
        <w:rPr>
          <w:bCs/>
          <w:sz w:val="22"/>
          <w:szCs w:val="22"/>
        </w:rPr>
        <w:t xml:space="preserve"> until the launch of social media applications from the early-2000s that </w:t>
      </w:r>
      <w:r w:rsidR="00A8402E" w:rsidRPr="00F91D08">
        <w:rPr>
          <w:bCs/>
          <w:sz w:val="22"/>
          <w:szCs w:val="22"/>
        </w:rPr>
        <w:t xml:space="preserve">significant </w:t>
      </w:r>
      <w:r w:rsidRPr="00F91D08">
        <w:rPr>
          <w:bCs/>
          <w:sz w:val="22"/>
          <w:szCs w:val="22"/>
        </w:rPr>
        <w:t xml:space="preserve">privacy </w:t>
      </w:r>
      <w:r w:rsidR="00A8402E" w:rsidRPr="00F91D08">
        <w:rPr>
          <w:bCs/>
          <w:sz w:val="22"/>
          <w:szCs w:val="22"/>
        </w:rPr>
        <w:t>questions</w:t>
      </w:r>
      <w:r w:rsidRPr="00F91D08">
        <w:rPr>
          <w:bCs/>
          <w:sz w:val="22"/>
          <w:szCs w:val="22"/>
        </w:rPr>
        <w:t xml:space="preserve"> began to emerge. As we reach 2020, it has become clear that </w:t>
      </w:r>
      <w:r w:rsidR="00A8402E" w:rsidRPr="00F91D08">
        <w:rPr>
          <w:bCs/>
          <w:sz w:val="22"/>
          <w:szCs w:val="22"/>
        </w:rPr>
        <w:t xml:space="preserve">children’s rights under the CRC are </w:t>
      </w:r>
      <w:r w:rsidR="00EF51B4" w:rsidRPr="00F91D08">
        <w:rPr>
          <w:bCs/>
          <w:sz w:val="22"/>
          <w:szCs w:val="22"/>
        </w:rPr>
        <w:t xml:space="preserve">not only </w:t>
      </w:r>
      <w:r w:rsidR="00A8402E" w:rsidRPr="00F91D08">
        <w:rPr>
          <w:bCs/>
          <w:sz w:val="22"/>
          <w:szCs w:val="22"/>
        </w:rPr>
        <w:t>applicable to the digital environment,</w:t>
      </w:r>
      <w:r w:rsidRPr="00F91D08">
        <w:rPr>
          <w:bCs/>
          <w:sz w:val="22"/>
          <w:szCs w:val="22"/>
        </w:rPr>
        <w:t xml:space="preserve"> but</w:t>
      </w:r>
      <w:r w:rsidR="00A8402E" w:rsidRPr="00F91D08">
        <w:rPr>
          <w:bCs/>
          <w:sz w:val="22"/>
          <w:szCs w:val="22"/>
        </w:rPr>
        <w:t xml:space="preserve"> that</w:t>
      </w:r>
      <w:r w:rsidR="00CC1E50" w:rsidRPr="00F91D08">
        <w:rPr>
          <w:bCs/>
          <w:sz w:val="22"/>
          <w:szCs w:val="22"/>
        </w:rPr>
        <w:t xml:space="preserve"> </w:t>
      </w:r>
      <w:r w:rsidR="007D66E5" w:rsidRPr="00F91D08">
        <w:rPr>
          <w:bCs/>
          <w:sz w:val="22"/>
          <w:szCs w:val="22"/>
        </w:rPr>
        <w:t>the digital environment</w:t>
      </w:r>
      <w:r w:rsidRPr="00F91D08">
        <w:rPr>
          <w:bCs/>
          <w:sz w:val="22"/>
          <w:szCs w:val="22"/>
        </w:rPr>
        <w:t xml:space="preserve"> is having an increasing impact on children’s rights </w:t>
      </w:r>
      <w:r w:rsidR="00585F61" w:rsidRPr="00F91D08">
        <w:rPr>
          <w:bCs/>
          <w:sz w:val="22"/>
          <w:szCs w:val="22"/>
        </w:rPr>
        <w:t>outside the digital space.</w:t>
      </w:r>
    </w:p>
    <w:p w14:paraId="4ACDAC41" w14:textId="77777777" w:rsidR="00FD7751" w:rsidRPr="00F91D08" w:rsidRDefault="00FD7751" w:rsidP="00FD7751">
      <w:pPr>
        <w:pStyle w:val="ListParagraph"/>
        <w:spacing w:before="120"/>
        <w:jc w:val="both"/>
        <w:rPr>
          <w:bCs/>
          <w:sz w:val="22"/>
          <w:szCs w:val="22"/>
        </w:rPr>
      </w:pPr>
    </w:p>
    <w:p w14:paraId="07CB7515" w14:textId="44508F1F" w:rsidR="00B41C86" w:rsidRPr="00F91D08" w:rsidRDefault="00167775" w:rsidP="00D10D7E">
      <w:pPr>
        <w:pStyle w:val="ListParagraph"/>
        <w:numPr>
          <w:ilvl w:val="0"/>
          <w:numId w:val="10"/>
        </w:numPr>
        <w:spacing w:before="120"/>
        <w:jc w:val="both"/>
        <w:rPr>
          <w:bCs/>
          <w:sz w:val="22"/>
          <w:szCs w:val="22"/>
        </w:rPr>
      </w:pPr>
      <w:r w:rsidRPr="00F91D08">
        <w:rPr>
          <w:bCs/>
          <w:sz w:val="22"/>
          <w:szCs w:val="22"/>
        </w:rPr>
        <w:t xml:space="preserve">While there has been an increasing focus to better equip children with the tools </w:t>
      </w:r>
      <w:r w:rsidR="00585F61" w:rsidRPr="00F91D08">
        <w:rPr>
          <w:bCs/>
          <w:sz w:val="22"/>
          <w:szCs w:val="22"/>
        </w:rPr>
        <w:t xml:space="preserve">and skills </w:t>
      </w:r>
      <w:r w:rsidRPr="00F91D08">
        <w:rPr>
          <w:bCs/>
          <w:sz w:val="22"/>
          <w:szCs w:val="22"/>
        </w:rPr>
        <w:t>to interact with a digital environment safely,</w:t>
      </w:r>
      <w:r w:rsidR="006062AC" w:rsidRPr="00F91D08">
        <w:rPr>
          <w:rStyle w:val="FootnoteReference"/>
          <w:bCs/>
          <w:sz w:val="22"/>
          <w:szCs w:val="22"/>
        </w:rPr>
        <w:footnoteReference w:id="2"/>
      </w:r>
      <w:r w:rsidRPr="00F91D08">
        <w:rPr>
          <w:bCs/>
          <w:sz w:val="22"/>
          <w:szCs w:val="22"/>
        </w:rPr>
        <w:t xml:space="preserve"> there has been </w:t>
      </w:r>
      <w:r w:rsidR="00585F61" w:rsidRPr="00F91D08">
        <w:rPr>
          <w:bCs/>
          <w:sz w:val="22"/>
          <w:szCs w:val="22"/>
        </w:rPr>
        <w:t>almost</w:t>
      </w:r>
      <w:r w:rsidRPr="00F91D08">
        <w:rPr>
          <w:bCs/>
          <w:sz w:val="22"/>
          <w:szCs w:val="22"/>
        </w:rPr>
        <w:t xml:space="preserve"> no discussion about the impact of </w:t>
      </w:r>
      <w:r w:rsidR="00B41C86" w:rsidRPr="00F91D08">
        <w:rPr>
          <w:bCs/>
          <w:sz w:val="22"/>
          <w:szCs w:val="22"/>
        </w:rPr>
        <w:t xml:space="preserve">duty bearers </w:t>
      </w:r>
      <w:r w:rsidRPr="00F91D08">
        <w:rPr>
          <w:bCs/>
          <w:sz w:val="22"/>
          <w:szCs w:val="22"/>
        </w:rPr>
        <w:t xml:space="preserve">(such as parents, caregivers and others) sharing personal information about children </w:t>
      </w:r>
      <w:r w:rsidR="00585F61" w:rsidRPr="00F91D08">
        <w:rPr>
          <w:bCs/>
          <w:sz w:val="22"/>
          <w:szCs w:val="22"/>
        </w:rPr>
        <w:t>in a digital environment</w:t>
      </w:r>
      <w:r w:rsidRPr="00F91D08">
        <w:rPr>
          <w:bCs/>
          <w:sz w:val="22"/>
          <w:szCs w:val="22"/>
        </w:rPr>
        <w:t xml:space="preserve"> and the impact this may have on children’s rights. </w:t>
      </w:r>
      <w:r w:rsidR="00B41C86" w:rsidRPr="00F91D08">
        <w:rPr>
          <w:bCs/>
          <w:sz w:val="22"/>
          <w:szCs w:val="22"/>
        </w:rPr>
        <w:t xml:space="preserve">Additionally, there has been no meaningful discussion </w:t>
      </w:r>
      <w:r w:rsidR="00D10D7E" w:rsidRPr="00F91D08">
        <w:rPr>
          <w:bCs/>
          <w:sz w:val="22"/>
          <w:szCs w:val="22"/>
        </w:rPr>
        <w:t>concerning</w:t>
      </w:r>
      <w:r w:rsidR="00B41C86" w:rsidRPr="00F91D08">
        <w:rPr>
          <w:bCs/>
          <w:sz w:val="22"/>
          <w:szCs w:val="22"/>
        </w:rPr>
        <w:t xml:space="preserve"> the role of the </w:t>
      </w:r>
      <w:r w:rsidR="00D10D7E" w:rsidRPr="00F91D08">
        <w:rPr>
          <w:bCs/>
          <w:sz w:val="22"/>
          <w:szCs w:val="22"/>
        </w:rPr>
        <w:t>S</w:t>
      </w:r>
      <w:r w:rsidR="00B41C86" w:rsidRPr="00F91D08">
        <w:rPr>
          <w:bCs/>
          <w:sz w:val="22"/>
          <w:szCs w:val="22"/>
        </w:rPr>
        <w:t>tate and relevant corporations (as non-state actors) in regulating the digital environment in relation to children’s rights.</w:t>
      </w:r>
    </w:p>
    <w:p w14:paraId="235762F3" w14:textId="77777777" w:rsidR="00B41C86" w:rsidRPr="00F91D08" w:rsidRDefault="00B41C86" w:rsidP="00B41C86">
      <w:pPr>
        <w:pStyle w:val="ListParagraph"/>
        <w:rPr>
          <w:bCs/>
          <w:sz w:val="22"/>
          <w:szCs w:val="22"/>
        </w:rPr>
      </w:pPr>
    </w:p>
    <w:p w14:paraId="2EE11720" w14:textId="48751D60" w:rsidR="00167775" w:rsidRPr="00F91D08" w:rsidRDefault="00585F61" w:rsidP="00B41C86">
      <w:pPr>
        <w:pStyle w:val="ListParagraph"/>
        <w:numPr>
          <w:ilvl w:val="0"/>
          <w:numId w:val="10"/>
        </w:numPr>
        <w:spacing w:before="120"/>
        <w:jc w:val="both"/>
        <w:rPr>
          <w:bCs/>
          <w:sz w:val="22"/>
          <w:szCs w:val="22"/>
        </w:rPr>
      </w:pPr>
      <w:r w:rsidRPr="00F91D08">
        <w:rPr>
          <w:bCs/>
          <w:sz w:val="22"/>
          <w:szCs w:val="22"/>
        </w:rPr>
        <w:t>The proposed General Comment presents an opportunity to: (</w:t>
      </w:r>
      <w:proofErr w:type="spellStart"/>
      <w:r w:rsidRPr="00F91D08">
        <w:rPr>
          <w:bCs/>
          <w:sz w:val="22"/>
          <w:szCs w:val="22"/>
        </w:rPr>
        <w:t>i</w:t>
      </w:r>
      <w:proofErr w:type="spellEnd"/>
      <w:r w:rsidRPr="00F91D08">
        <w:rPr>
          <w:bCs/>
          <w:sz w:val="22"/>
          <w:szCs w:val="22"/>
        </w:rPr>
        <w:t>) clarify the relationship between a parent’s right (as an individual) and their obligations</w:t>
      </w:r>
      <w:r w:rsidR="00B41C86" w:rsidRPr="00F91D08">
        <w:rPr>
          <w:bCs/>
          <w:sz w:val="22"/>
          <w:szCs w:val="22"/>
        </w:rPr>
        <w:t xml:space="preserve"> as a parent</w:t>
      </w:r>
      <w:r w:rsidRPr="00F91D08">
        <w:rPr>
          <w:bCs/>
          <w:sz w:val="22"/>
          <w:szCs w:val="22"/>
        </w:rPr>
        <w:t xml:space="preserve"> to ensure the safety and privacy of their children online; and (ii) provide guidance to States on how to approach Convention obligations in a digital environment in relation to the conduct of </w:t>
      </w:r>
      <w:r w:rsidR="00B41C86" w:rsidRPr="00F91D08">
        <w:rPr>
          <w:bCs/>
          <w:sz w:val="22"/>
          <w:szCs w:val="22"/>
        </w:rPr>
        <w:t>non-state actors</w:t>
      </w:r>
      <w:r w:rsidR="00B41C86" w:rsidRPr="00F91D08">
        <w:rPr>
          <w:rStyle w:val="FootnoteReference"/>
          <w:bCs/>
          <w:sz w:val="22"/>
          <w:szCs w:val="22"/>
        </w:rPr>
        <w:footnoteReference w:id="3"/>
      </w:r>
      <w:r w:rsidRPr="00F91D08">
        <w:rPr>
          <w:bCs/>
          <w:sz w:val="22"/>
          <w:szCs w:val="22"/>
        </w:rPr>
        <w:t xml:space="preserve">. </w:t>
      </w:r>
      <w:r w:rsidR="00167775" w:rsidRPr="00F91D08">
        <w:rPr>
          <w:bCs/>
          <w:sz w:val="22"/>
          <w:szCs w:val="22"/>
        </w:rPr>
        <w:t>This submission seeks to briefly raise some key issues associated with</w:t>
      </w:r>
      <w:r w:rsidRPr="00F91D08">
        <w:rPr>
          <w:bCs/>
          <w:sz w:val="22"/>
          <w:szCs w:val="22"/>
        </w:rPr>
        <w:t xml:space="preserve"> dissemination of </w:t>
      </w:r>
      <w:r w:rsidR="00801D5E" w:rsidRPr="00F91D08">
        <w:rPr>
          <w:bCs/>
          <w:sz w:val="22"/>
          <w:szCs w:val="22"/>
        </w:rPr>
        <w:t xml:space="preserve">a child’s </w:t>
      </w:r>
      <w:r w:rsidRPr="00F91D08">
        <w:rPr>
          <w:bCs/>
          <w:sz w:val="22"/>
          <w:szCs w:val="22"/>
        </w:rPr>
        <w:t xml:space="preserve">personal information by third parties </w:t>
      </w:r>
      <w:r w:rsidR="00167775" w:rsidRPr="00F91D08">
        <w:rPr>
          <w:bCs/>
          <w:sz w:val="22"/>
          <w:szCs w:val="22"/>
        </w:rPr>
        <w:t xml:space="preserve">and possible opportunities to provide guidance to States on mechanisms to address this </w:t>
      </w:r>
      <w:r w:rsidR="00AB168A" w:rsidRPr="00F91D08">
        <w:rPr>
          <w:bCs/>
          <w:sz w:val="22"/>
          <w:szCs w:val="22"/>
        </w:rPr>
        <w:t xml:space="preserve">with third parties (both individuals and </w:t>
      </w:r>
      <w:r w:rsidR="00DF2C85" w:rsidRPr="00F91D08">
        <w:rPr>
          <w:bCs/>
          <w:sz w:val="22"/>
          <w:szCs w:val="22"/>
        </w:rPr>
        <w:t>organisations</w:t>
      </w:r>
      <w:r w:rsidR="00AB168A" w:rsidRPr="00F91D08">
        <w:rPr>
          <w:bCs/>
          <w:sz w:val="22"/>
          <w:szCs w:val="22"/>
        </w:rPr>
        <w:t>).</w:t>
      </w:r>
    </w:p>
    <w:p w14:paraId="55AE84DC" w14:textId="77777777" w:rsidR="00585F61" w:rsidRPr="00F91D08" w:rsidRDefault="00585F61" w:rsidP="00941760">
      <w:pPr>
        <w:rPr>
          <w:sz w:val="22"/>
          <w:szCs w:val="22"/>
        </w:rPr>
      </w:pPr>
    </w:p>
    <w:p w14:paraId="06F32456" w14:textId="0270AFB8" w:rsidR="00941760" w:rsidRPr="00F64BB5" w:rsidRDefault="00941760" w:rsidP="00F64BB5">
      <w:pPr>
        <w:pStyle w:val="HChG"/>
        <w:numPr>
          <w:ilvl w:val="0"/>
          <w:numId w:val="9"/>
        </w:numPr>
        <w:ind w:right="57"/>
        <w:rPr>
          <w:sz w:val="26"/>
          <w:szCs w:val="26"/>
        </w:rPr>
      </w:pPr>
      <w:r w:rsidRPr="00F64BB5">
        <w:rPr>
          <w:sz w:val="26"/>
          <w:szCs w:val="26"/>
        </w:rPr>
        <w:t>Dis</w:t>
      </w:r>
      <w:r w:rsidR="00421872" w:rsidRPr="00F64BB5">
        <w:rPr>
          <w:sz w:val="26"/>
          <w:szCs w:val="26"/>
        </w:rPr>
        <w:t>semination</w:t>
      </w:r>
      <w:r w:rsidRPr="00F64BB5">
        <w:rPr>
          <w:sz w:val="26"/>
          <w:szCs w:val="26"/>
        </w:rPr>
        <w:t xml:space="preserve"> of children’s personal information by </w:t>
      </w:r>
      <w:r w:rsidR="00772C2C" w:rsidRPr="00F64BB5">
        <w:rPr>
          <w:sz w:val="26"/>
          <w:szCs w:val="26"/>
        </w:rPr>
        <w:t>non-state actors</w:t>
      </w:r>
      <w:r w:rsidRPr="00F64BB5">
        <w:rPr>
          <w:sz w:val="26"/>
          <w:szCs w:val="26"/>
        </w:rPr>
        <w:t xml:space="preserve"> </w:t>
      </w:r>
    </w:p>
    <w:p w14:paraId="7A66A7B2" w14:textId="0C390734" w:rsidR="007167FD" w:rsidRPr="007167FD" w:rsidRDefault="007167FD" w:rsidP="00F64BB5">
      <w:pPr>
        <w:ind w:left="340"/>
        <w:rPr>
          <w:b/>
          <w:i/>
          <w:sz w:val="24"/>
          <w:szCs w:val="24"/>
        </w:rPr>
      </w:pPr>
      <w:r w:rsidRPr="007167FD">
        <w:rPr>
          <w:b/>
          <w:i/>
          <w:sz w:val="24"/>
          <w:szCs w:val="24"/>
        </w:rPr>
        <w:t>Problematic Behaviours</w:t>
      </w:r>
    </w:p>
    <w:p w14:paraId="01605A25" w14:textId="77777777" w:rsidR="00612A61" w:rsidRDefault="00612A61" w:rsidP="00941760">
      <w:pPr>
        <w:rPr>
          <w:b/>
        </w:rPr>
      </w:pPr>
    </w:p>
    <w:p w14:paraId="2E168EBC" w14:textId="169635E3" w:rsidR="001550B3" w:rsidRPr="00F91D08" w:rsidRDefault="00FD735B" w:rsidP="00D42E18">
      <w:pPr>
        <w:pStyle w:val="ListParagraph"/>
        <w:numPr>
          <w:ilvl w:val="0"/>
          <w:numId w:val="10"/>
        </w:numPr>
        <w:spacing w:before="120"/>
        <w:jc w:val="both"/>
        <w:rPr>
          <w:sz w:val="22"/>
          <w:szCs w:val="22"/>
        </w:rPr>
      </w:pPr>
      <w:r w:rsidRPr="00F91D08">
        <w:rPr>
          <w:sz w:val="22"/>
          <w:szCs w:val="22"/>
        </w:rPr>
        <w:t xml:space="preserve">The </w:t>
      </w:r>
      <w:r w:rsidR="00F84C2B" w:rsidRPr="00F91D08">
        <w:rPr>
          <w:sz w:val="22"/>
          <w:szCs w:val="22"/>
        </w:rPr>
        <w:t>dissemination</w:t>
      </w:r>
      <w:r w:rsidRPr="00F91D08">
        <w:rPr>
          <w:sz w:val="22"/>
          <w:szCs w:val="22"/>
        </w:rPr>
        <w:t xml:space="preserve"> of a child’s personal information online can take a number of forms.</w:t>
      </w:r>
      <w:r w:rsidR="006062AC" w:rsidRPr="00F91D08">
        <w:rPr>
          <w:sz w:val="22"/>
          <w:szCs w:val="22"/>
        </w:rPr>
        <w:t xml:space="preserve"> These disclosures are traditionally made by parents who share personal information about their children through applications such as Facebook, Instagram, Snapchat and other </w:t>
      </w:r>
      <w:r w:rsidR="00CD554E" w:rsidRPr="00F91D08">
        <w:rPr>
          <w:sz w:val="22"/>
          <w:szCs w:val="22"/>
        </w:rPr>
        <w:t xml:space="preserve">similar </w:t>
      </w:r>
      <w:r w:rsidR="006062AC" w:rsidRPr="00F91D08">
        <w:rPr>
          <w:sz w:val="22"/>
          <w:szCs w:val="22"/>
        </w:rPr>
        <w:t xml:space="preserve">social media platforms. </w:t>
      </w:r>
      <w:r w:rsidR="00E954DD" w:rsidRPr="00F91D08">
        <w:rPr>
          <w:sz w:val="22"/>
          <w:szCs w:val="22"/>
        </w:rPr>
        <w:t xml:space="preserve">A 2018 study undertaken by the London School of Economics found that three in four parents regularly posted </w:t>
      </w:r>
      <w:r w:rsidR="00E77EE9" w:rsidRPr="00F91D08">
        <w:rPr>
          <w:sz w:val="22"/>
          <w:szCs w:val="22"/>
        </w:rPr>
        <w:t>photos</w:t>
      </w:r>
      <w:r w:rsidR="00E954DD" w:rsidRPr="00F91D08">
        <w:rPr>
          <w:sz w:val="22"/>
          <w:szCs w:val="22"/>
        </w:rPr>
        <w:t xml:space="preserve"> and videos of their children on social media and other </w:t>
      </w:r>
      <w:r w:rsidR="00D21454" w:rsidRPr="00F91D08">
        <w:rPr>
          <w:sz w:val="22"/>
          <w:szCs w:val="22"/>
        </w:rPr>
        <w:t>platforms</w:t>
      </w:r>
      <w:r w:rsidR="00E954DD" w:rsidRPr="00F91D08">
        <w:rPr>
          <w:sz w:val="22"/>
          <w:szCs w:val="22"/>
        </w:rPr>
        <w:t>.</w:t>
      </w:r>
      <w:r w:rsidR="00E954DD" w:rsidRPr="00F91D08">
        <w:rPr>
          <w:rStyle w:val="FootnoteReference"/>
          <w:sz w:val="22"/>
          <w:szCs w:val="22"/>
        </w:rPr>
        <w:footnoteReference w:id="4"/>
      </w:r>
      <w:r w:rsidR="00E954DD" w:rsidRPr="00F91D08">
        <w:rPr>
          <w:sz w:val="22"/>
          <w:szCs w:val="22"/>
        </w:rPr>
        <w:t xml:space="preserve"> </w:t>
      </w:r>
      <w:r w:rsidR="006062AC" w:rsidRPr="00F91D08">
        <w:rPr>
          <w:sz w:val="22"/>
          <w:szCs w:val="22"/>
        </w:rPr>
        <w:t xml:space="preserve">These disclosures are </w:t>
      </w:r>
      <w:r w:rsidR="006062AC" w:rsidRPr="00F91D08">
        <w:rPr>
          <w:sz w:val="22"/>
          <w:szCs w:val="22"/>
        </w:rPr>
        <w:lastRenderedPageBreak/>
        <w:t>generally considered legal domestically</w:t>
      </w:r>
      <w:r w:rsidR="006062AC" w:rsidRPr="00F91D08">
        <w:rPr>
          <w:rStyle w:val="FootnoteReference"/>
          <w:sz w:val="22"/>
          <w:szCs w:val="22"/>
        </w:rPr>
        <w:footnoteReference w:id="5"/>
      </w:r>
      <w:r w:rsidR="006062AC" w:rsidRPr="00F91D08">
        <w:rPr>
          <w:sz w:val="22"/>
          <w:szCs w:val="22"/>
        </w:rPr>
        <w:t xml:space="preserve"> and</w:t>
      </w:r>
      <w:r w:rsidR="001550B3" w:rsidRPr="00F91D08">
        <w:rPr>
          <w:sz w:val="22"/>
          <w:szCs w:val="22"/>
        </w:rPr>
        <w:t xml:space="preserve"> children have no positive rights to prevent such disclosures</w:t>
      </w:r>
      <w:r w:rsidR="00F84C2B" w:rsidRPr="00F91D08">
        <w:rPr>
          <w:sz w:val="22"/>
          <w:szCs w:val="22"/>
        </w:rPr>
        <w:t>.</w:t>
      </w:r>
      <w:r w:rsidR="001550B3" w:rsidRPr="00F91D08">
        <w:rPr>
          <w:sz w:val="22"/>
          <w:szCs w:val="22"/>
        </w:rPr>
        <w:t xml:space="preserve"> </w:t>
      </w:r>
      <w:r w:rsidR="00F84C2B" w:rsidRPr="00F91D08">
        <w:rPr>
          <w:sz w:val="22"/>
          <w:szCs w:val="22"/>
        </w:rPr>
        <w:t>I</w:t>
      </w:r>
      <w:r w:rsidR="001550B3" w:rsidRPr="00F91D08">
        <w:rPr>
          <w:sz w:val="22"/>
          <w:szCs w:val="22"/>
        </w:rPr>
        <w:t>ndeed, their status as a minor ensures that their ‘rights’ are entrusted to parents</w:t>
      </w:r>
      <w:r w:rsidR="001550B3" w:rsidRPr="00F91D08">
        <w:rPr>
          <w:rStyle w:val="FootnoteReference"/>
          <w:sz w:val="22"/>
          <w:szCs w:val="22"/>
        </w:rPr>
        <w:footnoteReference w:id="6"/>
      </w:r>
      <w:r w:rsidR="001550B3" w:rsidRPr="00F91D08">
        <w:rPr>
          <w:sz w:val="22"/>
          <w:szCs w:val="22"/>
        </w:rPr>
        <w:t xml:space="preserve"> who are presumed to be acting in a child’s best interests</w:t>
      </w:r>
      <w:r w:rsidR="001947D9" w:rsidRPr="00F91D08">
        <w:rPr>
          <w:sz w:val="22"/>
          <w:szCs w:val="22"/>
        </w:rPr>
        <w:t>; as a consequence they</w:t>
      </w:r>
      <w:r w:rsidR="001550B3" w:rsidRPr="00F91D08">
        <w:rPr>
          <w:sz w:val="22"/>
          <w:szCs w:val="22"/>
        </w:rPr>
        <w:t xml:space="preserve"> are </w:t>
      </w:r>
      <w:r w:rsidR="00F84C2B" w:rsidRPr="00F91D08">
        <w:rPr>
          <w:sz w:val="22"/>
          <w:szCs w:val="22"/>
        </w:rPr>
        <w:t>entrusted with</w:t>
      </w:r>
      <w:r w:rsidR="001550B3" w:rsidRPr="00F91D08">
        <w:rPr>
          <w:sz w:val="22"/>
          <w:szCs w:val="22"/>
        </w:rPr>
        <w:t xml:space="preserve"> a child’s personal information and </w:t>
      </w:r>
      <w:r w:rsidR="00F84C2B" w:rsidRPr="00F91D08">
        <w:rPr>
          <w:sz w:val="22"/>
          <w:szCs w:val="22"/>
        </w:rPr>
        <w:t xml:space="preserve">control </w:t>
      </w:r>
      <w:r w:rsidR="001550B3" w:rsidRPr="00F91D08">
        <w:rPr>
          <w:sz w:val="22"/>
          <w:szCs w:val="22"/>
        </w:rPr>
        <w:t xml:space="preserve">the circumstances </w:t>
      </w:r>
      <w:r w:rsidR="001947D9" w:rsidRPr="00F91D08">
        <w:rPr>
          <w:sz w:val="22"/>
          <w:szCs w:val="22"/>
        </w:rPr>
        <w:t>in</w:t>
      </w:r>
      <w:r w:rsidR="001550B3" w:rsidRPr="00F91D08">
        <w:rPr>
          <w:sz w:val="22"/>
          <w:szCs w:val="22"/>
        </w:rPr>
        <w:t xml:space="preserve"> which that information is released.</w:t>
      </w:r>
    </w:p>
    <w:p w14:paraId="1B9E13EB" w14:textId="77777777" w:rsidR="002105E3" w:rsidRPr="00F91D08" w:rsidRDefault="002105E3" w:rsidP="002105E3">
      <w:pPr>
        <w:pStyle w:val="ListParagraph"/>
        <w:spacing w:before="120"/>
        <w:jc w:val="both"/>
        <w:rPr>
          <w:sz w:val="22"/>
          <w:szCs w:val="22"/>
        </w:rPr>
      </w:pPr>
    </w:p>
    <w:p w14:paraId="72E84FE0" w14:textId="75D9AE86" w:rsidR="001550B3" w:rsidRPr="00F91D08" w:rsidRDefault="001550B3" w:rsidP="00D42E18">
      <w:pPr>
        <w:pStyle w:val="ListParagraph"/>
        <w:numPr>
          <w:ilvl w:val="0"/>
          <w:numId w:val="10"/>
        </w:numPr>
        <w:spacing w:before="120"/>
        <w:jc w:val="both"/>
        <w:rPr>
          <w:sz w:val="22"/>
          <w:szCs w:val="22"/>
        </w:rPr>
      </w:pPr>
      <w:r w:rsidRPr="00F91D08">
        <w:rPr>
          <w:sz w:val="22"/>
          <w:szCs w:val="22"/>
        </w:rPr>
        <w:t xml:space="preserve">In a pre-digital environment, the dissemination of a child’s personal information was </w:t>
      </w:r>
      <w:r w:rsidR="00116202" w:rsidRPr="00F91D08">
        <w:rPr>
          <w:sz w:val="22"/>
          <w:szCs w:val="22"/>
        </w:rPr>
        <w:t>generally</w:t>
      </w:r>
      <w:r w:rsidR="00F84C2B" w:rsidRPr="00F91D08">
        <w:rPr>
          <w:sz w:val="22"/>
          <w:szCs w:val="22"/>
        </w:rPr>
        <w:t xml:space="preserve"> </w:t>
      </w:r>
      <w:r w:rsidRPr="00F91D08">
        <w:rPr>
          <w:sz w:val="22"/>
          <w:szCs w:val="22"/>
        </w:rPr>
        <w:t xml:space="preserve">limited to </w:t>
      </w:r>
      <w:r w:rsidR="00F84C2B" w:rsidRPr="00F91D08">
        <w:rPr>
          <w:sz w:val="22"/>
          <w:szCs w:val="22"/>
        </w:rPr>
        <w:t xml:space="preserve">individuals </w:t>
      </w:r>
      <w:r w:rsidR="00551FBA" w:rsidRPr="00F91D08">
        <w:rPr>
          <w:sz w:val="22"/>
          <w:szCs w:val="22"/>
        </w:rPr>
        <w:t xml:space="preserve">directly </w:t>
      </w:r>
      <w:r w:rsidR="00F8323E" w:rsidRPr="00F91D08">
        <w:rPr>
          <w:sz w:val="22"/>
          <w:szCs w:val="22"/>
        </w:rPr>
        <w:t>connected to the child and the State</w:t>
      </w:r>
      <w:r w:rsidRPr="00F91D08">
        <w:rPr>
          <w:sz w:val="22"/>
          <w:szCs w:val="22"/>
        </w:rPr>
        <w:t>.</w:t>
      </w:r>
      <w:r w:rsidR="009D0623" w:rsidRPr="00F91D08">
        <w:rPr>
          <w:sz w:val="22"/>
          <w:szCs w:val="22"/>
        </w:rPr>
        <w:t xml:space="preserve"> T</w:t>
      </w:r>
      <w:r w:rsidRPr="00F91D08">
        <w:rPr>
          <w:sz w:val="22"/>
          <w:szCs w:val="22"/>
        </w:rPr>
        <w:t xml:space="preserve">he </w:t>
      </w:r>
      <w:r w:rsidR="009D0623" w:rsidRPr="00F91D08">
        <w:rPr>
          <w:sz w:val="22"/>
          <w:szCs w:val="22"/>
        </w:rPr>
        <w:t>evolution</w:t>
      </w:r>
      <w:r w:rsidRPr="00F91D08">
        <w:rPr>
          <w:sz w:val="22"/>
          <w:szCs w:val="22"/>
        </w:rPr>
        <w:t xml:space="preserve"> of the digital environment, in particular the rise of social media, now allows third parties to disseminate a child’s personal information in an instantaneous and unregulated environment.</w:t>
      </w:r>
      <w:r w:rsidR="00692475" w:rsidRPr="00F91D08">
        <w:rPr>
          <w:rStyle w:val="FootnoteReference"/>
          <w:sz w:val="22"/>
          <w:szCs w:val="22"/>
        </w:rPr>
        <w:footnoteReference w:id="7"/>
      </w:r>
      <w:r w:rsidR="00CD0262" w:rsidRPr="00F91D08">
        <w:rPr>
          <w:sz w:val="22"/>
          <w:szCs w:val="22"/>
        </w:rPr>
        <w:t xml:space="preserve"> </w:t>
      </w:r>
    </w:p>
    <w:p w14:paraId="3B0933E1" w14:textId="77777777" w:rsidR="002105E3" w:rsidRPr="00F91D08" w:rsidRDefault="002105E3" w:rsidP="002105E3">
      <w:pPr>
        <w:pStyle w:val="ListParagraph"/>
        <w:spacing w:before="120"/>
        <w:jc w:val="both"/>
        <w:rPr>
          <w:sz w:val="22"/>
          <w:szCs w:val="22"/>
        </w:rPr>
      </w:pPr>
    </w:p>
    <w:p w14:paraId="0031E62C" w14:textId="1C32CA02" w:rsidR="00612A61" w:rsidRPr="00F91D08" w:rsidRDefault="00FD735B" w:rsidP="00D42E18">
      <w:pPr>
        <w:pStyle w:val="ListParagraph"/>
        <w:numPr>
          <w:ilvl w:val="0"/>
          <w:numId w:val="10"/>
        </w:numPr>
        <w:spacing w:before="120"/>
        <w:jc w:val="both"/>
        <w:rPr>
          <w:sz w:val="22"/>
          <w:szCs w:val="22"/>
        </w:rPr>
      </w:pPr>
      <w:r w:rsidRPr="00F91D08">
        <w:rPr>
          <w:sz w:val="22"/>
          <w:szCs w:val="22"/>
        </w:rPr>
        <w:t xml:space="preserve">Currently, problematic behaviours by third parties that interfere with children’s rights </w:t>
      </w:r>
      <w:r w:rsidR="00D83BA5" w:rsidRPr="00F91D08">
        <w:rPr>
          <w:sz w:val="22"/>
          <w:szCs w:val="22"/>
        </w:rPr>
        <w:t>can be categorised by two behaviours</w:t>
      </w:r>
      <w:r w:rsidRPr="00F91D08">
        <w:rPr>
          <w:sz w:val="22"/>
          <w:szCs w:val="22"/>
        </w:rPr>
        <w:t>:</w:t>
      </w:r>
    </w:p>
    <w:p w14:paraId="19E9718A" w14:textId="3C97E08F" w:rsidR="00FD735B" w:rsidRPr="00F91D08" w:rsidRDefault="00FD735B" w:rsidP="00110FAB">
      <w:pPr>
        <w:pStyle w:val="ListParagraph"/>
        <w:numPr>
          <w:ilvl w:val="1"/>
          <w:numId w:val="11"/>
        </w:numPr>
        <w:jc w:val="both"/>
        <w:rPr>
          <w:sz w:val="22"/>
          <w:szCs w:val="22"/>
        </w:rPr>
      </w:pPr>
      <w:r w:rsidRPr="00F91D08">
        <w:rPr>
          <w:sz w:val="22"/>
          <w:szCs w:val="22"/>
        </w:rPr>
        <w:t>Sharing images (photos</w:t>
      </w:r>
      <w:r w:rsidR="00EF51B4" w:rsidRPr="00F91D08">
        <w:rPr>
          <w:sz w:val="22"/>
          <w:szCs w:val="22"/>
        </w:rPr>
        <w:t xml:space="preserve">, </w:t>
      </w:r>
      <w:r w:rsidRPr="00F91D08">
        <w:rPr>
          <w:sz w:val="22"/>
          <w:szCs w:val="22"/>
        </w:rPr>
        <w:t>videos</w:t>
      </w:r>
      <w:r w:rsidR="00EF51B4" w:rsidRPr="00F91D08">
        <w:rPr>
          <w:sz w:val="22"/>
          <w:szCs w:val="22"/>
        </w:rPr>
        <w:t xml:space="preserve"> and live streams</w:t>
      </w:r>
      <w:r w:rsidRPr="00F91D08">
        <w:rPr>
          <w:sz w:val="22"/>
          <w:szCs w:val="22"/>
        </w:rPr>
        <w:t xml:space="preserve">) of children online, particularly via social media </w:t>
      </w:r>
      <w:r w:rsidR="00EF51B4" w:rsidRPr="00F91D08">
        <w:rPr>
          <w:sz w:val="22"/>
          <w:szCs w:val="22"/>
        </w:rPr>
        <w:t xml:space="preserve">platforms. </w:t>
      </w:r>
    </w:p>
    <w:p w14:paraId="395CEA06" w14:textId="2D9E5D2D" w:rsidR="00944258" w:rsidRPr="00F91D08" w:rsidRDefault="00FD735B" w:rsidP="00D61E72">
      <w:pPr>
        <w:pStyle w:val="ListParagraph"/>
        <w:numPr>
          <w:ilvl w:val="1"/>
          <w:numId w:val="11"/>
        </w:numPr>
        <w:jc w:val="both"/>
        <w:rPr>
          <w:sz w:val="22"/>
          <w:szCs w:val="22"/>
        </w:rPr>
      </w:pPr>
      <w:r w:rsidRPr="00F91D08">
        <w:rPr>
          <w:sz w:val="22"/>
          <w:szCs w:val="22"/>
        </w:rPr>
        <w:t>Sharing identifying details of children online. Th</w:t>
      </w:r>
      <w:r w:rsidR="00CD0262" w:rsidRPr="00F91D08">
        <w:rPr>
          <w:sz w:val="22"/>
          <w:szCs w:val="22"/>
        </w:rPr>
        <w:t>is</w:t>
      </w:r>
      <w:r w:rsidRPr="00F91D08">
        <w:rPr>
          <w:sz w:val="22"/>
          <w:szCs w:val="22"/>
        </w:rPr>
        <w:t xml:space="preserve"> include</w:t>
      </w:r>
      <w:r w:rsidR="00CD0262" w:rsidRPr="00F91D08">
        <w:rPr>
          <w:sz w:val="22"/>
          <w:szCs w:val="22"/>
        </w:rPr>
        <w:t>s</w:t>
      </w:r>
      <w:r w:rsidRPr="00F91D08">
        <w:rPr>
          <w:sz w:val="22"/>
          <w:szCs w:val="22"/>
        </w:rPr>
        <w:t>: the full name of the child</w:t>
      </w:r>
      <w:r w:rsidR="00EF51B4" w:rsidRPr="00F91D08">
        <w:rPr>
          <w:sz w:val="22"/>
          <w:szCs w:val="22"/>
        </w:rPr>
        <w:t xml:space="preserve"> and the </w:t>
      </w:r>
      <w:r w:rsidRPr="00F91D08">
        <w:rPr>
          <w:sz w:val="22"/>
          <w:szCs w:val="22"/>
        </w:rPr>
        <w:t>date</w:t>
      </w:r>
      <w:r w:rsidR="00EF51B4" w:rsidRPr="00F91D08">
        <w:rPr>
          <w:sz w:val="22"/>
          <w:szCs w:val="22"/>
        </w:rPr>
        <w:t xml:space="preserve"> and time </w:t>
      </w:r>
      <w:r w:rsidRPr="00F91D08">
        <w:rPr>
          <w:sz w:val="22"/>
          <w:szCs w:val="22"/>
        </w:rPr>
        <w:t>of birth. When combined with geographical information, this can also include: where a child lives (by suburb</w:t>
      </w:r>
      <w:r w:rsidR="00A70005" w:rsidRPr="00F91D08">
        <w:rPr>
          <w:sz w:val="22"/>
          <w:szCs w:val="22"/>
        </w:rPr>
        <w:t>,</w:t>
      </w:r>
      <w:r w:rsidRPr="00F91D08">
        <w:rPr>
          <w:sz w:val="22"/>
          <w:szCs w:val="22"/>
        </w:rPr>
        <w:t xml:space="preserve"> region</w:t>
      </w:r>
      <w:r w:rsidR="00A70005" w:rsidRPr="00F91D08">
        <w:rPr>
          <w:sz w:val="22"/>
          <w:szCs w:val="22"/>
        </w:rPr>
        <w:t xml:space="preserve"> or country</w:t>
      </w:r>
      <w:r w:rsidRPr="00F91D08">
        <w:rPr>
          <w:sz w:val="22"/>
          <w:szCs w:val="22"/>
        </w:rPr>
        <w:t xml:space="preserve">), where they attend school, </w:t>
      </w:r>
      <w:r w:rsidR="00D61E72" w:rsidRPr="00F91D08">
        <w:rPr>
          <w:sz w:val="22"/>
          <w:szCs w:val="22"/>
        </w:rPr>
        <w:t xml:space="preserve">their friendship networks, and </w:t>
      </w:r>
      <w:r w:rsidRPr="00F91D08">
        <w:rPr>
          <w:sz w:val="22"/>
          <w:szCs w:val="22"/>
        </w:rPr>
        <w:t>the nature and location of their extra-curricular activities</w:t>
      </w:r>
      <w:r w:rsidR="00697E66" w:rsidRPr="00F91D08">
        <w:rPr>
          <w:sz w:val="22"/>
          <w:szCs w:val="22"/>
        </w:rPr>
        <w:t>.</w:t>
      </w:r>
    </w:p>
    <w:p w14:paraId="2F69647C" w14:textId="77777777" w:rsidR="00697E66" w:rsidRPr="00F91D08" w:rsidRDefault="00697E66" w:rsidP="00697E66">
      <w:pPr>
        <w:pStyle w:val="ListParagraph"/>
        <w:ind w:left="1440"/>
        <w:jc w:val="both"/>
        <w:rPr>
          <w:sz w:val="22"/>
          <w:szCs w:val="22"/>
        </w:rPr>
      </w:pPr>
    </w:p>
    <w:p w14:paraId="4DEDCD03" w14:textId="339D2C39" w:rsidR="00FD735B" w:rsidRPr="00F91D08" w:rsidRDefault="00FD735B" w:rsidP="00D42E18">
      <w:pPr>
        <w:pStyle w:val="ListParagraph"/>
        <w:numPr>
          <w:ilvl w:val="0"/>
          <w:numId w:val="10"/>
        </w:numPr>
        <w:spacing w:before="120"/>
        <w:jc w:val="both"/>
        <w:rPr>
          <w:sz w:val="22"/>
          <w:szCs w:val="22"/>
        </w:rPr>
      </w:pPr>
      <w:r w:rsidRPr="00F91D08">
        <w:rPr>
          <w:sz w:val="22"/>
          <w:szCs w:val="22"/>
        </w:rPr>
        <w:t xml:space="preserve">These problematic disclosures are further exacerbated by a number of </w:t>
      </w:r>
      <w:r w:rsidR="0016127C" w:rsidRPr="00F91D08">
        <w:rPr>
          <w:sz w:val="22"/>
          <w:szCs w:val="22"/>
        </w:rPr>
        <w:t>factors</w:t>
      </w:r>
      <w:r w:rsidRPr="00F91D08">
        <w:rPr>
          <w:sz w:val="22"/>
          <w:szCs w:val="22"/>
        </w:rPr>
        <w:t>:</w:t>
      </w:r>
    </w:p>
    <w:p w14:paraId="43066CEC" w14:textId="624886CC" w:rsidR="00CD0262" w:rsidRPr="00F91D08" w:rsidRDefault="00B164EF" w:rsidP="00697E66">
      <w:pPr>
        <w:pStyle w:val="ListParagraph"/>
        <w:numPr>
          <w:ilvl w:val="0"/>
          <w:numId w:val="14"/>
        </w:numPr>
        <w:jc w:val="both"/>
        <w:rPr>
          <w:sz w:val="22"/>
          <w:szCs w:val="22"/>
        </w:rPr>
      </w:pPr>
      <w:r w:rsidRPr="00F91D08">
        <w:rPr>
          <w:sz w:val="22"/>
          <w:szCs w:val="22"/>
        </w:rPr>
        <w:t>Any content</w:t>
      </w:r>
      <w:r w:rsidR="001B0A90" w:rsidRPr="00F91D08">
        <w:rPr>
          <w:rStyle w:val="FootnoteReference"/>
          <w:sz w:val="22"/>
          <w:szCs w:val="22"/>
        </w:rPr>
        <w:footnoteReference w:id="8"/>
      </w:r>
      <w:r w:rsidRPr="00F91D08">
        <w:rPr>
          <w:sz w:val="22"/>
          <w:szCs w:val="22"/>
        </w:rPr>
        <w:t xml:space="preserve"> </w:t>
      </w:r>
      <w:r w:rsidR="00FD735B" w:rsidRPr="00F91D08">
        <w:rPr>
          <w:sz w:val="22"/>
          <w:szCs w:val="22"/>
        </w:rPr>
        <w:t xml:space="preserve">that </w:t>
      </w:r>
      <w:r w:rsidRPr="00F91D08">
        <w:rPr>
          <w:sz w:val="22"/>
          <w:szCs w:val="22"/>
        </w:rPr>
        <w:t>is</w:t>
      </w:r>
      <w:r w:rsidR="00FD735B" w:rsidRPr="00F91D08">
        <w:rPr>
          <w:sz w:val="22"/>
          <w:szCs w:val="22"/>
        </w:rPr>
        <w:t xml:space="preserve"> uploaded to social media platforms give those businesses an immediate</w:t>
      </w:r>
      <w:r w:rsidRPr="00F91D08">
        <w:rPr>
          <w:sz w:val="22"/>
          <w:szCs w:val="22"/>
        </w:rPr>
        <w:t>,</w:t>
      </w:r>
      <w:r w:rsidR="00FD735B" w:rsidRPr="00F91D08">
        <w:rPr>
          <w:sz w:val="22"/>
          <w:szCs w:val="22"/>
        </w:rPr>
        <w:t xml:space="preserve"> unfettered licence to distribute without being sued. </w:t>
      </w:r>
      <w:r w:rsidR="00CD0262" w:rsidRPr="00F91D08">
        <w:rPr>
          <w:sz w:val="22"/>
          <w:szCs w:val="22"/>
        </w:rPr>
        <w:t xml:space="preserve">For example, Facebook’s </w:t>
      </w:r>
      <w:r w:rsidR="00CD0262" w:rsidRPr="00F91D08">
        <w:rPr>
          <w:i/>
          <w:sz w:val="22"/>
          <w:szCs w:val="22"/>
        </w:rPr>
        <w:t>Terms of Service</w:t>
      </w:r>
      <w:r w:rsidR="00CD0262" w:rsidRPr="00F91D08">
        <w:rPr>
          <w:sz w:val="22"/>
          <w:szCs w:val="22"/>
        </w:rPr>
        <w:t xml:space="preserve"> states:</w:t>
      </w:r>
    </w:p>
    <w:p w14:paraId="42BE3C3D" w14:textId="3EF9F55B" w:rsidR="00CD0262" w:rsidRPr="000C4547" w:rsidRDefault="00CD0262" w:rsidP="00CD0262">
      <w:pPr>
        <w:suppressAutoHyphens w:val="0"/>
        <w:spacing w:line="240" w:lineRule="auto"/>
        <w:ind w:left="2268" w:right="1134"/>
        <w:jc w:val="both"/>
        <w:rPr>
          <w:i/>
          <w:lang w:val="en-AU"/>
        </w:rPr>
      </w:pPr>
      <w:r w:rsidRPr="000C4547">
        <w:rPr>
          <w:i/>
          <w:lang w:val="en-AU"/>
        </w:rPr>
        <w:t xml:space="preserve">‘To provide our services…we need you to give us some legal permissions to use this content. Specifically, when you share, post or upload content that is covered by intellectual property rights (e.g. photos or videos) on or in connection with our Products, </w:t>
      </w:r>
      <w:r w:rsidRPr="000C4547">
        <w:rPr>
          <w:b/>
          <w:i/>
          <w:lang w:val="en-AU"/>
        </w:rPr>
        <w:t>you grant us a non-exclusive, transferable, sub-licensable, royalty-free and worldwide licence to host, use, distribute, modify, run, copy, publicly perform or display, translate and create derivative works of your content</w:t>
      </w:r>
      <w:r w:rsidRPr="000C4547">
        <w:rPr>
          <w:i/>
          <w:lang w:val="en-AU"/>
        </w:rPr>
        <w:t xml:space="preserve"> (consistent with your </w:t>
      </w:r>
      <w:r w:rsidRPr="000C4547">
        <w:rPr>
          <w:i/>
          <w:color w:val="000000" w:themeColor="text1"/>
          <w:lang w:val="en-AU"/>
        </w:rPr>
        <w:t>privacy</w:t>
      </w:r>
      <w:r w:rsidRPr="000C4547">
        <w:rPr>
          <w:i/>
          <w:lang w:val="en-AU"/>
        </w:rPr>
        <w:t xml:space="preserve"> and </w:t>
      </w:r>
      <w:r w:rsidRPr="000C4547">
        <w:rPr>
          <w:i/>
          <w:color w:val="000000" w:themeColor="text1"/>
          <w:lang w:val="en-AU"/>
        </w:rPr>
        <w:t>application</w:t>
      </w:r>
      <w:r w:rsidRPr="000C4547">
        <w:rPr>
          <w:i/>
          <w:lang w:val="en-AU"/>
        </w:rPr>
        <w:t xml:space="preserve"> settings). This means, for example, that if you share a photo on Facebook, </w:t>
      </w:r>
      <w:r w:rsidRPr="000C4547">
        <w:rPr>
          <w:b/>
          <w:i/>
          <w:lang w:val="en-AU"/>
        </w:rPr>
        <w:t xml:space="preserve">you give us permission to store, copy and share it with others </w:t>
      </w:r>
      <w:r w:rsidRPr="000C4547">
        <w:rPr>
          <w:i/>
          <w:lang w:val="en-AU"/>
        </w:rPr>
        <w:t>(again, consistent with your settings) such as service providers that support our service or other Facebook Products that you use. You can end this licence at any time by deleting your content or account’</w:t>
      </w:r>
      <w:r w:rsidR="006951B3" w:rsidRPr="000C4547">
        <w:rPr>
          <w:lang w:val="en-AU"/>
        </w:rPr>
        <w:t>(emphasis added).</w:t>
      </w:r>
      <w:r w:rsidR="00B164EF" w:rsidRPr="000C4547">
        <w:rPr>
          <w:rStyle w:val="FootnoteReference"/>
          <w:sz w:val="20"/>
          <w:lang w:val="en-AU"/>
        </w:rPr>
        <w:footnoteReference w:id="9"/>
      </w:r>
    </w:p>
    <w:p w14:paraId="55F9760E" w14:textId="77777777" w:rsidR="00CD0262" w:rsidRPr="00F91D08" w:rsidRDefault="00CD0262" w:rsidP="00CD0262">
      <w:pPr>
        <w:ind w:left="1080"/>
        <w:rPr>
          <w:sz w:val="22"/>
          <w:szCs w:val="22"/>
        </w:rPr>
      </w:pPr>
    </w:p>
    <w:p w14:paraId="16D9E172" w14:textId="7AD64251" w:rsidR="00FD735B" w:rsidRPr="00F91D08" w:rsidRDefault="00FD735B" w:rsidP="00110FAB">
      <w:pPr>
        <w:ind w:left="1080"/>
        <w:jc w:val="both"/>
        <w:rPr>
          <w:sz w:val="22"/>
          <w:szCs w:val="22"/>
        </w:rPr>
      </w:pPr>
      <w:r w:rsidRPr="00F91D08">
        <w:rPr>
          <w:sz w:val="22"/>
          <w:szCs w:val="22"/>
        </w:rPr>
        <w:t xml:space="preserve">It should be noted that while the </w:t>
      </w:r>
      <w:r w:rsidRPr="00F91D08">
        <w:rPr>
          <w:i/>
          <w:sz w:val="22"/>
          <w:szCs w:val="22"/>
        </w:rPr>
        <w:t>copyright</w:t>
      </w:r>
      <w:r w:rsidRPr="00F91D08">
        <w:rPr>
          <w:sz w:val="22"/>
          <w:szCs w:val="22"/>
        </w:rPr>
        <w:t xml:space="preserve"> of the photo remains with the owner of the </w:t>
      </w:r>
      <w:r w:rsidR="005C41D7" w:rsidRPr="00F91D08">
        <w:rPr>
          <w:sz w:val="22"/>
          <w:szCs w:val="22"/>
        </w:rPr>
        <w:t>content</w:t>
      </w:r>
      <w:r w:rsidRPr="00F91D08">
        <w:rPr>
          <w:sz w:val="22"/>
          <w:szCs w:val="22"/>
        </w:rPr>
        <w:t xml:space="preserve">, the global dissemination of </w:t>
      </w:r>
      <w:r w:rsidR="005C41D7" w:rsidRPr="00F91D08">
        <w:rPr>
          <w:sz w:val="22"/>
          <w:szCs w:val="22"/>
        </w:rPr>
        <w:t>content</w:t>
      </w:r>
      <w:r w:rsidRPr="00F91D08">
        <w:rPr>
          <w:sz w:val="22"/>
          <w:szCs w:val="22"/>
        </w:rPr>
        <w:t xml:space="preserve"> on these platforms makes the control of distribution impossible and arguably negates the ownership of the material</w:t>
      </w:r>
      <w:r w:rsidR="001B0A90" w:rsidRPr="00F91D08">
        <w:rPr>
          <w:sz w:val="22"/>
          <w:szCs w:val="22"/>
        </w:rPr>
        <w:t xml:space="preserve"> to a significant degree</w:t>
      </w:r>
      <w:r w:rsidRPr="00F91D08">
        <w:rPr>
          <w:sz w:val="22"/>
          <w:szCs w:val="22"/>
        </w:rPr>
        <w:t>.</w:t>
      </w:r>
      <w:r w:rsidR="00CD0262" w:rsidRPr="00F91D08">
        <w:rPr>
          <w:sz w:val="22"/>
          <w:szCs w:val="22"/>
        </w:rPr>
        <w:t xml:space="preserve"> </w:t>
      </w:r>
      <w:r w:rsidR="001B0A90" w:rsidRPr="00F91D08">
        <w:rPr>
          <w:sz w:val="22"/>
          <w:szCs w:val="22"/>
        </w:rPr>
        <w:t>This is best exemplified by terms</w:t>
      </w:r>
      <w:r w:rsidR="001E4A64" w:rsidRPr="00F91D08">
        <w:rPr>
          <w:sz w:val="22"/>
          <w:szCs w:val="22"/>
        </w:rPr>
        <w:t xml:space="preserve"> such as the one below,</w:t>
      </w:r>
      <w:r w:rsidR="001B0A90" w:rsidRPr="00F91D08">
        <w:rPr>
          <w:sz w:val="22"/>
          <w:szCs w:val="22"/>
        </w:rPr>
        <w:t xml:space="preserve"> </w:t>
      </w:r>
      <w:r w:rsidR="00652509" w:rsidRPr="00F91D08">
        <w:rPr>
          <w:sz w:val="22"/>
          <w:szCs w:val="22"/>
        </w:rPr>
        <w:t>which assert</w:t>
      </w:r>
      <w:r w:rsidR="001B0A90" w:rsidRPr="00F91D08">
        <w:rPr>
          <w:sz w:val="22"/>
          <w:szCs w:val="22"/>
        </w:rPr>
        <w:t xml:space="preserve"> that terminating</w:t>
      </w:r>
      <w:r w:rsidR="00B164EF" w:rsidRPr="00F91D08">
        <w:rPr>
          <w:sz w:val="22"/>
          <w:szCs w:val="22"/>
        </w:rPr>
        <w:t xml:space="preserve"> a licence does not guarantee that information will no longer be shared</w:t>
      </w:r>
      <w:r w:rsidR="001E4A64" w:rsidRPr="00F91D08">
        <w:rPr>
          <w:sz w:val="22"/>
          <w:szCs w:val="22"/>
        </w:rPr>
        <w:t>:</w:t>
      </w:r>
    </w:p>
    <w:p w14:paraId="253A841A" w14:textId="50EAA546" w:rsidR="00CD0262" w:rsidRPr="00F91D08" w:rsidRDefault="00CD0262" w:rsidP="00CD0262">
      <w:pPr>
        <w:ind w:left="1080"/>
        <w:rPr>
          <w:sz w:val="22"/>
          <w:szCs w:val="22"/>
        </w:rPr>
      </w:pPr>
    </w:p>
    <w:p w14:paraId="477FDCA3" w14:textId="22233853" w:rsidR="00CD0262" w:rsidRPr="000C4547" w:rsidRDefault="00B164EF" w:rsidP="00CD0262">
      <w:pPr>
        <w:suppressAutoHyphens w:val="0"/>
        <w:spacing w:line="240" w:lineRule="auto"/>
        <w:ind w:left="2268" w:right="1134"/>
        <w:jc w:val="both"/>
        <w:rPr>
          <w:b/>
          <w:i/>
          <w:lang w:val="en-AU"/>
        </w:rPr>
      </w:pPr>
      <w:bookmarkStart w:id="0" w:name="_GoBack"/>
      <w:r w:rsidRPr="000C4547">
        <w:rPr>
          <w:i/>
          <w:lang w:val="en-AU"/>
        </w:rPr>
        <w:t>‘</w:t>
      </w:r>
      <w:r w:rsidR="00CD0262" w:rsidRPr="000C4547">
        <w:rPr>
          <w:i/>
          <w:lang w:val="en-AU"/>
        </w:rPr>
        <w:t xml:space="preserve">You should know that, for technical reasons, </w:t>
      </w:r>
      <w:r w:rsidR="00CD0262" w:rsidRPr="000C4547">
        <w:rPr>
          <w:b/>
          <w:i/>
          <w:lang w:val="en-AU"/>
        </w:rPr>
        <w:t>any content that you delete may persist for a limited period of time in backup copies</w:t>
      </w:r>
      <w:r w:rsidR="00CD0262" w:rsidRPr="000C4547">
        <w:rPr>
          <w:i/>
          <w:lang w:val="en-AU"/>
        </w:rPr>
        <w:t xml:space="preserve"> (though it will not be visible to other users). In addition, </w:t>
      </w:r>
      <w:r w:rsidR="00CD0262" w:rsidRPr="000C4547">
        <w:rPr>
          <w:b/>
          <w:i/>
          <w:lang w:val="en-AU"/>
        </w:rPr>
        <w:t>content that you delete may continue to appear if you have shared it with others and they have not deleted it</w:t>
      </w:r>
      <w:r w:rsidRPr="000C4547">
        <w:rPr>
          <w:b/>
          <w:i/>
          <w:lang w:val="en-AU"/>
        </w:rPr>
        <w:t>’</w:t>
      </w:r>
      <w:r w:rsidR="006951B3" w:rsidRPr="000C4547">
        <w:rPr>
          <w:lang w:val="en-AU"/>
        </w:rPr>
        <w:t xml:space="preserve"> (emphasis added).</w:t>
      </w:r>
      <w:r w:rsidR="00734600" w:rsidRPr="000C4547">
        <w:rPr>
          <w:rStyle w:val="FootnoteReference"/>
          <w:b/>
          <w:i/>
          <w:sz w:val="20"/>
          <w:lang w:val="en-AU"/>
        </w:rPr>
        <w:footnoteReference w:id="10"/>
      </w:r>
    </w:p>
    <w:bookmarkEnd w:id="0"/>
    <w:p w14:paraId="40D326DC" w14:textId="77777777" w:rsidR="00CD0262" w:rsidRPr="00F91D08" w:rsidRDefault="00CD0262" w:rsidP="003F1070">
      <w:pPr>
        <w:rPr>
          <w:sz w:val="22"/>
          <w:szCs w:val="22"/>
        </w:rPr>
      </w:pPr>
    </w:p>
    <w:p w14:paraId="02E2831C" w14:textId="3D3EA5A8" w:rsidR="009D39DC" w:rsidRPr="00F91D08" w:rsidRDefault="004D5A21" w:rsidP="00697E66">
      <w:pPr>
        <w:pStyle w:val="ListParagraph"/>
        <w:numPr>
          <w:ilvl w:val="0"/>
          <w:numId w:val="14"/>
        </w:numPr>
        <w:jc w:val="both"/>
        <w:rPr>
          <w:sz w:val="22"/>
          <w:szCs w:val="22"/>
        </w:rPr>
      </w:pPr>
      <w:r w:rsidRPr="00F91D08">
        <w:rPr>
          <w:sz w:val="22"/>
          <w:szCs w:val="22"/>
        </w:rPr>
        <w:lastRenderedPageBreak/>
        <w:t>U</w:t>
      </w:r>
      <w:r w:rsidR="006267A0" w:rsidRPr="00F91D08">
        <w:rPr>
          <w:sz w:val="22"/>
          <w:szCs w:val="22"/>
        </w:rPr>
        <w:t xml:space="preserve">ploading and sharing </w:t>
      </w:r>
      <w:r w:rsidRPr="00F91D08">
        <w:rPr>
          <w:sz w:val="22"/>
          <w:szCs w:val="22"/>
        </w:rPr>
        <w:t xml:space="preserve">content </w:t>
      </w:r>
      <w:r w:rsidR="00765FD0" w:rsidRPr="00F91D08">
        <w:rPr>
          <w:sz w:val="22"/>
          <w:szCs w:val="22"/>
        </w:rPr>
        <w:t xml:space="preserve">online </w:t>
      </w:r>
      <w:r w:rsidR="006267A0" w:rsidRPr="00F91D08">
        <w:rPr>
          <w:sz w:val="22"/>
          <w:szCs w:val="22"/>
        </w:rPr>
        <w:t>is an instantaneous process with no checks</w:t>
      </w:r>
      <w:r w:rsidR="00765FD0" w:rsidRPr="00F91D08">
        <w:rPr>
          <w:sz w:val="22"/>
          <w:szCs w:val="22"/>
        </w:rPr>
        <w:t xml:space="preserve"> or warnings</w:t>
      </w:r>
      <w:r w:rsidR="006267A0" w:rsidRPr="00F91D08">
        <w:rPr>
          <w:sz w:val="22"/>
          <w:szCs w:val="22"/>
        </w:rPr>
        <w:t xml:space="preserve"> before </w:t>
      </w:r>
      <w:r w:rsidR="00765FD0" w:rsidRPr="00F91D08">
        <w:rPr>
          <w:sz w:val="22"/>
          <w:szCs w:val="22"/>
        </w:rPr>
        <w:t xml:space="preserve">it is disseminated. The facility to include such </w:t>
      </w:r>
      <w:r w:rsidR="00CA2C51" w:rsidRPr="00F91D08">
        <w:rPr>
          <w:sz w:val="22"/>
          <w:szCs w:val="22"/>
        </w:rPr>
        <w:t xml:space="preserve">proactive </w:t>
      </w:r>
      <w:r w:rsidR="00765FD0" w:rsidRPr="00F91D08">
        <w:rPr>
          <w:sz w:val="22"/>
          <w:szCs w:val="22"/>
        </w:rPr>
        <w:t>protections is available</w:t>
      </w:r>
      <w:r w:rsidR="004C5736" w:rsidRPr="00F91D08">
        <w:rPr>
          <w:sz w:val="22"/>
          <w:szCs w:val="22"/>
        </w:rPr>
        <w:t>,</w:t>
      </w:r>
      <w:r w:rsidR="00765FD0" w:rsidRPr="00F91D08">
        <w:rPr>
          <w:rStyle w:val="FootnoteReference"/>
          <w:sz w:val="22"/>
          <w:szCs w:val="22"/>
        </w:rPr>
        <w:footnoteReference w:id="11"/>
      </w:r>
      <w:r w:rsidR="006267A0" w:rsidRPr="00F91D08">
        <w:rPr>
          <w:sz w:val="22"/>
          <w:szCs w:val="22"/>
        </w:rPr>
        <w:t xml:space="preserve"> </w:t>
      </w:r>
      <w:r w:rsidR="004C5736" w:rsidRPr="00F91D08">
        <w:rPr>
          <w:sz w:val="22"/>
          <w:szCs w:val="22"/>
        </w:rPr>
        <w:t xml:space="preserve">however they are not being </w:t>
      </w:r>
      <w:r w:rsidR="00465518" w:rsidRPr="00F91D08">
        <w:rPr>
          <w:sz w:val="22"/>
          <w:szCs w:val="22"/>
        </w:rPr>
        <w:t>utilised</w:t>
      </w:r>
      <w:r w:rsidR="004C5736" w:rsidRPr="00F91D08">
        <w:rPr>
          <w:sz w:val="22"/>
          <w:szCs w:val="22"/>
        </w:rPr>
        <w:t xml:space="preserve"> to prompt users to confirm that the information they share about children is being done safely</w:t>
      </w:r>
      <w:r w:rsidR="00AC4B26" w:rsidRPr="00F91D08">
        <w:rPr>
          <w:sz w:val="22"/>
          <w:szCs w:val="22"/>
        </w:rPr>
        <w:t xml:space="preserve"> and legally</w:t>
      </w:r>
      <w:r w:rsidR="004C5736" w:rsidRPr="00F91D08">
        <w:rPr>
          <w:sz w:val="22"/>
          <w:szCs w:val="22"/>
        </w:rPr>
        <w:t>.</w:t>
      </w:r>
    </w:p>
    <w:p w14:paraId="73418429" w14:textId="653C13BC" w:rsidR="00FD735B" w:rsidRPr="00F91D08" w:rsidRDefault="00FD735B" w:rsidP="00697E66">
      <w:pPr>
        <w:pStyle w:val="ListParagraph"/>
        <w:numPr>
          <w:ilvl w:val="0"/>
          <w:numId w:val="14"/>
        </w:numPr>
        <w:jc w:val="both"/>
        <w:rPr>
          <w:sz w:val="22"/>
          <w:szCs w:val="22"/>
          <w:lang w:val="en-AU"/>
        </w:rPr>
      </w:pPr>
      <w:r w:rsidRPr="00F91D08">
        <w:rPr>
          <w:sz w:val="22"/>
          <w:szCs w:val="22"/>
        </w:rPr>
        <w:t xml:space="preserve">Social media </w:t>
      </w:r>
      <w:r w:rsidR="00F343E0" w:rsidRPr="00F91D08">
        <w:rPr>
          <w:sz w:val="22"/>
          <w:szCs w:val="22"/>
        </w:rPr>
        <w:t xml:space="preserve">companies </w:t>
      </w:r>
      <w:r w:rsidR="005C41D7" w:rsidRPr="00F91D08">
        <w:rPr>
          <w:sz w:val="22"/>
          <w:szCs w:val="22"/>
        </w:rPr>
        <w:t xml:space="preserve">are proactive in what is known as non-user data collection, which </w:t>
      </w:r>
      <w:r w:rsidR="00B305EA" w:rsidRPr="00F91D08">
        <w:rPr>
          <w:sz w:val="22"/>
          <w:szCs w:val="22"/>
        </w:rPr>
        <w:t>resul</w:t>
      </w:r>
      <w:r w:rsidR="000C12AA" w:rsidRPr="00F91D08">
        <w:rPr>
          <w:sz w:val="22"/>
          <w:szCs w:val="22"/>
        </w:rPr>
        <w:t>ts</w:t>
      </w:r>
      <w:r w:rsidR="00B305EA" w:rsidRPr="00F91D08">
        <w:rPr>
          <w:sz w:val="22"/>
          <w:szCs w:val="22"/>
        </w:rPr>
        <w:t xml:space="preserve"> in</w:t>
      </w:r>
      <w:r w:rsidR="005C41D7" w:rsidRPr="00F91D08">
        <w:rPr>
          <w:sz w:val="22"/>
          <w:szCs w:val="22"/>
        </w:rPr>
        <w:t xml:space="preserve"> </w:t>
      </w:r>
      <w:r w:rsidR="00F343E0" w:rsidRPr="00F91D08">
        <w:rPr>
          <w:sz w:val="22"/>
          <w:szCs w:val="22"/>
        </w:rPr>
        <w:t xml:space="preserve">companies </w:t>
      </w:r>
      <w:r w:rsidR="00646A04" w:rsidRPr="00F91D08">
        <w:rPr>
          <w:sz w:val="22"/>
          <w:szCs w:val="22"/>
        </w:rPr>
        <w:t xml:space="preserve">such as Facebook </w:t>
      </w:r>
      <w:r w:rsidR="00B305EA" w:rsidRPr="00F91D08">
        <w:rPr>
          <w:sz w:val="22"/>
          <w:szCs w:val="22"/>
        </w:rPr>
        <w:t>developing ‘shadow profiles’ of non</w:t>
      </w:r>
      <w:r w:rsidR="001B0A90" w:rsidRPr="00F91D08">
        <w:rPr>
          <w:sz w:val="22"/>
          <w:szCs w:val="22"/>
        </w:rPr>
        <w:t>-</w:t>
      </w:r>
      <w:r w:rsidR="00B305EA" w:rsidRPr="00F91D08">
        <w:rPr>
          <w:sz w:val="22"/>
          <w:szCs w:val="22"/>
        </w:rPr>
        <w:t xml:space="preserve">users </w:t>
      </w:r>
      <w:r w:rsidR="002A36B3" w:rsidRPr="00F91D08">
        <w:rPr>
          <w:sz w:val="22"/>
          <w:szCs w:val="22"/>
        </w:rPr>
        <w:t>(</w:t>
      </w:r>
      <w:r w:rsidR="00B305EA" w:rsidRPr="00F91D08">
        <w:rPr>
          <w:sz w:val="22"/>
          <w:szCs w:val="22"/>
        </w:rPr>
        <w:t>including children</w:t>
      </w:r>
      <w:r w:rsidR="002A36B3" w:rsidRPr="00F91D08">
        <w:rPr>
          <w:sz w:val="22"/>
          <w:szCs w:val="22"/>
        </w:rPr>
        <w:t>)</w:t>
      </w:r>
      <w:r w:rsidR="00B305EA" w:rsidRPr="00F91D08">
        <w:rPr>
          <w:sz w:val="22"/>
          <w:szCs w:val="22"/>
        </w:rPr>
        <w:t xml:space="preserve"> </w:t>
      </w:r>
      <w:r w:rsidRPr="00F91D08">
        <w:rPr>
          <w:sz w:val="22"/>
          <w:szCs w:val="22"/>
        </w:rPr>
        <w:t>without the consent of</w:t>
      </w:r>
      <w:r w:rsidR="002A36B3" w:rsidRPr="00F91D08">
        <w:rPr>
          <w:sz w:val="22"/>
          <w:szCs w:val="22"/>
        </w:rPr>
        <w:t xml:space="preserve"> either</w:t>
      </w:r>
      <w:r w:rsidRPr="00F91D08">
        <w:rPr>
          <w:sz w:val="22"/>
          <w:szCs w:val="22"/>
        </w:rPr>
        <w:t xml:space="preserve"> the child</w:t>
      </w:r>
      <w:r w:rsidR="0016127C" w:rsidRPr="00F91D08">
        <w:rPr>
          <w:sz w:val="22"/>
          <w:szCs w:val="22"/>
        </w:rPr>
        <w:t xml:space="preserve"> or the parent</w:t>
      </w:r>
      <w:r w:rsidR="00B305EA" w:rsidRPr="00F91D08">
        <w:rPr>
          <w:sz w:val="22"/>
          <w:szCs w:val="22"/>
        </w:rPr>
        <w:t>.</w:t>
      </w:r>
      <w:r w:rsidR="001B0A90" w:rsidRPr="00F91D08">
        <w:rPr>
          <w:rStyle w:val="FootnoteReference"/>
          <w:sz w:val="22"/>
          <w:szCs w:val="22"/>
        </w:rPr>
        <w:footnoteReference w:id="12"/>
      </w:r>
      <w:r w:rsidR="00EF51B4" w:rsidRPr="00F91D08">
        <w:rPr>
          <w:sz w:val="22"/>
          <w:szCs w:val="22"/>
        </w:rPr>
        <w:t xml:space="preserve"> </w:t>
      </w:r>
      <w:r w:rsidR="00734600" w:rsidRPr="00F91D08">
        <w:rPr>
          <w:sz w:val="22"/>
          <w:szCs w:val="22"/>
        </w:rPr>
        <w:t xml:space="preserve">It should also be noted that </w:t>
      </w:r>
      <w:r w:rsidR="00734600" w:rsidRPr="00F91D08">
        <w:rPr>
          <w:sz w:val="22"/>
          <w:szCs w:val="22"/>
          <w:lang w:val="en-AU"/>
        </w:rPr>
        <w:t>non-users</w:t>
      </w:r>
      <w:r w:rsidR="002A36B3" w:rsidRPr="00F91D08">
        <w:rPr>
          <w:sz w:val="22"/>
          <w:szCs w:val="22"/>
          <w:lang w:val="en-AU"/>
        </w:rPr>
        <w:t xml:space="preserve"> – and parents of non-users - </w:t>
      </w:r>
      <w:r w:rsidR="00734600" w:rsidRPr="00F91D08">
        <w:rPr>
          <w:sz w:val="22"/>
          <w:szCs w:val="22"/>
          <w:lang w:val="en-AU"/>
        </w:rPr>
        <w:t xml:space="preserve">do not have any direct </w:t>
      </w:r>
      <w:r w:rsidR="00734600" w:rsidRPr="00F91D08">
        <w:rPr>
          <w:iCs/>
          <w:sz w:val="22"/>
          <w:szCs w:val="22"/>
          <w:lang w:val="en-AU"/>
        </w:rPr>
        <w:t>control</w:t>
      </w:r>
      <w:r w:rsidR="00734600" w:rsidRPr="00F91D08">
        <w:rPr>
          <w:sz w:val="22"/>
          <w:szCs w:val="22"/>
          <w:lang w:val="en-AU"/>
        </w:rPr>
        <w:t xml:space="preserve"> over shadow </w:t>
      </w:r>
      <w:r w:rsidR="00734600" w:rsidRPr="00F91D08">
        <w:rPr>
          <w:iCs/>
          <w:sz w:val="22"/>
          <w:szCs w:val="22"/>
          <w:lang w:val="en-AU"/>
        </w:rPr>
        <w:t>profiles</w:t>
      </w:r>
      <w:r w:rsidR="00734600" w:rsidRPr="00F91D08">
        <w:rPr>
          <w:sz w:val="22"/>
          <w:szCs w:val="22"/>
          <w:lang w:val="en-AU"/>
        </w:rPr>
        <w:t xml:space="preserve">. These profiles are created by the information gathered from third party users (including parents) and any personal information </w:t>
      </w:r>
      <w:r w:rsidR="00CA6688" w:rsidRPr="00F91D08">
        <w:rPr>
          <w:sz w:val="22"/>
          <w:szCs w:val="22"/>
          <w:lang w:val="en-AU"/>
        </w:rPr>
        <w:t>can</w:t>
      </w:r>
      <w:r w:rsidR="00734600" w:rsidRPr="00F91D08">
        <w:rPr>
          <w:sz w:val="22"/>
          <w:szCs w:val="22"/>
          <w:lang w:val="en-AU"/>
        </w:rPr>
        <w:t xml:space="preserve"> </w:t>
      </w:r>
      <w:r w:rsidR="00734600" w:rsidRPr="00F91D08">
        <w:rPr>
          <w:iCs/>
          <w:sz w:val="22"/>
          <w:szCs w:val="22"/>
          <w:lang w:val="en-AU"/>
        </w:rPr>
        <w:t>be</w:t>
      </w:r>
      <w:r w:rsidR="00734600" w:rsidRPr="00F91D08">
        <w:rPr>
          <w:sz w:val="22"/>
          <w:szCs w:val="22"/>
          <w:lang w:val="en-AU"/>
        </w:rPr>
        <w:t xml:space="preserve"> added to a child’s shadow profile</w:t>
      </w:r>
      <w:r w:rsidR="00CA6688" w:rsidRPr="00F91D08">
        <w:rPr>
          <w:sz w:val="22"/>
          <w:szCs w:val="22"/>
          <w:lang w:val="en-AU"/>
        </w:rPr>
        <w:t xml:space="preserve">. Additionally, </w:t>
      </w:r>
      <w:r w:rsidR="00F343E0" w:rsidRPr="00F91D08">
        <w:rPr>
          <w:sz w:val="22"/>
          <w:szCs w:val="22"/>
        </w:rPr>
        <w:t>tech companies</w:t>
      </w:r>
      <w:r w:rsidR="00EF51B4" w:rsidRPr="00F91D08">
        <w:rPr>
          <w:sz w:val="22"/>
          <w:szCs w:val="22"/>
        </w:rPr>
        <w:t xml:space="preserve"> have arguably been implementing other measures</w:t>
      </w:r>
      <w:r w:rsidR="00EF51B4" w:rsidRPr="00F91D08">
        <w:rPr>
          <w:rStyle w:val="FootnoteReference"/>
          <w:sz w:val="22"/>
          <w:szCs w:val="22"/>
        </w:rPr>
        <w:footnoteReference w:id="13"/>
      </w:r>
      <w:r w:rsidR="00EF51B4" w:rsidRPr="00F91D08">
        <w:rPr>
          <w:sz w:val="22"/>
          <w:szCs w:val="22"/>
        </w:rPr>
        <w:t xml:space="preserve"> that are designed to exploit users</w:t>
      </w:r>
      <w:r w:rsidR="00AD304D" w:rsidRPr="00F91D08">
        <w:rPr>
          <w:rStyle w:val="FootnoteReference"/>
          <w:sz w:val="22"/>
          <w:szCs w:val="22"/>
        </w:rPr>
        <w:footnoteReference w:id="14"/>
      </w:r>
      <w:r w:rsidR="00EF51B4" w:rsidRPr="00F91D08">
        <w:rPr>
          <w:sz w:val="22"/>
          <w:szCs w:val="22"/>
        </w:rPr>
        <w:t xml:space="preserve"> rather than protect them</w:t>
      </w:r>
      <w:r w:rsidR="00646A04" w:rsidRPr="00F91D08">
        <w:rPr>
          <w:sz w:val="22"/>
          <w:szCs w:val="22"/>
        </w:rPr>
        <w:t xml:space="preserve">. This can </w:t>
      </w:r>
      <w:r w:rsidR="00682EAB" w:rsidRPr="00F91D08">
        <w:rPr>
          <w:sz w:val="22"/>
          <w:szCs w:val="22"/>
        </w:rPr>
        <w:t>indirectly</w:t>
      </w:r>
      <w:r w:rsidR="00646A04" w:rsidRPr="00F91D08">
        <w:rPr>
          <w:sz w:val="22"/>
          <w:szCs w:val="22"/>
        </w:rPr>
        <w:t xml:space="preserve"> impact on children where th</w:t>
      </w:r>
      <w:r w:rsidR="000F60E0" w:rsidRPr="00F91D08">
        <w:rPr>
          <w:sz w:val="22"/>
          <w:szCs w:val="22"/>
        </w:rPr>
        <w:t>eir</w:t>
      </w:r>
      <w:r w:rsidR="00646A04" w:rsidRPr="00F91D08">
        <w:rPr>
          <w:sz w:val="22"/>
          <w:szCs w:val="22"/>
        </w:rPr>
        <w:t xml:space="preserve"> information is being disseminated by third parties.</w:t>
      </w:r>
    </w:p>
    <w:p w14:paraId="6EBC0449" w14:textId="147003D1" w:rsidR="009904B2" w:rsidRPr="00F91D08" w:rsidRDefault="00322542" w:rsidP="00697E66">
      <w:pPr>
        <w:pStyle w:val="ListParagraph"/>
        <w:numPr>
          <w:ilvl w:val="0"/>
          <w:numId w:val="14"/>
        </w:numPr>
        <w:jc w:val="both"/>
        <w:rPr>
          <w:sz w:val="22"/>
          <w:szCs w:val="22"/>
        </w:rPr>
      </w:pPr>
      <w:r w:rsidRPr="00F91D08">
        <w:rPr>
          <w:sz w:val="22"/>
          <w:szCs w:val="22"/>
        </w:rPr>
        <w:t>Parents, caregivers and other individuals have varying levels of</w:t>
      </w:r>
      <w:r w:rsidR="0056581E" w:rsidRPr="00F91D08">
        <w:rPr>
          <w:sz w:val="22"/>
          <w:szCs w:val="22"/>
        </w:rPr>
        <w:t xml:space="preserve"> digital literacy</w:t>
      </w:r>
      <w:r w:rsidRPr="00F91D08">
        <w:rPr>
          <w:sz w:val="22"/>
          <w:szCs w:val="22"/>
        </w:rPr>
        <w:t xml:space="preserve"> when navigating the digital environment themselves</w:t>
      </w:r>
      <w:r w:rsidR="0056581E" w:rsidRPr="00F91D08">
        <w:rPr>
          <w:sz w:val="22"/>
          <w:szCs w:val="22"/>
        </w:rPr>
        <w:t>;</w:t>
      </w:r>
      <w:r w:rsidR="00E954DD" w:rsidRPr="00F91D08">
        <w:rPr>
          <w:rStyle w:val="FootnoteReference"/>
          <w:sz w:val="22"/>
          <w:szCs w:val="22"/>
        </w:rPr>
        <w:footnoteReference w:id="15"/>
      </w:r>
      <w:r w:rsidR="0056581E" w:rsidRPr="00F91D08">
        <w:rPr>
          <w:sz w:val="22"/>
          <w:szCs w:val="22"/>
        </w:rPr>
        <w:t xml:space="preserve"> this can unintentionally result in the </w:t>
      </w:r>
      <w:r w:rsidR="00FE1147" w:rsidRPr="00F91D08">
        <w:rPr>
          <w:sz w:val="22"/>
          <w:szCs w:val="22"/>
        </w:rPr>
        <w:t xml:space="preserve">public </w:t>
      </w:r>
      <w:r w:rsidR="0056581E" w:rsidRPr="00F91D08">
        <w:rPr>
          <w:sz w:val="22"/>
          <w:szCs w:val="22"/>
        </w:rPr>
        <w:t>dissemination of a child’s information.</w:t>
      </w:r>
      <w:r w:rsidRPr="00F91D08">
        <w:rPr>
          <w:sz w:val="22"/>
          <w:szCs w:val="22"/>
        </w:rPr>
        <w:t xml:space="preserve"> For example, </w:t>
      </w:r>
      <w:r w:rsidR="00FE1147" w:rsidRPr="00F91D08">
        <w:rPr>
          <w:sz w:val="22"/>
          <w:szCs w:val="22"/>
        </w:rPr>
        <w:t xml:space="preserve">a user’s individual privacy </w:t>
      </w:r>
      <w:r w:rsidR="0056581E" w:rsidRPr="00F91D08">
        <w:rPr>
          <w:sz w:val="22"/>
          <w:szCs w:val="22"/>
        </w:rPr>
        <w:t>settings</w:t>
      </w:r>
      <w:r w:rsidR="00C61C68" w:rsidRPr="00F91D08">
        <w:rPr>
          <w:sz w:val="22"/>
          <w:szCs w:val="22"/>
        </w:rPr>
        <w:t xml:space="preserve"> is commonly seen as a sufficient precautionary measure</w:t>
      </w:r>
      <w:r w:rsidR="00670408" w:rsidRPr="00F91D08">
        <w:rPr>
          <w:sz w:val="22"/>
          <w:szCs w:val="22"/>
        </w:rPr>
        <w:t xml:space="preserve"> in itself</w:t>
      </w:r>
      <w:r w:rsidR="00987E89" w:rsidRPr="00F91D08">
        <w:rPr>
          <w:sz w:val="22"/>
          <w:szCs w:val="22"/>
        </w:rPr>
        <w:t xml:space="preserve"> to prevent information being shared too widely</w:t>
      </w:r>
      <w:r w:rsidR="00FE1147" w:rsidRPr="00F91D08">
        <w:rPr>
          <w:sz w:val="22"/>
          <w:szCs w:val="22"/>
        </w:rPr>
        <w:t>; unfortunately</w:t>
      </w:r>
      <w:r w:rsidR="00FD6FD5" w:rsidRPr="00F91D08">
        <w:rPr>
          <w:sz w:val="22"/>
          <w:szCs w:val="22"/>
        </w:rPr>
        <w:t>,</w:t>
      </w:r>
      <w:r w:rsidR="00C61C68" w:rsidRPr="00F91D08">
        <w:rPr>
          <w:sz w:val="22"/>
          <w:szCs w:val="22"/>
        </w:rPr>
        <w:t xml:space="preserve"> </w:t>
      </w:r>
      <w:r w:rsidR="00FE1147" w:rsidRPr="00F91D08">
        <w:rPr>
          <w:sz w:val="22"/>
          <w:szCs w:val="22"/>
        </w:rPr>
        <w:t>m</w:t>
      </w:r>
      <w:r w:rsidR="00C61C68" w:rsidRPr="00F91D08">
        <w:rPr>
          <w:sz w:val="22"/>
          <w:szCs w:val="22"/>
        </w:rPr>
        <w:t xml:space="preserve">any </w:t>
      </w:r>
      <w:r w:rsidR="00670408" w:rsidRPr="00F91D08">
        <w:rPr>
          <w:sz w:val="22"/>
          <w:szCs w:val="22"/>
        </w:rPr>
        <w:t>users</w:t>
      </w:r>
      <w:r w:rsidR="00C61C68" w:rsidRPr="00F91D08">
        <w:rPr>
          <w:sz w:val="22"/>
          <w:szCs w:val="22"/>
        </w:rPr>
        <w:t xml:space="preserve"> do not realise </w:t>
      </w:r>
      <w:r w:rsidR="00CE423D" w:rsidRPr="00F91D08">
        <w:rPr>
          <w:sz w:val="22"/>
          <w:szCs w:val="22"/>
        </w:rPr>
        <w:t>how</w:t>
      </w:r>
      <w:r w:rsidR="00FE1147" w:rsidRPr="00F91D08">
        <w:rPr>
          <w:sz w:val="22"/>
          <w:szCs w:val="22"/>
        </w:rPr>
        <w:t xml:space="preserve"> their information </w:t>
      </w:r>
      <w:r w:rsidR="00CE423D" w:rsidRPr="00F91D08">
        <w:rPr>
          <w:sz w:val="22"/>
          <w:szCs w:val="22"/>
        </w:rPr>
        <w:t xml:space="preserve">is disseminated </w:t>
      </w:r>
      <w:r w:rsidR="00FE1147" w:rsidRPr="00F91D08">
        <w:rPr>
          <w:sz w:val="22"/>
          <w:szCs w:val="22"/>
        </w:rPr>
        <w:t xml:space="preserve">is </w:t>
      </w:r>
      <w:r w:rsidR="009F5BC8" w:rsidRPr="00F91D08">
        <w:rPr>
          <w:sz w:val="22"/>
          <w:szCs w:val="22"/>
        </w:rPr>
        <w:t xml:space="preserve">also </w:t>
      </w:r>
      <w:r w:rsidR="00FE1147" w:rsidRPr="00F91D08">
        <w:rPr>
          <w:sz w:val="22"/>
          <w:szCs w:val="22"/>
        </w:rPr>
        <w:t>subject to the privacy settings of other users.</w:t>
      </w:r>
      <w:r w:rsidR="00C61C68" w:rsidRPr="00F91D08">
        <w:rPr>
          <w:sz w:val="22"/>
          <w:szCs w:val="22"/>
        </w:rPr>
        <w:t xml:space="preserve"> </w:t>
      </w:r>
      <w:r w:rsidR="00FE1147" w:rsidRPr="00F91D08">
        <w:rPr>
          <w:sz w:val="22"/>
          <w:szCs w:val="22"/>
        </w:rPr>
        <w:t>A</w:t>
      </w:r>
      <w:r w:rsidR="00670408" w:rsidRPr="00F91D08">
        <w:rPr>
          <w:sz w:val="22"/>
          <w:szCs w:val="22"/>
        </w:rPr>
        <w:t xml:space="preserve"> user’s</w:t>
      </w:r>
      <w:r w:rsidR="00C61C68" w:rsidRPr="00F91D08">
        <w:rPr>
          <w:sz w:val="22"/>
          <w:szCs w:val="22"/>
        </w:rPr>
        <w:t xml:space="preserve"> information can be shared beyond their privacy settings if </w:t>
      </w:r>
      <w:r w:rsidR="00FE1147" w:rsidRPr="00F91D08">
        <w:rPr>
          <w:sz w:val="22"/>
          <w:szCs w:val="22"/>
        </w:rPr>
        <w:t xml:space="preserve">shared by </w:t>
      </w:r>
      <w:r w:rsidR="00C61C68" w:rsidRPr="00F91D08">
        <w:rPr>
          <w:sz w:val="22"/>
          <w:szCs w:val="22"/>
        </w:rPr>
        <w:t>their ‘friends’ or ‘connections’</w:t>
      </w:r>
      <w:r w:rsidR="009F5BC8" w:rsidRPr="00F91D08">
        <w:rPr>
          <w:sz w:val="22"/>
          <w:szCs w:val="22"/>
        </w:rPr>
        <w:t xml:space="preserve"> </w:t>
      </w:r>
      <w:r w:rsidR="00FD6FD5" w:rsidRPr="00F91D08">
        <w:rPr>
          <w:sz w:val="22"/>
          <w:szCs w:val="22"/>
        </w:rPr>
        <w:t xml:space="preserve">who </w:t>
      </w:r>
      <w:r w:rsidR="00C61C68" w:rsidRPr="00F91D08">
        <w:rPr>
          <w:sz w:val="22"/>
          <w:szCs w:val="22"/>
        </w:rPr>
        <w:t>have</w:t>
      </w:r>
      <w:r w:rsidRPr="00F91D08">
        <w:rPr>
          <w:sz w:val="22"/>
          <w:szCs w:val="22"/>
        </w:rPr>
        <w:t xml:space="preserve"> </w:t>
      </w:r>
      <w:r w:rsidR="009F5BC8" w:rsidRPr="00F91D08">
        <w:rPr>
          <w:sz w:val="22"/>
          <w:szCs w:val="22"/>
        </w:rPr>
        <w:t>less rigorous</w:t>
      </w:r>
      <w:r w:rsidRPr="00F91D08">
        <w:rPr>
          <w:sz w:val="22"/>
          <w:szCs w:val="22"/>
        </w:rPr>
        <w:t xml:space="preserve"> </w:t>
      </w:r>
      <w:r w:rsidR="00C61C68" w:rsidRPr="00F91D08">
        <w:rPr>
          <w:sz w:val="22"/>
          <w:szCs w:val="22"/>
        </w:rPr>
        <w:t xml:space="preserve">privacy </w:t>
      </w:r>
      <w:r w:rsidRPr="00F91D08">
        <w:rPr>
          <w:sz w:val="22"/>
          <w:szCs w:val="22"/>
        </w:rPr>
        <w:t xml:space="preserve">settings that allow the public to view </w:t>
      </w:r>
      <w:r w:rsidR="009F5BC8" w:rsidRPr="00F91D08">
        <w:rPr>
          <w:sz w:val="22"/>
          <w:szCs w:val="22"/>
        </w:rPr>
        <w:t>‘re</w:t>
      </w:r>
      <w:r w:rsidRPr="00F91D08">
        <w:rPr>
          <w:sz w:val="22"/>
          <w:szCs w:val="22"/>
        </w:rPr>
        <w:t>posts</w:t>
      </w:r>
      <w:r w:rsidR="009F5BC8" w:rsidRPr="00F91D08">
        <w:rPr>
          <w:sz w:val="22"/>
          <w:szCs w:val="22"/>
        </w:rPr>
        <w:t>’</w:t>
      </w:r>
      <w:r w:rsidRPr="00F91D08">
        <w:rPr>
          <w:sz w:val="22"/>
          <w:szCs w:val="22"/>
        </w:rPr>
        <w:t xml:space="preserve"> </w:t>
      </w:r>
      <w:r w:rsidR="009F5BC8" w:rsidRPr="00F91D08">
        <w:rPr>
          <w:sz w:val="22"/>
          <w:szCs w:val="22"/>
        </w:rPr>
        <w:t xml:space="preserve">and ‘likes’ of the original </w:t>
      </w:r>
      <w:r w:rsidR="00FD6FD5" w:rsidRPr="00F91D08">
        <w:rPr>
          <w:sz w:val="22"/>
          <w:szCs w:val="22"/>
        </w:rPr>
        <w:t>content</w:t>
      </w:r>
      <w:r w:rsidRPr="00F91D08">
        <w:rPr>
          <w:sz w:val="22"/>
          <w:szCs w:val="22"/>
        </w:rPr>
        <w:t>.</w:t>
      </w:r>
      <w:r w:rsidR="00E15214" w:rsidRPr="00F91D08">
        <w:rPr>
          <w:rStyle w:val="FootnoteReference"/>
          <w:sz w:val="22"/>
          <w:szCs w:val="22"/>
        </w:rPr>
        <w:footnoteReference w:id="16"/>
      </w:r>
    </w:p>
    <w:p w14:paraId="305765D0" w14:textId="1ED72FB3" w:rsidR="00FD735B" w:rsidRPr="00F91D08" w:rsidRDefault="00FD735B" w:rsidP="00697E66">
      <w:pPr>
        <w:pStyle w:val="ListParagraph"/>
        <w:numPr>
          <w:ilvl w:val="0"/>
          <w:numId w:val="14"/>
        </w:numPr>
        <w:jc w:val="both"/>
        <w:rPr>
          <w:sz w:val="22"/>
          <w:szCs w:val="22"/>
        </w:rPr>
      </w:pPr>
      <w:r w:rsidRPr="00F91D08">
        <w:rPr>
          <w:sz w:val="22"/>
          <w:szCs w:val="22"/>
        </w:rPr>
        <w:t>T</w:t>
      </w:r>
      <w:r w:rsidR="00A045E9" w:rsidRPr="00F91D08">
        <w:rPr>
          <w:sz w:val="22"/>
          <w:szCs w:val="22"/>
        </w:rPr>
        <w:t xml:space="preserve">ech companies have been the subject of </w:t>
      </w:r>
      <w:r w:rsidRPr="00F91D08">
        <w:rPr>
          <w:sz w:val="22"/>
          <w:szCs w:val="22"/>
        </w:rPr>
        <w:t xml:space="preserve">a number of </w:t>
      </w:r>
      <w:r w:rsidR="000252E3" w:rsidRPr="00F91D08">
        <w:rPr>
          <w:sz w:val="22"/>
          <w:szCs w:val="22"/>
        </w:rPr>
        <w:t xml:space="preserve">serious </w:t>
      </w:r>
      <w:r w:rsidR="00EF51B4" w:rsidRPr="00F91D08">
        <w:rPr>
          <w:sz w:val="22"/>
          <w:szCs w:val="22"/>
        </w:rPr>
        <w:t>data breaches</w:t>
      </w:r>
      <w:r w:rsidRPr="00F91D08">
        <w:rPr>
          <w:sz w:val="22"/>
          <w:szCs w:val="22"/>
        </w:rPr>
        <w:t xml:space="preserve"> in </w:t>
      </w:r>
      <w:r w:rsidR="00E73238" w:rsidRPr="00F91D08">
        <w:rPr>
          <w:sz w:val="22"/>
          <w:szCs w:val="22"/>
        </w:rPr>
        <w:t>recent times</w:t>
      </w:r>
      <w:r w:rsidR="00A045E9" w:rsidRPr="00F91D08">
        <w:rPr>
          <w:sz w:val="22"/>
          <w:szCs w:val="22"/>
        </w:rPr>
        <w:t xml:space="preserve">. The nature of these breaches have raised doubts regarding the conduct of </w:t>
      </w:r>
      <w:r w:rsidR="00C34610" w:rsidRPr="00F91D08">
        <w:rPr>
          <w:sz w:val="22"/>
          <w:szCs w:val="22"/>
        </w:rPr>
        <w:t>these</w:t>
      </w:r>
      <w:r w:rsidR="00A045E9" w:rsidRPr="00F91D08">
        <w:rPr>
          <w:sz w:val="22"/>
          <w:szCs w:val="22"/>
        </w:rPr>
        <w:t xml:space="preserve"> companies</w:t>
      </w:r>
      <w:r w:rsidR="00A045E9" w:rsidRPr="00F91D08">
        <w:rPr>
          <w:rStyle w:val="FootnoteReference"/>
          <w:sz w:val="22"/>
          <w:szCs w:val="22"/>
        </w:rPr>
        <w:footnoteReference w:id="17"/>
      </w:r>
      <w:r w:rsidR="00A045E9" w:rsidRPr="00F91D08">
        <w:rPr>
          <w:sz w:val="22"/>
          <w:szCs w:val="22"/>
        </w:rPr>
        <w:t xml:space="preserve"> and </w:t>
      </w:r>
      <w:r w:rsidRPr="00F91D08">
        <w:rPr>
          <w:sz w:val="22"/>
          <w:szCs w:val="22"/>
        </w:rPr>
        <w:t xml:space="preserve">indicates that all information </w:t>
      </w:r>
      <w:r w:rsidR="00677137" w:rsidRPr="00F91D08">
        <w:rPr>
          <w:sz w:val="22"/>
          <w:szCs w:val="22"/>
        </w:rPr>
        <w:t xml:space="preserve">(including a child’s information) </w:t>
      </w:r>
      <w:r w:rsidRPr="00F91D08">
        <w:rPr>
          <w:sz w:val="22"/>
          <w:szCs w:val="22"/>
        </w:rPr>
        <w:t>on a global online platform is vulnerable to theft and misuse</w:t>
      </w:r>
      <w:r w:rsidR="00677137" w:rsidRPr="00F91D08">
        <w:rPr>
          <w:sz w:val="22"/>
          <w:szCs w:val="22"/>
        </w:rPr>
        <w:t>.</w:t>
      </w:r>
    </w:p>
    <w:p w14:paraId="687AEECF" w14:textId="665DFF17" w:rsidR="00FD735B" w:rsidRPr="00F91D08" w:rsidRDefault="00FD735B" w:rsidP="00697E66">
      <w:pPr>
        <w:pStyle w:val="ListParagraph"/>
        <w:numPr>
          <w:ilvl w:val="0"/>
          <w:numId w:val="14"/>
        </w:numPr>
        <w:jc w:val="both"/>
        <w:rPr>
          <w:sz w:val="22"/>
          <w:szCs w:val="22"/>
        </w:rPr>
      </w:pPr>
      <w:r w:rsidRPr="00F91D08">
        <w:rPr>
          <w:sz w:val="22"/>
          <w:szCs w:val="22"/>
        </w:rPr>
        <w:t xml:space="preserve">The digital environment is </w:t>
      </w:r>
      <w:r w:rsidR="00EF51B4" w:rsidRPr="00F91D08">
        <w:rPr>
          <w:sz w:val="22"/>
          <w:szCs w:val="22"/>
        </w:rPr>
        <w:t xml:space="preserve">still </w:t>
      </w:r>
      <w:r w:rsidRPr="00F91D08">
        <w:rPr>
          <w:sz w:val="22"/>
          <w:szCs w:val="22"/>
        </w:rPr>
        <w:t>in its infancy and</w:t>
      </w:r>
      <w:r w:rsidR="00944258" w:rsidRPr="00F91D08">
        <w:rPr>
          <w:sz w:val="22"/>
          <w:szCs w:val="22"/>
        </w:rPr>
        <w:t xml:space="preserve"> </w:t>
      </w:r>
      <w:r w:rsidR="00EF51B4" w:rsidRPr="00F91D08">
        <w:rPr>
          <w:sz w:val="22"/>
          <w:szCs w:val="22"/>
        </w:rPr>
        <w:t xml:space="preserve">remains </w:t>
      </w:r>
      <w:r w:rsidR="00944258" w:rsidRPr="00F91D08">
        <w:rPr>
          <w:sz w:val="22"/>
          <w:szCs w:val="22"/>
        </w:rPr>
        <w:t>largely unregulated.</w:t>
      </w:r>
      <w:r w:rsidR="00944258" w:rsidRPr="00F91D08">
        <w:rPr>
          <w:rStyle w:val="FootnoteReference"/>
          <w:sz w:val="22"/>
          <w:szCs w:val="22"/>
        </w:rPr>
        <w:footnoteReference w:id="18"/>
      </w:r>
      <w:r w:rsidR="00944258" w:rsidRPr="00F91D08">
        <w:rPr>
          <w:sz w:val="22"/>
          <w:szCs w:val="22"/>
        </w:rPr>
        <w:t xml:space="preserve"> I</w:t>
      </w:r>
      <w:r w:rsidRPr="00F91D08">
        <w:rPr>
          <w:sz w:val="22"/>
          <w:szCs w:val="22"/>
        </w:rPr>
        <w:t>t is</w:t>
      </w:r>
      <w:r w:rsidR="00EF51B4" w:rsidRPr="00F91D08">
        <w:rPr>
          <w:sz w:val="22"/>
          <w:szCs w:val="22"/>
        </w:rPr>
        <w:t xml:space="preserve">, therefore, </w:t>
      </w:r>
      <w:r w:rsidRPr="00F91D08">
        <w:rPr>
          <w:sz w:val="22"/>
          <w:szCs w:val="22"/>
        </w:rPr>
        <w:t xml:space="preserve">difficult to </w:t>
      </w:r>
      <w:r w:rsidR="0033633B" w:rsidRPr="00F91D08">
        <w:rPr>
          <w:sz w:val="22"/>
          <w:szCs w:val="22"/>
        </w:rPr>
        <w:t xml:space="preserve">successfully </w:t>
      </w:r>
      <w:r w:rsidRPr="00F91D08">
        <w:rPr>
          <w:sz w:val="22"/>
          <w:szCs w:val="22"/>
        </w:rPr>
        <w:t xml:space="preserve">anticipate the evolution of this environment and its effect on children’s </w:t>
      </w:r>
      <w:r w:rsidRPr="00F91D08">
        <w:rPr>
          <w:sz w:val="22"/>
          <w:szCs w:val="22"/>
        </w:rPr>
        <w:lastRenderedPageBreak/>
        <w:t xml:space="preserve">rights </w:t>
      </w:r>
      <w:r w:rsidR="00944258" w:rsidRPr="00F91D08">
        <w:rPr>
          <w:sz w:val="22"/>
          <w:szCs w:val="22"/>
        </w:rPr>
        <w:t xml:space="preserve">unless </w:t>
      </w:r>
      <w:r w:rsidR="00FC516A" w:rsidRPr="00F91D08">
        <w:rPr>
          <w:sz w:val="22"/>
          <w:szCs w:val="22"/>
        </w:rPr>
        <w:t>nation s</w:t>
      </w:r>
      <w:r w:rsidR="00944258" w:rsidRPr="00F91D08">
        <w:rPr>
          <w:sz w:val="22"/>
          <w:szCs w:val="22"/>
        </w:rPr>
        <w:t>tates</w:t>
      </w:r>
      <w:r w:rsidR="001E1FBA" w:rsidRPr="00F91D08">
        <w:rPr>
          <w:sz w:val="22"/>
          <w:szCs w:val="22"/>
        </w:rPr>
        <w:t xml:space="preserve"> </w:t>
      </w:r>
      <w:r w:rsidR="00944258" w:rsidRPr="00F91D08">
        <w:rPr>
          <w:sz w:val="22"/>
          <w:szCs w:val="22"/>
        </w:rPr>
        <w:t>take measures to determine the parameters of its use domestically</w:t>
      </w:r>
      <w:r w:rsidR="00E85AB2" w:rsidRPr="00F91D08">
        <w:rPr>
          <w:rStyle w:val="FootnoteReference"/>
          <w:sz w:val="22"/>
          <w:szCs w:val="22"/>
        </w:rPr>
        <w:footnoteReference w:id="19"/>
      </w:r>
      <w:r w:rsidR="00C8616F" w:rsidRPr="00F91D08">
        <w:rPr>
          <w:sz w:val="22"/>
          <w:szCs w:val="22"/>
        </w:rPr>
        <w:t xml:space="preserve"> (and as a coalition </w:t>
      </w:r>
      <w:r w:rsidR="004908C9" w:rsidRPr="00F91D08">
        <w:rPr>
          <w:sz w:val="22"/>
          <w:szCs w:val="22"/>
        </w:rPr>
        <w:t>globally</w:t>
      </w:r>
      <w:r w:rsidR="00C8616F" w:rsidRPr="00F91D08">
        <w:rPr>
          <w:rStyle w:val="FootnoteReference"/>
          <w:sz w:val="22"/>
          <w:szCs w:val="22"/>
        </w:rPr>
        <w:footnoteReference w:id="20"/>
      </w:r>
      <w:r w:rsidR="00C8616F" w:rsidRPr="00F91D08">
        <w:rPr>
          <w:sz w:val="22"/>
          <w:szCs w:val="22"/>
        </w:rPr>
        <w:t>)</w:t>
      </w:r>
      <w:r w:rsidR="00944258" w:rsidRPr="00F91D08">
        <w:rPr>
          <w:sz w:val="22"/>
          <w:szCs w:val="22"/>
        </w:rPr>
        <w:t>.</w:t>
      </w:r>
    </w:p>
    <w:p w14:paraId="6891088D" w14:textId="08D186B0" w:rsidR="007167FD" w:rsidRDefault="00FD735B" w:rsidP="00941760">
      <w:pPr>
        <w:rPr>
          <w:sz w:val="24"/>
          <w:szCs w:val="24"/>
        </w:rPr>
      </w:pPr>
      <w:r>
        <w:rPr>
          <w:sz w:val="24"/>
          <w:szCs w:val="24"/>
        </w:rPr>
        <w:tab/>
      </w:r>
    </w:p>
    <w:p w14:paraId="6928C2AF" w14:textId="77777777" w:rsidR="00671B51" w:rsidRDefault="00671B51" w:rsidP="00941760">
      <w:pPr>
        <w:rPr>
          <w:sz w:val="24"/>
          <w:szCs w:val="24"/>
        </w:rPr>
      </w:pPr>
    </w:p>
    <w:p w14:paraId="28FD4822" w14:textId="23611D75" w:rsidR="007167FD" w:rsidRPr="007167FD" w:rsidRDefault="007167FD" w:rsidP="00F64BB5">
      <w:pPr>
        <w:ind w:left="397"/>
        <w:rPr>
          <w:b/>
          <w:i/>
          <w:sz w:val="24"/>
          <w:szCs w:val="24"/>
        </w:rPr>
      </w:pPr>
      <w:r w:rsidRPr="007167FD">
        <w:rPr>
          <w:b/>
          <w:i/>
          <w:sz w:val="24"/>
          <w:szCs w:val="24"/>
        </w:rPr>
        <w:t>Impact on children’s rights</w:t>
      </w:r>
    </w:p>
    <w:p w14:paraId="6246F3B4" w14:textId="77777777" w:rsidR="008C3162" w:rsidRDefault="008C3162" w:rsidP="00941760">
      <w:pPr>
        <w:rPr>
          <w:sz w:val="24"/>
          <w:szCs w:val="24"/>
        </w:rPr>
      </w:pPr>
    </w:p>
    <w:p w14:paraId="125C3992" w14:textId="68184CAB" w:rsidR="00F97D1F" w:rsidRPr="00F91D08" w:rsidRDefault="00EF51B4" w:rsidP="00A97E5A">
      <w:pPr>
        <w:pStyle w:val="ListParagraph"/>
        <w:numPr>
          <w:ilvl w:val="0"/>
          <w:numId w:val="10"/>
        </w:numPr>
        <w:spacing w:before="120"/>
        <w:jc w:val="both"/>
        <w:rPr>
          <w:sz w:val="22"/>
          <w:szCs w:val="22"/>
        </w:rPr>
      </w:pPr>
      <w:r w:rsidRPr="00F91D08">
        <w:rPr>
          <w:sz w:val="22"/>
          <w:szCs w:val="22"/>
        </w:rPr>
        <w:t>The</w:t>
      </w:r>
      <w:r w:rsidR="00EF6F09" w:rsidRPr="00F91D08">
        <w:rPr>
          <w:sz w:val="22"/>
          <w:szCs w:val="22"/>
        </w:rPr>
        <w:t>se</w:t>
      </w:r>
      <w:r w:rsidRPr="00F91D08">
        <w:rPr>
          <w:sz w:val="22"/>
          <w:szCs w:val="22"/>
        </w:rPr>
        <w:t xml:space="preserve"> </w:t>
      </w:r>
      <w:r w:rsidR="00A97E5A" w:rsidRPr="00F91D08">
        <w:rPr>
          <w:sz w:val="22"/>
          <w:szCs w:val="22"/>
        </w:rPr>
        <w:t xml:space="preserve">problematic behaviours arguably </w:t>
      </w:r>
      <w:r w:rsidRPr="00F91D08">
        <w:rPr>
          <w:sz w:val="22"/>
          <w:szCs w:val="22"/>
        </w:rPr>
        <w:t xml:space="preserve">result in a number of current and </w:t>
      </w:r>
      <w:r w:rsidR="00A97E5A" w:rsidRPr="00F91D08">
        <w:rPr>
          <w:sz w:val="22"/>
          <w:szCs w:val="22"/>
        </w:rPr>
        <w:t>prospective</w:t>
      </w:r>
      <w:r w:rsidRPr="00F91D08">
        <w:rPr>
          <w:sz w:val="22"/>
          <w:szCs w:val="22"/>
        </w:rPr>
        <w:t xml:space="preserve"> breaches of a child’s rights, both in the digital environment and beyond.</w:t>
      </w:r>
      <w:r w:rsidR="00A97E5A" w:rsidRPr="00F91D08">
        <w:rPr>
          <w:sz w:val="22"/>
          <w:szCs w:val="22"/>
        </w:rPr>
        <w:t xml:space="preserve"> </w:t>
      </w:r>
      <w:r w:rsidR="00D30E09" w:rsidRPr="00F91D08">
        <w:rPr>
          <w:sz w:val="22"/>
          <w:szCs w:val="22"/>
        </w:rPr>
        <w:t xml:space="preserve">There are three main </w:t>
      </w:r>
      <w:r w:rsidR="00046BA3" w:rsidRPr="00F91D08">
        <w:rPr>
          <w:sz w:val="22"/>
          <w:szCs w:val="22"/>
        </w:rPr>
        <w:t>categories</w:t>
      </w:r>
      <w:r w:rsidR="00D30E09" w:rsidRPr="00F91D08">
        <w:rPr>
          <w:sz w:val="22"/>
          <w:szCs w:val="22"/>
        </w:rPr>
        <w:t xml:space="preserve"> of concern</w:t>
      </w:r>
      <w:r w:rsidR="00AF21B8" w:rsidRPr="00F91D08">
        <w:rPr>
          <w:sz w:val="22"/>
          <w:szCs w:val="22"/>
        </w:rPr>
        <w:t xml:space="preserve"> when considering the impact of the problematic behaviours outlined above</w:t>
      </w:r>
      <w:r w:rsidR="00F97D1F" w:rsidRPr="00F91D08">
        <w:rPr>
          <w:sz w:val="22"/>
          <w:szCs w:val="22"/>
        </w:rPr>
        <w:t>:</w:t>
      </w:r>
    </w:p>
    <w:p w14:paraId="474A9263" w14:textId="4514A23B" w:rsidR="00F97D1F" w:rsidRPr="00F91D08" w:rsidRDefault="00F97D1F" w:rsidP="00F97D1F">
      <w:pPr>
        <w:pStyle w:val="ListParagraph"/>
        <w:numPr>
          <w:ilvl w:val="1"/>
          <w:numId w:val="10"/>
        </w:numPr>
        <w:spacing w:before="120"/>
        <w:jc w:val="both"/>
        <w:rPr>
          <w:sz w:val="22"/>
          <w:szCs w:val="22"/>
        </w:rPr>
      </w:pPr>
      <w:r w:rsidRPr="00F91D08">
        <w:rPr>
          <w:sz w:val="22"/>
          <w:szCs w:val="22"/>
        </w:rPr>
        <w:t>The protection of a child’s privacy, identity and data processing</w:t>
      </w:r>
      <w:r w:rsidR="00450307" w:rsidRPr="00F91D08">
        <w:rPr>
          <w:rStyle w:val="FootnoteReference"/>
          <w:sz w:val="22"/>
          <w:szCs w:val="22"/>
        </w:rPr>
        <w:footnoteReference w:id="21"/>
      </w:r>
    </w:p>
    <w:p w14:paraId="4E5E1D8D" w14:textId="0A76B991" w:rsidR="00F97D1F" w:rsidRPr="00F91D08" w:rsidRDefault="00F97D1F" w:rsidP="00F97D1F">
      <w:pPr>
        <w:pStyle w:val="ListParagraph"/>
        <w:numPr>
          <w:ilvl w:val="1"/>
          <w:numId w:val="10"/>
        </w:numPr>
        <w:spacing w:before="120"/>
        <w:jc w:val="both"/>
        <w:rPr>
          <w:sz w:val="22"/>
          <w:szCs w:val="22"/>
        </w:rPr>
      </w:pPr>
      <w:r w:rsidRPr="00F91D08">
        <w:rPr>
          <w:sz w:val="22"/>
          <w:szCs w:val="22"/>
        </w:rPr>
        <w:t>The intersection between the dissemination of a child’s information and the need to protect children from violence, sexual exploitation and other harm</w:t>
      </w:r>
      <w:r w:rsidR="00450307" w:rsidRPr="00F91D08">
        <w:rPr>
          <w:rStyle w:val="FootnoteReference"/>
          <w:sz w:val="22"/>
          <w:szCs w:val="22"/>
        </w:rPr>
        <w:footnoteReference w:id="22"/>
      </w:r>
    </w:p>
    <w:p w14:paraId="12A907F5" w14:textId="6321A78C" w:rsidR="008912CE" w:rsidRPr="00F91D08" w:rsidRDefault="005272A1" w:rsidP="00F97D1F">
      <w:pPr>
        <w:pStyle w:val="ListParagraph"/>
        <w:numPr>
          <w:ilvl w:val="1"/>
          <w:numId w:val="10"/>
        </w:numPr>
        <w:spacing w:before="120"/>
        <w:jc w:val="both"/>
        <w:rPr>
          <w:sz w:val="22"/>
          <w:szCs w:val="22"/>
        </w:rPr>
      </w:pPr>
      <w:r w:rsidRPr="00F91D08">
        <w:rPr>
          <w:sz w:val="22"/>
          <w:szCs w:val="22"/>
        </w:rPr>
        <w:t xml:space="preserve">The </w:t>
      </w:r>
      <w:r w:rsidR="00046BA3" w:rsidRPr="00F91D08">
        <w:rPr>
          <w:sz w:val="22"/>
          <w:szCs w:val="22"/>
        </w:rPr>
        <w:t xml:space="preserve">impact of </w:t>
      </w:r>
      <w:r w:rsidR="00A94DA1" w:rsidRPr="00F91D08">
        <w:rPr>
          <w:sz w:val="22"/>
          <w:szCs w:val="22"/>
        </w:rPr>
        <w:t xml:space="preserve">as yet unknown </w:t>
      </w:r>
      <w:r w:rsidR="00046BA3" w:rsidRPr="00F91D08">
        <w:rPr>
          <w:sz w:val="22"/>
          <w:szCs w:val="22"/>
        </w:rPr>
        <w:t>practices</w:t>
      </w:r>
      <w:r w:rsidRPr="00F91D08">
        <w:rPr>
          <w:sz w:val="22"/>
          <w:szCs w:val="22"/>
        </w:rPr>
        <w:t xml:space="preserve"> that may result in a </w:t>
      </w:r>
      <w:r w:rsidR="00B00854" w:rsidRPr="00F91D08">
        <w:rPr>
          <w:sz w:val="22"/>
          <w:szCs w:val="22"/>
        </w:rPr>
        <w:t>breach of children’s rights</w:t>
      </w:r>
      <w:r w:rsidR="0073485E" w:rsidRPr="00F91D08">
        <w:rPr>
          <w:sz w:val="22"/>
          <w:szCs w:val="22"/>
        </w:rPr>
        <w:t>.</w:t>
      </w:r>
    </w:p>
    <w:p w14:paraId="06169674" w14:textId="77777777" w:rsidR="0073485E" w:rsidRPr="00F91D08" w:rsidRDefault="0073485E" w:rsidP="0073485E">
      <w:pPr>
        <w:pStyle w:val="ListParagraph"/>
        <w:spacing w:before="120"/>
        <w:ind w:left="1440"/>
        <w:jc w:val="both"/>
        <w:rPr>
          <w:sz w:val="22"/>
          <w:szCs w:val="22"/>
        </w:rPr>
      </w:pPr>
    </w:p>
    <w:p w14:paraId="04C807E4" w14:textId="57EA3605" w:rsidR="007410B1" w:rsidRPr="00F91D08" w:rsidRDefault="001C7FC9" w:rsidP="00247205">
      <w:pPr>
        <w:pStyle w:val="ListParagraph"/>
        <w:numPr>
          <w:ilvl w:val="0"/>
          <w:numId w:val="10"/>
        </w:numPr>
        <w:spacing w:before="120"/>
        <w:jc w:val="both"/>
        <w:rPr>
          <w:sz w:val="22"/>
          <w:szCs w:val="22"/>
        </w:rPr>
      </w:pPr>
      <w:r w:rsidRPr="00F91D08">
        <w:rPr>
          <w:sz w:val="22"/>
          <w:szCs w:val="22"/>
        </w:rPr>
        <w:t>The</w:t>
      </w:r>
      <w:r w:rsidR="00046BA3" w:rsidRPr="00F91D08">
        <w:rPr>
          <w:sz w:val="22"/>
          <w:szCs w:val="22"/>
        </w:rPr>
        <w:t xml:space="preserve"> rights</w:t>
      </w:r>
      <w:r w:rsidR="009D7358" w:rsidRPr="00F91D08">
        <w:rPr>
          <w:rStyle w:val="FootnoteReference"/>
          <w:sz w:val="22"/>
          <w:szCs w:val="22"/>
        </w:rPr>
        <w:footnoteReference w:id="23"/>
      </w:r>
      <w:r w:rsidR="00447989" w:rsidRPr="00F91D08">
        <w:rPr>
          <w:sz w:val="22"/>
          <w:szCs w:val="22"/>
        </w:rPr>
        <w:t xml:space="preserve"> - </w:t>
      </w:r>
      <w:r w:rsidR="00046BA3" w:rsidRPr="00F91D08">
        <w:rPr>
          <w:sz w:val="22"/>
          <w:szCs w:val="22"/>
        </w:rPr>
        <w:t>and potential breaches</w:t>
      </w:r>
      <w:r w:rsidR="00447989" w:rsidRPr="00F91D08">
        <w:rPr>
          <w:sz w:val="22"/>
          <w:szCs w:val="22"/>
        </w:rPr>
        <w:t xml:space="preserve"> -</w:t>
      </w:r>
      <w:r w:rsidR="00046BA3" w:rsidRPr="00F91D08">
        <w:rPr>
          <w:sz w:val="22"/>
          <w:szCs w:val="22"/>
        </w:rPr>
        <w:t xml:space="preserve"> that can arise in relation to the first two categories</w:t>
      </w:r>
      <w:r w:rsidR="00A119DB" w:rsidRPr="00F91D08">
        <w:rPr>
          <w:sz w:val="22"/>
          <w:szCs w:val="22"/>
        </w:rPr>
        <w:t xml:space="preserve"> has been considered in some detail</w:t>
      </w:r>
      <w:r w:rsidRPr="00F91D08">
        <w:rPr>
          <w:sz w:val="22"/>
          <w:szCs w:val="22"/>
        </w:rPr>
        <w:t xml:space="preserve"> therefore they will not be raised in this paper; however</w:t>
      </w:r>
      <w:r w:rsidR="00046BA3" w:rsidRPr="00F91D08">
        <w:rPr>
          <w:sz w:val="22"/>
          <w:szCs w:val="22"/>
        </w:rPr>
        <w:t xml:space="preserve">, the third </w:t>
      </w:r>
      <w:r w:rsidR="00F02F43" w:rsidRPr="00F91D08">
        <w:rPr>
          <w:sz w:val="22"/>
          <w:szCs w:val="22"/>
        </w:rPr>
        <w:t xml:space="preserve">category </w:t>
      </w:r>
      <w:r w:rsidR="00046BA3" w:rsidRPr="00F91D08">
        <w:rPr>
          <w:sz w:val="22"/>
          <w:szCs w:val="22"/>
        </w:rPr>
        <w:t xml:space="preserve">remains largely unexplored. </w:t>
      </w:r>
      <w:r w:rsidR="00247205" w:rsidRPr="00F91D08">
        <w:rPr>
          <w:sz w:val="22"/>
          <w:szCs w:val="22"/>
        </w:rPr>
        <w:t xml:space="preserve">One approach that may assist in anticipating potential breaches to children’s rights </w:t>
      </w:r>
      <w:r w:rsidR="00F81587" w:rsidRPr="00F91D08">
        <w:rPr>
          <w:sz w:val="22"/>
          <w:szCs w:val="22"/>
        </w:rPr>
        <w:t>is</w:t>
      </w:r>
      <w:r w:rsidR="00FC517D" w:rsidRPr="00F91D08">
        <w:rPr>
          <w:sz w:val="22"/>
          <w:szCs w:val="22"/>
        </w:rPr>
        <w:t xml:space="preserve"> an analysis of two key</w:t>
      </w:r>
      <w:r w:rsidR="00247205" w:rsidRPr="00F91D08">
        <w:rPr>
          <w:sz w:val="22"/>
          <w:szCs w:val="22"/>
        </w:rPr>
        <w:t xml:space="preserve"> factors</w:t>
      </w:r>
      <w:r w:rsidR="00FC517D" w:rsidRPr="00F91D08">
        <w:rPr>
          <w:sz w:val="22"/>
          <w:szCs w:val="22"/>
        </w:rPr>
        <w:t>:</w:t>
      </w:r>
      <w:r w:rsidR="00247205" w:rsidRPr="00F91D08">
        <w:rPr>
          <w:sz w:val="22"/>
          <w:szCs w:val="22"/>
        </w:rPr>
        <w:t xml:space="preserve"> </w:t>
      </w:r>
      <w:r w:rsidR="00EC4E8F" w:rsidRPr="00F91D08">
        <w:rPr>
          <w:sz w:val="22"/>
          <w:szCs w:val="22"/>
        </w:rPr>
        <w:t>(</w:t>
      </w:r>
      <w:proofErr w:type="spellStart"/>
      <w:r w:rsidR="00EC4E8F" w:rsidRPr="00F91D08">
        <w:rPr>
          <w:sz w:val="22"/>
          <w:szCs w:val="22"/>
        </w:rPr>
        <w:t>i</w:t>
      </w:r>
      <w:proofErr w:type="spellEnd"/>
      <w:r w:rsidR="00EC4E8F" w:rsidRPr="00F91D08">
        <w:rPr>
          <w:sz w:val="22"/>
          <w:szCs w:val="22"/>
        </w:rPr>
        <w:t xml:space="preserve">) </w:t>
      </w:r>
      <w:r w:rsidR="00490AA1" w:rsidRPr="00F91D08">
        <w:rPr>
          <w:i/>
          <w:sz w:val="22"/>
          <w:szCs w:val="22"/>
        </w:rPr>
        <w:t>who</w:t>
      </w:r>
      <w:r w:rsidR="00490AA1" w:rsidRPr="00F91D08">
        <w:rPr>
          <w:sz w:val="22"/>
          <w:szCs w:val="22"/>
        </w:rPr>
        <w:t xml:space="preserve"> might view, search or use </w:t>
      </w:r>
      <w:r w:rsidR="00F5201D" w:rsidRPr="00F91D08">
        <w:rPr>
          <w:sz w:val="22"/>
          <w:szCs w:val="22"/>
        </w:rPr>
        <w:t>a child’s</w:t>
      </w:r>
      <w:r w:rsidR="00490AA1" w:rsidRPr="00F91D08">
        <w:rPr>
          <w:sz w:val="22"/>
          <w:szCs w:val="22"/>
        </w:rPr>
        <w:t xml:space="preserve"> personal information; and (ii) the </w:t>
      </w:r>
      <w:r w:rsidR="00490AA1" w:rsidRPr="00F91D08">
        <w:rPr>
          <w:i/>
          <w:sz w:val="22"/>
          <w:szCs w:val="22"/>
        </w:rPr>
        <w:t>purpose(s)</w:t>
      </w:r>
      <w:r w:rsidR="00490AA1" w:rsidRPr="00F91D08">
        <w:rPr>
          <w:sz w:val="22"/>
          <w:szCs w:val="22"/>
        </w:rPr>
        <w:t xml:space="preserve"> for </w:t>
      </w:r>
      <w:r w:rsidR="003E5FDE" w:rsidRPr="00F91D08">
        <w:rPr>
          <w:sz w:val="22"/>
          <w:szCs w:val="22"/>
        </w:rPr>
        <w:t>seeking out and utilising information sourced from the digital environment.</w:t>
      </w:r>
      <w:r w:rsidR="00A376F2" w:rsidRPr="00F91D08">
        <w:rPr>
          <w:sz w:val="22"/>
          <w:szCs w:val="22"/>
        </w:rPr>
        <w:t xml:space="preserve"> </w:t>
      </w:r>
    </w:p>
    <w:p w14:paraId="08E364F6" w14:textId="77777777" w:rsidR="007410B1" w:rsidRPr="00F91D08" w:rsidRDefault="007410B1" w:rsidP="007410B1">
      <w:pPr>
        <w:pStyle w:val="ListParagraph"/>
        <w:rPr>
          <w:sz w:val="22"/>
          <w:szCs w:val="22"/>
        </w:rPr>
      </w:pPr>
    </w:p>
    <w:p w14:paraId="067BA0AB" w14:textId="343AA31D" w:rsidR="00EC4E8F" w:rsidRPr="00F91D08" w:rsidRDefault="00E52F50" w:rsidP="002E1464">
      <w:pPr>
        <w:pStyle w:val="ListParagraph"/>
        <w:numPr>
          <w:ilvl w:val="0"/>
          <w:numId w:val="10"/>
        </w:numPr>
        <w:spacing w:before="120"/>
        <w:jc w:val="both"/>
        <w:rPr>
          <w:sz w:val="22"/>
          <w:szCs w:val="22"/>
        </w:rPr>
      </w:pPr>
      <w:r w:rsidRPr="00F91D08">
        <w:rPr>
          <w:sz w:val="22"/>
          <w:szCs w:val="22"/>
        </w:rPr>
        <w:t>It has become increasingly common practice for prospective employers to conduct ‘social media screenings’ during the recruitment process.</w:t>
      </w:r>
      <w:r w:rsidR="004F6041" w:rsidRPr="00F91D08">
        <w:rPr>
          <w:sz w:val="22"/>
          <w:szCs w:val="22"/>
        </w:rPr>
        <w:t xml:space="preserve"> </w:t>
      </w:r>
      <w:r w:rsidR="00D47CF0" w:rsidRPr="00F91D08">
        <w:rPr>
          <w:sz w:val="22"/>
          <w:szCs w:val="22"/>
        </w:rPr>
        <w:t>These processes can also be applied to children in a range of circumstances</w:t>
      </w:r>
      <w:r w:rsidR="00C331B7" w:rsidRPr="00F91D08">
        <w:rPr>
          <w:sz w:val="22"/>
          <w:szCs w:val="22"/>
        </w:rPr>
        <w:t>. Examples might include</w:t>
      </w:r>
      <w:r w:rsidR="00D47CF0" w:rsidRPr="00F91D08">
        <w:rPr>
          <w:sz w:val="22"/>
          <w:szCs w:val="22"/>
        </w:rPr>
        <w:t>:</w:t>
      </w:r>
    </w:p>
    <w:p w14:paraId="55A7CA06" w14:textId="393BE68F" w:rsidR="00D47CF0" w:rsidRPr="00F91D08" w:rsidRDefault="00986965" w:rsidP="002E1464">
      <w:pPr>
        <w:pStyle w:val="ListParagraph"/>
        <w:numPr>
          <w:ilvl w:val="1"/>
          <w:numId w:val="10"/>
        </w:numPr>
        <w:spacing w:before="120"/>
        <w:jc w:val="both"/>
        <w:rPr>
          <w:sz w:val="22"/>
          <w:szCs w:val="22"/>
        </w:rPr>
      </w:pPr>
      <w:r w:rsidRPr="00F91D08">
        <w:rPr>
          <w:sz w:val="22"/>
          <w:szCs w:val="22"/>
        </w:rPr>
        <w:t xml:space="preserve">Private education institutions may </w:t>
      </w:r>
      <w:r w:rsidR="00B44244" w:rsidRPr="00F91D08">
        <w:rPr>
          <w:sz w:val="22"/>
          <w:szCs w:val="22"/>
        </w:rPr>
        <w:t xml:space="preserve">choose </w:t>
      </w:r>
      <w:r w:rsidRPr="00F91D08">
        <w:rPr>
          <w:sz w:val="22"/>
          <w:szCs w:val="22"/>
        </w:rPr>
        <w:t>‘screen’ parents’ profiles to determine the suitability of prospective students. This may impact on rights relating to  non-discrimination,</w:t>
      </w:r>
      <w:r w:rsidRPr="00F91D08">
        <w:rPr>
          <w:rStyle w:val="FootnoteReference"/>
          <w:sz w:val="22"/>
          <w:szCs w:val="22"/>
        </w:rPr>
        <w:footnoteReference w:id="24"/>
      </w:r>
      <w:r w:rsidRPr="00F91D08">
        <w:rPr>
          <w:sz w:val="22"/>
          <w:szCs w:val="22"/>
        </w:rPr>
        <w:t xml:space="preserve"> and access to education.</w:t>
      </w:r>
      <w:r w:rsidRPr="00F91D08">
        <w:rPr>
          <w:rStyle w:val="FootnoteReference"/>
          <w:sz w:val="22"/>
          <w:szCs w:val="22"/>
        </w:rPr>
        <w:footnoteReference w:id="25"/>
      </w:r>
    </w:p>
    <w:p w14:paraId="78C4C97A" w14:textId="01EE5925" w:rsidR="00CF6B53" w:rsidRPr="00F91D08" w:rsidRDefault="003C0C5E" w:rsidP="00C245DB">
      <w:pPr>
        <w:pStyle w:val="ListParagraph"/>
        <w:numPr>
          <w:ilvl w:val="1"/>
          <w:numId w:val="10"/>
        </w:numPr>
        <w:spacing w:before="120"/>
        <w:jc w:val="both"/>
        <w:rPr>
          <w:sz w:val="22"/>
          <w:szCs w:val="22"/>
        </w:rPr>
      </w:pPr>
      <w:r w:rsidRPr="00F91D08">
        <w:rPr>
          <w:sz w:val="22"/>
          <w:szCs w:val="22"/>
        </w:rPr>
        <w:t>Children aged 13-17 years are the first generation of children to have their personal information shared online</w:t>
      </w:r>
      <w:r w:rsidR="00115462" w:rsidRPr="00F91D08">
        <w:rPr>
          <w:sz w:val="22"/>
          <w:szCs w:val="22"/>
        </w:rPr>
        <w:t xml:space="preserve"> from birth</w:t>
      </w:r>
      <w:r w:rsidR="00E23A37" w:rsidRPr="00F91D08">
        <w:rPr>
          <w:sz w:val="22"/>
          <w:szCs w:val="22"/>
        </w:rPr>
        <w:t>.</w:t>
      </w:r>
      <w:r w:rsidRPr="00F91D08">
        <w:rPr>
          <w:rStyle w:val="FootnoteReference"/>
          <w:sz w:val="22"/>
          <w:szCs w:val="22"/>
        </w:rPr>
        <w:footnoteReference w:id="26"/>
      </w:r>
      <w:r w:rsidR="00E23A37" w:rsidRPr="00F91D08">
        <w:rPr>
          <w:sz w:val="22"/>
          <w:szCs w:val="22"/>
        </w:rPr>
        <w:t xml:space="preserve"> </w:t>
      </w:r>
      <w:r w:rsidR="00C331B7" w:rsidRPr="00F91D08">
        <w:rPr>
          <w:sz w:val="22"/>
          <w:szCs w:val="22"/>
        </w:rPr>
        <w:t>Both public and private sector agencies are in a unique position to have access to</w:t>
      </w:r>
      <w:r w:rsidR="00E23A37" w:rsidRPr="00F91D08">
        <w:rPr>
          <w:sz w:val="22"/>
          <w:szCs w:val="22"/>
        </w:rPr>
        <w:t xml:space="preserve"> lifelong digital record</w:t>
      </w:r>
      <w:r w:rsidR="00C331B7" w:rsidRPr="00F91D08">
        <w:rPr>
          <w:sz w:val="22"/>
          <w:szCs w:val="22"/>
        </w:rPr>
        <w:t>s</w:t>
      </w:r>
      <w:r w:rsidR="00E23A37" w:rsidRPr="00F91D08">
        <w:rPr>
          <w:sz w:val="22"/>
          <w:szCs w:val="22"/>
        </w:rPr>
        <w:t xml:space="preserve"> of </w:t>
      </w:r>
      <w:r w:rsidR="00C331B7" w:rsidRPr="00F91D08">
        <w:rPr>
          <w:sz w:val="22"/>
          <w:szCs w:val="22"/>
        </w:rPr>
        <w:t xml:space="preserve">a child’s </w:t>
      </w:r>
      <w:r w:rsidR="00E23A37" w:rsidRPr="00F91D08">
        <w:rPr>
          <w:sz w:val="22"/>
          <w:szCs w:val="22"/>
        </w:rPr>
        <w:t>personal information</w:t>
      </w:r>
      <w:r w:rsidR="00C331B7" w:rsidRPr="00F91D08">
        <w:rPr>
          <w:sz w:val="22"/>
          <w:szCs w:val="22"/>
        </w:rPr>
        <w:t>. This information</w:t>
      </w:r>
      <w:r w:rsidR="00E23A37" w:rsidRPr="00F91D08">
        <w:rPr>
          <w:sz w:val="22"/>
          <w:szCs w:val="22"/>
        </w:rPr>
        <w:t xml:space="preserve"> </w:t>
      </w:r>
      <w:r w:rsidR="00095914" w:rsidRPr="00F91D08">
        <w:rPr>
          <w:sz w:val="22"/>
          <w:szCs w:val="22"/>
        </w:rPr>
        <w:t>has the potential</w:t>
      </w:r>
      <w:r w:rsidR="00E23A37" w:rsidRPr="00F91D08">
        <w:rPr>
          <w:sz w:val="22"/>
          <w:szCs w:val="22"/>
        </w:rPr>
        <w:t xml:space="preserve"> be used to </w:t>
      </w:r>
      <w:r w:rsidR="00707366" w:rsidRPr="00F91D08">
        <w:rPr>
          <w:sz w:val="22"/>
          <w:szCs w:val="22"/>
        </w:rPr>
        <w:t xml:space="preserve">determine access to </w:t>
      </w:r>
      <w:r w:rsidR="00584DB4" w:rsidRPr="00F91D08">
        <w:rPr>
          <w:sz w:val="22"/>
          <w:szCs w:val="22"/>
        </w:rPr>
        <w:t xml:space="preserve">(including the restriction of) </w:t>
      </w:r>
      <w:r w:rsidR="00707366" w:rsidRPr="00F91D08">
        <w:rPr>
          <w:sz w:val="22"/>
          <w:szCs w:val="22"/>
        </w:rPr>
        <w:t>services such as social security,</w:t>
      </w:r>
      <w:r w:rsidR="00707366" w:rsidRPr="00F91D08">
        <w:rPr>
          <w:rStyle w:val="FootnoteReference"/>
          <w:sz w:val="22"/>
          <w:szCs w:val="22"/>
        </w:rPr>
        <w:footnoteReference w:id="27"/>
      </w:r>
      <w:r w:rsidR="00707366" w:rsidRPr="00F91D08">
        <w:rPr>
          <w:sz w:val="22"/>
          <w:szCs w:val="22"/>
        </w:rPr>
        <w:t xml:space="preserve"> access to justice,</w:t>
      </w:r>
      <w:r w:rsidR="00707366" w:rsidRPr="00F91D08">
        <w:rPr>
          <w:rStyle w:val="FootnoteReference"/>
          <w:sz w:val="22"/>
          <w:szCs w:val="22"/>
        </w:rPr>
        <w:footnoteReference w:id="28"/>
      </w:r>
      <w:r w:rsidR="00707366" w:rsidRPr="00F91D08">
        <w:rPr>
          <w:sz w:val="22"/>
          <w:szCs w:val="22"/>
        </w:rPr>
        <w:t xml:space="preserve"> and the provision of healthcare (including access to affordable insurance)</w:t>
      </w:r>
      <w:r w:rsidR="009C4D27" w:rsidRPr="00F91D08">
        <w:rPr>
          <w:sz w:val="22"/>
          <w:szCs w:val="22"/>
        </w:rPr>
        <w:t>.</w:t>
      </w:r>
      <w:r w:rsidR="00C45FA3" w:rsidRPr="00F91D08">
        <w:rPr>
          <w:sz w:val="22"/>
          <w:szCs w:val="22"/>
        </w:rPr>
        <w:t xml:space="preserve"> </w:t>
      </w:r>
      <w:r w:rsidR="00853BA7" w:rsidRPr="00F91D08">
        <w:rPr>
          <w:sz w:val="22"/>
          <w:szCs w:val="22"/>
        </w:rPr>
        <w:t>It should be noted that any impact would extend beyond child</w:t>
      </w:r>
      <w:r w:rsidR="00115462" w:rsidRPr="00F91D08">
        <w:rPr>
          <w:sz w:val="22"/>
          <w:szCs w:val="22"/>
        </w:rPr>
        <w:t>hood</w:t>
      </w:r>
      <w:r w:rsidR="00853BA7" w:rsidRPr="00F91D08">
        <w:rPr>
          <w:sz w:val="22"/>
          <w:szCs w:val="22"/>
        </w:rPr>
        <w:t xml:space="preserve"> which may lead to lifelong inequalities.</w:t>
      </w:r>
    </w:p>
    <w:p w14:paraId="5569DAB6" w14:textId="77777777" w:rsidR="00634AE6" w:rsidRPr="00F91D08" w:rsidRDefault="00634AE6" w:rsidP="00323756">
      <w:pPr>
        <w:rPr>
          <w:sz w:val="22"/>
          <w:szCs w:val="22"/>
        </w:rPr>
      </w:pPr>
    </w:p>
    <w:p w14:paraId="35631268" w14:textId="44CEF887" w:rsidR="00634AE6" w:rsidRPr="00F91D08" w:rsidRDefault="004E6470" w:rsidP="002B2887">
      <w:pPr>
        <w:pStyle w:val="ListParagraph"/>
        <w:numPr>
          <w:ilvl w:val="0"/>
          <w:numId w:val="10"/>
        </w:numPr>
        <w:jc w:val="both"/>
        <w:rPr>
          <w:sz w:val="22"/>
          <w:szCs w:val="22"/>
        </w:rPr>
      </w:pPr>
      <w:r w:rsidRPr="00F91D08">
        <w:rPr>
          <w:sz w:val="22"/>
          <w:szCs w:val="22"/>
        </w:rPr>
        <w:lastRenderedPageBreak/>
        <w:t>Additionally, it should be noted that</w:t>
      </w:r>
      <w:r w:rsidR="000F2490" w:rsidRPr="00F91D08">
        <w:rPr>
          <w:sz w:val="22"/>
          <w:szCs w:val="22"/>
        </w:rPr>
        <w:t xml:space="preserve"> are a number of barriers which impede </w:t>
      </w:r>
      <w:r w:rsidRPr="00F91D08">
        <w:rPr>
          <w:sz w:val="22"/>
          <w:szCs w:val="22"/>
        </w:rPr>
        <w:t>the ability to identify and address these issues and the way in which they impact on children’s rights</w:t>
      </w:r>
      <w:r w:rsidR="000F2490" w:rsidRPr="00F91D08">
        <w:rPr>
          <w:sz w:val="22"/>
          <w:szCs w:val="22"/>
        </w:rPr>
        <w:t>.</w:t>
      </w:r>
      <w:r w:rsidR="007D7A7E" w:rsidRPr="00F91D08">
        <w:rPr>
          <w:sz w:val="22"/>
          <w:szCs w:val="22"/>
        </w:rPr>
        <w:t xml:space="preserve"> </w:t>
      </w:r>
      <w:r w:rsidR="000F2490" w:rsidRPr="00F91D08">
        <w:rPr>
          <w:sz w:val="22"/>
          <w:szCs w:val="22"/>
        </w:rPr>
        <w:t>The</w:t>
      </w:r>
      <w:r w:rsidR="00C91F41" w:rsidRPr="00F91D08">
        <w:rPr>
          <w:sz w:val="22"/>
          <w:szCs w:val="22"/>
        </w:rPr>
        <w:t>se</w:t>
      </w:r>
      <w:r w:rsidR="000F2490" w:rsidRPr="00F91D08">
        <w:rPr>
          <w:sz w:val="22"/>
          <w:szCs w:val="22"/>
        </w:rPr>
        <w:t xml:space="preserve"> include:</w:t>
      </w:r>
    </w:p>
    <w:p w14:paraId="6DD65B6B" w14:textId="4F80024D" w:rsidR="000F2490" w:rsidRPr="00F91D08" w:rsidRDefault="000F2490" w:rsidP="002B2887">
      <w:pPr>
        <w:pStyle w:val="ListParagraph"/>
        <w:numPr>
          <w:ilvl w:val="1"/>
          <w:numId w:val="10"/>
        </w:numPr>
        <w:jc w:val="both"/>
        <w:rPr>
          <w:sz w:val="22"/>
          <w:szCs w:val="22"/>
        </w:rPr>
      </w:pPr>
      <w:r w:rsidRPr="00F91D08">
        <w:rPr>
          <w:sz w:val="22"/>
          <w:szCs w:val="22"/>
        </w:rPr>
        <w:t>A lack of data regarding the dissemination of children’s information online</w:t>
      </w:r>
      <w:r w:rsidRPr="00F91D08">
        <w:rPr>
          <w:rStyle w:val="FootnoteReference"/>
          <w:sz w:val="22"/>
          <w:szCs w:val="22"/>
        </w:rPr>
        <w:footnoteReference w:id="29"/>
      </w:r>
    </w:p>
    <w:p w14:paraId="7CE515CA" w14:textId="0886AADD" w:rsidR="000F2490" w:rsidRPr="00F91D08" w:rsidRDefault="000F2490" w:rsidP="002B2887">
      <w:pPr>
        <w:pStyle w:val="ListParagraph"/>
        <w:numPr>
          <w:ilvl w:val="1"/>
          <w:numId w:val="10"/>
        </w:numPr>
        <w:jc w:val="both"/>
        <w:rPr>
          <w:sz w:val="22"/>
          <w:szCs w:val="22"/>
        </w:rPr>
      </w:pPr>
      <w:r w:rsidRPr="00F91D08">
        <w:rPr>
          <w:sz w:val="22"/>
          <w:szCs w:val="22"/>
        </w:rPr>
        <w:t>Cultural responses to parenting</w:t>
      </w:r>
      <w:r w:rsidRPr="00F91D08">
        <w:rPr>
          <w:rStyle w:val="FootnoteReference"/>
          <w:sz w:val="22"/>
          <w:szCs w:val="22"/>
        </w:rPr>
        <w:footnoteReference w:id="30"/>
      </w:r>
      <w:r w:rsidR="00F91BE7" w:rsidRPr="00F91D08">
        <w:rPr>
          <w:sz w:val="22"/>
          <w:szCs w:val="22"/>
        </w:rPr>
        <w:t xml:space="preserve"> and a lack of established methodologies to address these issues </w:t>
      </w:r>
    </w:p>
    <w:p w14:paraId="3DBF4F00" w14:textId="06873F44" w:rsidR="00FE2AA4" w:rsidRPr="00F91D08" w:rsidRDefault="002452DF" w:rsidP="002B2887">
      <w:pPr>
        <w:pStyle w:val="ListParagraph"/>
        <w:numPr>
          <w:ilvl w:val="1"/>
          <w:numId w:val="10"/>
        </w:numPr>
        <w:jc w:val="both"/>
        <w:rPr>
          <w:sz w:val="22"/>
          <w:szCs w:val="22"/>
        </w:rPr>
      </w:pPr>
      <w:r w:rsidRPr="00F91D08">
        <w:rPr>
          <w:sz w:val="22"/>
          <w:szCs w:val="22"/>
        </w:rPr>
        <w:t xml:space="preserve">The </w:t>
      </w:r>
      <w:r w:rsidR="00117E65" w:rsidRPr="00F91D08">
        <w:rPr>
          <w:sz w:val="22"/>
          <w:szCs w:val="22"/>
        </w:rPr>
        <w:t>application of</w:t>
      </w:r>
      <w:r w:rsidRPr="00F91D08">
        <w:rPr>
          <w:sz w:val="22"/>
          <w:szCs w:val="22"/>
        </w:rPr>
        <w:t xml:space="preserve"> welfare</w:t>
      </w:r>
      <w:r w:rsidR="006A07CE" w:rsidRPr="00F91D08">
        <w:rPr>
          <w:sz w:val="22"/>
          <w:szCs w:val="22"/>
        </w:rPr>
        <w:t xml:space="preserve">-driven </w:t>
      </w:r>
      <w:r w:rsidRPr="00F91D08">
        <w:rPr>
          <w:sz w:val="22"/>
          <w:szCs w:val="22"/>
        </w:rPr>
        <w:t>approaches to child right</w:t>
      </w:r>
      <w:r w:rsidR="004508A6" w:rsidRPr="00F91D08">
        <w:rPr>
          <w:sz w:val="22"/>
          <w:szCs w:val="22"/>
        </w:rPr>
        <w:t>s</w:t>
      </w:r>
      <w:r w:rsidR="00947B43" w:rsidRPr="00F91D08">
        <w:rPr>
          <w:sz w:val="22"/>
          <w:szCs w:val="22"/>
        </w:rPr>
        <w:t xml:space="preserve"> </w:t>
      </w:r>
      <w:r w:rsidR="00FE2AA4" w:rsidRPr="00F91D08">
        <w:rPr>
          <w:sz w:val="22"/>
          <w:szCs w:val="22"/>
        </w:rPr>
        <w:t>issues</w:t>
      </w:r>
      <w:r w:rsidR="009D700C" w:rsidRPr="00F91D08">
        <w:rPr>
          <w:sz w:val="22"/>
          <w:szCs w:val="22"/>
        </w:rPr>
        <w:t xml:space="preserve"> more broadly</w:t>
      </w:r>
      <w:r w:rsidR="00242C43" w:rsidRPr="00F91D08">
        <w:rPr>
          <w:rStyle w:val="FootnoteReference"/>
          <w:sz w:val="22"/>
          <w:szCs w:val="22"/>
        </w:rPr>
        <w:footnoteReference w:id="31"/>
      </w:r>
    </w:p>
    <w:p w14:paraId="060F21F8" w14:textId="4C960B0C" w:rsidR="000F2490" w:rsidRPr="00F91D08" w:rsidRDefault="00F91BE7" w:rsidP="002B2887">
      <w:pPr>
        <w:pStyle w:val="ListParagraph"/>
        <w:numPr>
          <w:ilvl w:val="1"/>
          <w:numId w:val="10"/>
        </w:numPr>
        <w:jc w:val="both"/>
        <w:rPr>
          <w:sz w:val="22"/>
          <w:szCs w:val="22"/>
        </w:rPr>
      </w:pPr>
      <w:r w:rsidRPr="00F91D08">
        <w:rPr>
          <w:sz w:val="22"/>
          <w:szCs w:val="22"/>
        </w:rPr>
        <w:t>A lack of domestically entrenched legal protections for children</w:t>
      </w:r>
      <w:r w:rsidR="004E6470" w:rsidRPr="00F91D08">
        <w:rPr>
          <w:rStyle w:val="FootnoteReference"/>
          <w:sz w:val="22"/>
          <w:szCs w:val="22"/>
        </w:rPr>
        <w:footnoteReference w:id="32"/>
      </w:r>
      <w:r w:rsidRPr="00F91D08">
        <w:rPr>
          <w:sz w:val="22"/>
          <w:szCs w:val="22"/>
        </w:rPr>
        <w:t xml:space="preserve"> </w:t>
      </w:r>
    </w:p>
    <w:p w14:paraId="424C3E0A" w14:textId="23860057" w:rsidR="00834233" w:rsidRPr="000A546B" w:rsidRDefault="00F91BE7" w:rsidP="002B2887">
      <w:pPr>
        <w:pStyle w:val="ListParagraph"/>
        <w:numPr>
          <w:ilvl w:val="1"/>
          <w:numId w:val="10"/>
        </w:numPr>
        <w:jc w:val="both"/>
        <w:rPr>
          <w:sz w:val="24"/>
          <w:szCs w:val="24"/>
        </w:rPr>
      </w:pPr>
      <w:r w:rsidRPr="00F91D08">
        <w:rPr>
          <w:sz w:val="22"/>
          <w:szCs w:val="22"/>
        </w:rPr>
        <w:t>Inadequate regulation of the digital environment</w:t>
      </w:r>
      <w:r w:rsidR="00330A36" w:rsidRPr="009A5E0A">
        <w:rPr>
          <w:sz w:val="24"/>
          <w:szCs w:val="24"/>
        </w:rPr>
        <w:t>.</w:t>
      </w:r>
    </w:p>
    <w:p w14:paraId="5DFB25DB" w14:textId="77777777" w:rsidR="00834233" w:rsidRPr="00941760" w:rsidRDefault="00834233" w:rsidP="00941760"/>
    <w:p w14:paraId="3E911524" w14:textId="0D85665E" w:rsidR="00941760" w:rsidRDefault="00941760" w:rsidP="00941760">
      <w:pPr>
        <w:pStyle w:val="HChG"/>
        <w:numPr>
          <w:ilvl w:val="0"/>
          <w:numId w:val="9"/>
        </w:numPr>
      </w:pPr>
      <w:r>
        <w:t>Conclusion</w:t>
      </w:r>
    </w:p>
    <w:p w14:paraId="69BFDBEB" w14:textId="77777777" w:rsidR="00061FA4" w:rsidRDefault="00061FA4" w:rsidP="00941760"/>
    <w:p w14:paraId="16CDE4DA" w14:textId="4F5757B7" w:rsidR="00671B51" w:rsidRPr="00F91D08" w:rsidRDefault="0094163F" w:rsidP="00834233">
      <w:pPr>
        <w:pStyle w:val="ListParagraph"/>
        <w:numPr>
          <w:ilvl w:val="0"/>
          <w:numId w:val="10"/>
        </w:numPr>
        <w:jc w:val="both"/>
        <w:rPr>
          <w:sz w:val="22"/>
          <w:szCs w:val="22"/>
        </w:rPr>
      </w:pPr>
      <w:r w:rsidRPr="00F91D08">
        <w:rPr>
          <w:sz w:val="22"/>
          <w:szCs w:val="22"/>
        </w:rPr>
        <w:t xml:space="preserve">All nation states that </w:t>
      </w:r>
      <w:r w:rsidR="00917B0F" w:rsidRPr="00F91D08">
        <w:rPr>
          <w:sz w:val="22"/>
          <w:szCs w:val="22"/>
        </w:rPr>
        <w:t xml:space="preserve">are </w:t>
      </w:r>
      <w:r w:rsidR="00474DA6" w:rsidRPr="00F91D08">
        <w:rPr>
          <w:sz w:val="22"/>
          <w:szCs w:val="22"/>
        </w:rPr>
        <w:t>a party</w:t>
      </w:r>
      <w:r w:rsidR="00917B0F" w:rsidRPr="00F91D08">
        <w:rPr>
          <w:sz w:val="22"/>
          <w:szCs w:val="22"/>
        </w:rPr>
        <w:t xml:space="preserve"> to the International Bill of Rights generally</w:t>
      </w:r>
      <w:r w:rsidR="003752C6" w:rsidRPr="00F91D08">
        <w:rPr>
          <w:sz w:val="22"/>
          <w:szCs w:val="22"/>
        </w:rPr>
        <w:t xml:space="preserve">, </w:t>
      </w:r>
      <w:r w:rsidR="00917B0F" w:rsidRPr="00F91D08">
        <w:rPr>
          <w:sz w:val="22"/>
          <w:szCs w:val="22"/>
        </w:rPr>
        <w:t xml:space="preserve">and the </w:t>
      </w:r>
      <w:r w:rsidR="00917B0F" w:rsidRPr="00F91D08">
        <w:rPr>
          <w:i/>
          <w:sz w:val="22"/>
          <w:szCs w:val="22"/>
        </w:rPr>
        <w:t xml:space="preserve">Convention on the Rights of the Child </w:t>
      </w:r>
      <w:r w:rsidR="00917B0F" w:rsidRPr="00F91D08">
        <w:rPr>
          <w:sz w:val="22"/>
          <w:szCs w:val="22"/>
        </w:rPr>
        <w:t>specifically</w:t>
      </w:r>
      <w:r w:rsidR="003752C6" w:rsidRPr="00F91D08">
        <w:rPr>
          <w:sz w:val="22"/>
          <w:szCs w:val="22"/>
        </w:rPr>
        <w:t>,</w:t>
      </w:r>
      <w:r w:rsidR="00917B0F" w:rsidRPr="00F91D08">
        <w:rPr>
          <w:sz w:val="22"/>
          <w:szCs w:val="22"/>
        </w:rPr>
        <w:t xml:space="preserve"> have an obligation to respect, protect and fulfil </w:t>
      </w:r>
      <w:r w:rsidR="00CE7160" w:rsidRPr="00F91D08">
        <w:rPr>
          <w:sz w:val="22"/>
          <w:szCs w:val="22"/>
        </w:rPr>
        <w:t>children’s</w:t>
      </w:r>
      <w:r w:rsidR="00917B0F" w:rsidRPr="00F91D08">
        <w:rPr>
          <w:sz w:val="22"/>
          <w:szCs w:val="22"/>
        </w:rPr>
        <w:t xml:space="preserve"> rights. In this context, the challenges associated with balancing the rights of children and those of duty bearers (and other non-state actors) </w:t>
      </w:r>
      <w:r w:rsidR="00457FF0" w:rsidRPr="00F91D08">
        <w:rPr>
          <w:sz w:val="22"/>
          <w:szCs w:val="22"/>
        </w:rPr>
        <w:t xml:space="preserve">in the digital environment </w:t>
      </w:r>
      <w:r w:rsidR="00917B0F" w:rsidRPr="00F91D08">
        <w:rPr>
          <w:sz w:val="22"/>
          <w:szCs w:val="22"/>
        </w:rPr>
        <w:t xml:space="preserve">require an approach that </w:t>
      </w:r>
      <w:r w:rsidR="00457FF0" w:rsidRPr="00F91D08">
        <w:rPr>
          <w:sz w:val="22"/>
          <w:szCs w:val="22"/>
        </w:rPr>
        <w:t xml:space="preserve">is centred on meeting </w:t>
      </w:r>
      <w:r w:rsidR="00917B0F" w:rsidRPr="00F91D08">
        <w:rPr>
          <w:sz w:val="22"/>
          <w:szCs w:val="22"/>
        </w:rPr>
        <w:t>the</w:t>
      </w:r>
      <w:r w:rsidR="00763D09" w:rsidRPr="00F91D08">
        <w:rPr>
          <w:sz w:val="22"/>
          <w:szCs w:val="22"/>
        </w:rPr>
        <w:t xml:space="preserve"> principle of </w:t>
      </w:r>
      <w:r w:rsidR="00E76678" w:rsidRPr="00F91D08">
        <w:rPr>
          <w:sz w:val="22"/>
          <w:szCs w:val="22"/>
        </w:rPr>
        <w:t xml:space="preserve">proportionality </w:t>
      </w:r>
      <w:r w:rsidR="00D151CA" w:rsidRPr="00F91D08">
        <w:rPr>
          <w:sz w:val="22"/>
          <w:szCs w:val="22"/>
        </w:rPr>
        <w:t>applied</w:t>
      </w:r>
      <w:r w:rsidR="00457FF0" w:rsidRPr="00F91D08">
        <w:rPr>
          <w:sz w:val="22"/>
          <w:szCs w:val="22"/>
        </w:rPr>
        <w:t xml:space="preserve"> in international jurisprudence.</w:t>
      </w:r>
      <w:r w:rsidR="00457FF0" w:rsidRPr="00F91D08">
        <w:rPr>
          <w:rStyle w:val="FootnoteReference"/>
          <w:sz w:val="22"/>
          <w:szCs w:val="22"/>
        </w:rPr>
        <w:footnoteReference w:id="33"/>
      </w:r>
      <w:r w:rsidR="005334AC" w:rsidRPr="00F91D08">
        <w:rPr>
          <w:sz w:val="22"/>
          <w:szCs w:val="22"/>
        </w:rPr>
        <w:t xml:space="preserve"> </w:t>
      </w:r>
    </w:p>
    <w:p w14:paraId="5E4FFA17" w14:textId="77777777" w:rsidR="00834233" w:rsidRPr="00F91D08" w:rsidRDefault="00834233" w:rsidP="00834233">
      <w:pPr>
        <w:pStyle w:val="ListParagraph"/>
        <w:jc w:val="both"/>
        <w:rPr>
          <w:sz w:val="22"/>
          <w:szCs w:val="22"/>
        </w:rPr>
      </w:pPr>
    </w:p>
    <w:p w14:paraId="2B8AA00E" w14:textId="1F7E7024" w:rsidR="005334AC" w:rsidRPr="00F91D08" w:rsidRDefault="005334AC" w:rsidP="00457FF0">
      <w:pPr>
        <w:pStyle w:val="ListParagraph"/>
        <w:numPr>
          <w:ilvl w:val="0"/>
          <w:numId w:val="10"/>
        </w:numPr>
        <w:jc w:val="both"/>
        <w:rPr>
          <w:sz w:val="22"/>
          <w:szCs w:val="22"/>
        </w:rPr>
      </w:pPr>
      <w:r w:rsidRPr="00F91D08">
        <w:rPr>
          <w:sz w:val="22"/>
          <w:szCs w:val="22"/>
        </w:rPr>
        <w:t>When considering the options available to nation states to influence the behaviour of their citizens to effect positive behavioural change, there are five policy levers</w:t>
      </w:r>
      <w:r w:rsidR="000C4BB9" w:rsidRPr="00F91D08">
        <w:rPr>
          <w:rStyle w:val="FootnoteReference"/>
          <w:sz w:val="22"/>
          <w:szCs w:val="22"/>
        </w:rPr>
        <w:footnoteReference w:id="34"/>
      </w:r>
      <w:r w:rsidR="000C4BB9" w:rsidRPr="00F91D08">
        <w:rPr>
          <w:sz w:val="22"/>
          <w:szCs w:val="22"/>
        </w:rPr>
        <w:t xml:space="preserve"> </w:t>
      </w:r>
      <w:r w:rsidRPr="00F91D08">
        <w:rPr>
          <w:sz w:val="22"/>
          <w:szCs w:val="22"/>
        </w:rPr>
        <w:t xml:space="preserve"> that can be utilised by governments to implement initiatives and reforms to address </w:t>
      </w:r>
      <w:r w:rsidR="005F7D2D" w:rsidRPr="00F91D08">
        <w:rPr>
          <w:sz w:val="22"/>
          <w:szCs w:val="22"/>
        </w:rPr>
        <w:t xml:space="preserve">issues associated with </w:t>
      </w:r>
      <w:r w:rsidRPr="00F91D08">
        <w:rPr>
          <w:sz w:val="22"/>
          <w:szCs w:val="22"/>
        </w:rPr>
        <w:t xml:space="preserve">the dissemination of a child’s information by third parties: </w:t>
      </w:r>
    </w:p>
    <w:p w14:paraId="2BA1D8CF" w14:textId="7B07534A" w:rsidR="00355921" w:rsidRPr="00F91D08" w:rsidRDefault="00355921" w:rsidP="00457FF0">
      <w:pPr>
        <w:jc w:val="both"/>
        <w:rPr>
          <w:sz w:val="22"/>
          <w:szCs w:val="22"/>
        </w:rPr>
      </w:pPr>
    </w:p>
    <w:p w14:paraId="631332C5" w14:textId="074BC6B0" w:rsidR="00355921" w:rsidRPr="00F91D08" w:rsidRDefault="00355921" w:rsidP="00526E53">
      <w:pPr>
        <w:pStyle w:val="ListParagraph"/>
        <w:numPr>
          <w:ilvl w:val="0"/>
          <w:numId w:val="12"/>
        </w:numPr>
        <w:jc w:val="both"/>
        <w:rPr>
          <w:sz w:val="22"/>
          <w:szCs w:val="22"/>
          <w:lang w:val="en-AU"/>
        </w:rPr>
      </w:pPr>
      <w:r w:rsidRPr="00F91D08">
        <w:rPr>
          <w:sz w:val="22"/>
          <w:szCs w:val="22"/>
        </w:rPr>
        <w:t>Organisation</w:t>
      </w:r>
      <w:r w:rsidR="006E516A" w:rsidRPr="00F91D08">
        <w:rPr>
          <w:sz w:val="22"/>
          <w:szCs w:val="22"/>
        </w:rPr>
        <w:t xml:space="preserve">: </w:t>
      </w:r>
      <w:r w:rsidRPr="00F91D08">
        <w:rPr>
          <w:sz w:val="22"/>
          <w:szCs w:val="22"/>
        </w:rPr>
        <w:t>this lever</w:t>
      </w:r>
      <w:r w:rsidR="006E516A" w:rsidRPr="00F91D08">
        <w:rPr>
          <w:sz w:val="22"/>
          <w:szCs w:val="22"/>
        </w:rPr>
        <w:t xml:space="preserve"> </w:t>
      </w:r>
      <w:r w:rsidRPr="00F91D08">
        <w:rPr>
          <w:sz w:val="22"/>
          <w:szCs w:val="22"/>
        </w:rPr>
        <w:t xml:space="preserve">refers to macro-level changes </w:t>
      </w:r>
      <w:r w:rsidR="00526E53" w:rsidRPr="00F91D08">
        <w:rPr>
          <w:sz w:val="22"/>
          <w:szCs w:val="22"/>
          <w:lang w:val="en-AU"/>
        </w:rPr>
        <w:t>in location, magnitude, co-ordination and diversity of human and physical capital</w:t>
      </w:r>
      <w:r w:rsidR="00526E53" w:rsidRPr="00F91D08">
        <w:rPr>
          <w:rStyle w:val="FootnoteReference"/>
          <w:sz w:val="22"/>
          <w:szCs w:val="22"/>
          <w:lang w:val="en-AU"/>
        </w:rPr>
        <w:footnoteReference w:id="35"/>
      </w:r>
    </w:p>
    <w:p w14:paraId="49437DF2" w14:textId="5AF07BE0" w:rsidR="00355921" w:rsidRPr="00F91D08" w:rsidRDefault="00355921" w:rsidP="006E516A">
      <w:pPr>
        <w:pStyle w:val="ListParagraph"/>
        <w:numPr>
          <w:ilvl w:val="0"/>
          <w:numId w:val="12"/>
        </w:numPr>
        <w:jc w:val="both"/>
        <w:rPr>
          <w:sz w:val="22"/>
          <w:szCs w:val="22"/>
        </w:rPr>
      </w:pPr>
      <w:r w:rsidRPr="00F91D08">
        <w:rPr>
          <w:sz w:val="22"/>
          <w:szCs w:val="22"/>
        </w:rPr>
        <w:t>Regulation</w:t>
      </w:r>
      <w:r w:rsidR="00442016" w:rsidRPr="00F91D08">
        <w:rPr>
          <w:sz w:val="22"/>
          <w:szCs w:val="22"/>
        </w:rPr>
        <w:t>:</w:t>
      </w:r>
      <w:r w:rsidR="00526E53" w:rsidRPr="00F91D08">
        <w:rPr>
          <w:sz w:val="22"/>
          <w:szCs w:val="22"/>
        </w:rPr>
        <w:t xml:space="preserve"> this lever</w:t>
      </w:r>
      <w:r w:rsidR="00E527B9" w:rsidRPr="00F91D08">
        <w:rPr>
          <w:sz w:val="22"/>
          <w:szCs w:val="22"/>
        </w:rPr>
        <w:t xml:space="preserve"> operates by</w:t>
      </w:r>
      <w:r w:rsidR="00C33F61" w:rsidRPr="00F91D08">
        <w:rPr>
          <w:sz w:val="22"/>
          <w:szCs w:val="22"/>
        </w:rPr>
        <w:t xml:space="preserve"> using ‘government power to</w:t>
      </w:r>
      <w:r w:rsidR="00526E53" w:rsidRPr="00F91D08">
        <w:rPr>
          <w:sz w:val="22"/>
          <w:szCs w:val="22"/>
        </w:rPr>
        <w:t xml:space="preserve"> </w:t>
      </w:r>
      <w:r w:rsidR="00C33F61" w:rsidRPr="00F91D08">
        <w:rPr>
          <w:sz w:val="22"/>
          <w:szCs w:val="22"/>
        </w:rPr>
        <w:t>enforce</w:t>
      </w:r>
      <w:r w:rsidR="00526E53" w:rsidRPr="00F91D08">
        <w:rPr>
          <w:sz w:val="22"/>
          <w:szCs w:val="22"/>
        </w:rPr>
        <w:t xml:space="preserve"> changes in behaviour</w:t>
      </w:r>
      <w:r w:rsidR="00C33F61" w:rsidRPr="00F91D08">
        <w:rPr>
          <w:sz w:val="22"/>
          <w:szCs w:val="22"/>
        </w:rPr>
        <w:t>’</w:t>
      </w:r>
      <w:r w:rsidR="00526E53" w:rsidRPr="00F91D08">
        <w:rPr>
          <w:rStyle w:val="FootnoteReference"/>
          <w:sz w:val="22"/>
          <w:szCs w:val="22"/>
        </w:rPr>
        <w:footnoteReference w:id="36"/>
      </w:r>
      <w:r w:rsidR="00526E53" w:rsidRPr="00F91D08">
        <w:rPr>
          <w:sz w:val="22"/>
          <w:szCs w:val="22"/>
        </w:rPr>
        <w:t xml:space="preserve"> – both social and economic - through the enactment of legislation, regulations, guidelines and standards</w:t>
      </w:r>
    </w:p>
    <w:p w14:paraId="782F3E96" w14:textId="6EAD0ED3" w:rsidR="0069389D" w:rsidRPr="00F91D08" w:rsidRDefault="0069389D" w:rsidP="006E516A">
      <w:pPr>
        <w:pStyle w:val="ListParagraph"/>
        <w:numPr>
          <w:ilvl w:val="0"/>
          <w:numId w:val="12"/>
        </w:numPr>
        <w:jc w:val="both"/>
        <w:rPr>
          <w:sz w:val="22"/>
          <w:szCs w:val="22"/>
        </w:rPr>
      </w:pPr>
      <w:r w:rsidRPr="00F91D08">
        <w:rPr>
          <w:sz w:val="22"/>
          <w:szCs w:val="22"/>
        </w:rPr>
        <w:t>Education</w:t>
      </w:r>
      <w:r w:rsidR="00526E53" w:rsidRPr="00F91D08">
        <w:rPr>
          <w:sz w:val="22"/>
          <w:szCs w:val="22"/>
        </w:rPr>
        <w:t xml:space="preserve">: this lever focuses on the strategic dissemination of information to influence changes in </w:t>
      </w:r>
      <w:r w:rsidR="00CD71F9" w:rsidRPr="00F91D08">
        <w:rPr>
          <w:sz w:val="22"/>
          <w:szCs w:val="22"/>
        </w:rPr>
        <w:t xml:space="preserve">the </w:t>
      </w:r>
      <w:r w:rsidR="00526E53" w:rsidRPr="00F91D08">
        <w:rPr>
          <w:sz w:val="22"/>
          <w:szCs w:val="22"/>
        </w:rPr>
        <w:t>behaviour</w:t>
      </w:r>
      <w:r w:rsidR="00CD71F9" w:rsidRPr="00F91D08">
        <w:rPr>
          <w:sz w:val="22"/>
          <w:szCs w:val="22"/>
        </w:rPr>
        <w:t xml:space="preserve"> of individuals and organisations</w:t>
      </w:r>
      <w:r w:rsidR="00526E53" w:rsidRPr="00F91D08">
        <w:rPr>
          <w:rStyle w:val="FootnoteReference"/>
          <w:sz w:val="22"/>
          <w:szCs w:val="22"/>
        </w:rPr>
        <w:footnoteReference w:id="37"/>
      </w:r>
    </w:p>
    <w:p w14:paraId="42BA54F5" w14:textId="60E7094A" w:rsidR="0069389D" w:rsidRPr="00F91D08" w:rsidRDefault="00526E53" w:rsidP="00526E53">
      <w:pPr>
        <w:pStyle w:val="ListParagraph"/>
        <w:numPr>
          <w:ilvl w:val="0"/>
          <w:numId w:val="12"/>
        </w:numPr>
        <w:jc w:val="both"/>
        <w:rPr>
          <w:sz w:val="22"/>
          <w:szCs w:val="22"/>
          <w:lang w:val="en-AU"/>
        </w:rPr>
      </w:pPr>
      <w:r w:rsidRPr="00F91D08">
        <w:rPr>
          <w:sz w:val="22"/>
          <w:szCs w:val="22"/>
        </w:rPr>
        <w:t xml:space="preserve">Finance: </w:t>
      </w:r>
      <w:r w:rsidRPr="00F91D08">
        <w:rPr>
          <w:sz w:val="22"/>
          <w:szCs w:val="22"/>
          <w:lang w:val="en-AU"/>
        </w:rPr>
        <w:t xml:space="preserve">the levers </w:t>
      </w:r>
      <w:r w:rsidR="00E527B9" w:rsidRPr="00F91D08">
        <w:rPr>
          <w:sz w:val="22"/>
          <w:szCs w:val="22"/>
          <w:lang w:val="en-AU"/>
        </w:rPr>
        <w:t>utilises</w:t>
      </w:r>
      <w:r w:rsidRPr="00F91D08">
        <w:rPr>
          <w:sz w:val="22"/>
          <w:szCs w:val="22"/>
          <w:lang w:val="en-AU"/>
        </w:rPr>
        <w:t xml:space="preserve"> </w:t>
      </w:r>
      <w:r w:rsidR="00E527B9" w:rsidRPr="00F91D08">
        <w:rPr>
          <w:sz w:val="22"/>
          <w:szCs w:val="22"/>
          <w:lang w:val="en-AU"/>
        </w:rPr>
        <w:t xml:space="preserve">mechanisms such as </w:t>
      </w:r>
      <w:r w:rsidRPr="00F91D08">
        <w:rPr>
          <w:sz w:val="22"/>
          <w:szCs w:val="22"/>
          <w:lang w:val="en-AU"/>
        </w:rPr>
        <w:t xml:space="preserve">revenue generation and </w:t>
      </w:r>
      <w:r w:rsidR="00E527B9" w:rsidRPr="00F91D08">
        <w:rPr>
          <w:sz w:val="22"/>
          <w:szCs w:val="22"/>
          <w:lang w:val="en-AU"/>
        </w:rPr>
        <w:t xml:space="preserve">the </w:t>
      </w:r>
      <w:r w:rsidRPr="00F91D08">
        <w:rPr>
          <w:sz w:val="22"/>
          <w:szCs w:val="22"/>
          <w:lang w:val="en-AU"/>
        </w:rPr>
        <w:t>allocation</w:t>
      </w:r>
      <w:r w:rsidR="00DC1205" w:rsidRPr="00F91D08">
        <w:rPr>
          <w:sz w:val="22"/>
          <w:szCs w:val="22"/>
          <w:lang w:val="en-AU"/>
        </w:rPr>
        <w:t>/</w:t>
      </w:r>
      <w:r w:rsidRPr="00F91D08">
        <w:rPr>
          <w:sz w:val="22"/>
          <w:szCs w:val="22"/>
          <w:lang w:val="en-AU"/>
        </w:rPr>
        <w:t>distribution of funds</w:t>
      </w:r>
      <w:r w:rsidR="00E527B9" w:rsidRPr="00F91D08">
        <w:rPr>
          <w:rStyle w:val="FootnoteReference"/>
          <w:sz w:val="22"/>
          <w:szCs w:val="22"/>
          <w:lang w:val="en-AU"/>
        </w:rPr>
        <w:footnoteReference w:id="38"/>
      </w:r>
    </w:p>
    <w:p w14:paraId="296AA48B" w14:textId="4853C757" w:rsidR="005334AC" w:rsidRPr="00F91D08" w:rsidRDefault="0069389D" w:rsidP="00C71BF5">
      <w:pPr>
        <w:pStyle w:val="ListParagraph"/>
        <w:numPr>
          <w:ilvl w:val="0"/>
          <w:numId w:val="12"/>
        </w:numPr>
        <w:jc w:val="both"/>
        <w:rPr>
          <w:sz w:val="22"/>
          <w:szCs w:val="22"/>
        </w:rPr>
      </w:pPr>
      <w:r w:rsidRPr="00F91D08">
        <w:rPr>
          <w:sz w:val="22"/>
          <w:szCs w:val="22"/>
        </w:rPr>
        <w:t>Incentive</w:t>
      </w:r>
      <w:r w:rsidR="00526E53" w:rsidRPr="00F91D08">
        <w:rPr>
          <w:sz w:val="22"/>
          <w:szCs w:val="22"/>
        </w:rPr>
        <w:t xml:space="preserve">s: Developing a system of incentives </w:t>
      </w:r>
      <w:r w:rsidR="00061A34" w:rsidRPr="00F91D08">
        <w:rPr>
          <w:sz w:val="22"/>
          <w:szCs w:val="22"/>
        </w:rPr>
        <w:t xml:space="preserve">that are designed </w:t>
      </w:r>
      <w:r w:rsidR="00526E53" w:rsidRPr="00F91D08">
        <w:rPr>
          <w:sz w:val="22"/>
          <w:szCs w:val="22"/>
        </w:rPr>
        <w:t xml:space="preserve">to encourage </w:t>
      </w:r>
      <w:r w:rsidR="005944CD" w:rsidRPr="00F91D08">
        <w:rPr>
          <w:sz w:val="22"/>
          <w:szCs w:val="22"/>
        </w:rPr>
        <w:t xml:space="preserve">state and </w:t>
      </w:r>
      <w:r w:rsidR="00061A34" w:rsidRPr="00F91D08">
        <w:rPr>
          <w:sz w:val="22"/>
          <w:szCs w:val="22"/>
        </w:rPr>
        <w:t xml:space="preserve">non-state actors to achieve </w:t>
      </w:r>
      <w:r w:rsidR="00526E53" w:rsidRPr="00F91D08">
        <w:rPr>
          <w:sz w:val="22"/>
          <w:szCs w:val="22"/>
        </w:rPr>
        <w:t>desired outcomes</w:t>
      </w:r>
      <w:r w:rsidR="005944CD" w:rsidRPr="00F91D08">
        <w:rPr>
          <w:sz w:val="22"/>
          <w:szCs w:val="22"/>
        </w:rPr>
        <w:t>.</w:t>
      </w:r>
      <w:r w:rsidR="005944CD" w:rsidRPr="00F91D08">
        <w:rPr>
          <w:rStyle w:val="FootnoteReference"/>
          <w:sz w:val="22"/>
          <w:szCs w:val="22"/>
        </w:rPr>
        <w:footnoteReference w:id="39"/>
      </w:r>
    </w:p>
    <w:p w14:paraId="02CDC97C" w14:textId="77777777" w:rsidR="00941760" w:rsidRPr="00F91D08" w:rsidRDefault="00941760" w:rsidP="00C71BF5">
      <w:pPr>
        <w:jc w:val="both"/>
        <w:rPr>
          <w:sz w:val="22"/>
          <w:szCs w:val="22"/>
        </w:rPr>
      </w:pPr>
    </w:p>
    <w:p w14:paraId="7F1E0ACB" w14:textId="710E94FC" w:rsidR="00941760" w:rsidRPr="00F91D08" w:rsidRDefault="00546131" w:rsidP="00C71BF5">
      <w:pPr>
        <w:pStyle w:val="ListParagraph"/>
        <w:numPr>
          <w:ilvl w:val="0"/>
          <w:numId w:val="10"/>
        </w:numPr>
        <w:jc w:val="both"/>
        <w:rPr>
          <w:sz w:val="22"/>
          <w:szCs w:val="22"/>
        </w:rPr>
      </w:pPr>
      <w:r w:rsidRPr="00F91D08">
        <w:rPr>
          <w:sz w:val="22"/>
          <w:szCs w:val="22"/>
        </w:rPr>
        <w:t xml:space="preserve">There are a number of opportunities available to </w:t>
      </w:r>
      <w:r w:rsidR="00DC5BD8" w:rsidRPr="00F91D08">
        <w:rPr>
          <w:sz w:val="22"/>
          <w:szCs w:val="22"/>
        </w:rPr>
        <w:t xml:space="preserve">nation </w:t>
      </w:r>
      <w:r w:rsidRPr="00F91D08">
        <w:rPr>
          <w:sz w:val="22"/>
          <w:szCs w:val="22"/>
        </w:rPr>
        <w:t xml:space="preserve">states </w:t>
      </w:r>
      <w:r w:rsidR="00DC5BD8" w:rsidRPr="00F91D08">
        <w:rPr>
          <w:sz w:val="22"/>
          <w:szCs w:val="22"/>
        </w:rPr>
        <w:t xml:space="preserve">to respect, protect and fulfil the rights of children </w:t>
      </w:r>
      <w:r w:rsidR="004155D4" w:rsidRPr="00F91D08">
        <w:rPr>
          <w:sz w:val="22"/>
          <w:szCs w:val="22"/>
        </w:rPr>
        <w:t>by</w:t>
      </w:r>
      <w:r w:rsidR="00DC5BD8" w:rsidRPr="00F91D08">
        <w:rPr>
          <w:sz w:val="22"/>
          <w:szCs w:val="22"/>
        </w:rPr>
        <w:t xml:space="preserve"> </w:t>
      </w:r>
      <w:r w:rsidR="00BB4099" w:rsidRPr="00F91D08">
        <w:rPr>
          <w:sz w:val="22"/>
          <w:szCs w:val="22"/>
        </w:rPr>
        <w:t>using the above levers</w:t>
      </w:r>
      <w:r w:rsidR="00D92474" w:rsidRPr="00F91D08">
        <w:rPr>
          <w:sz w:val="22"/>
          <w:szCs w:val="22"/>
        </w:rPr>
        <w:t>, in collaboration</w:t>
      </w:r>
      <w:r w:rsidR="00DC5BD8" w:rsidRPr="00F91D08">
        <w:rPr>
          <w:sz w:val="22"/>
          <w:szCs w:val="22"/>
        </w:rPr>
        <w:t xml:space="preserve"> with non-state actors</w:t>
      </w:r>
      <w:r w:rsidR="00D92474" w:rsidRPr="00F91D08">
        <w:rPr>
          <w:sz w:val="22"/>
          <w:szCs w:val="22"/>
        </w:rPr>
        <w:t>, to guide reforms in this space</w:t>
      </w:r>
      <w:r w:rsidR="00DC5BD8" w:rsidRPr="00F91D08">
        <w:rPr>
          <w:sz w:val="22"/>
          <w:szCs w:val="22"/>
        </w:rPr>
        <w:t xml:space="preserve">. </w:t>
      </w:r>
      <w:r w:rsidR="00C0113D" w:rsidRPr="00F91D08">
        <w:rPr>
          <w:sz w:val="22"/>
          <w:szCs w:val="22"/>
        </w:rPr>
        <w:t>A preliminary list of possible opportunities is</w:t>
      </w:r>
      <w:r w:rsidR="00DC1205" w:rsidRPr="00F91D08">
        <w:rPr>
          <w:sz w:val="22"/>
          <w:szCs w:val="22"/>
        </w:rPr>
        <w:t xml:space="preserve"> outlined in the table below</w:t>
      </w:r>
      <w:r w:rsidR="00DC5BD8" w:rsidRPr="00F91D08">
        <w:rPr>
          <w:sz w:val="22"/>
          <w:szCs w:val="22"/>
        </w:rPr>
        <w:t>:</w:t>
      </w:r>
      <w:r w:rsidR="004155D4" w:rsidRPr="00F91D08">
        <w:rPr>
          <w:sz w:val="22"/>
          <w:szCs w:val="22"/>
        </w:rPr>
        <w:t xml:space="preserve"> </w:t>
      </w:r>
    </w:p>
    <w:p w14:paraId="778571F7" w14:textId="61DF3C38" w:rsidR="002E02A2" w:rsidRDefault="002E02A2" w:rsidP="00941760">
      <w:pPr>
        <w:rPr>
          <w:sz w:val="24"/>
          <w:szCs w:val="24"/>
        </w:rPr>
      </w:pPr>
    </w:p>
    <w:p w14:paraId="4C160982" w14:textId="77777777" w:rsidR="00680CE8" w:rsidRDefault="00680CE8" w:rsidP="00941760">
      <w:pPr>
        <w:rPr>
          <w:sz w:val="24"/>
          <w:szCs w:val="24"/>
        </w:rPr>
      </w:pPr>
    </w:p>
    <w:tbl>
      <w:tblPr>
        <w:tblStyle w:val="GridTable4-Accent1"/>
        <w:tblW w:w="0" w:type="auto"/>
        <w:jc w:val="center"/>
        <w:tblLook w:val="04A0" w:firstRow="1" w:lastRow="0" w:firstColumn="1" w:lastColumn="0" w:noHBand="0" w:noVBand="1"/>
      </w:tblPr>
      <w:tblGrid>
        <w:gridCol w:w="4920"/>
        <w:gridCol w:w="4065"/>
      </w:tblGrid>
      <w:tr w:rsidR="002E02A2" w:rsidRPr="00F64BB5" w14:paraId="58DD9BCB" w14:textId="77777777" w:rsidTr="00FA67BF">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4920" w:type="dxa"/>
          </w:tcPr>
          <w:p w14:paraId="3471014A" w14:textId="3C335A47" w:rsidR="002E02A2" w:rsidRPr="00F64BB5" w:rsidRDefault="00943969" w:rsidP="00242B76">
            <w:pPr>
              <w:jc w:val="center"/>
              <w:rPr>
                <w:rFonts w:ascii="Arial Narrow" w:hAnsi="Arial Narrow" w:cstheme="minorHAnsi"/>
                <w:b w:val="0"/>
              </w:rPr>
            </w:pPr>
            <w:r w:rsidRPr="00F64BB5">
              <w:rPr>
                <w:rFonts w:ascii="Arial Narrow" w:hAnsi="Arial Narrow" w:cstheme="minorHAnsi"/>
                <w:b w:val="0"/>
              </w:rPr>
              <w:t>Opportunities</w:t>
            </w:r>
          </w:p>
        </w:tc>
        <w:tc>
          <w:tcPr>
            <w:tcW w:w="4065" w:type="dxa"/>
          </w:tcPr>
          <w:p w14:paraId="6E4B4687" w14:textId="3E5C8CD4" w:rsidR="002E02A2" w:rsidRPr="00F64BB5" w:rsidRDefault="002E02A2" w:rsidP="00242B7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rPr>
            </w:pPr>
            <w:r w:rsidRPr="00F64BB5">
              <w:rPr>
                <w:rFonts w:ascii="Arial Narrow" w:hAnsi="Arial Narrow" w:cstheme="minorHAnsi"/>
                <w:b w:val="0"/>
              </w:rPr>
              <w:t>Policy Mechanism</w:t>
            </w:r>
            <w:r w:rsidR="005872B7" w:rsidRPr="00F64BB5">
              <w:rPr>
                <w:rFonts w:ascii="Arial Narrow" w:hAnsi="Arial Narrow" w:cstheme="minorHAnsi"/>
                <w:b w:val="0"/>
              </w:rPr>
              <w:t>(s)</w:t>
            </w:r>
          </w:p>
        </w:tc>
      </w:tr>
      <w:tr w:rsidR="002E02A2" w:rsidRPr="00F64BB5" w14:paraId="58C8BA61" w14:textId="77777777" w:rsidTr="00FA67B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4920" w:type="dxa"/>
          </w:tcPr>
          <w:p w14:paraId="48AEAECF" w14:textId="1688FED3" w:rsidR="002E02A2" w:rsidRPr="00F64BB5" w:rsidRDefault="002E02A2" w:rsidP="00242B76">
            <w:pPr>
              <w:jc w:val="center"/>
              <w:rPr>
                <w:rFonts w:ascii="Arial Narrow" w:hAnsi="Arial Narrow" w:cstheme="minorHAnsi"/>
                <w:b w:val="0"/>
              </w:rPr>
            </w:pPr>
            <w:r w:rsidRPr="00F64BB5">
              <w:rPr>
                <w:rFonts w:ascii="Arial Narrow" w:hAnsi="Arial Narrow" w:cstheme="minorHAnsi"/>
                <w:b w:val="0"/>
              </w:rPr>
              <w:t xml:space="preserve">Increasing </w:t>
            </w:r>
            <w:r w:rsidR="00317689" w:rsidRPr="00F64BB5">
              <w:rPr>
                <w:rFonts w:ascii="Arial Narrow" w:hAnsi="Arial Narrow" w:cstheme="minorHAnsi"/>
                <w:b w:val="0"/>
              </w:rPr>
              <w:t xml:space="preserve">duty bearers’ </w:t>
            </w:r>
            <w:r w:rsidRPr="00F64BB5">
              <w:rPr>
                <w:rFonts w:ascii="Arial Narrow" w:hAnsi="Arial Narrow" w:cstheme="minorHAnsi"/>
                <w:b w:val="0"/>
              </w:rPr>
              <w:t>awareness to the risks of third parties</w:t>
            </w:r>
            <w:r w:rsidR="00290F0D" w:rsidRPr="00F64BB5">
              <w:rPr>
                <w:rStyle w:val="FootnoteReference"/>
                <w:rFonts w:ascii="Arial Narrow" w:hAnsi="Arial Narrow" w:cstheme="minorHAnsi"/>
                <w:b w:val="0"/>
                <w:sz w:val="20"/>
              </w:rPr>
              <w:footnoteReference w:id="40"/>
            </w:r>
            <w:r w:rsidRPr="00F64BB5">
              <w:rPr>
                <w:rFonts w:ascii="Arial Narrow" w:hAnsi="Arial Narrow" w:cstheme="minorHAnsi"/>
                <w:b w:val="0"/>
              </w:rPr>
              <w:t xml:space="preserve"> disseminating a child’s information online (</w:t>
            </w:r>
            <w:r w:rsidR="00CB605E" w:rsidRPr="00F64BB5">
              <w:rPr>
                <w:rFonts w:ascii="Arial Narrow" w:hAnsi="Arial Narrow" w:cstheme="minorHAnsi"/>
                <w:b w:val="0"/>
              </w:rPr>
              <w:t>e.g.</w:t>
            </w:r>
            <w:r w:rsidRPr="00F64BB5">
              <w:rPr>
                <w:rFonts w:ascii="Arial Narrow" w:hAnsi="Arial Narrow" w:cstheme="minorHAnsi"/>
                <w:b w:val="0"/>
              </w:rPr>
              <w:t xml:space="preserve"> an education program for expectant and new parents)</w:t>
            </w:r>
            <w:r w:rsidR="00290F0D" w:rsidRPr="00F64BB5">
              <w:rPr>
                <w:rStyle w:val="FootnoteReference"/>
                <w:rFonts w:ascii="Arial Narrow" w:hAnsi="Arial Narrow" w:cstheme="minorHAnsi"/>
                <w:b w:val="0"/>
                <w:sz w:val="20"/>
              </w:rPr>
              <w:t xml:space="preserve"> </w:t>
            </w:r>
            <w:r w:rsidR="00290F0D" w:rsidRPr="00F64BB5">
              <w:rPr>
                <w:rStyle w:val="FootnoteReference"/>
                <w:rFonts w:ascii="Arial Narrow" w:hAnsi="Arial Narrow" w:cstheme="minorHAnsi"/>
                <w:b w:val="0"/>
                <w:sz w:val="20"/>
              </w:rPr>
              <w:footnoteReference w:id="41"/>
            </w:r>
          </w:p>
        </w:tc>
        <w:tc>
          <w:tcPr>
            <w:tcW w:w="4065" w:type="dxa"/>
          </w:tcPr>
          <w:p w14:paraId="39EFAB17" w14:textId="2E25627D" w:rsidR="002E02A2" w:rsidRPr="00F64BB5" w:rsidRDefault="002E02A2"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Education</w:t>
            </w:r>
          </w:p>
          <w:p w14:paraId="6B403444" w14:textId="0CA83C56" w:rsidR="002E02A2" w:rsidRPr="00F64BB5" w:rsidRDefault="002E02A2"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Finance</w:t>
            </w:r>
          </w:p>
          <w:p w14:paraId="707522E6" w14:textId="0D2DB92B" w:rsidR="002E02A2" w:rsidRPr="00F64BB5" w:rsidRDefault="002E02A2"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Incentives</w:t>
            </w:r>
          </w:p>
        </w:tc>
      </w:tr>
      <w:tr w:rsidR="002E02A2" w:rsidRPr="00F64BB5" w14:paraId="5A238F04" w14:textId="77777777" w:rsidTr="00FA67BF">
        <w:trPr>
          <w:trHeight w:val="737"/>
          <w:jc w:val="center"/>
        </w:trPr>
        <w:tc>
          <w:tcPr>
            <w:cnfStyle w:val="001000000000" w:firstRow="0" w:lastRow="0" w:firstColumn="1" w:lastColumn="0" w:oddVBand="0" w:evenVBand="0" w:oddHBand="0" w:evenHBand="0" w:firstRowFirstColumn="0" w:firstRowLastColumn="0" w:lastRowFirstColumn="0" w:lastRowLastColumn="0"/>
            <w:tcW w:w="4920" w:type="dxa"/>
          </w:tcPr>
          <w:p w14:paraId="27A2F993" w14:textId="0788F82B" w:rsidR="002E02A2" w:rsidRPr="00F64BB5" w:rsidRDefault="00290F0D" w:rsidP="00242B76">
            <w:pPr>
              <w:jc w:val="center"/>
              <w:rPr>
                <w:rFonts w:ascii="Arial Narrow" w:hAnsi="Arial Narrow" w:cstheme="minorHAnsi"/>
                <w:b w:val="0"/>
              </w:rPr>
            </w:pPr>
            <w:r w:rsidRPr="00F64BB5">
              <w:rPr>
                <w:rFonts w:ascii="Arial Narrow" w:hAnsi="Arial Narrow" w:cstheme="minorHAnsi"/>
                <w:b w:val="0"/>
              </w:rPr>
              <w:t xml:space="preserve">Increasing </w:t>
            </w:r>
            <w:r w:rsidR="00317689" w:rsidRPr="00F64BB5">
              <w:rPr>
                <w:rFonts w:ascii="Arial Narrow" w:hAnsi="Arial Narrow" w:cstheme="minorHAnsi"/>
                <w:b w:val="0"/>
              </w:rPr>
              <w:t xml:space="preserve">children’s </w:t>
            </w:r>
            <w:r w:rsidRPr="00F64BB5">
              <w:rPr>
                <w:rFonts w:ascii="Arial Narrow" w:hAnsi="Arial Narrow" w:cstheme="minorHAnsi"/>
                <w:b w:val="0"/>
              </w:rPr>
              <w:t>awareness</w:t>
            </w:r>
            <w:r w:rsidR="00317689" w:rsidRPr="00F64BB5">
              <w:rPr>
                <w:rFonts w:ascii="Arial Narrow" w:hAnsi="Arial Narrow" w:cstheme="minorHAnsi"/>
                <w:b w:val="0"/>
              </w:rPr>
              <w:t xml:space="preserve"> to the risks of third parties disseminating their information online</w:t>
            </w:r>
            <w:r w:rsidR="00317689" w:rsidRPr="00F64BB5">
              <w:rPr>
                <w:rStyle w:val="FootnoteReference"/>
                <w:rFonts w:cstheme="minorHAnsi"/>
                <w:b w:val="0"/>
                <w:sz w:val="20"/>
              </w:rPr>
              <w:footnoteReference w:id="42"/>
            </w:r>
            <w:r w:rsidRPr="00F64BB5">
              <w:rPr>
                <w:rFonts w:ascii="Arial Narrow" w:hAnsi="Arial Narrow" w:cstheme="minorHAnsi"/>
                <w:b w:val="0"/>
              </w:rPr>
              <w:t xml:space="preserve"> </w:t>
            </w:r>
          </w:p>
        </w:tc>
        <w:tc>
          <w:tcPr>
            <w:tcW w:w="4065" w:type="dxa"/>
          </w:tcPr>
          <w:p w14:paraId="16C71A39" w14:textId="77777777" w:rsidR="00290F0D" w:rsidRPr="00F64BB5" w:rsidRDefault="00290F0D" w:rsidP="00242B7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F64BB5">
              <w:rPr>
                <w:rFonts w:ascii="Arial Narrow" w:hAnsi="Arial Narrow" w:cstheme="minorHAnsi"/>
              </w:rPr>
              <w:t>Education</w:t>
            </w:r>
          </w:p>
          <w:p w14:paraId="6F45AC49" w14:textId="77777777" w:rsidR="00290F0D" w:rsidRPr="00F64BB5" w:rsidRDefault="00290F0D" w:rsidP="00242B7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F64BB5">
              <w:rPr>
                <w:rFonts w:ascii="Arial Narrow" w:hAnsi="Arial Narrow" w:cstheme="minorHAnsi"/>
              </w:rPr>
              <w:t>Finance</w:t>
            </w:r>
          </w:p>
          <w:p w14:paraId="324D4A2E" w14:textId="5EEF5378" w:rsidR="002E02A2" w:rsidRPr="00F64BB5" w:rsidRDefault="00290F0D" w:rsidP="00242B7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F64BB5">
              <w:rPr>
                <w:rFonts w:ascii="Arial Narrow" w:hAnsi="Arial Narrow" w:cstheme="minorHAnsi"/>
              </w:rPr>
              <w:t>Incentives</w:t>
            </w:r>
          </w:p>
        </w:tc>
      </w:tr>
      <w:tr w:rsidR="00E81C75" w:rsidRPr="00F64BB5" w14:paraId="7CF29598" w14:textId="77777777" w:rsidTr="00FA67B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4920" w:type="dxa"/>
          </w:tcPr>
          <w:p w14:paraId="5A4D4457" w14:textId="5B1398B7" w:rsidR="00E81C75" w:rsidRPr="00F64BB5" w:rsidRDefault="00E81C75" w:rsidP="00242B76">
            <w:pPr>
              <w:jc w:val="center"/>
              <w:rPr>
                <w:rFonts w:ascii="Arial Narrow" w:hAnsi="Arial Narrow" w:cstheme="minorHAnsi"/>
                <w:b w:val="0"/>
              </w:rPr>
            </w:pPr>
            <w:r w:rsidRPr="00F64BB5">
              <w:rPr>
                <w:rFonts w:ascii="Arial Narrow" w:hAnsi="Arial Narrow" w:cstheme="minorHAnsi"/>
                <w:b w:val="0"/>
              </w:rPr>
              <w:t xml:space="preserve">Invest in </w:t>
            </w:r>
            <w:r w:rsidR="009A06DF" w:rsidRPr="00F64BB5">
              <w:rPr>
                <w:rFonts w:ascii="Arial Narrow" w:hAnsi="Arial Narrow" w:cstheme="minorHAnsi"/>
                <w:b w:val="0"/>
              </w:rPr>
              <w:t xml:space="preserve">high quality </w:t>
            </w:r>
            <w:r w:rsidRPr="00F64BB5">
              <w:rPr>
                <w:rFonts w:ascii="Arial Narrow" w:hAnsi="Arial Narrow" w:cstheme="minorHAnsi"/>
                <w:b w:val="0"/>
              </w:rPr>
              <w:t xml:space="preserve">research to </w:t>
            </w:r>
            <w:r w:rsidR="009A06DF" w:rsidRPr="00F64BB5">
              <w:rPr>
                <w:rFonts w:ascii="Arial Narrow" w:hAnsi="Arial Narrow" w:cstheme="minorHAnsi"/>
                <w:b w:val="0"/>
              </w:rPr>
              <w:t>produce</w:t>
            </w:r>
            <w:r w:rsidR="003B5470" w:rsidRPr="00F64BB5">
              <w:rPr>
                <w:rFonts w:ascii="Arial Narrow" w:hAnsi="Arial Narrow" w:cstheme="minorHAnsi"/>
                <w:b w:val="0"/>
              </w:rPr>
              <w:t xml:space="preserve"> data</w:t>
            </w:r>
            <w:r w:rsidR="005020AC" w:rsidRPr="00F64BB5">
              <w:rPr>
                <w:rFonts w:ascii="Arial Narrow" w:hAnsi="Arial Narrow" w:cstheme="minorHAnsi"/>
                <w:b w:val="0"/>
              </w:rPr>
              <w:t xml:space="preserve"> and identify best practice approaches</w:t>
            </w:r>
            <w:r w:rsidR="003B5470" w:rsidRPr="00F64BB5">
              <w:rPr>
                <w:rFonts w:ascii="Arial Narrow" w:hAnsi="Arial Narrow" w:cstheme="minorHAnsi"/>
                <w:b w:val="0"/>
              </w:rPr>
              <w:t xml:space="preserve"> </w:t>
            </w:r>
            <w:r w:rsidR="003038DD" w:rsidRPr="00F64BB5">
              <w:rPr>
                <w:rFonts w:ascii="Arial Narrow" w:hAnsi="Arial Narrow" w:cstheme="minorHAnsi"/>
                <w:b w:val="0"/>
              </w:rPr>
              <w:t>as a foundation</w:t>
            </w:r>
            <w:r w:rsidR="00CB57CA" w:rsidRPr="00F64BB5">
              <w:rPr>
                <w:rFonts w:ascii="Arial Narrow" w:hAnsi="Arial Narrow" w:cstheme="minorHAnsi"/>
                <w:b w:val="0"/>
              </w:rPr>
              <w:t xml:space="preserve"> for</w:t>
            </w:r>
            <w:r w:rsidR="003B5470" w:rsidRPr="00F64BB5">
              <w:rPr>
                <w:rFonts w:ascii="Arial Narrow" w:hAnsi="Arial Narrow" w:cstheme="minorHAnsi"/>
                <w:b w:val="0"/>
              </w:rPr>
              <w:t xml:space="preserve"> policy development </w:t>
            </w:r>
            <w:r w:rsidR="004D79E6" w:rsidRPr="00F64BB5">
              <w:rPr>
                <w:rFonts w:ascii="Arial Narrow" w:hAnsi="Arial Narrow" w:cstheme="minorHAnsi"/>
                <w:b w:val="0"/>
              </w:rPr>
              <w:t>and reform</w:t>
            </w:r>
          </w:p>
        </w:tc>
        <w:tc>
          <w:tcPr>
            <w:tcW w:w="4065" w:type="dxa"/>
          </w:tcPr>
          <w:p w14:paraId="2BE0909B" w14:textId="77777777" w:rsidR="00DF168D" w:rsidRPr="00F64BB5" w:rsidRDefault="00DF168D" w:rsidP="00DF16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Education</w:t>
            </w:r>
          </w:p>
          <w:p w14:paraId="61185B74" w14:textId="77777777" w:rsidR="00DF168D" w:rsidRPr="00F64BB5" w:rsidRDefault="00DF168D" w:rsidP="00DF16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Finance</w:t>
            </w:r>
          </w:p>
          <w:p w14:paraId="6143B138" w14:textId="7E79667A" w:rsidR="00E81C75" w:rsidRPr="00F64BB5" w:rsidRDefault="00DF168D" w:rsidP="00DF16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Incentives</w:t>
            </w:r>
          </w:p>
        </w:tc>
      </w:tr>
      <w:tr w:rsidR="002E02A2" w:rsidRPr="00F64BB5" w14:paraId="101E591A" w14:textId="77777777" w:rsidTr="00FA67BF">
        <w:trPr>
          <w:trHeight w:val="737"/>
          <w:jc w:val="center"/>
        </w:trPr>
        <w:tc>
          <w:tcPr>
            <w:cnfStyle w:val="001000000000" w:firstRow="0" w:lastRow="0" w:firstColumn="1" w:lastColumn="0" w:oddVBand="0" w:evenVBand="0" w:oddHBand="0" w:evenHBand="0" w:firstRowFirstColumn="0" w:firstRowLastColumn="0" w:lastRowFirstColumn="0" w:lastRowLastColumn="0"/>
            <w:tcW w:w="4920" w:type="dxa"/>
          </w:tcPr>
          <w:p w14:paraId="440B2879" w14:textId="740EAD54" w:rsidR="002E02A2" w:rsidRPr="00F64BB5" w:rsidRDefault="00290F0D" w:rsidP="00242B76">
            <w:pPr>
              <w:jc w:val="center"/>
              <w:rPr>
                <w:rFonts w:ascii="Arial Narrow" w:hAnsi="Arial Narrow" w:cstheme="minorHAnsi"/>
                <w:b w:val="0"/>
              </w:rPr>
            </w:pPr>
            <w:r w:rsidRPr="00F64BB5">
              <w:rPr>
                <w:rFonts w:ascii="Arial Narrow" w:hAnsi="Arial Narrow" w:cstheme="minorHAnsi"/>
                <w:b w:val="0"/>
              </w:rPr>
              <w:t>Introduction of legislation to regulate the digital environment in relation to the dissemination of a child’s information</w:t>
            </w:r>
            <w:r w:rsidR="00066721" w:rsidRPr="00F64BB5">
              <w:rPr>
                <w:rStyle w:val="FootnoteReference"/>
                <w:rFonts w:cstheme="minorHAnsi"/>
                <w:b w:val="0"/>
                <w:sz w:val="20"/>
              </w:rPr>
              <w:footnoteReference w:id="43"/>
            </w:r>
            <w:r w:rsidRPr="00F64BB5">
              <w:rPr>
                <w:rFonts w:ascii="Arial Narrow" w:hAnsi="Arial Narrow" w:cstheme="minorHAnsi"/>
                <w:b w:val="0"/>
              </w:rPr>
              <w:t xml:space="preserve"> </w:t>
            </w:r>
          </w:p>
        </w:tc>
        <w:tc>
          <w:tcPr>
            <w:tcW w:w="4065" w:type="dxa"/>
          </w:tcPr>
          <w:p w14:paraId="7B1C84C4" w14:textId="074C4F58" w:rsidR="002E02A2" w:rsidRPr="00F64BB5" w:rsidRDefault="00290F0D" w:rsidP="00242B7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F64BB5">
              <w:rPr>
                <w:rFonts w:ascii="Arial Narrow" w:hAnsi="Arial Narrow" w:cstheme="minorHAnsi"/>
              </w:rPr>
              <w:t>Regulation</w:t>
            </w:r>
          </w:p>
        </w:tc>
      </w:tr>
      <w:tr w:rsidR="002E02A2" w:rsidRPr="00F64BB5" w14:paraId="5AC336E8" w14:textId="77777777" w:rsidTr="00FA67B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4920" w:type="dxa"/>
          </w:tcPr>
          <w:p w14:paraId="21327129" w14:textId="35F649B5" w:rsidR="002E02A2" w:rsidRPr="00F64BB5" w:rsidRDefault="00290F0D" w:rsidP="00242B76">
            <w:pPr>
              <w:jc w:val="center"/>
              <w:rPr>
                <w:rFonts w:ascii="Arial Narrow" w:hAnsi="Arial Narrow" w:cstheme="minorHAnsi"/>
                <w:b w:val="0"/>
              </w:rPr>
            </w:pPr>
            <w:r w:rsidRPr="00F64BB5">
              <w:rPr>
                <w:rFonts w:ascii="Arial Narrow" w:hAnsi="Arial Narrow" w:cstheme="minorHAnsi"/>
                <w:b w:val="0"/>
              </w:rPr>
              <w:t>Collaboration and co-design with tech companies to develop a child-safe digital environment</w:t>
            </w:r>
            <w:r w:rsidRPr="00F64BB5">
              <w:rPr>
                <w:rStyle w:val="FootnoteReference"/>
                <w:rFonts w:ascii="Arial Narrow" w:hAnsi="Arial Narrow" w:cstheme="minorHAnsi"/>
                <w:b w:val="0"/>
                <w:sz w:val="20"/>
              </w:rPr>
              <w:footnoteReference w:id="44"/>
            </w:r>
          </w:p>
        </w:tc>
        <w:tc>
          <w:tcPr>
            <w:tcW w:w="4065" w:type="dxa"/>
          </w:tcPr>
          <w:p w14:paraId="47CE2386" w14:textId="2B989108" w:rsidR="002E02A2" w:rsidRPr="00F64BB5" w:rsidRDefault="00A40D7A"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Regulation</w:t>
            </w:r>
          </w:p>
          <w:p w14:paraId="1700A97E" w14:textId="7B4EAFB4" w:rsidR="006D023A" w:rsidRPr="00F64BB5" w:rsidRDefault="006D023A"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Education</w:t>
            </w:r>
          </w:p>
          <w:p w14:paraId="272BEA2B" w14:textId="4C13AC9D" w:rsidR="00A40D7A" w:rsidRPr="00F64BB5" w:rsidRDefault="00A40D7A" w:rsidP="00242B7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F64BB5">
              <w:rPr>
                <w:rFonts w:ascii="Arial Narrow" w:hAnsi="Arial Narrow" w:cstheme="minorHAnsi"/>
              </w:rPr>
              <w:t>Incentives</w:t>
            </w:r>
          </w:p>
        </w:tc>
      </w:tr>
    </w:tbl>
    <w:p w14:paraId="7F7A4304" w14:textId="1069F4B4" w:rsidR="00A57395" w:rsidRDefault="00A57395" w:rsidP="00A57395">
      <w:pPr>
        <w:spacing w:before="240"/>
      </w:pPr>
    </w:p>
    <w:p w14:paraId="3FBE439A" w14:textId="2B8AA5F7" w:rsidR="006015A4" w:rsidRPr="00F91D08" w:rsidRDefault="00DA5D01" w:rsidP="0028024C">
      <w:pPr>
        <w:pStyle w:val="ListParagraph"/>
        <w:numPr>
          <w:ilvl w:val="0"/>
          <w:numId w:val="10"/>
        </w:numPr>
        <w:jc w:val="both"/>
        <w:rPr>
          <w:bCs/>
          <w:sz w:val="22"/>
          <w:szCs w:val="22"/>
        </w:rPr>
      </w:pPr>
      <w:r w:rsidRPr="00F91D08">
        <w:rPr>
          <w:bCs/>
          <w:sz w:val="22"/>
          <w:szCs w:val="22"/>
        </w:rPr>
        <w:t>The</w:t>
      </w:r>
      <w:r w:rsidR="00723E42" w:rsidRPr="00F91D08">
        <w:rPr>
          <w:bCs/>
          <w:sz w:val="22"/>
          <w:szCs w:val="22"/>
        </w:rPr>
        <w:t xml:space="preserve"> proposed General Comment offers an opportunity to provide guidance to nation states </w:t>
      </w:r>
      <w:r w:rsidR="00DE02F2" w:rsidRPr="00F91D08">
        <w:rPr>
          <w:bCs/>
          <w:sz w:val="22"/>
          <w:szCs w:val="22"/>
        </w:rPr>
        <w:t>regarding how they can</w:t>
      </w:r>
      <w:r w:rsidR="001C5AD2" w:rsidRPr="00F91D08">
        <w:rPr>
          <w:bCs/>
          <w:sz w:val="22"/>
          <w:szCs w:val="22"/>
        </w:rPr>
        <w:t xml:space="preserve"> promote effective, co-ordinated, evidence-based approaches to </w:t>
      </w:r>
      <w:r w:rsidR="00DE02F2" w:rsidRPr="00F91D08">
        <w:rPr>
          <w:bCs/>
          <w:sz w:val="22"/>
          <w:szCs w:val="22"/>
        </w:rPr>
        <w:t>address</w:t>
      </w:r>
      <w:r w:rsidR="001C5AD2" w:rsidRPr="00F91D08">
        <w:rPr>
          <w:bCs/>
          <w:sz w:val="22"/>
          <w:szCs w:val="22"/>
        </w:rPr>
        <w:t xml:space="preserve"> the dissemination of a child’s information by a third party</w:t>
      </w:r>
      <w:r w:rsidR="00D64AAC" w:rsidRPr="00F91D08">
        <w:rPr>
          <w:bCs/>
          <w:sz w:val="22"/>
          <w:szCs w:val="22"/>
        </w:rPr>
        <w:t xml:space="preserve"> online</w:t>
      </w:r>
      <w:r w:rsidR="001C5AD2" w:rsidRPr="00F91D08">
        <w:rPr>
          <w:bCs/>
          <w:sz w:val="22"/>
          <w:szCs w:val="22"/>
        </w:rPr>
        <w:t>.</w:t>
      </w:r>
      <w:r w:rsidR="008E2B99" w:rsidRPr="00F91D08">
        <w:rPr>
          <w:bCs/>
          <w:sz w:val="22"/>
          <w:szCs w:val="22"/>
        </w:rPr>
        <w:t xml:space="preserve"> </w:t>
      </w:r>
      <w:r w:rsidR="006E6C14" w:rsidRPr="00F91D08">
        <w:rPr>
          <w:bCs/>
          <w:sz w:val="22"/>
          <w:szCs w:val="22"/>
        </w:rPr>
        <w:t>The</w:t>
      </w:r>
      <w:r w:rsidR="006015A4" w:rsidRPr="00F91D08">
        <w:rPr>
          <w:bCs/>
          <w:sz w:val="22"/>
          <w:szCs w:val="22"/>
        </w:rPr>
        <w:t xml:space="preserve"> measures</w:t>
      </w:r>
      <w:r w:rsidR="006E6C14" w:rsidRPr="00F91D08">
        <w:rPr>
          <w:bCs/>
          <w:sz w:val="22"/>
          <w:szCs w:val="22"/>
        </w:rPr>
        <w:t xml:space="preserve">, as outlined above, not only provide policy and law makers with </w:t>
      </w:r>
      <w:r w:rsidR="00C2656F" w:rsidRPr="00F91D08">
        <w:rPr>
          <w:bCs/>
          <w:sz w:val="22"/>
          <w:szCs w:val="22"/>
        </w:rPr>
        <w:t>various</w:t>
      </w:r>
      <w:r w:rsidR="006E6C14" w:rsidRPr="00F91D08">
        <w:rPr>
          <w:bCs/>
          <w:sz w:val="22"/>
          <w:szCs w:val="22"/>
        </w:rPr>
        <w:t xml:space="preserve"> </w:t>
      </w:r>
      <w:r w:rsidR="001840C0" w:rsidRPr="00F91D08">
        <w:rPr>
          <w:bCs/>
          <w:sz w:val="22"/>
          <w:szCs w:val="22"/>
        </w:rPr>
        <w:t>methods</w:t>
      </w:r>
      <w:r w:rsidR="006E6C14" w:rsidRPr="00F91D08">
        <w:rPr>
          <w:bCs/>
          <w:sz w:val="22"/>
          <w:szCs w:val="22"/>
        </w:rPr>
        <w:t xml:space="preserve"> to address this issue, but </w:t>
      </w:r>
      <w:r w:rsidR="006015A4" w:rsidRPr="00F91D08">
        <w:rPr>
          <w:bCs/>
          <w:sz w:val="22"/>
          <w:szCs w:val="22"/>
        </w:rPr>
        <w:t xml:space="preserve">also </w:t>
      </w:r>
      <w:r w:rsidR="00BB7739" w:rsidRPr="00F91D08">
        <w:rPr>
          <w:bCs/>
          <w:sz w:val="22"/>
          <w:szCs w:val="22"/>
        </w:rPr>
        <w:t>have the potential to be</w:t>
      </w:r>
      <w:r w:rsidR="006015A4" w:rsidRPr="00F91D08">
        <w:rPr>
          <w:bCs/>
          <w:sz w:val="22"/>
          <w:szCs w:val="22"/>
        </w:rPr>
        <w:t xml:space="preserve"> developed in concert with </w:t>
      </w:r>
      <w:r w:rsidR="006E6C14" w:rsidRPr="00F91D08">
        <w:rPr>
          <w:bCs/>
          <w:sz w:val="22"/>
          <w:szCs w:val="22"/>
        </w:rPr>
        <w:t xml:space="preserve">broader, </w:t>
      </w:r>
      <w:r w:rsidR="006015A4" w:rsidRPr="00F91D08">
        <w:rPr>
          <w:bCs/>
          <w:sz w:val="22"/>
          <w:szCs w:val="22"/>
        </w:rPr>
        <w:t>complementary measures</w:t>
      </w:r>
      <w:r w:rsidR="009A24B1" w:rsidRPr="00F91D08">
        <w:rPr>
          <w:bCs/>
          <w:sz w:val="22"/>
          <w:szCs w:val="22"/>
        </w:rPr>
        <w:t xml:space="preserve"> </w:t>
      </w:r>
      <w:r w:rsidR="00887B7D" w:rsidRPr="00F91D08">
        <w:rPr>
          <w:bCs/>
          <w:sz w:val="22"/>
          <w:szCs w:val="22"/>
        </w:rPr>
        <w:t>that impact</w:t>
      </w:r>
      <w:r w:rsidR="009A24B1" w:rsidRPr="00F91D08">
        <w:rPr>
          <w:bCs/>
          <w:sz w:val="22"/>
          <w:szCs w:val="22"/>
        </w:rPr>
        <w:t xml:space="preserve"> the digital environment more broadly</w:t>
      </w:r>
      <w:r w:rsidR="00BB7739" w:rsidRPr="00F91D08">
        <w:rPr>
          <w:bCs/>
          <w:sz w:val="22"/>
          <w:szCs w:val="22"/>
        </w:rPr>
        <w:t>.</w:t>
      </w:r>
      <w:r w:rsidR="006015A4" w:rsidRPr="00F91D08">
        <w:rPr>
          <w:bCs/>
          <w:sz w:val="22"/>
          <w:szCs w:val="22"/>
        </w:rPr>
        <w:t xml:space="preserve"> </w:t>
      </w:r>
      <w:r w:rsidR="00BB7739" w:rsidRPr="00F91D08">
        <w:rPr>
          <w:bCs/>
          <w:sz w:val="22"/>
          <w:szCs w:val="22"/>
        </w:rPr>
        <w:t>This will</w:t>
      </w:r>
      <w:r w:rsidR="006015A4" w:rsidRPr="00F91D08">
        <w:rPr>
          <w:bCs/>
          <w:sz w:val="22"/>
          <w:szCs w:val="22"/>
        </w:rPr>
        <w:t xml:space="preserve"> ensure that actions taken</w:t>
      </w:r>
      <w:r w:rsidR="006E6C14" w:rsidRPr="00F91D08">
        <w:rPr>
          <w:bCs/>
          <w:sz w:val="22"/>
          <w:szCs w:val="22"/>
        </w:rPr>
        <w:t xml:space="preserve"> in relation to the digital environment</w:t>
      </w:r>
      <w:r w:rsidR="006015A4" w:rsidRPr="00F91D08">
        <w:rPr>
          <w:bCs/>
          <w:sz w:val="22"/>
          <w:szCs w:val="22"/>
        </w:rPr>
        <w:t xml:space="preserve"> are coordinated, comprehensive and cost effective.</w:t>
      </w:r>
    </w:p>
    <w:p w14:paraId="48A28DE5" w14:textId="71845AFC" w:rsidR="00C73034" w:rsidRPr="00F91D08" w:rsidRDefault="00C73034" w:rsidP="0028024C">
      <w:pPr>
        <w:pStyle w:val="ListParagraph"/>
        <w:numPr>
          <w:ilvl w:val="0"/>
          <w:numId w:val="10"/>
        </w:numPr>
        <w:jc w:val="both"/>
        <w:rPr>
          <w:bCs/>
          <w:sz w:val="22"/>
          <w:szCs w:val="22"/>
        </w:rPr>
      </w:pPr>
      <w:r w:rsidRPr="00F91D08">
        <w:rPr>
          <w:bCs/>
          <w:sz w:val="22"/>
          <w:szCs w:val="22"/>
        </w:rPr>
        <w:t>Nation states should be encouraged to develop measures that clarify</w:t>
      </w:r>
      <w:r w:rsidR="009A24B1" w:rsidRPr="00F91D08">
        <w:rPr>
          <w:bCs/>
          <w:sz w:val="22"/>
          <w:szCs w:val="22"/>
        </w:rPr>
        <w:t xml:space="preserve"> </w:t>
      </w:r>
      <w:r w:rsidRPr="00F91D08">
        <w:rPr>
          <w:bCs/>
          <w:sz w:val="22"/>
          <w:szCs w:val="22"/>
        </w:rPr>
        <w:t>duty bearers</w:t>
      </w:r>
      <w:r w:rsidR="009A24B1" w:rsidRPr="00F91D08">
        <w:rPr>
          <w:bCs/>
          <w:sz w:val="22"/>
          <w:szCs w:val="22"/>
        </w:rPr>
        <w:t>’</w:t>
      </w:r>
      <w:r w:rsidRPr="00F91D08">
        <w:rPr>
          <w:bCs/>
          <w:sz w:val="22"/>
          <w:szCs w:val="22"/>
        </w:rPr>
        <w:t xml:space="preserve"> responsibility to children in the digital environment</w:t>
      </w:r>
      <w:r w:rsidR="00E53726" w:rsidRPr="00F91D08">
        <w:rPr>
          <w:bCs/>
          <w:sz w:val="22"/>
          <w:szCs w:val="22"/>
        </w:rPr>
        <w:t>.</w:t>
      </w:r>
      <w:r w:rsidR="00B3174D" w:rsidRPr="00F91D08">
        <w:rPr>
          <w:bCs/>
          <w:sz w:val="22"/>
          <w:szCs w:val="22"/>
        </w:rPr>
        <w:t xml:space="preserve"> </w:t>
      </w:r>
      <w:r w:rsidR="009A24B1" w:rsidRPr="00F91D08">
        <w:rPr>
          <w:bCs/>
          <w:sz w:val="22"/>
          <w:szCs w:val="22"/>
        </w:rPr>
        <w:t>M</w:t>
      </w:r>
      <w:r w:rsidR="008B664B" w:rsidRPr="00F91D08">
        <w:rPr>
          <w:bCs/>
          <w:sz w:val="22"/>
          <w:szCs w:val="22"/>
        </w:rPr>
        <w:t xml:space="preserve">easures </w:t>
      </w:r>
      <w:r w:rsidR="00256FA1" w:rsidRPr="00F91D08">
        <w:rPr>
          <w:bCs/>
          <w:sz w:val="22"/>
          <w:szCs w:val="22"/>
        </w:rPr>
        <w:t>should also be applied to tech companies</w:t>
      </w:r>
      <w:r w:rsidR="008B664B" w:rsidRPr="00F91D08">
        <w:rPr>
          <w:bCs/>
          <w:sz w:val="22"/>
          <w:szCs w:val="22"/>
        </w:rPr>
        <w:t xml:space="preserve">, </w:t>
      </w:r>
      <w:r w:rsidR="007C4456" w:rsidRPr="00F91D08">
        <w:rPr>
          <w:bCs/>
          <w:sz w:val="22"/>
          <w:szCs w:val="22"/>
        </w:rPr>
        <w:t>in recognition of their status as</w:t>
      </w:r>
      <w:r w:rsidR="008B664B" w:rsidRPr="00F91D08">
        <w:rPr>
          <w:bCs/>
          <w:sz w:val="22"/>
          <w:szCs w:val="22"/>
        </w:rPr>
        <w:t xml:space="preserve"> </w:t>
      </w:r>
      <w:r w:rsidR="00256FA1" w:rsidRPr="00F91D08">
        <w:rPr>
          <w:bCs/>
          <w:sz w:val="22"/>
          <w:szCs w:val="22"/>
        </w:rPr>
        <w:t xml:space="preserve">powerful non-state actors who enjoy </w:t>
      </w:r>
      <w:r w:rsidR="009A24B1" w:rsidRPr="00F91D08">
        <w:rPr>
          <w:bCs/>
          <w:sz w:val="22"/>
          <w:szCs w:val="22"/>
        </w:rPr>
        <w:t xml:space="preserve">operating in </w:t>
      </w:r>
      <w:r w:rsidR="00256FA1" w:rsidRPr="00F91D08">
        <w:rPr>
          <w:bCs/>
          <w:sz w:val="22"/>
          <w:szCs w:val="22"/>
        </w:rPr>
        <w:t xml:space="preserve">a largely unregulated digital environment. </w:t>
      </w:r>
      <w:r w:rsidR="00E53726" w:rsidRPr="00F91D08">
        <w:rPr>
          <w:bCs/>
          <w:sz w:val="22"/>
          <w:szCs w:val="22"/>
        </w:rPr>
        <w:t>F</w:t>
      </w:r>
      <w:r w:rsidRPr="00F91D08">
        <w:rPr>
          <w:bCs/>
          <w:sz w:val="22"/>
          <w:szCs w:val="22"/>
        </w:rPr>
        <w:t xml:space="preserve">urthermore, any such measures should focus on giving full effect to children’s rights </w:t>
      </w:r>
      <w:r w:rsidR="008832CD" w:rsidRPr="00F91D08">
        <w:rPr>
          <w:bCs/>
          <w:sz w:val="22"/>
          <w:szCs w:val="22"/>
        </w:rPr>
        <w:t>as outlined in</w:t>
      </w:r>
      <w:r w:rsidRPr="00F91D08">
        <w:rPr>
          <w:bCs/>
          <w:sz w:val="22"/>
          <w:szCs w:val="22"/>
        </w:rPr>
        <w:t xml:space="preserve"> the </w:t>
      </w:r>
      <w:r w:rsidRPr="00F91D08">
        <w:rPr>
          <w:bCs/>
          <w:i/>
          <w:sz w:val="22"/>
          <w:szCs w:val="22"/>
        </w:rPr>
        <w:t>Convention on the Rights of the Child</w:t>
      </w:r>
      <w:r w:rsidR="00E53726" w:rsidRPr="00F91D08">
        <w:rPr>
          <w:bCs/>
          <w:sz w:val="22"/>
          <w:szCs w:val="22"/>
        </w:rPr>
        <w:t xml:space="preserve"> and </w:t>
      </w:r>
      <w:r w:rsidR="00E160C7" w:rsidRPr="00F91D08">
        <w:rPr>
          <w:bCs/>
          <w:sz w:val="22"/>
          <w:szCs w:val="22"/>
        </w:rPr>
        <w:t>develop</w:t>
      </w:r>
      <w:r w:rsidR="00E53726" w:rsidRPr="00F91D08">
        <w:rPr>
          <w:bCs/>
          <w:sz w:val="22"/>
          <w:szCs w:val="22"/>
        </w:rPr>
        <w:t xml:space="preserve"> policy initiatives </w:t>
      </w:r>
      <w:r w:rsidR="00E160C7" w:rsidRPr="00F91D08">
        <w:rPr>
          <w:bCs/>
          <w:sz w:val="22"/>
          <w:szCs w:val="22"/>
        </w:rPr>
        <w:t>using</w:t>
      </w:r>
      <w:r w:rsidR="00E53726" w:rsidRPr="00F91D08">
        <w:rPr>
          <w:bCs/>
          <w:sz w:val="22"/>
          <w:szCs w:val="22"/>
        </w:rPr>
        <w:t xml:space="preserve"> an </w:t>
      </w:r>
      <w:r w:rsidR="00F919B5" w:rsidRPr="00F91D08">
        <w:rPr>
          <w:bCs/>
          <w:sz w:val="22"/>
          <w:szCs w:val="22"/>
        </w:rPr>
        <w:t>‘</w:t>
      </w:r>
      <w:r w:rsidR="00E53726" w:rsidRPr="00F91D08">
        <w:rPr>
          <w:bCs/>
          <w:sz w:val="22"/>
          <w:szCs w:val="22"/>
        </w:rPr>
        <w:t>interests</w:t>
      </w:r>
      <w:r w:rsidR="00F919B5" w:rsidRPr="00F91D08">
        <w:rPr>
          <w:bCs/>
          <w:sz w:val="22"/>
          <w:szCs w:val="22"/>
        </w:rPr>
        <w:t>’</w:t>
      </w:r>
      <w:r w:rsidR="00E53726" w:rsidRPr="00F91D08">
        <w:rPr>
          <w:bCs/>
          <w:sz w:val="22"/>
          <w:szCs w:val="22"/>
        </w:rPr>
        <w:t xml:space="preserve"> model </w:t>
      </w:r>
      <w:r w:rsidR="00F919B5" w:rsidRPr="00F91D08">
        <w:rPr>
          <w:bCs/>
          <w:sz w:val="22"/>
          <w:szCs w:val="22"/>
        </w:rPr>
        <w:t>of child rights, as opposed to</w:t>
      </w:r>
      <w:r w:rsidR="00E53726" w:rsidRPr="00F91D08">
        <w:rPr>
          <w:bCs/>
          <w:sz w:val="22"/>
          <w:szCs w:val="22"/>
        </w:rPr>
        <w:t xml:space="preserve"> the welfare model which</w:t>
      </w:r>
      <w:r w:rsidR="00F919B5" w:rsidRPr="00F91D08">
        <w:rPr>
          <w:bCs/>
          <w:sz w:val="22"/>
          <w:szCs w:val="22"/>
        </w:rPr>
        <w:t xml:space="preserve"> is too often adopted.</w:t>
      </w:r>
    </w:p>
    <w:p w14:paraId="388E5D98" w14:textId="2B645B15" w:rsidR="00CD02E0" w:rsidRPr="00F91D08" w:rsidRDefault="00CD02E0" w:rsidP="0028024C">
      <w:pPr>
        <w:pStyle w:val="ListParagraph"/>
        <w:numPr>
          <w:ilvl w:val="0"/>
          <w:numId w:val="10"/>
        </w:numPr>
        <w:jc w:val="both"/>
        <w:rPr>
          <w:bCs/>
          <w:sz w:val="22"/>
          <w:szCs w:val="22"/>
        </w:rPr>
      </w:pPr>
      <w:r w:rsidRPr="00F91D08">
        <w:rPr>
          <w:bCs/>
          <w:sz w:val="22"/>
          <w:szCs w:val="22"/>
        </w:rPr>
        <w:t>The decision to enter the digital environment, while opening the door to many opportunities, also invites a number of significant risks</w:t>
      </w:r>
      <w:r w:rsidR="003510B0" w:rsidRPr="00F91D08">
        <w:rPr>
          <w:bCs/>
          <w:sz w:val="22"/>
          <w:szCs w:val="22"/>
        </w:rPr>
        <w:t>,</w:t>
      </w:r>
      <w:r w:rsidR="00046BBE" w:rsidRPr="00F91D08">
        <w:rPr>
          <w:bCs/>
          <w:sz w:val="22"/>
          <w:szCs w:val="22"/>
        </w:rPr>
        <w:t xml:space="preserve"> both online and offline</w:t>
      </w:r>
      <w:r w:rsidRPr="00F91D08">
        <w:rPr>
          <w:bCs/>
          <w:sz w:val="22"/>
          <w:szCs w:val="22"/>
        </w:rPr>
        <w:t xml:space="preserve">. </w:t>
      </w:r>
      <w:r w:rsidR="002A21F5" w:rsidRPr="00F91D08">
        <w:rPr>
          <w:bCs/>
          <w:sz w:val="22"/>
          <w:szCs w:val="22"/>
        </w:rPr>
        <w:t>N</w:t>
      </w:r>
      <w:r w:rsidRPr="00F91D08">
        <w:rPr>
          <w:bCs/>
          <w:sz w:val="22"/>
          <w:szCs w:val="22"/>
        </w:rPr>
        <w:t>ation states</w:t>
      </w:r>
      <w:r w:rsidR="002A21F5" w:rsidRPr="00F91D08">
        <w:rPr>
          <w:bCs/>
          <w:sz w:val="22"/>
          <w:szCs w:val="22"/>
        </w:rPr>
        <w:t xml:space="preserve">, </w:t>
      </w:r>
      <w:r w:rsidR="009C186F" w:rsidRPr="00F91D08">
        <w:rPr>
          <w:bCs/>
          <w:sz w:val="22"/>
          <w:szCs w:val="22"/>
        </w:rPr>
        <w:t xml:space="preserve">in their role </w:t>
      </w:r>
      <w:r w:rsidR="002A21F5" w:rsidRPr="00F91D08">
        <w:rPr>
          <w:bCs/>
          <w:sz w:val="22"/>
          <w:szCs w:val="22"/>
        </w:rPr>
        <w:t>as</w:t>
      </w:r>
      <w:r w:rsidR="009C186F" w:rsidRPr="00F91D08">
        <w:rPr>
          <w:bCs/>
          <w:sz w:val="22"/>
          <w:szCs w:val="22"/>
        </w:rPr>
        <w:t xml:space="preserve"> a</w:t>
      </w:r>
      <w:r w:rsidR="002A21F5" w:rsidRPr="00F91D08">
        <w:rPr>
          <w:bCs/>
          <w:sz w:val="22"/>
          <w:szCs w:val="22"/>
        </w:rPr>
        <w:t xml:space="preserve"> duty bearer,</w:t>
      </w:r>
      <w:r w:rsidRPr="00F91D08">
        <w:rPr>
          <w:bCs/>
          <w:sz w:val="22"/>
          <w:szCs w:val="22"/>
        </w:rPr>
        <w:t xml:space="preserve"> have an obligation to respect a child’s right to choose when they enter the digital environment and protect those children from the adverse effects of that environment</w:t>
      </w:r>
      <w:r w:rsidR="00F179D4" w:rsidRPr="00F91D08">
        <w:rPr>
          <w:bCs/>
          <w:sz w:val="22"/>
          <w:szCs w:val="22"/>
        </w:rPr>
        <w:t xml:space="preserve"> </w:t>
      </w:r>
      <w:r w:rsidR="00146E59" w:rsidRPr="00F91D08">
        <w:rPr>
          <w:bCs/>
          <w:sz w:val="22"/>
          <w:szCs w:val="22"/>
        </w:rPr>
        <w:t>as a result of</w:t>
      </w:r>
      <w:r w:rsidR="00F179D4" w:rsidRPr="00F91D08">
        <w:rPr>
          <w:bCs/>
          <w:sz w:val="22"/>
          <w:szCs w:val="22"/>
        </w:rPr>
        <w:t xml:space="preserve"> third party action</w:t>
      </w:r>
      <w:r w:rsidR="00AA087C" w:rsidRPr="00F91D08">
        <w:rPr>
          <w:bCs/>
          <w:sz w:val="22"/>
          <w:szCs w:val="22"/>
        </w:rPr>
        <w:t>s</w:t>
      </w:r>
      <w:r w:rsidR="00121E49" w:rsidRPr="00F91D08">
        <w:rPr>
          <w:bCs/>
          <w:sz w:val="22"/>
          <w:szCs w:val="22"/>
        </w:rPr>
        <w:t>.</w:t>
      </w:r>
    </w:p>
    <w:p w14:paraId="1DFA5662" w14:textId="0B8E2496" w:rsidR="00941760" w:rsidRPr="00941760" w:rsidRDefault="00941760" w:rsidP="00B424E4">
      <w:pPr>
        <w:spacing w:before="240"/>
      </w:pPr>
    </w:p>
    <w:sectPr w:rsidR="00941760" w:rsidRPr="00941760" w:rsidSect="00F64BB5">
      <w:footerReference w:type="even" r:id="rId8"/>
      <w:footerReference w:type="default" r:id="rId9"/>
      <w:footerReference w:type="first" r:id="rId10"/>
      <w:endnotePr>
        <w:numFmt w:val="decimal"/>
      </w:endnotePr>
      <w:type w:val="continuous"/>
      <w:pgSz w:w="11907" w:h="16840" w:code="9"/>
      <w:pgMar w:top="1417" w:right="1134" w:bottom="1134" w:left="1134" w:header="283"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BC03" w14:textId="77777777" w:rsidR="00352A55" w:rsidRPr="00B903E5" w:rsidRDefault="00352A55" w:rsidP="00B903E5">
      <w:pPr>
        <w:pStyle w:val="Footer"/>
      </w:pPr>
    </w:p>
  </w:endnote>
  <w:endnote w:type="continuationSeparator" w:id="0">
    <w:p w14:paraId="276E4958" w14:textId="77777777" w:rsidR="00352A55" w:rsidRPr="00B903E5" w:rsidRDefault="00352A5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EC35" w14:textId="77777777" w:rsidR="00CD02E0" w:rsidRPr="009B1E8F" w:rsidRDefault="00CD02E0" w:rsidP="00246112">
    <w:pPr>
      <w:pStyle w:val="Footer"/>
      <w:tabs>
        <w:tab w:val="right" w:pos="9598"/>
      </w:tabs>
    </w:pPr>
    <w:r w:rsidRPr="009B1E8F">
      <w:rPr>
        <w:b/>
        <w:sz w:val="18"/>
      </w:rPr>
      <w:fldChar w:fldCharType="begin"/>
    </w:r>
    <w:r w:rsidRPr="009B1E8F">
      <w:rPr>
        <w:b/>
        <w:sz w:val="18"/>
      </w:rPr>
      <w:instrText xml:space="preserve"> PAGE  \* MERGEFORMAT </w:instrText>
    </w:r>
    <w:r w:rsidRPr="009B1E8F">
      <w:rPr>
        <w:b/>
        <w:sz w:val="18"/>
      </w:rPr>
      <w:fldChar w:fldCharType="separate"/>
    </w:r>
    <w:r>
      <w:rPr>
        <w:b/>
        <w:noProof/>
        <w:sz w:val="18"/>
      </w:rPr>
      <w:t>2</w:t>
    </w:r>
    <w:r w:rsidRPr="009B1E8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BDFB" w14:textId="77777777" w:rsidR="00CD02E0" w:rsidRPr="009B1E8F" w:rsidRDefault="00CD02E0" w:rsidP="009B1E8F">
    <w:pPr>
      <w:pStyle w:val="Footer"/>
      <w:tabs>
        <w:tab w:val="right" w:pos="9598"/>
      </w:tabs>
      <w:rPr>
        <w:b/>
        <w:sz w:val="18"/>
      </w:rPr>
    </w:pPr>
    <w:r>
      <w:tab/>
    </w:r>
    <w:r w:rsidRPr="009B1E8F">
      <w:rPr>
        <w:b/>
        <w:sz w:val="18"/>
      </w:rPr>
      <w:fldChar w:fldCharType="begin"/>
    </w:r>
    <w:r w:rsidRPr="009B1E8F">
      <w:rPr>
        <w:b/>
        <w:sz w:val="18"/>
      </w:rPr>
      <w:instrText xml:space="preserve"> PAGE  \* MERGEFORMAT </w:instrText>
    </w:r>
    <w:r w:rsidRPr="009B1E8F">
      <w:rPr>
        <w:b/>
        <w:sz w:val="18"/>
      </w:rPr>
      <w:fldChar w:fldCharType="separate"/>
    </w:r>
    <w:r>
      <w:rPr>
        <w:b/>
        <w:noProof/>
        <w:sz w:val="18"/>
      </w:rPr>
      <w:t>5</w:t>
    </w:r>
    <w:r w:rsidRPr="009B1E8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F44B" w14:textId="798F2DD2" w:rsidR="00CD02E0" w:rsidRPr="003F0922" w:rsidRDefault="00CD02E0" w:rsidP="003F0922">
    <w:pPr>
      <w:pStyle w:val="Footer"/>
    </w:pPr>
    <w:r>
      <w:rPr>
        <w:noProof/>
      </w:rPr>
      <w:drawing>
        <wp:anchor distT="0" distB="0" distL="114300" distR="114300" simplePos="0" relativeHeight="251659264" behindDoc="1" locked="1" layoutInCell="1" allowOverlap="1" wp14:anchorId="765F73EC" wp14:editId="46EF1D7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C0E7" w14:textId="77777777" w:rsidR="00352A55" w:rsidRPr="00B903E5" w:rsidRDefault="00352A55" w:rsidP="00B903E5">
      <w:pPr>
        <w:tabs>
          <w:tab w:val="right" w:pos="2155"/>
        </w:tabs>
        <w:spacing w:after="80" w:line="240" w:lineRule="auto"/>
        <w:ind w:left="680"/>
      </w:pPr>
      <w:r>
        <w:rPr>
          <w:u w:val="single"/>
        </w:rPr>
        <w:tab/>
      </w:r>
    </w:p>
  </w:footnote>
  <w:footnote w:type="continuationSeparator" w:id="0">
    <w:p w14:paraId="43E67776" w14:textId="77777777" w:rsidR="00352A55" w:rsidRPr="00B903E5" w:rsidRDefault="00352A55" w:rsidP="00B903E5">
      <w:pPr>
        <w:tabs>
          <w:tab w:val="right" w:pos="2155"/>
        </w:tabs>
        <w:spacing w:after="80" w:line="240" w:lineRule="auto"/>
        <w:ind w:left="680"/>
      </w:pPr>
      <w:r>
        <w:rPr>
          <w:u w:val="single"/>
        </w:rPr>
        <w:tab/>
      </w:r>
    </w:p>
  </w:footnote>
  <w:footnote w:id="1">
    <w:p w14:paraId="46985EFE" w14:textId="2521C5F2" w:rsidR="00CD02E0" w:rsidRPr="00F64BB5" w:rsidRDefault="00CD02E0" w:rsidP="0055326C">
      <w:pPr>
        <w:jc w:val="both"/>
        <w:rPr>
          <w:sz w:val="16"/>
          <w:szCs w:val="16"/>
        </w:rPr>
      </w:pPr>
      <w:r w:rsidRPr="00F64BB5">
        <w:rPr>
          <w:rStyle w:val="FootnoteReference"/>
          <w:sz w:val="16"/>
          <w:szCs w:val="16"/>
        </w:rPr>
        <w:footnoteRef/>
      </w:r>
      <w:r w:rsidRPr="00F64BB5">
        <w:rPr>
          <w:sz w:val="16"/>
          <w:szCs w:val="16"/>
        </w:rPr>
        <w:t xml:space="preserve"> </w:t>
      </w:r>
      <w:r w:rsidRPr="00F64BB5">
        <w:rPr>
          <w:sz w:val="16"/>
          <w:szCs w:val="16"/>
          <w:lang w:val="en-AU"/>
        </w:rPr>
        <w:t xml:space="preserve">Cassandra </w:t>
      </w:r>
      <w:proofErr w:type="spellStart"/>
      <w:r w:rsidRPr="00F64BB5">
        <w:rPr>
          <w:sz w:val="16"/>
          <w:szCs w:val="16"/>
          <w:lang w:val="en-AU"/>
        </w:rPr>
        <w:t>Seery</w:t>
      </w:r>
      <w:proofErr w:type="spellEnd"/>
      <w:r w:rsidRPr="00F64BB5">
        <w:rPr>
          <w:sz w:val="16"/>
          <w:szCs w:val="16"/>
          <w:lang w:val="en-AU"/>
        </w:rPr>
        <w:t xml:space="preserve"> is an Associate Lecturer in Law at Deakin University, Australia. </w:t>
      </w:r>
      <w:r w:rsidRPr="00F64BB5">
        <w:rPr>
          <w:sz w:val="16"/>
          <w:szCs w:val="16"/>
        </w:rPr>
        <w:t>Her work focuses on child rights and policy and has presented internationally on the role of international child rights in a domestic context. She was formally a public servant in Victoria specialising in vulnerable children and Aboriginal affairs and is a current member of the Australian Child Rights Taskforce and the Bravehearts Inc. Research Advisory Council.</w:t>
      </w:r>
    </w:p>
  </w:footnote>
  <w:footnote w:id="2">
    <w:p w14:paraId="618F76BF" w14:textId="2E32152D" w:rsidR="00CD02E0" w:rsidRPr="00F64BB5" w:rsidRDefault="00CD02E0" w:rsidP="0055326C">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See, for example Australian Child Rights Taskforce, </w:t>
      </w:r>
      <w:r w:rsidRPr="00F64BB5">
        <w:rPr>
          <w:i/>
          <w:sz w:val="16"/>
          <w:szCs w:val="16"/>
          <w:lang w:val="en-AU"/>
        </w:rPr>
        <w:t>The Children’s Report Australia’s NGO coalition report to the United Nations Committee on the Rights of the Child, November</w:t>
      </w:r>
      <w:r w:rsidRPr="00F64BB5">
        <w:rPr>
          <w:sz w:val="16"/>
          <w:szCs w:val="16"/>
          <w:lang w:val="en-AU"/>
        </w:rPr>
        <w:t xml:space="preserve"> 2018, 21.</w:t>
      </w:r>
    </w:p>
  </w:footnote>
  <w:footnote w:id="3">
    <w:p w14:paraId="00A84492" w14:textId="0ADAA33B" w:rsidR="00CD02E0" w:rsidRPr="00B41C86" w:rsidRDefault="00CD02E0" w:rsidP="0055326C">
      <w:pPr>
        <w:jc w:val="both"/>
        <w:rPr>
          <w:lang w:val="en-AU"/>
        </w:rPr>
      </w:pPr>
      <w:r w:rsidRPr="00F64BB5">
        <w:rPr>
          <w:rStyle w:val="FootnoteReference"/>
          <w:sz w:val="16"/>
          <w:szCs w:val="16"/>
        </w:rPr>
        <w:footnoteRef/>
      </w:r>
      <w:r w:rsidRPr="00F64BB5">
        <w:rPr>
          <w:sz w:val="16"/>
          <w:szCs w:val="16"/>
        </w:rPr>
        <w:t xml:space="preserve"> </w:t>
      </w:r>
      <w:r w:rsidRPr="00F64BB5">
        <w:rPr>
          <w:sz w:val="16"/>
          <w:szCs w:val="16"/>
          <w:lang w:val="en-AU"/>
        </w:rPr>
        <w:t>This would include parents, care givers, family members, those employed to meet the needs of children and corporations that provide platforms in the digital environment.</w:t>
      </w:r>
    </w:p>
  </w:footnote>
  <w:footnote w:id="4">
    <w:p w14:paraId="19FD3B19" w14:textId="563E302B" w:rsidR="00CD02E0" w:rsidRPr="00F64BB5" w:rsidRDefault="00CD02E0" w:rsidP="0055326C">
      <w:pPr>
        <w:jc w:val="both"/>
        <w:rPr>
          <w:sz w:val="16"/>
          <w:szCs w:val="16"/>
          <w:lang w:val="en-AU"/>
        </w:rPr>
      </w:pPr>
      <w:r w:rsidRPr="00F64BB5">
        <w:rPr>
          <w:rStyle w:val="FootnoteReference"/>
          <w:sz w:val="16"/>
          <w:szCs w:val="16"/>
        </w:rPr>
        <w:footnoteRef/>
      </w:r>
      <w:r w:rsidRPr="00F64BB5">
        <w:rPr>
          <w:sz w:val="16"/>
          <w:szCs w:val="16"/>
        </w:rPr>
        <w:t xml:space="preserve"> London School of Economics, ‘</w:t>
      </w:r>
      <w:r w:rsidRPr="00F64BB5">
        <w:rPr>
          <w:sz w:val="16"/>
          <w:szCs w:val="16"/>
          <w:lang w:val="en-AU"/>
        </w:rPr>
        <w:t xml:space="preserve">What do parents think, and do, about their children’s online privacy?’, </w:t>
      </w:r>
      <w:r w:rsidRPr="00F64BB5">
        <w:rPr>
          <w:i/>
          <w:sz w:val="16"/>
          <w:szCs w:val="16"/>
          <w:lang w:val="en-AU"/>
        </w:rPr>
        <w:t>Parenting for a Digital Future: Survey Report 3</w:t>
      </w:r>
      <w:r w:rsidRPr="00F64BB5">
        <w:rPr>
          <w:sz w:val="16"/>
          <w:szCs w:val="16"/>
          <w:lang w:val="en-AU"/>
        </w:rPr>
        <w:t xml:space="preserve"> (2018),</w:t>
      </w:r>
      <w:r w:rsidR="00C71246" w:rsidRPr="00F64BB5">
        <w:rPr>
          <w:sz w:val="16"/>
          <w:szCs w:val="16"/>
          <w:lang w:val="en-AU"/>
        </w:rPr>
        <w:t xml:space="preserve"> </w:t>
      </w:r>
      <w:r w:rsidRPr="00F64BB5">
        <w:rPr>
          <w:sz w:val="16"/>
          <w:szCs w:val="16"/>
          <w:lang w:val="en-AU"/>
        </w:rPr>
        <w:t>5</w:t>
      </w:r>
      <w:r w:rsidRPr="00F64BB5">
        <w:rPr>
          <w:sz w:val="16"/>
          <w:szCs w:val="16"/>
        </w:rPr>
        <w:t>&lt;</w:t>
      </w:r>
      <w:hyperlink r:id="rId1" w:history="1">
        <w:r w:rsidRPr="00F64BB5">
          <w:rPr>
            <w:rStyle w:val="Hyperlink"/>
            <w:sz w:val="16"/>
            <w:szCs w:val="16"/>
          </w:rPr>
          <w:t>http://www.lse.ac.uk/media-and-communications/assets/documents/research/preparing-for-a-digital-future/P4DF-Report-3.pdf</w:t>
        </w:r>
      </w:hyperlink>
      <w:r w:rsidRPr="00F64BB5">
        <w:rPr>
          <w:sz w:val="16"/>
          <w:szCs w:val="16"/>
        </w:rPr>
        <w:t xml:space="preserve"> &gt;.</w:t>
      </w:r>
    </w:p>
  </w:footnote>
  <w:footnote w:id="5">
    <w:p w14:paraId="466BBF5C" w14:textId="6B458042" w:rsidR="00CD02E0" w:rsidRPr="00F64BB5" w:rsidRDefault="00CD02E0" w:rsidP="0055326C">
      <w:pPr>
        <w:jc w:val="both"/>
        <w:rPr>
          <w:sz w:val="16"/>
          <w:szCs w:val="16"/>
          <w:lang w:val="en-AU"/>
        </w:rPr>
      </w:pPr>
      <w:r w:rsidRPr="00F64BB5">
        <w:rPr>
          <w:rStyle w:val="FootnoteReference"/>
          <w:sz w:val="16"/>
          <w:szCs w:val="16"/>
        </w:rPr>
        <w:footnoteRef/>
      </w:r>
      <w:r w:rsidRPr="00F64BB5">
        <w:rPr>
          <w:sz w:val="16"/>
          <w:szCs w:val="16"/>
        </w:rPr>
        <w:t xml:space="preserve"> This would exclude criminal conduct. </w:t>
      </w:r>
    </w:p>
  </w:footnote>
  <w:footnote w:id="6">
    <w:p w14:paraId="03049302" w14:textId="58396BC7" w:rsidR="00CD02E0" w:rsidRPr="00F64BB5" w:rsidRDefault="00CD02E0" w:rsidP="0055326C">
      <w:pPr>
        <w:jc w:val="both"/>
        <w:rPr>
          <w:sz w:val="16"/>
          <w:szCs w:val="16"/>
          <w:lang w:val="en-AU"/>
        </w:rPr>
      </w:pPr>
      <w:r w:rsidRPr="00F64BB5">
        <w:rPr>
          <w:rStyle w:val="FootnoteReference"/>
          <w:sz w:val="16"/>
          <w:szCs w:val="16"/>
        </w:rPr>
        <w:footnoteRef/>
      </w:r>
      <w:r w:rsidRPr="00F64BB5">
        <w:rPr>
          <w:sz w:val="16"/>
          <w:szCs w:val="16"/>
        </w:rPr>
        <w:t xml:space="preserve"> Alternatively, this will include guardians who have parental responsibility for a child</w:t>
      </w:r>
      <w:r w:rsidR="00E720F3">
        <w:rPr>
          <w:sz w:val="16"/>
          <w:szCs w:val="16"/>
        </w:rPr>
        <w:t>.</w:t>
      </w:r>
    </w:p>
  </w:footnote>
  <w:footnote w:id="7">
    <w:p w14:paraId="654913AA" w14:textId="13121296" w:rsidR="00CD02E0" w:rsidRPr="00F64BB5" w:rsidRDefault="00CD02E0" w:rsidP="0055326C">
      <w:pPr>
        <w:jc w:val="both"/>
        <w:rPr>
          <w:b/>
          <w:bCs/>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See Zachary Loeb, ‘</w:t>
      </w:r>
      <w:r w:rsidRPr="00F64BB5">
        <w:rPr>
          <w:bCs/>
          <w:sz w:val="16"/>
          <w:szCs w:val="16"/>
          <w:lang w:val="en-AU"/>
        </w:rPr>
        <w:t xml:space="preserve">Technology giants didn’t deserve public trust in the first place’, </w:t>
      </w:r>
      <w:r w:rsidRPr="00F64BB5">
        <w:rPr>
          <w:i/>
          <w:sz w:val="16"/>
          <w:szCs w:val="16"/>
          <w:lang w:val="en-AU"/>
        </w:rPr>
        <w:t>The Conversation</w:t>
      </w:r>
      <w:r w:rsidRPr="00F64BB5">
        <w:rPr>
          <w:sz w:val="16"/>
          <w:szCs w:val="16"/>
          <w:lang w:val="en-AU"/>
        </w:rPr>
        <w:t xml:space="preserve"> (19 November 2018) &lt;</w:t>
      </w:r>
      <w:hyperlink r:id="rId2" w:history="1">
        <w:r w:rsidRPr="00F64BB5">
          <w:rPr>
            <w:rStyle w:val="Hyperlink"/>
            <w:sz w:val="16"/>
            <w:szCs w:val="16"/>
            <w:lang w:val="en-AU"/>
          </w:rPr>
          <w:t>https://theconversation.com/technology-giants-didnt-deserve-public-trust-in-the-first-place-106989</w:t>
        </w:r>
      </w:hyperlink>
      <w:r w:rsidRPr="00F64BB5">
        <w:rPr>
          <w:sz w:val="16"/>
          <w:szCs w:val="16"/>
          <w:lang w:val="en-AU"/>
        </w:rPr>
        <w:t xml:space="preserve">&gt; : ‘Using any technology – from a knife to a computer – carries risks, but as technological systems increase in size and complexity the scale of these risks tends to increase as well.’ </w:t>
      </w:r>
    </w:p>
  </w:footnote>
  <w:footnote w:id="8">
    <w:p w14:paraId="62B0A3CC" w14:textId="011EC576" w:rsidR="00CD02E0" w:rsidRPr="00F64BB5" w:rsidRDefault="00CD02E0" w:rsidP="0055326C">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This can include anything that is considered a copyright-able work such as a person’s comments, photos, videos, individual posts, etc.</w:t>
      </w:r>
    </w:p>
  </w:footnote>
  <w:footnote w:id="9">
    <w:p w14:paraId="3BBB764B" w14:textId="64039620" w:rsidR="00CD02E0" w:rsidRPr="00B164EF" w:rsidRDefault="00CD02E0" w:rsidP="0055326C">
      <w:pPr>
        <w:jc w:val="both"/>
        <w:rPr>
          <w:lang w:val="en-AU"/>
        </w:rPr>
      </w:pPr>
      <w:r w:rsidRPr="00F64BB5">
        <w:rPr>
          <w:rStyle w:val="FootnoteReference"/>
          <w:sz w:val="16"/>
          <w:szCs w:val="16"/>
        </w:rPr>
        <w:footnoteRef/>
      </w:r>
      <w:r w:rsidRPr="00F64BB5">
        <w:rPr>
          <w:sz w:val="16"/>
          <w:szCs w:val="16"/>
        </w:rPr>
        <w:t xml:space="preserve"> Facebook, </w:t>
      </w:r>
      <w:r w:rsidRPr="00F64BB5">
        <w:rPr>
          <w:i/>
          <w:sz w:val="16"/>
          <w:szCs w:val="16"/>
        </w:rPr>
        <w:t>Terms of Service:</w:t>
      </w:r>
      <w:r w:rsidRPr="00F64BB5">
        <w:rPr>
          <w:sz w:val="16"/>
          <w:szCs w:val="16"/>
        </w:rPr>
        <w:t xml:space="preserve"> </w:t>
      </w:r>
      <w:r w:rsidRPr="00F64BB5">
        <w:rPr>
          <w:i/>
          <w:sz w:val="16"/>
          <w:szCs w:val="16"/>
        </w:rPr>
        <w:t>The permissions you give us</w:t>
      </w:r>
      <w:r w:rsidRPr="00F64BB5">
        <w:rPr>
          <w:sz w:val="16"/>
          <w:szCs w:val="16"/>
        </w:rPr>
        <w:t xml:space="preserve"> (accessed 13 May 2019) &lt;</w:t>
      </w:r>
      <w:hyperlink r:id="rId3" w:history="1">
        <w:r w:rsidRPr="00F64BB5">
          <w:rPr>
            <w:rStyle w:val="Hyperlink"/>
            <w:sz w:val="16"/>
            <w:szCs w:val="16"/>
          </w:rPr>
          <w:t>https://www.facebook.com/terms.php 3</w:t>
        </w:r>
      </w:hyperlink>
      <w:r w:rsidRPr="00F64BB5">
        <w:rPr>
          <w:sz w:val="16"/>
          <w:szCs w:val="16"/>
        </w:rPr>
        <w:t>&gt;.</w:t>
      </w:r>
    </w:p>
  </w:footnote>
  <w:footnote w:id="10">
    <w:p w14:paraId="0676BC60" w14:textId="014621C7"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Ibid.</w:t>
      </w:r>
    </w:p>
  </w:footnote>
  <w:footnote w:id="11">
    <w:p w14:paraId="29042D77" w14:textId="37149780"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Consider, for example, delays in posting items for sale on Facebook Marketplace, where individuals use key words that may indicate a prohibited transaction item (such as an animal) is attempting to be sold.</w:t>
      </w:r>
    </w:p>
  </w:footnote>
  <w:footnote w:id="12">
    <w:p w14:paraId="379BA406" w14:textId="7ACF01A1" w:rsidR="00CD02E0" w:rsidRPr="00F64BB5" w:rsidRDefault="00CD02E0" w:rsidP="0022631E">
      <w:pPr>
        <w:jc w:val="both"/>
        <w:rPr>
          <w:b/>
          <w:bCs/>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See, for example, Andrew </w:t>
      </w:r>
      <w:proofErr w:type="spellStart"/>
      <w:r w:rsidRPr="00F64BB5">
        <w:rPr>
          <w:sz w:val="16"/>
          <w:szCs w:val="16"/>
          <w:lang w:val="en-AU"/>
        </w:rPr>
        <w:t>Quodling</w:t>
      </w:r>
      <w:proofErr w:type="spellEnd"/>
      <w:r w:rsidRPr="00F64BB5">
        <w:rPr>
          <w:sz w:val="16"/>
          <w:szCs w:val="16"/>
          <w:lang w:val="en-AU"/>
        </w:rPr>
        <w:t>, ‘</w:t>
      </w:r>
      <w:r w:rsidRPr="00F64BB5">
        <w:rPr>
          <w:bCs/>
          <w:sz w:val="16"/>
          <w:szCs w:val="16"/>
          <w:lang w:val="en-AU"/>
        </w:rPr>
        <w:t xml:space="preserve">Shadow profiles - Facebook knows about you, even if you’re not on Facebook’, </w:t>
      </w:r>
      <w:r w:rsidRPr="00F64BB5">
        <w:rPr>
          <w:i/>
          <w:sz w:val="16"/>
          <w:szCs w:val="16"/>
          <w:lang w:val="en-AU"/>
        </w:rPr>
        <w:t>The Conversation</w:t>
      </w:r>
      <w:r w:rsidRPr="00F64BB5">
        <w:rPr>
          <w:sz w:val="16"/>
          <w:szCs w:val="16"/>
          <w:lang w:val="en-AU"/>
        </w:rPr>
        <w:t xml:space="preserve"> (13 April 2018) &lt;</w:t>
      </w:r>
      <w:hyperlink r:id="rId4" w:history="1">
        <w:r w:rsidRPr="00F64BB5">
          <w:rPr>
            <w:rStyle w:val="Hyperlink"/>
            <w:sz w:val="16"/>
            <w:szCs w:val="16"/>
            <w:lang w:val="en-AU"/>
          </w:rPr>
          <w:t>https://theconversation.com/shadow-profiles-facebook-knows-about-you-even-if-youre-not-on-facebook-94804</w:t>
        </w:r>
      </w:hyperlink>
      <w:r w:rsidRPr="00F64BB5">
        <w:rPr>
          <w:sz w:val="16"/>
          <w:szCs w:val="16"/>
          <w:lang w:val="en-AU"/>
        </w:rPr>
        <w:t xml:space="preserve">. </w:t>
      </w:r>
    </w:p>
  </w:footnote>
  <w:footnote w:id="13">
    <w:p w14:paraId="1474CEED" w14:textId="332981F6"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This includes the Cambridge Analytica scandal, which saw the illegal collection of over 50 million Facebook users’ information; devices that record and monitor users conversations and interactions; etc. See also Zachary Loeb, ‘</w:t>
      </w:r>
      <w:r w:rsidRPr="00F64BB5">
        <w:rPr>
          <w:bCs/>
          <w:sz w:val="16"/>
          <w:szCs w:val="16"/>
          <w:lang w:val="en-AU"/>
        </w:rPr>
        <w:t xml:space="preserve">Technology giants didn’t deserve public trust in the first place’, </w:t>
      </w:r>
      <w:r w:rsidRPr="00F64BB5">
        <w:rPr>
          <w:i/>
          <w:sz w:val="16"/>
          <w:szCs w:val="16"/>
          <w:lang w:val="en-AU"/>
        </w:rPr>
        <w:t>The Conversation</w:t>
      </w:r>
      <w:r w:rsidRPr="00F64BB5">
        <w:rPr>
          <w:sz w:val="16"/>
          <w:szCs w:val="16"/>
          <w:lang w:val="en-AU"/>
        </w:rPr>
        <w:t xml:space="preserve"> (19 November 2018) &lt;</w:t>
      </w:r>
      <w:hyperlink r:id="rId5" w:history="1">
        <w:r w:rsidRPr="00F64BB5">
          <w:rPr>
            <w:rStyle w:val="Hyperlink"/>
            <w:sz w:val="16"/>
            <w:szCs w:val="16"/>
            <w:lang w:val="en-AU"/>
          </w:rPr>
          <w:t>https://theconversation.com/technology-giants-didnt-deserve-public-trust-in-the-first-place-106989</w:t>
        </w:r>
      </w:hyperlink>
      <w:r w:rsidRPr="00F64BB5">
        <w:rPr>
          <w:sz w:val="16"/>
          <w:szCs w:val="16"/>
          <w:lang w:val="en-AU"/>
        </w:rPr>
        <w:t xml:space="preserve"> &gt;.</w:t>
      </w:r>
    </w:p>
  </w:footnote>
  <w:footnote w:id="14">
    <w:p w14:paraId="6650AE9A" w14:textId="0E18E50A" w:rsidR="00CD02E0" w:rsidRPr="00F64BB5" w:rsidRDefault="00CD02E0" w:rsidP="0022631E">
      <w:pPr>
        <w:jc w:val="both"/>
        <w:rPr>
          <w:b/>
          <w:bCs/>
          <w:sz w:val="16"/>
          <w:szCs w:val="16"/>
          <w:lang w:val="en-AU"/>
        </w:rPr>
      </w:pPr>
      <w:r w:rsidRPr="00F64BB5">
        <w:rPr>
          <w:rStyle w:val="FootnoteReference"/>
          <w:rFonts w:eastAsia="SimSun"/>
          <w:sz w:val="16"/>
          <w:szCs w:val="16"/>
          <w:lang w:eastAsia="zh-CN"/>
        </w:rPr>
        <w:footnoteRef/>
      </w:r>
      <w:r w:rsidRPr="00F64BB5">
        <w:rPr>
          <w:rStyle w:val="FootnoteReference"/>
          <w:sz w:val="16"/>
          <w:szCs w:val="16"/>
        </w:rPr>
        <w:footnoteRef/>
      </w:r>
      <w:r w:rsidRPr="00F64BB5">
        <w:rPr>
          <w:sz w:val="16"/>
          <w:szCs w:val="16"/>
        </w:rPr>
        <w:t xml:space="preserve"> </w:t>
      </w:r>
      <w:r w:rsidRPr="00F64BB5">
        <w:rPr>
          <w:sz w:val="16"/>
          <w:szCs w:val="16"/>
          <w:lang w:val="en-AU"/>
        </w:rPr>
        <w:t>See, for example, David Glance, ‘</w:t>
      </w:r>
      <w:r w:rsidRPr="00F64BB5">
        <w:rPr>
          <w:bCs/>
          <w:sz w:val="16"/>
          <w:szCs w:val="16"/>
          <w:lang w:val="en-AU"/>
        </w:rPr>
        <w:t xml:space="preserve">It’s impossible for Facebook users to protect themselves from data exploitation’, </w:t>
      </w:r>
      <w:r w:rsidRPr="00F64BB5">
        <w:rPr>
          <w:i/>
          <w:sz w:val="16"/>
          <w:szCs w:val="16"/>
          <w:lang w:val="en-AU"/>
        </w:rPr>
        <w:t>The Conversation</w:t>
      </w:r>
      <w:r w:rsidRPr="00F64BB5">
        <w:rPr>
          <w:sz w:val="16"/>
          <w:szCs w:val="16"/>
          <w:lang w:val="en-AU"/>
        </w:rPr>
        <w:t xml:space="preserve"> (23 March 2018)  &lt;</w:t>
      </w:r>
      <w:hyperlink r:id="rId6" w:history="1">
        <w:r w:rsidRPr="00F64BB5">
          <w:rPr>
            <w:rStyle w:val="Hyperlink"/>
            <w:sz w:val="16"/>
            <w:szCs w:val="16"/>
            <w:lang w:val="en-AU"/>
          </w:rPr>
          <w:t>https://theconversation.com/its-impossible-for-facebook-users-to-protect-themselves-from-data-exploitation-93800</w:t>
        </w:r>
      </w:hyperlink>
      <w:r w:rsidRPr="00F64BB5">
        <w:rPr>
          <w:sz w:val="16"/>
          <w:szCs w:val="16"/>
          <w:lang w:val="en-AU"/>
        </w:rPr>
        <w:t xml:space="preserve">&gt;. Additionally, while it is beyond the scope of this submission, further consideration should be given to when children can legally create profiles on social media platforms. It is questionable that social media platforms can allow children under the age of 18 to create profiles, with the minimum age currently being set at 13 years of age (which is generally self-certified). Worse still, it appears that this ‘age limit’ is not actively enforced by platforms such as Facebook and Instagram, although steps are being taken to do so. It has also been noted that Facebook has been purposefully attempting to attract children </w:t>
      </w:r>
      <w:hyperlink r:id="rId7" w:history="1">
        <w:r w:rsidRPr="00F64BB5">
          <w:rPr>
            <w:rStyle w:val="Hyperlink"/>
            <w:sz w:val="16"/>
            <w:szCs w:val="16"/>
            <w:lang w:val="en-AU"/>
          </w:rPr>
          <w:t>under the age of 13</w:t>
        </w:r>
      </w:hyperlink>
      <w:r w:rsidRPr="00F64BB5">
        <w:rPr>
          <w:sz w:val="16"/>
          <w:szCs w:val="16"/>
          <w:lang w:val="en-AU"/>
        </w:rPr>
        <w:t xml:space="preserve"> through its </w:t>
      </w:r>
      <w:hyperlink r:id="rId8" w:history="1">
        <w:r w:rsidRPr="00F64BB5">
          <w:rPr>
            <w:rStyle w:val="Hyperlink"/>
            <w:sz w:val="16"/>
            <w:szCs w:val="16"/>
            <w:lang w:val="en-AU"/>
          </w:rPr>
          <w:t>Messenger Kids App</w:t>
        </w:r>
      </w:hyperlink>
      <w:r w:rsidRPr="00F64BB5">
        <w:rPr>
          <w:sz w:val="16"/>
          <w:szCs w:val="16"/>
          <w:lang w:val="en-AU"/>
        </w:rPr>
        <w:t>, which was introduced in 2017. It has also been widely reported that Facebook CEO Mark Zuckerberg does not believe an age limit should exist (</w:t>
      </w:r>
      <w:hyperlink r:id="rId9" w:history="1">
        <w:r w:rsidRPr="00F64BB5">
          <w:rPr>
            <w:rStyle w:val="Hyperlink"/>
            <w:sz w:val="16"/>
            <w:szCs w:val="16"/>
            <w:lang w:val="en-AU"/>
          </w:rPr>
          <w:t>http://fortune.com/2011/05/20/zuckerberg-kids-under-13-should-be-allowed-on-facebook/</w:t>
        </w:r>
      </w:hyperlink>
      <w:r w:rsidRPr="00F64BB5">
        <w:rPr>
          <w:sz w:val="16"/>
          <w:szCs w:val="16"/>
          <w:lang w:val="en-AU"/>
        </w:rPr>
        <w:t>). This raises significant issues regarding informed consent, the forms of advertising children are exposed to (such as gambling, alcohol, etc), public safety concerns regarding screen-time for children, and the lack of protections regarding fake news and other dangerous content. This is arguably the active exploitation of a vulnerable group – in respect of their legal rights and remedies – who are ill-equipped to identify, report and litigate any breaches that may arise.</w:t>
      </w:r>
    </w:p>
  </w:footnote>
  <w:footnote w:id="15">
    <w:p w14:paraId="26D3A114" w14:textId="35C357A7" w:rsidR="00CD02E0" w:rsidRPr="00E954DD" w:rsidRDefault="00CD02E0" w:rsidP="0022631E">
      <w:pPr>
        <w:jc w:val="both"/>
        <w:rPr>
          <w:lang w:val="en-AU"/>
        </w:rPr>
      </w:pPr>
      <w:r w:rsidRPr="00F64BB5">
        <w:rPr>
          <w:rStyle w:val="FootnoteReference"/>
          <w:sz w:val="16"/>
          <w:szCs w:val="16"/>
        </w:rPr>
        <w:footnoteRef/>
      </w:r>
      <w:r w:rsidRPr="00F64BB5">
        <w:rPr>
          <w:sz w:val="16"/>
          <w:szCs w:val="16"/>
        </w:rPr>
        <w:t xml:space="preserve"> London School of Economics, ‘</w:t>
      </w:r>
      <w:r w:rsidRPr="00F64BB5">
        <w:rPr>
          <w:sz w:val="16"/>
          <w:szCs w:val="16"/>
          <w:lang w:val="en-AU"/>
        </w:rPr>
        <w:t xml:space="preserve">What do parents think, and do, about their children’s online privacy?’, </w:t>
      </w:r>
      <w:r w:rsidRPr="00F64BB5">
        <w:rPr>
          <w:i/>
          <w:sz w:val="16"/>
          <w:szCs w:val="16"/>
          <w:lang w:val="en-AU"/>
        </w:rPr>
        <w:t>Parenting for a Digital Future: Survey Report 3</w:t>
      </w:r>
      <w:r w:rsidRPr="00F64BB5">
        <w:rPr>
          <w:sz w:val="16"/>
          <w:szCs w:val="16"/>
          <w:lang w:val="en-AU"/>
        </w:rPr>
        <w:t xml:space="preserve"> (2018)</w:t>
      </w:r>
      <w:r w:rsidRPr="00F64BB5">
        <w:rPr>
          <w:sz w:val="16"/>
          <w:szCs w:val="16"/>
        </w:rPr>
        <w:t xml:space="preserve"> &lt;</w:t>
      </w:r>
      <w:hyperlink r:id="rId10" w:history="1">
        <w:r w:rsidRPr="00F64BB5">
          <w:rPr>
            <w:rStyle w:val="Hyperlink"/>
            <w:sz w:val="16"/>
            <w:szCs w:val="16"/>
          </w:rPr>
          <w:t>http://www.lse.ac.uk/media-and-communications/assets/documents/research/preparing-for-a-digital-future/P4DF-Report-3.pdf</w:t>
        </w:r>
      </w:hyperlink>
      <w:r w:rsidRPr="00F64BB5">
        <w:rPr>
          <w:sz w:val="16"/>
          <w:szCs w:val="16"/>
        </w:rPr>
        <w:t xml:space="preserve"> &gt;.</w:t>
      </w:r>
      <w:r>
        <w:t xml:space="preserve"> </w:t>
      </w:r>
    </w:p>
  </w:footnote>
  <w:footnote w:id="16">
    <w:p w14:paraId="3F8B39C8" w14:textId="54FAFC7A"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Consider, the </w:t>
      </w:r>
      <w:r w:rsidRPr="00F64BB5">
        <w:rPr>
          <w:sz w:val="16"/>
          <w:szCs w:val="16"/>
          <w:lang w:val="en-AU"/>
        </w:rPr>
        <w:t xml:space="preserve">example of an Australian man who posted a picture of his naked toddler in the bath on Facebook, thinking it would only be seen by friends and family, only to discover 3000 strangers had clicked on and ''liked'' the image: </w:t>
      </w:r>
      <w:hyperlink r:id="rId11" w:history="1">
        <w:r w:rsidRPr="00F64BB5">
          <w:rPr>
            <w:rStyle w:val="Hyperlink"/>
            <w:sz w:val="16"/>
            <w:szCs w:val="16"/>
          </w:rPr>
          <w:t>https://www.smh.com.au/technology/parents-warned-of-dangers-in-posting-childrens-images-online-20140330-35rtv.html</w:t>
        </w:r>
      </w:hyperlink>
      <w:r w:rsidRPr="00F64BB5">
        <w:rPr>
          <w:sz w:val="16"/>
          <w:szCs w:val="16"/>
        </w:rPr>
        <w:t xml:space="preserve">. </w:t>
      </w:r>
    </w:p>
  </w:footnote>
  <w:footnote w:id="17">
    <w:p w14:paraId="55BBA9EF" w14:textId="31F17B41"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Consider, for example, security issues allowing hackers to access user information without permission (including weak authentication measures), so called ‘self-deleting’ message applications that have been prone to issues such as: the ability to save images or videos, gathering geolocation information, issues associated with ‘find friends’ functions and hacking attempts, etc.</w:t>
      </w:r>
    </w:p>
  </w:footnote>
  <w:footnote w:id="18">
    <w:p w14:paraId="578FF5A2" w14:textId="53955600"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This is slowly changing; the EU General Data Protection Regulation </w:t>
      </w:r>
      <w:r w:rsidRPr="00F64BB5">
        <w:rPr>
          <w:sz w:val="16"/>
          <w:szCs w:val="16"/>
          <w:lang w:val="en-AU"/>
        </w:rPr>
        <w:t>(EU) 2016/679 is a good example of major changes in this space.</w:t>
      </w:r>
    </w:p>
  </w:footnote>
  <w:footnote w:id="19">
    <w:p w14:paraId="68FFBE94" w14:textId="36DCF0E4"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Consider, for example the Children's Online Privacy Protection Act of 1998, 15 U.S.C. 6501–6505, which is the legal framework tech companies (who are overwhelming based in the United States of America) use as the foundation of their interactions with children.</w:t>
      </w:r>
    </w:p>
  </w:footnote>
  <w:footnote w:id="20">
    <w:p w14:paraId="37108654" w14:textId="7515CA87"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This is something that is slowly being acknowledged by nation states – New Zealand Prime Minister Jacinda Ardern is seeking to address the streaming of extreme violent content online via a global approach known as the ‘Christchurch Call’. </w:t>
      </w:r>
    </w:p>
  </w:footnote>
  <w:footnote w:id="21">
    <w:p w14:paraId="43A07DF0" w14:textId="6E972FF9" w:rsidR="00450307" w:rsidRPr="00F64BB5" w:rsidRDefault="00450307" w:rsidP="00276FDC">
      <w:pPr>
        <w:rPr>
          <w:sz w:val="16"/>
          <w:szCs w:val="16"/>
          <w:lang w:val="en-AU"/>
        </w:rPr>
      </w:pPr>
      <w:r w:rsidRPr="00F64BB5">
        <w:rPr>
          <w:rStyle w:val="FootnoteReference"/>
          <w:sz w:val="16"/>
          <w:szCs w:val="16"/>
        </w:rPr>
        <w:footnoteRef/>
      </w:r>
      <w:r w:rsidRPr="00F64BB5">
        <w:rPr>
          <w:sz w:val="16"/>
          <w:szCs w:val="16"/>
        </w:rPr>
        <w:t xml:space="preserve"> Right to privacy: </w:t>
      </w:r>
      <w:r w:rsidR="003540D7" w:rsidRPr="00F64BB5">
        <w:rPr>
          <w:i/>
          <w:sz w:val="16"/>
          <w:szCs w:val="16"/>
          <w:lang w:val="en-AU"/>
        </w:rPr>
        <w:t>Convention on the Rights of the Child</w:t>
      </w:r>
      <w:r w:rsidR="003540D7" w:rsidRPr="00F64BB5">
        <w:rPr>
          <w:sz w:val="16"/>
          <w:szCs w:val="16"/>
          <w:lang w:val="en-AU"/>
        </w:rPr>
        <w:t>,</w:t>
      </w:r>
      <w:r w:rsidRPr="00F64BB5">
        <w:rPr>
          <w:sz w:val="16"/>
          <w:szCs w:val="16"/>
          <w:lang w:val="en-AU"/>
        </w:rPr>
        <w:t xml:space="preserve"> </w:t>
      </w:r>
      <w:r w:rsidR="00276FDC" w:rsidRPr="00F64BB5">
        <w:rPr>
          <w:sz w:val="16"/>
          <w:szCs w:val="16"/>
          <w:lang w:val="en-AU"/>
        </w:rPr>
        <w:t>a</w:t>
      </w:r>
      <w:r w:rsidRPr="00F64BB5">
        <w:rPr>
          <w:sz w:val="16"/>
          <w:szCs w:val="16"/>
          <w:lang w:val="en-AU"/>
        </w:rPr>
        <w:t xml:space="preserve">rticle 16. See also </w:t>
      </w:r>
      <w:r w:rsidR="003540D7" w:rsidRPr="00F64BB5">
        <w:rPr>
          <w:i/>
          <w:sz w:val="16"/>
          <w:szCs w:val="16"/>
          <w:lang w:val="en-AU"/>
        </w:rPr>
        <w:t>International Covenant on Civil and Political Rights</w:t>
      </w:r>
      <w:r w:rsidR="003540D7" w:rsidRPr="00F64BB5">
        <w:rPr>
          <w:sz w:val="16"/>
          <w:szCs w:val="16"/>
          <w:lang w:val="en-AU"/>
        </w:rPr>
        <w:t xml:space="preserve"> </w:t>
      </w:r>
      <w:r w:rsidR="00276FDC" w:rsidRPr="00F64BB5">
        <w:rPr>
          <w:sz w:val="16"/>
          <w:szCs w:val="16"/>
          <w:lang w:val="en-AU"/>
        </w:rPr>
        <w:t>a</w:t>
      </w:r>
      <w:r w:rsidRPr="00F64BB5">
        <w:rPr>
          <w:sz w:val="16"/>
          <w:szCs w:val="16"/>
          <w:lang w:val="en-AU"/>
        </w:rPr>
        <w:t xml:space="preserve">rticle 17, </w:t>
      </w:r>
      <w:r w:rsidR="003540D7" w:rsidRPr="00F64BB5">
        <w:rPr>
          <w:i/>
          <w:sz w:val="16"/>
          <w:szCs w:val="16"/>
          <w:lang w:val="en-AU"/>
        </w:rPr>
        <w:t>Universal Declaration of Human Rights</w:t>
      </w:r>
      <w:r w:rsidR="003540D7" w:rsidRPr="00F64BB5">
        <w:rPr>
          <w:sz w:val="16"/>
          <w:szCs w:val="16"/>
          <w:lang w:val="en-AU"/>
        </w:rPr>
        <w:t xml:space="preserve"> </w:t>
      </w:r>
      <w:r w:rsidR="00276FDC" w:rsidRPr="00F64BB5">
        <w:rPr>
          <w:sz w:val="16"/>
          <w:szCs w:val="16"/>
          <w:lang w:val="en-AU"/>
        </w:rPr>
        <w:t>a</w:t>
      </w:r>
      <w:r w:rsidRPr="00F64BB5">
        <w:rPr>
          <w:sz w:val="16"/>
          <w:szCs w:val="16"/>
          <w:lang w:val="en-AU"/>
        </w:rPr>
        <w:t>rticle</w:t>
      </w:r>
      <w:r w:rsidR="006A5D6C" w:rsidRPr="00F64BB5">
        <w:rPr>
          <w:sz w:val="16"/>
          <w:szCs w:val="16"/>
          <w:lang w:val="en-AU"/>
        </w:rPr>
        <w:t>s</w:t>
      </w:r>
      <w:r w:rsidRPr="00F64BB5">
        <w:rPr>
          <w:sz w:val="16"/>
          <w:szCs w:val="16"/>
          <w:lang w:val="en-AU"/>
        </w:rPr>
        <w:t xml:space="preserve"> 12</w:t>
      </w:r>
      <w:r w:rsidR="00016104" w:rsidRPr="00F64BB5">
        <w:rPr>
          <w:sz w:val="16"/>
          <w:szCs w:val="16"/>
          <w:lang w:val="en-AU"/>
        </w:rPr>
        <w:t xml:space="preserve"> and</w:t>
      </w:r>
      <w:r w:rsidRPr="00F64BB5">
        <w:rPr>
          <w:sz w:val="16"/>
          <w:szCs w:val="16"/>
          <w:lang w:val="en-AU"/>
        </w:rPr>
        <w:t xml:space="preserve"> 22(1)</w:t>
      </w:r>
      <w:r w:rsidR="00016104" w:rsidRPr="00F64BB5">
        <w:rPr>
          <w:sz w:val="16"/>
          <w:szCs w:val="16"/>
          <w:lang w:val="en-AU"/>
        </w:rPr>
        <w:t>.</w:t>
      </w:r>
    </w:p>
  </w:footnote>
  <w:footnote w:id="22">
    <w:p w14:paraId="07B9B00B" w14:textId="786B8D8F" w:rsidR="00450307" w:rsidRPr="00F64BB5" w:rsidRDefault="00450307" w:rsidP="00B6157C">
      <w:pPr>
        <w:pStyle w:val="FootnoteText"/>
        <w:ind w:left="0" w:right="0" w:firstLine="0"/>
        <w:jc w:val="both"/>
        <w:rPr>
          <w:sz w:val="16"/>
          <w:szCs w:val="16"/>
          <w:lang w:val="en-AU"/>
        </w:rPr>
      </w:pPr>
      <w:r w:rsidRPr="00F64BB5">
        <w:rPr>
          <w:rStyle w:val="FootnoteReference"/>
          <w:sz w:val="16"/>
          <w:szCs w:val="16"/>
        </w:rPr>
        <w:footnoteRef/>
      </w:r>
      <w:r w:rsidRPr="00F64BB5">
        <w:rPr>
          <w:sz w:val="16"/>
          <w:szCs w:val="16"/>
        </w:rPr>
        <w:t xml:space="preserve"> </w:t>
      </w:r>
      <w:r w:rsidR="003540D7" w:rsidRPr="00F64BB5">
        <w:rPr>
          <w:i/>
          <w:sz w:val="16"/>
          <w:szCs w:val="16"/>
          <w:lang w:val="en-AU"/>
        </w:rPr>
        <w:t>Convention on the Rights of the Child</w:t>
      </w:r>
      <w:r w:rsidR="003540D7" w:rsidRPr="00F64BB5">
        <w:rPr>
          <w:sz w:val="16"/>
          <w:szCs w:val="16"/>
          <w:lang w:val="en-AU"/>
        </w:rPr>
        <w:t xml:space="preserve"> </w:t>
      </w:r>
      <w:r w:rsidR="0037216D" w:rsidRPr="00F64BB5">
        <w:rPr>
          <w:sz w:val="16"/>
          <w:szCs w:val="16"/>
          <w:lang w:val="en-AU"/>
        </w:rPr>
        <w:t>a</w:t>
      </w:r>
      <w:r w:rsidRPr="00F64BB5">
        <w:rPr>
          <w:sz w:val="16"/>
          <w:szCs w:val="16"/>
          <w:lang w:val="en-AU"/>
        </w:rPr>
        <w:t>rticle</w:t>
      </w:r>
      <w:r w:rsidR="00633C4C" w:rsidRPr="00F64BB5">
        <w:rPr>
          <w:sz w:val="16"/>
          <w:szCs w:val="16"/>
          <w:lang w:val="en-AU"/>
        </w:rPr>
        <w:t>s</w:t>
      </w:r>
      <w:r w:rsidRPr="00F64BB5">
        <w:rPr>
          <w:sz w:val="16"/>
          <w:szCs w:val="16"/>
          <w:lang w:val="en-AU"/>
        </w:rPr>
        <w:t xml:space="preserve"> 19(1)</w:t>
      </w:r>
      <w:r w:rsidR="00633C4C" w:rsidRPr="00F64BB5">
        <w:rPr>
          <w:sz w:val="16"/>
          <w:szCs w:val="16"/>
          <w:lang w:val="en-AU"/>
        </w:rPr>
        <w:t xml:space="preserve"> and </w:t>
      </w:r>
      <w:r w:rsidRPr="00F64BB5">
        <w:rPr>
          <w:sz w:val="16"/>
          <w:szCs w:val="16"/>
          <w:lang w:val="en-AU"/>
        </w:rPr>
        <w:t>34. This could also cover cruel, inhuman or degrading</w:t>
      </w:r>
      <w:r w:rsidR="00404711" w:rsidRPr="00F64BB5">
        <w:rPr>
          <w:sz w:val="16"/>
          <w:szCs w:val="16"/>
          <w:lang w:val="en-AU"/>
        </w:rPr>
        <w:t xml:space="preserve"> </w:t>
      </w:r>
      <w:r w:rsidRPr="00F64BB5">
        <w:rPr>
          <w:sz w:val="16"/>
          <w:szCs w:val="16"/>
          <w:lang w:val="en-AU"/>
        </w:rPr>
        <w:t>treatment under</w:t>
      </w:r>
      <w:r w:rsidR="00633C4C" w:rsidRPr="00F64BB5">
        <w:rPr>
          <w:sz w:val="16"/>
          <w:szCs w:val="16"/>
          <w:lang w:val="en-AU"/>
        </w:rPr>
        <w:t xml:space="preserve"> </w:t>
      </w:r>
      <w:r w:rsidR="0037216D" w:rsidRPr="00F64BB5">
        <w:rPr>
          <w:sz w:val="16"/>
          <w:szCs w:val="16"/>
          <w:lang w:val="en-AU"/>
        </w:rPr>
        <w:t>a</w:t>
      </w:r>
      <w:r w:rsidR="00633C4C" w:rsidRPr="00F64BB5">
        <w:rPr>
          <w:sz w:val="16"/>
          <w:szCs w:val="16"/>
          <w:lang w:val="en-AU"/>
        </w:rPr>
        <w:t>rticle 7 of the</w:t>
      </w:r>
      <w:r w:rsidRPr="00F64BB5">
        <w:rPr>
          <w:sz w:val="16"/>
          <w:szCs w:val="16"/>
          <w:lang w:val="en-AU"/>
        </w:rPr>
        <w:t xml:space="preserve"> </w:t>
      </w:r>
      <w:r w:rsidR="003540D7" w:rsidRPr="00F64BB5">
        <w:rPr>
          <w:i/>
          <w:sz w:val="16"/>
          <w:szCs w:val="16"/>
          <w:lang w:val="en-AU"/>
        </w:rPr>
        <w:t>International Covenant on Civil and Political Rights</w:t>
      </w:r>
      <w:r w:rsidRPr="00F64BB5">
        <w:rPr>
          <w:sz w:val="16"/>
          <w:szCs w:val="16"/>
          <w:lang w:val="en-AU"/>
        </w:rPr>
        <w:t xml:space="preserve">, </w:t>
      </w:r>
      <w:r w:rsidR="0037216D" w:rsidRPr="00F64BB5">
        <w:rPr>
          <w:sz w:val="16"/>
          <w:szCs w:val="16"/>
          <w:lang w:val="en-AU"/>
        </w:rPr>
        <w:t>a</w:t>
      </w:r>
      <w:r w:rsidR="00633C4C" w:rsidRPr="00F64BB5">
        <w:rPr>
          <w:sz w:val="16"/>
          <w:szCs w:val="16"/>
          <w:lang w:val="en-AU"/>
        </w:rPr>
        <w:t xml:space="preserve">rticle 5 </w:t>
      </w:r>
      <w:r w:rsidR="003540D7" w:rsidRPr="00F64BB5">
        <w:rPr>
          <w:i/>
          <w:sz w:val="16"/>
          <w:szCs w:val="16"/>
          <w:lang w:val="en-AU"/>
        </w:rPr>
        <w:t>Universal Declaration of Human Rights</w:t>
      </w:r>
      <w:r w:rsidRPr="00F64BB5">
        <w:rPr>
          <w:sz w:val="16"/>
          <w:szCs w:val="16"/>
          <w:lang w:val="en-AU"/>
        </w:rPr>
        <w:t xml:space="preserve">, </w:t>
      </w:r>
      <w:r w:rsidR="00633C4C" w:rsidRPr="00F64BB5">
        <w:rPr>
          <w:sz w:val="16"/>
          <w:szCs w:val="16"/>
          <w:lang w:val="en-AU"/>
        </w:rPr>
        <w:t xml:space="preserve">and </w:t>
      </w:r>
      <w:r w:rsidR="0037216D" w:rsidRPr="00F64BB5">
        <w:rPr>
          <w:sz w:val="16"/>
          <w:szCs w:val="16"/>
          <w:lang w:val="en-AU"/>
        </w:rPr>
        <w:t>a</w:t>
      </w:r>
      <w:r w:rsidR="00633C4C" w:rsidRPr="00F64BB5">
        <w:rPr>
          <w:sz w:val="16"/>
          <w:szCs w:val="16"/>
          <w:lang w:val="en-AU"/>
        </w:rPr>
        <w:t xml:space="preserve">rticle 37(2) of the </w:t>
      </w:r>
      <w:r w:rsidR="003540D7" w:rsidRPr="00F64BB5">
        <w:rPr>
          <w:i/>
          <w:sz w:val="16"/>
          <w:szCs w:val="16"/>
          <w:lang w:val="en-AU"/>
        </w:rPr>
        <w:t>Convention on the Rights of the Child</w:t>
      </w:r>
      <w:r w:rsidR="00633C4C" w:rsidRPr="00F64BB5">
        <w:rPr>
          <w:sz w:val="16"/>
          <w:szCs w:val="16"/>
          <w:lang w:val="en-AU"/>
        </w:rPr>
        <w:t xml:space="preserve">. </w:t>
      </w:r>
      <w:r w:rsidR="00A24D4D" w:rsidRPr="00F64BB5">
        <w:rPr>
          <w:sz w:val="16"/>
          <w:szCs w:val="16"/>
          <w:lang w:val="en-AU"/>
        </w:rPr>
        <w:t xml:space="preserve">Consider also the right to life under </w:t>
      </w:r>
      <w:r w:rsidR="00633C4C" w:rsidRPr="00F64BB5">
        <w:rPr>
          <w:sz w:val="16"/>
          <w:szCs w:val="16"/>
          <w:lang w:val="en-AU"/>
        </w:rPr>
        <w:t>Article 6</w:t>
      </w:r>
      <w:r w:rsidR="00402707" w:rsidRPr="00F64BB5">
        <w:rPr>
          <w:sz w:val="16"/>
          <w:szCs w:val="16"/>
          <w:lang w:val="en-AU"/>
        </w:rPr>
        <w:t xml:space="preserve"> of the </w:t>
      </w:r>
      <w:r w:rsidR="003540D7" w:rsidRPr="00F64BB5">
        <w:rPr>
          <w:i/>
          <w:sz w:val="16"/>
          <w:szCs w:val="16"/>
          <w:lang w:val="en-AU"/>
        </w:rPr>
        <w:t>Convention on the Rights of the Child</w:t>
      </w:r>
      <w:r w:rsidR="003540D7" w:rsidRPr="00F64BB5">
        <w:rPr>
          <w:sz w:val="16"/>
          <w:szCs w:val="16"/>
          <w:lang w:val="en-AU"/>
        </w:rPr>
        <w:t xml:space="preserve"> </w:t>
      </w:r>
      <w:r w:rsidR="00A24D4D" w:rsidRPr="00F64BB5">
        <w:rPr>
          <w:sz w:val="16"/>
          <w:szCs w:val="16"/>
          <w:lang w:val="en-AU"/>
        </w:rPr>
        <w:t>and the corresponding obligations.</w:t>
      </w:r>
    </w:p>
  </w:footnote>
  <w:footnote w:id="23">
    <w:p w14:paraId="746E753F" w14:textId="77777777" w:rsidR="009D7358" w:rsidRPr="005517D5" w:rsidRDefault="009D7358" w:rsidP="00404711">
      <w:pPr>
        <w:jc w:val="both"/>
        <w:rPr>
          <w:sz w:val="18"/>
          <w:szCs w:val="18"/>
          <w:lang w:val="en-AU"/>
        </w:rPr>
      </w:pPr>
      <w:r w:rsidRPr="00F64BB5">
        <w:rPr>
          <w:rStyle w:val="FootnoteReference"/>
          <w:sz w:val="16"/>
          <w:szCs w:val="16"/>
        </w:rPr>
        <w:footnoteRef/>
      </w:r>
      <w:r w:rsidRPr="00F64BB5">
        <w:rPr>
          <w:sz w:val="16"/>
          <w:szCs w:val="16"/>
        </w:rPr>
        <w:t xml:space="preserve"> While acknowledging that a wide range of rights could be affected, this discussion is confined to those in the International Bill of Rights and the </w:t>
      </w:r>
      <w:r w:rsidRPr="00F64BB5">
        <w:rPr>
          <w:i/>
          <w:sz w:val="16"/>
          <w:szCs w:val="16"/>
        </w:rPr>
        <w:t>Convention on the Rights of the Child</w:t>
      </w:r>
      <w:r w:rsidRPr="00F64BB5">
        <w:rPr>
          <w:sz w:val="16"/>
          <w:szCs w:val="16"/>
        </w:rPr>
        <w:t>.</w:t>
      </w:r>
    </w:p>
  </w:footnote>
  <w:footnote w:id="24">
    <w:p w14:paraId="1125C2DE" w14:textId="3F1C2DDF" w:rsidR="00986965" w:rsidRPr="00F64BB5" w:rsidRDefault="00986965" w:rsidP="00404711">
      <w:pPr>
        <w:jc w:val="both"/>
        <w:rPr>
          <w:sz w:val="16"/>
          <w:szCs w:val="16"/>
          <w:lang w:val="en-AU"/>
        </w:rPr>
      </w:pPr>
      <w:r w:rsidRPr="00F64BB5">
        <w:rPr>
          <w:rStyle w:val="FootnoteReference"/>
          <w:sz w:val="16"/>
          <w:szCs w:val="16"/>
        </w:rPr>
        <w:footnoteRef/>
      </w:r>
      <w:r w:rsidRPr="00F64BB5">
        <w:rPr>
          <w:sz w:val="16"/>
          <w:szCs w:val="16"/>
        </w:rPr>
        <w:t xml:space="preserve"> </w:t>
      </w:r>
      <w:r w:rsidR="00DC01B3" w:rsidRPr="00F64BB5">
        <w:rPr>
          <w:sz w:val="16"/>
          <w:szCs w:val="16"/>
        </w:rPr>
        <w:t xml:space="preserve">Article 2 of the </w:t>
      </w:r>
      <w:r w:rsidR="003540D7" w:rsidRPr="00F64BB5">
        <w:rPr>
          <w:i/>
          <w:sz w:val="16"/>
          <w:szCs w:val="16"/>
          <w:lang w:val="en-AU"/>
        </w:rPr>
        <w:t>Convention on the Rights of the Child</w:t>
      </w:r>
      <w:r w:rsidRPr="00F64BB5">
        <w:rPr>
          <w:sz w:val="16"/>
          <w:szCs w:val="16"/>
          <w:lang w:val="en-AU"/>
        </w:rPr>
        <w:t xml:space="preserve">, </w:t>
      </w:r>
      <w:r w:rsidR="003540D7" w:rsidRPr="00F64BB5">
        <w:rPr>
          <w:sz w:val="16"/>
          <w:szCs w:val="16"/>
          <w:lang w:val="en-AU"/>
        </w:rPr>
        <w:t xml:space="preserve"> </w:t>
      </w:r>
      <w:r w:rsidR="00DC01B3" w:rsidRPr="00F64BB5">
        <w:rPr>
          <w:sz w:val="16"/>
          <w:szCs w:val="16"/>
          <w:lang w:val="en-AU"/>
        </w:rPr>
        <w:t xml:space="preserve">article 2 of the </w:t>
      </w:r>
      <w:r w:rsidR="003540D7" w:rsidRPr="00F64BB5">
        <w:rPr>
          <w:i/>
          <w:sz w:val="16"/>
          <w:szCs w:val="16"/>
          <w:lang w:val="en-AU"/>
        </w:rPr>
        <w:t>International Covenant on Civil and Political Rights</w:t>
      </w:r>
      <w:r w:rsidRPr="00F64BB5">
        <w:rPr>
          <w:sz w:val="16"/>
          <w:szCs w:val="16"/>
          <w:lang w:val="en-AU"/>
        </w:rPr>
        <w:t xml:space="preserve">, </w:t>
      </w:r>
      <w:r w:rsidR="00DC01B3" w:rsidRPr="00F64BB5">
        <w:rPr>
          <w:sz w:val="16"/>
          <w:szCs w:val="16"/>
          <w:lang w:val="en-AU"/>
        </w:rPr>
        <w:t xml:space="preserve">  article 2 of the </w:t>
      </w:r>
      <w:r w:rsidR="003540D7" w:rsidRPr="00F64BB5">
        <w:rPr>
          <w:i/>
          <w:sz w:val="16"/>
          <w:szCs w:val="16"/>
          <w:lang w:val="en-AU"/>
        </w:rPr>
        <w:t>Universal Declaration of Human Rights</w:t>
      </w:r>
      <w:r w:rsidRPr="00F64BB5">
        <w:rPr>
          <w:sz w:val="16"/>
          <w:szCs w:val="16"/>
          <w:lang w:val="en-AU"/>
        </w:rPr>
        <w:t xml:space="preserve">, </w:t>
      </w:r>
      <w:r w:rsidR="00DC01B3" w:rsidRPr="00F64BB5">
        <w:rPr>
          <w:sz w:val="16"/>
          <w:szCs w:val="16"/>
          <w:lang w:val="en-AU"/>
        </w:rPr>
        <w:t xml:space="preserve">and article 2 of the </w:t>
      </w:r>
      <w:r w:rsidR="00DC01B3" w:rsidRPr="00F64BB5">
        <w:rPr>
          <w:i/>
          <w:sz w:val="16"/>
          <w:szCs w:val="16"/>
          <w:lang w:val="en-AU"/>
        </w:rPr>
        <w:t xml:space="preserve">International Covenant on Economic, </w:t>
      </w:r>
      <w:r w:rsidR="005517D5" w:rsidRPr="00F64BB5">
        <w:rPr>
          <w:i/>
          <w:sz w:val="16"/>
          <w:szCs w:val="16"/>
          <w:lang w:val="en-AU"/>
        </w:rPr>
        <w:t>Social</w:t>
      </w:r>
      <w:r w:rsidR="00DC01B3" w:rsidRPr="00F64BB5">
        <w:rPr>
          <w:i/>
          <w:sz w:val="16"/>
          <w:szCs w:val="16"/>
          <w:lang w:val="en-AU"/>
        </w:rPr>
        <w:t xml:space="preserve"> and Cultural Rights. </w:t>
      </w:r>
    </w:p>
  </w:footnote>
  <w:footnote w:id="25">
    <w:p w14:paraId="0C5201AC" w14:textId="0B755966" w:rsidR="00986965" w:rsidRPr="00F64BB5" w:rsidRDefault="00986965" w:rsidP="00404711">
      <w:pPr>
        <w:jc w:val="both"/>
        <w:rPr>
          <w:sz w:val="16"/>
          <w:szCs w:val="16"/>
          <w:lang w:val="en-AU"/>
        </w:rPr>
      </w:pPr>
      <w:r w:rsidRPr="00F64BB5">
        <w:rPr>
          <w:rStyle w:val="FootnoteReference"/>
          <w:sz w:val="16"/>
          <w:szCs w:val="16"/>
        </w:rPr>
        <w:footnoteRef/>
      </w:r>
      <w:r w:rsidRPr="00F64BB5">
        <w:rPr>
          <w:sz w:val="16"/>
          <w:szCs w:val="16"/>
        </w:rPr>
        <w:t xml:space="preserve"> </w:t>
      </w:r>
      <w:r w:rsidR="005517D5" w:rsidRPr="00F64BB5">
        <w:rPr>
          <w:sz w:val="16"/>
          <w:szCs w:val="16"/>
          <w:lang w:val="en-AU"/>
        </w:rPr>
        <w:t xml:space="preserve">Articles 23, 28, 29 of the </w:t>
      </w:r>
      <w:r w:rsidR="003540D7" w:rsidRPr="00F64BB5">
        <w:rPr>
          <w:i/>
          <w:sz w:val="16"/>
          <w:szCs w:val="16"/>
          <w:lang w:val="en-AU"/>
        </w:rPr>
        <w:t>Convention on the Rights of the Child</w:t>
      </w:r>
      <w:r w:rsidR="005517D5" w:rsidRPr="00F64BB5">
        <w:rPr>
          <w:sz w:val="16"/>
          <w:szCs w:val="16"/>
          <w:lang w:val="en-AU"/>
        </w:rPr>
        <w:t xml:space="preserve">; article 13 of the </w:t>
      </w:r>
      <w:r w:rsidR="005517D5" w:rsidRPr="00F64BB5">
        <w:rPr>
          <w:i/>
          <w:sz w:val="16"/>
          <w:szCs w:val="16"/>
          <w:lang w:val="en-AU"/>
        </w:rPr>
        <w:t>International Covenant on Economic, Social and Cultural Rights.</w:t>
      </w:r>
    </w:p>
  </w:footnote>
  <w:footnote w:id="26">
    <w:p w14:paraId="325BED31" w14:textId="09726FCF" w:rsidR="003C0C5E" w:rsidRPr="00F64BB5" w:rsidRDefault="003C0C5E" w:rsidP="00B6157C">
      <w:pPr>
        <w:pStyle w:val="FootnoteText"/>
        <w:ind w:left="0" w:right="0" w:firstLine="0"/>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This is via </w:t>
      </w:r>
      <w:r w:rsidR="00147938" w:rsidRPr="00F64BB5">
        <w:rPr>
          <w:sz w:val="16"/>
          <w:szCs w:val="16"/>
          <w:lang w:val="en-AU"/>
        </w:rPr>
        <w:t>the dissemination of personal information by third parties but can also include those who now engage with the digital environment directly (e.g. through the creation of a</w:t>
      </w:r>
      <w:r w:rsidR="00817CCF">
        <w:rPr>
          <w:sz w:val="16"/>
          <w:szCs w:val="16"/>
          <w:lang w:val="en-AU"/>
        </w:rPr>
        <w:t>n online account</w:t>
      </w:r>
      <w:r w:rsidR="00147938" w:rsidRPr="00F64BB5">
        <w:rPr>
          <w:sz w:val="16"/>
          <w:szCs w:val="16"/>
          <w:lang w:val="en-AU"/>
        </w:rPr>
        <w:t>)</w:t>
      </w:r>
      <w:r w:rsidR="007262D6">
        <w:rPr>
          <w:sz w:val="16"/>
          <w:szCs w:val="16"/>
          <w:lang w:val="en-AU"/>
        </w:rPr>
        <w:t>.</w:t>
      </w:r>
    </w:p>
  </w:footnote>
  <w:footnote w:id="27">
    <w:p w14:paraId="240868E6" w14:textId="4FC6B69E" w:rsidR="00707366" w:rsidRPr="00F64BB5" w:rsidRDefault="00707366" w:rsidP="00404711">
      <w:pPr>
        <w:jc w:val="both"/>
        <w:rPr>
          <w:sz w:val="16"/>
          <w:szCs w:val="16"/>
          <w:lang w:val="en-AU"/>
        </w:rPr>
      </w:pPr>
      <w:r w:rsidRPr="00F64BB5">
        <w:rPr>
          <w:rStyle w:val="FootnoteReference"/>
          <w:sz w:val="16"/>
          <w:szCs w:val="16"/>
        </w:rPr>
        <w:footnoteRef/>
      </w:r>
      <w:r w:rsidRPr="00F64BB5">
        <w:rPr>
          <w:sz w:val="16"/>
          <w:szCs w:val="16"/>
        </w:rPr>
        <w:t xml:space="preserve"> </w:t>
      </w:r>
      <w:r w:rsidR="005517D5" w:rsidRPr="00F64BB5">
        <w:rPr>
          <w:sz w:val="16"/>
          <w:szCs w:val="16"/>
        </w:rPr>
        <w:t xml:space="preserve">Article 3 of the </w:t>
      </w:r>
      <w:r w:rsidR="003540D7" w:rsidRPr="00F64BB5">
        <w:rPr>
          <w:i/>
          <w:sz w:val="16"/>
          <w:szCs w:val="16"/>
          <w:lang w:val="en-AU"/>
        </w:rPr>
        <w:t>International Covenant on Civil and Political Rights</w:t>
      </w:r>
      <w:r w:rsidRPr="00F64BB5">
        <w:rPr>
          <w:sz w:val="16"/>
          <w:szCs w:val="16"/>
          <w:lang w:val="en-AU"/>
        </w:rPr>
        <w:t xml:space="preserve">, </w:t>
      </w:r>
      <w:r w:rsidR="005517D5" w:rsidRPr="00F64BB5">
        <w:rPr>
          <w:sz w:val="16"/>
          <w:szCs w:val="16"/>
          <w:lang w:val="en-AU"/>
        </w:rPr>
        <w:t>a</w:t>
      </w:r>
      <w:r w:rsidRPr="00F64BB5">
        <w:rPr>
          <w:sz w:val="16"/>
          <w:szCs w:val="16"/>
          <w:lang w:val="en-AU"/>
        </w:rPr>
        <w:t>rticle 3</w:t>
      </w:r>
      <w:r w:rsidR="005517D5" w:rsidRPr="00F64BB5">
        <w:rPr>
          <w:sz w:val="16"/>
          <w:szCs w:val="16"/>
          <w:lang w:val="en-AU"/>
        </w:rPr>
        <w:t xml:space="preserve"> of the </w:t>
      </w:r>
      <w:r w:rsidR="005517D5" w:rsidRPr="00F64BB5">
        <w:rPr>
          <w:i/>
          <w:sz w:val="16"/>
          <w:szCs w:val="16"/>
          <w:lang w:val="en-AU"/>
        </w:rPr>
        <w:t>International Covenant on Economic, Social and Cultural Rights</w:t>
      </w:r>
      <w:r w:rsidRPr="00F64BB5">
        <w:rPr>
          <w:sz w:val="16"/>
          <w:szCs w:val="16"/>
          <w:lang w:val="en-AU"/>
        </w:rPr>
        <w:t>,</w:t>
      </w:r>
      <w:r w:rsidR="005517D5" w:rsidRPr="00F64BB5">
        <w:rPr>
          <w:sz w:val="16"/>
          <w:szCs w:val="16"/>
          <w:lang w:val="en-AU"/>
        </w:rPr>
        <w:t xml:space="preserve"> and</w:t>
      </w:r>
      <w:r w:rsidRPr="00F64BB5">
        <w:rPr>
          <w:sz w:val="16"/>
          <w:szCs w:val="16"/>
          <w:lang w:val="en-AU"/>
        </w:rPr>
        <w:t xml:space="preserve"> </w:t>
      </w:r>
      <w:r w:rsidR="005517D5" w:rsidRPr="00F64BB5">
        <w:rPr>
          <w:sz w:val="16"/>
          <w:szCs w:val="16"/>
          <w:lang w:val="en-AU"/>
        </w:rPr>
        <w:t>a</w:t>
      </w:r>
      <w:r w:rsidRPr="00F64BB5">
        <w:rPr>
          <w:sz w:val="16"/>
          <w:szCs w:val="16"/>
          <w:lang w:val="en-AU"/>
        </w:rPr>
        <w:t>rticle 22</w:t>
      </w:r>
      <w:r w:rsidR="005517D5" w:rsidRPr="00F64BB5">
        <w:rPr>
          <w:sz w:val="16"/>
          <w:szCs w:val="16"/>
          <w:lang w:val="en-AU"/>
        </w:rPr>
        <w:t xml:space="preserve"> of the </w:t>
      </w:r>
      <w:r w:rsidR="005517D5" w:rsidRPr="00F64BB5">
        <w:rPr>
          <w:i/>
          <w:sz w:val="16"/>
          <w:szCs w:val="16"/>
          <w:lang w:val="en-AU"/>
        </w:rPr>
        <w:t>Universal Declaration of Human Rights.</w:t>
      </w:r>
    </w:p>
  </w:footnote>
  <w:footnote w:id="28">
    <w:p w14:paraId="36F1AFDC" w14:textId="4FA41478" w:rsidR="00707366" w:rsidRPr="00F64BB5" w:rsidRDefault="00707366" w:rsidP="00707366">
      <w:pPr>
        <w:jc w:val="both"/>
        <w:rPr>
          <w:sz w:val="16"/>
          <w:szCs w:val="16"/>
          <w:lang w:val="en-AU"/>
        </w:rPr>
      </w:pPr>
      <w:r w:rsidRPr="00F64BB5">
        <w:rPr>
          <w:rStyle w:val="FootnoteReference"/>
          <w:sz w:val="16"/>
          <w:szCs w:val="16"/>
        </w:rPr>
        <w:footnoteRef/>
      </w:r>
      <w:r w:rsidRPr="00F64BB5">
        <w:rPr>
          <w:sz w:val="16"/>
          <w:szCs w:val="16"/>
        </w:rPr>
        <w:t xml:space="preserve"> </w:t>
      </w:r>
      <w:r w:rsidR="005517D5" w:rsidRPr="00F64BB5">
        <w:rPr>
          <w:sz w:val="16"/>
          <w:szCs w:val="16"/>
          <w:lang w:val="en-AU"/>
        </w:rPr>
        <w:t xml:space="preserve">Article 26 of the </w:t>
      </w:r>
      <w:r w:rsidR="003540D7" w:rsidRPr="00F64BB5">
        <w:rPr>
          <w:i/>
          <w:sz w:val="16"/>
          <w:szCs w:val="16"/>
          <w:lang w:val="en-AU"/>
        </w:rPr>
        <w:t>International Covenant on Civil and Political Rights</w:t>
      </w:r>
      <w:r w:rsidR="005517D5" w:rsidRPr="00F64BB5">
        <w:rPr>
          <w:sz w:val="16"/>
          <w:szCs w:val="16"/>
          <w:lang w:val="en-AU"/>
        </w:rPr>
        <w:t>;</w:t>
      </w:r>
      <w:r w:rsidRPr="00F64BB5">
        <w:rPr>
          <w:sz w:val="16"/>
          <w:szCs w:val="16"/>
          <w:lang w:val="en-AU"/>
        </w:rPr>
        <w:t xml:space="preserve"> </w:t>
      </w:r>
      <w:r w:rsidR="005517D5" w:rsidRPr="00F64BB5">
        <w:rPr>
          <w:sz w:val="16"/>
          <w:szCs w:val="16"/>
          <w:lang w:val="en-AU"/>
        </w:rPr>
        <w:t>a</w:t>
      </w:r>
      <w:r w:rsidRPr="00F64BB5">
        <w:rPr>
          <w:sz w:val="16"/>
          <w:szCs w:val="16"/>
          <w:lang w:val="en-AU"/>
        </w:rPr>
        <w:t>rticle 7</w:t>
      </w:r>
      <w:r w:rsidR="005517D5" w:rsidRPr="00F64BB5">
        <w:rPr>
          <w:sz w:val="16"/>
          <w:szCs w:val="16"/>
          <w:lang w:val="en-AU"/>
        </w:rPr>
        <w:t xml:space="preserve"> </w:t>
      </w:r>
      <w:r w:rsidR="005517D5" w:rsidRPr="00F64BB5">
        <w:rPr>
          <w:i/>
          <w:sz w:val="16"/>
          <w:szCs w:val="16"/>
          <w:lang w:val="en-AU"/>
        </w:rPr>
        <w:t>Universal Declaration of Human Rights.</w:t>
      </w:r>
    </w:p>
  </w:footnote>
  <w:footnote w:id="29">
    <w:p w14:paraId="6DE33427" w14:textId="443D289C"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Recently, efforts have been made in this space, but it still remains largely unexplored. See </w:t>
      </w:r>
      <w:r w:rsidRPr="00F64BB5">
        <w:rPr>
          <w:sz w:val="16"/>
          <w:szCs w:val="16"/>
        </w:rPr>
        <w:t>London School of Economics, ‘</w:t>
      </w:r>
      <w:r w:rsidRPr="00F64BB5">
        <w:rPr>
          <w:sz w:val="16"/>
          <w:szCs w:val="16"/>
          <w:lang w:val="en-AU"/>
        </w:rPr>
        <w:t xml:space="preserve">What do parents think, and do, about their children’s online privacy?’, </w:t>
      </w:r>
      <w:r w:rsidRPr="00F64BB5">
        <w:rPr>
          <w:i/>
          <w:sz w:val="16"/>
          <w:szCs w:val="16"/>
          <w:lang w:val="en-AU"/>
        </w:rPr>
        <w:t>Parenting for a Digital Future: Survey Report 3</w:t>
      </w:r>
      <w:r w:rsidRPr="00F64BB5">
        <w:rPr>
          <w:sz w:val="16"/>
          <w:szCs w:val="16"/>
          <w:lang w:val="en-AU"/>
        </w:rPr>
        <w:t xml:space="preserve"> (2018)</w:t>
      </w:r>
      <w:r w:rsidRPr="00F64BB5">
        <w:rPr>
          <w:sz w:val="16"/>
          <w:szCs w:val="16"/>
        </w:rPr>
        <w:t xml:space="preserve"> &lt;</w:t>
      </w:r>
      <w:hyperlink r:id="rId12" w:history="1">
        <w:r w:rsidRPr="00F64BB5">
          <w:rPr>
            <w:rStyle w:val="Hyperlink"/>
            <w:sz w:val="16"/>
            <w:szCs w:val="16"/>
          </w:rPr>
          <w:t>http://www.lse.ac.uk/media-and-communications/assets/documents/research/preparing-for-a-digital-future/P4DF-Report-3.pdf</w:t>
        </w:r>
      </w:hyperlink>
      <w:r w:rsidRPr="00F64BB5">
        <w:rPr>
          <w:sz w:val="16"/>
          <w:szCs w:val="16"/>
        </w:rPr>
        <w:t xml:space="preserve"> &gt;.</w:t>
      </w:r>
    </w:p>
  </w:footnote>
  <w:footnote w:id="30">
    <w:p w14:paraId="41C2706B" w14:textId="11C9D6C3"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See, for example, Australian Institute of Family Studies, ‘</w:t>
      </w:r>
      <w:r w:rsidRPr="00F64BB5">
        <w:rPr>
          <w:bCs/>
          <w:sz w:val="16"/>
          <w:szCs w:val="16"/>
          <w:lang w:val="en-AU"/>
        </w:rPr>
        <w:t xml:space="preserve">Differential parenting of children from diverse cultural backgrounds attending child care’ (2007)  </w:t>
      </w:r>
      <w:r w:rsidRPr="00F64BB5">
        <w:rPr>
          <w:bCs/>
          <w:i/>
          <w:sz w:val="16"/>
          <w:szCs w:val="16"/>
          <w:lang w:val="en-AU"/>
        </w:rPr>
        <w:t>Research Paper 39</w:t>
      </w:r>
      <w:r w:rsidRPr="00F64BB5">
        <w:rPr>
          <w:bCs/>
          <w:sz w:val="16"/>
          <w:szCs w:val="16"/>
          <w:lang w:val="en-AU"/>
        </w:rPr>
        <w:t xml:space="preserve"> &lt;</w:t>
      </w:r>
      <w:hyperlink r:id="rId13" w:history="1">
        <w:r w:rsidRPr="00F64BB5">
          <w:rPr>
            <w:rStyle w:val="Hyperlink"/>
            <w:sz w:val="16"/>
            <w:szCs w:val="16"/>
            <w:lang w:val="en-AU"/>
          </w:rPr>
          <w:t>https://aifs.gov.au/publications/differential-parenting-children-diverse-cultural-bac/introduction</w:t>
        </w:r>
      </w:hyperlink>
      <w:r w:rsidRPr="00F64BB5">
        <w:rPr>
          <w:sz w:val="16"/>
          <w:szCs w:val="16"/>
          <w:lang w:val="en-AU"/>
        </w:rPr>
        <w:t>&gt;; Marc H. Bornstein, ‘</w:t>
      </w:r>
      <w:r w:rsidRPr="00F64BB5">
        <w:rPr>
          <w:bCs/>
          <w:sz w:val="16"/>
          <w:szCs w:val="16"/>
          <w:lang w:val="en-AU"/>
        </w:rPr>
        <w:t xml:space="preserve">Cultural Approaches to Parenting’ (2012) 12(2-3) </w:t>
      </w:r>
      <w:r w:rsidRPr="00F64BB5">
        <w:rPr>
          <w:bCs/>
          <w:i/>
          <w:sz w:val="16"/>
          <w:szCs w:val="16"/>
          <w:lang w:val="en-AU"/>
        </w:rPr>
        <w:t xml:space="preserve">Parent Sci </w:t>
      </w:r>
      <w:proofErr w:type="spellStart"/>
      <w:r w:rsidRPr="00F64BB5">
        <w:rPr>
          <w:bCs/>
          <w:i/>
          <w:sz w:val="16"/>
          <w:szCs w:val="16"/>
          <w:lang w:val="en-AU"/>
        </w:rPr>
        <w:t>Pract</w:t>
      </w:r>
      <w:proofErr w:type="spellEnd"/>
      <w:r w:rsidRPr="00F64BB5">
        <w:rPr>
          <w:bCs/>
          <w:i/>
          <w:sz w:val="16"/>
          <w:szCs w:val="16"/>
          <w:lang w:val="en-AU"/>
        </w:rPr>
        <w:t>.</w:t>
      </w:r>
      <w:r w:rsidRPr="00F64BB5">
        <w:rPr>
          <w:bCs/>
          <w:sz w:val="16"/>
          <w:szCs w:val="16"/>
          <w:lang w:val="en-AU"/>
        </w:rPr>
        <w:t xml:space="preserve"> 212–221</w:t>
      </w:r>
      <w:r w:rsidRPr="00F64BB5">
        <w:rPr>
          <w:sz w:val="16"/>
          <w:szCs w:val="16"/>
          <w:lang w:val="en-AU"/>
        </w:rPr>
        <w:t xml:space="preserve"> &lt;</w:t>
      </w:r>
      <w:hyperlink r:id="rId14" w:history="1">
        <w:r w:rsidRPr="00F64BB5">
          <w:rPr>
            <w:rStyle w:val="Hyperlink"/>
            <w:sz w:val="16"/>
            <w:szCs w:val="16"/>
            <w:lang w:val="en-AU"/>
          </w:rPr>
          <w:t>https://www.ncbi.nlm.nih.gov/pmc/articles/PMC3433059/</w:t>
        </w:r>
      </w:hyperlink>
      <w:r w:rsidRPr="00F64BB5">
        <w:rPr>
          <w:sz w:val="16"/>
          <w:szCs w:val="16"/>
          <w:lang w:val="en-AU"/>
        </w:rPr>
        <w:t xml:space="preserve">&gt;; Joseph Roundtree Foundation, </w:t>
      </w:r>
      <w:r w:rsidRPr="00F64BB5">
        <w:rPr>
          <w:i/>
          <w:sz w:val="16"/>
          <w:szCs w:val="16"/>
          <w:lang w:val="en-AU"/>
        </w:rPr>
        <w:t xml:space="preserve">Parenting and the different ways it can affect children’s lives: research evidence </w:t>
      </w:r>
      <w:r w:rsidRPr="00F64BB5">
        <w:rPr>
          <w:sz w:val="16"/>
          <w:szCs w:val="16"/>
          <w:lang w:val="en-AU"/>
        </w:rPr>
        <w:t>(2007) &lt;</w:t>
      </w:r>
      <w:hyperlink r:id="rId15" w:history="1">
        <w:r w:rsidRPr="00F64BB5">
          <w:rPr>
            <w:rStyle w:val="Hyperlink"/>
            <w:sz w:val="16"/>
            <w:szCs w:val="16"/>
            <w:lang w:val="en-AU"/>
          </w:rPr>
          <w:t>https://www.jrf.org.uk/sites/default/files/jrf/migrated/files/2132-parenting-literature-reviews.pdf</w:t>
        </w:r>
      </w:hyperlink>
      <w:r w:rsidRPr="00F64BB5">
        <w:rPr>
          <w:sz w:val="16"/>
          <w:szCs w:val="16"/>
          <w:lang w:val="en-AU"/>
        </w:rPr>
        <w:t>&gt;.</w:t>
      </w:r>
    </w:p>
  </w:footnote>
  <w:footnote w:id="31">
    <w:p w14:paraId="1005EDF0" w14:textId="0B91B7F4" w:rsidR="00242C43" w:rsidRPr="00F64BB5" w:rsidRDefault="00242C43" w:rsidP="00F26D7F">
      <w:pPr>
        <w:pStyle w:val="FootnoteText"/>
        <w:ind w:left="0" w:right="-57" w:firstLine="0"/>
        <w:rPr>
          <w:sz w:val="16"/>
          <w:szCs w:val="16"/>
        </w:rPr>
      </w:pPr>
      <w:r w:rsidRPr="00F64BB5">
        <w:rPr>
          <w:rStyle w:val="FootnoteReference"/>
          <w:sz w:val="16"/>
          <w:szCs w:val="16"/>
        </w:rPr>
        <w:footnoteRef/>
      </w:r>
      <w:r w:rsidRPr="00F64BB5">
        <w:rPr>
          <w:sz w:val="16"/>
          <w:szCs w:val="16"/>
        </w:rPr>
        <w:t xml:space="preserve"> </w:t>
      </w:r>
      <w:r w:rsidRPr="00F64BB5">
        <w:rPr>
          <w:sz w:val="16"/>
          <w:szCs w:val="16"/>
          <w:lang w:val="en-AU"/>
        </w:rPr>
        <w:t xml:space="preserve">This may also include </w:t>
      </w:r>
      <w:r w:rsidR="00D7416C" w:rsidRPr="00F64BB5">
        <w:rPr>
          <w:sz w:val="16"/>
          <w:szCs w:val="16"/>
          <w:lang w:val="en-AU"/>
        </w:rPr>
        <w:t xml:space="preserve">a reluctance to address </w:t>
      </w:r>
      <w:r w:rsidRPr="00F64BB5">
        <w:rPr>
          <w:sz w:val="16"/>
          <w:szCs w:val="16"/>
        </w:rPr>
        <w:t>potential conflicts that may arise between a child’s right and a parent’s right (as either an individual or a duty bearer)</w:t>
      </w:r>
      <w:r w:rsidR="00D7416C" w:rsidRPr="00F64BB5">
        <w:rPr>
          <w:sz w:val="16"/>
          <w:szCs w:val="16"/>
        </w:rPr>
        <w:t>.</w:t>
      </w:r>
    </w:p>
  </w:footnote>
  <w:footnote w:id="32">
    <w:p w14:paraId="3332A32D" w14:textId="1FB10C66" w:rsidR="004E6470" w:rsidRPr="00F64BB5" w:rsidRDefault="004E6470">
      <w:pPr>
        <w:pStyle w:val="FootnoteText"/>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This includes both positive and negative rights.</w:t>
      </w:r>
    </w:p>
  </w:footnote>
  <w:footnote w:id="33">
    <w:p w14:paraId="1BC9888D" w14:textId="01D125F1" w:rsidR="00CD02E0" w:rsidRPr="0022631E" w:rsidRDefault="00CD02E0" w:rsidP="0022631E">
      <w:pPr>
        <w:jc w:val="both"/>
        <w:rPr>
          <w:sz w:val="18"/>
          <w:szCs w:val="18"/>
          <w:lang w:val="en-AU"/>
        </w:rPr>
      </w:pPr>
      <w:r w:rsidRPr="00F64BB5">
        <w:rPr>
          <w:rStyle w:val="FootnoteReference"/>
          <w:sz w:val="16"/>
          <w:szCs w:val="16"/>
        </w:rPr>
        <w:footnoteRef/>
      </w:r>
      <w:r w:rsidRPr="00F64BB5">
        <w:rPr>
          <w:sz w:val="16"/>
          <w:szCs w:val="16"/>
        </w:rPr>
        <w:t xml:space="preserve"> </w:t>
      </w:r>
      <w:r w:rsidR="00763D09" w:rsidRPr="00F64BB5">
        <w:rPr>
          <w:sz w:val="16"/>
          <w:szCs w:val="16"/>
          <w:lang w:val="en-AU"/>
        </w:rPr>
        <w:t>Consider, for example</w:t>
      </w:r>
      <w:r w:rsidR="003340CA" w:rsidRPr="00F64BB5">
        <w:rPr>
          <w:sz w:val="16"/>
          <w:szCs w:val="16"/>
          <w:lang w:val="en-AU"/>
        </w:rPr>
        <w:t>, the application of the legitimate aim and purpose test in</w:t>
      </w:r>
      <w:r w:rsidR="00763D09" w:rsidRPr="00F64BB5">
        <w:rPr>
          <w:sz w:val="16"/>
          <w:szCs w:val="16"/>
          <w:lang w:val="en-AU"/>
        </w:rPr>
        <w:t xml:space="preserve"> </w:t>
      </w:r>
      <w:r w:rsidR="00763D09" w:rsidRPr="00F64BB5">
        <w:rPr>
          <w:i/>
          <w:sz w:val="16"/>
          <w:szCs w:val="16"/>
          <w:lang w:val="en-AU"/>
        </w:rPr>
        <w:t>S.A.S v France</w:t>
      </w:r>
      <w:r w:rsidR="00763D09" w:rsidRPr="00F64BB5">
        <w:rPr>
          <w:sz w:val="16"/>
          <w:szCs w:val="16"/>
          <w:lang w:val="en-AU"/>
        </w:rPr>
        <w:t xml:space="preserve"> (application No. 43835/11) (1 July 2014)</w:t>
      </w:r>
      <w:r w:rsidR="00E76678" w:rsidRPr="00F64BB5">
        <w:rPr>
          <w:sz w:val="16"/>
          <w:szCs w:val="16"/>
          <w:lang w:val="en-AU"/>
        </w:rPr>
        <w:t xml:space="preserve"> and discussion in Juan </w:t>
      </w:r>
      <w:proofErr w:type="spellStart"/>
      <w:r w:rsidR="00E76678" w:rsidRPr="00F64BB5">
        <w:rPr>
          <w:sz w:val="16"/>
          <w:szCs w:val="16"/>
          <w:lang w:val="en-AU"/>
        </w:rPr>
        <w:t>Cianciardo</w:t>
      </w:r>
      <w:proofErr w:type="spellEnd"/>
      <w:r w:rsidR="00E76678" w:rsidRPr="00F64BB5">
        <w:rPr>
          <w:sz w:val="16"/>
          <w:szCs w:val="16"/>
          <w:lang w:val="en-AU"/>
        </w:rPr>
        <w:t xml:space="preserve">, ‘The Principle of Proportionality: The Challenges of Human Rights’ (2010) 3(1) </w:t>
      </w:r>
      <w:r w:rsidR="00E76678" w:rsidRPr="00F64BB5">
        <w:rPr>
          <w:i/>
          <w:sz w:val="16"/>
          <w:szCs w:val="16"/>
          <w:lang w:val="en-AU"/>
        </w:rPr>
        <w:t>Journal of Civil Law Studies</w:t>
      </w:r>
      <w:r w:rsidR="00E76678" w:rsidRPr="00F64BB5">
        <w:rPr>
          <w:sz w:val="16"/>
          <w:szCs w:val="16"/>
          <w:lang w:val="en-AU"/>
        </w:rPr>
        <w:t xml:space="preserve"> 177, 179.</w:t>
      </w:r>
    </w:p>
  </w:footnote>
  <w:footnote w:id="34">
    <w:p w14:paraId="745CC3B3" w14:textId="526EE80C"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F Grace et al, ‘An analysis of policy levers used to implement mental health reform in Australia 1992-2012’ (2015) </w:t>
      </w:r>
      <w:r w:rsidRPr="00F64BB5">
        <w:rPr>
          <w:i/>
          <w:sz w:val="16"/>
          <w:szCs w:val="16"/>
          <w:lang w:val="en-AU"/>
        </w:rPr>
        <w:t>BMC Health Services Research</w:t>
      </w:r>
      <w:r w:rsidRPr="00F64BB5">
        <w:rPr>
          <w:sz w:val="16"/>
          <w:szCs w:val="16"/>
          <w:lang w:val="en-AU"/>
        </w:rPr>
        <w:t xml:space="preserve">. See also Australian Public Service Commission, </w:t>
      </w:r>
      <w:r w:rsidRPr="00F64BB5">
        <w:rPr>
          <w:i/>
          <w:sz w:val="16"/>
          <w:szCs w:val="16"/>
          <w:lang w:val="en-AU"/>
        </w:rPr>
        <w:t>Changing behaviour: A public policy perspective</w:t>
      </w:r>
      <w:r w:rsidRPr="00F64BB5">
        <w:rPr>
          <w:sz w:val="16"/>
          <w:szCs w:val="16"/>
          <w:lang w:val="en-AU"/>
        </w:rPr>
        <w:t xml:space="preserve">, archived publications &lt; </w:t>
      </w:r>
      <w:hyperlink r:id="rId16" w:history="1">
        <w:r w:rsidRPr="00F64BB5">
          <w:rPr>
            <w:rStyle w:val="Hyperlink"/>
            <w:sz w:val="16"/>
            <w:szCs w:val="16"/>
            <w:lang w:val="en-AU"/>
          </w:rPr>
          <w:t>https://www.apsc.gov.au/changing-behaviour-public-policy-perspective</w:t>
        </w:r>
      </w:hyperlink>
      <w:r w:rsidRPr="00F64BB5">
        <w:rPr>
          <w:sz w:val="16"/>
          <w:szCs w:val="16"/>
          <w:lang w:val="en-AU"/>
        </w:rPr>
        <w:t xml:space="preserve"> &gt;.</w:t>
      </w:r>
    </w:p>
  </w:footnote>
  <w:footnote w:id="35">
    <w:p w14:paraId="0111FC79" w14:textId="6DAE8FAA"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F Grace et al, ‘An analysis of policy levers used to implement mental health reform in Australia 1992-2012’ (2015) </w:t>
      </w:r>
      <w:r w:rsidRPr="00F64BB5">
        <w:rPr>
          <w:i/>
          <w:sz w:val="16"/>
          <w:szCs w:val="16"/>
          <w:lang w:val="en-AU"/>
        </w:rPr>
        <w:t>BMC Health Services Research</w:t>
      </w:r>
      <w:r w:rsidRPr="00F64BB5">
        <w:rPr>
          <w:sz w:val="16"/>
          <w:szCs w:val="16"/>
          <w:lang w:val="en-AU"/>
        </w:rPr>
        <w:t>.</w:t>
      </w:r>
    </w:p>
  </w:footnote>
  <w:footnote w:id="36">
    <w:p w14:paraId="688268C9" w14:textId="2064BD99"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Ibid.</w:t>
      </w:r>
    </w:p>
  </w:footnote>
  <w:footnote w:id="37">
    <w:p w14:paraId="323B6C4E" w14:textId="693A8246"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Ibid.</w:t>
      </w:r>
    </w:p>
  </w:footnote>
  <w:footnote w:id="38">
    <w:p w14:paraId="6B376E1E" w14:textId="34B49CC3" w:rsidR="00CD02E0" w:rsidRPr="00F64BB5" w:rsidRDefault="00CD02E0" w:rsidP="0022631E">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Ibid.</w:t>
      </w:r>
    </w:p>
  </w:footnote>
  <w:footnote w:id="39">
    <w:p w14:paraId="23CE8CEE" w14:textId="5C053C4C" w:rsidR="00CD02E0" w:rsidRPr="00F64BB5" w:rsidRDefault="00CD02E0" w:rsidP="00F53D09">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Ibid. Please note that the definition ‘incentive’ is used in lieu of the term ‘payment’.</w:t>
      </w:r>
    </w:p>
  </w:footnote>
  <w:footnote w:id="40">
    <w:p w14:paraId="09B62E3D" w14:textId="4399B199" w:rsidR="00CD02E0" w:rsidRPr="00F64BB5" w:rsidRDefault="00CD02E0" w:rsidP="00F53D09">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Adopting the rationale and wording of article 24(2)(e) </w:t>
      </w:r>
      <w:r w:rsidR="0012494B" w:rsidRPr="00F64BB5">
        <w:rPr>
          <w:sz w:val="16"/>
          <w:szCs w:val="16"/>
          <w:lang w:val="en-AU"/>
        </w:rPr>
        <w:t xml:space="preserve">of the </w:t>
      </w:r>
      <w:r w:rsidR="0012494B" w:rsidRPr="00F64BB5">
        <w:rPr>
          <w:i/>
          <w:sz w:val="16"/>
          <w:szCs w:val="16"/>
        </w:rPr>
        <w:t>Convention on the Rights of the Child</w:t>
      </w:r>
      <w:r w:rsidR="0012494B" w:rsidRPr="00F64BB5">
        <w:rPr>
          <w:sz w:val="16"/>
          <w:szCs w:val="16"/>
        </w:rPr>
        <w:t xml:space="preserve">: </w:t>
      </w:r>
      <w:r w:rsidR="0012494B" w:rsidRPr="00F64BB5">
        <w:rPr>
          <w:sz w:val="16"/>
          <w:szCs w:val="16"/>
          <w:lang w:val="en-AU"/>
        </w:rPr>
        <w:t>‘</w:t>
      </w:r>
      <w:r w:rsidRPr="00F64BB5">
        <w:rPr>
          <w:sz w:val="16"/>
          <w:szCs w:val="16"/>
          <w:lang w:val="en-AU"/>
        </w:rPr>
        <w:t>ensure that…parents and children, are informed, have access to education and are supported in the use of basic knowledge of…’</w:t>
      </w:r>
    </w:p>
  </w:footnote>
  <w:footnote w:id="41">
    <w:p w14:paraId="5B3DB612" w14:textId="6CBB3B9C" w:rsidR="00CD02E0" w:rsidRPr="00F64BB5" w:rsidRDefault="00CD02E0" w:rsidP="00F53D09">
      <w:pPr>
        <w:jc w:val="both"/>
        <w:rPr>
          <w:sz w:val="16"/>
          <w:szCs w:val="16"/>
          <w:lang w:val="en-AU"/>
        </w:rPr>
      </w:pPr>
      <w:r w:rsidRPr="00F64BB5">
        <w:rPr>
          <w:rStyle w:val="FootnoteReference"/>
          <w:sz w:val="16"/>
          <w:szCs w:val="16"/>
        </w:rPr>
        <w:footnoteRef/>
      </w:r>
      <w:r w:rsidRPr="00F64BB5">
        <w:rPr>
          <w:sz w:val="16"/>
          <w:szCs w:val="16"/>
        </w:rPr>
        <w:t xml:space="preserve"> </w:t>
      </w:r>
      <w:r w:rsidRPr="00F64BB5">
        <w:rPr>
          <w:sz w:val="16"/>
          <w:szCs w:val="16"/>
          <w:lang w:val="en-AU"/>
        </w:rPr>
        <w:t xml:space="preserve">Consider </w:t>
      </w:r>
      <w:r w:rsidR="0012494B" w:rsidRPr="00F64BB5">
        <w:rPr>
          <w:sz w:val="16"/>
          <w:szCs w:val="16"/>
          <w:lang w:val="en-AU"/>
        </w:rPr>
        <w:t>a</w:t>
      </w:r>
      <w:r w:rsidRPr="00F64BB5">
        <w:rPr>
          <w:sz w:val="16"/>
          <w:szCs w:val="16"/>
          <w:lang w:val="en-AU"/>
        </w:rPr>
        <w:t xml:space="preserve">rticle 14(2) </w:t>
      </w:r>
      <w:r w:rsidR="0012494B" w:rsidRPr="00F64BB5">
        <w:rPr>
          <w:sz w:val="16"/>
          <w:szCs w:val="16"/>
          <w:lang w:val="en-AU"/>
        </w:rPr>
        <w:t xml:space="preserve">of the </w:t>
      </w:r>
      <w:r w:rsidR="0012494B" w:rsidRPr="00F64BB5">
        <w:rPr>
          <w:i/>
          <w:sz w:val="16"/>
          <w:szCs w:val="16"/>
        </w:rPr>
        <w:t>Convention on the Rights of the Child</w:t>
      </w:r>
      <w:r w:rsidR="0012494B" w:rsidRPr="00F64BB5">
        <w:rPr>
          <w:sz w:val="16"/>
          <w:szCs w:val="16"/>
        </w:rPr>
        <w:t xml:space="preserve"> and the</w:t>
      </w:r>
      <w:r w:rsidRPr="00F64BB5">
        <w:rPr>
          <w:sz w:val="16"/>
          <w:szCs w:val="16"/>
          <w:lang w:val="en-AU"/>
        </w:rPr>
        <w:t xml:space="preserve"> focus on the duties of the parent to ‘provide direction to the child in the exercise of his or her right in a manner consistent with the evolving capacities of the child’</w:t>
      </w:r>
      <w:r w:rsidR="0012494B" w:rsidRPr="00F64BB5">
        <w:rPr>
          <w:sz w:val="16"/>
          <w:szCs w:val="16"/>
          <w:lang w:val="en-AU"/>
        </w:rPr>
        <w:t>.</w:t>
      </w:r>
    </w:p>
  </w:footnote>
  <w:footnote w:id="42">
    <w:p w14:paraId="086B262C" w14:textId="7B8BDA8B" w:rsidR="00CD02E0" w:rsidRPr="00F64BB5" w:rsidRDefault="00CD02E0" w:rsidP="00F53D09">
      <w:pPr>
        <w:jc w:val="both"/>
        <w:rPr>
          <w:sz w:val="16"/>
          <w:szCs w:val="16"/>
          <w:lang w:val="en-AU"/>
        </w:rPr>
      </w:pPr>
      <w:r w:rsidRPr="00F64BB5">
        <w:rPr>
          <w:rStyle w:val="FootnoteReference"/>
          <w:sz w:val="16"/>
          <w:szCs w:val="16"/>
        </w:rPr>
        <w:footnoteRef/>
      </w:r>
      <w:r w:rsidRPr="00F64BB5">
        <w:rPr>
          <w:sz w:val="16"/>
          <w:szCs w:val="16"/>
        </w:rPr>
        <w:t xml:space="preserve"> It is important to note that this measure will have an intergenerational impact given that these children will grow to become the next generation of duty bearers.</w:t>
      </w:r>
    </w:p>
  </w:footnote>
  <w:footnote w:id="43">
    <w:p w14:paraId="721C581D" w14:textId="2972B7BA" w:rsidR="00CD02E0" w:rsidRPr="00F64BB5" w:rsidRDefault="00CD02E0" w:rsidP="00F53D09">
      <w:pPr>
        <w:jc w:val="both"/>
        <w:rPr>
          <w:sz w:val="16"/>
          <w:szCs w:val="16"/>
        </w:rPr>
      </w:pPr>
      <w:r w:rsidRPr="00F64BB5">
        <w:rPr>
          <w:rStyle w:val="FootnoteReference"/>
          <w:sz w:val="16"/>
          <w:szCs w:val="16"/>
        </w:rPr>
        <w:footnoteRef/>
      </w:r>
      <w:r w:rsidRPr="00F64BB5">
        <w:rPr>
          <w:sz w:val="16"/>
          <w:szCs w:val="16"/>
        </w:rPr>
        <w:t xml:space="preserve"> Regulating the digital environment will no doubt raise issues concerning a parent’s right to post their child’s information online  and the question of whether – or to what extent – this should be restricted. </w:t>
      </w:r>
      <w:r w:rsidR="00EB3377">
        <w:rPr>
          <w:sz w:val="16"/>
          <w:szCs w:val="16"/>
        </w:rPr>
        <w:t>G</w:t>
      </w:r>
      <w:r w:rsidRPr="00F64BB5">
        <w:rPr>
          <w:sz w:val="16"/>
          <w:szCs w:val="16"/>
        </w:rPr>
        <w:t>iven restricting a parent’s right to</w:t>
      </w:r>
      <w:r w:rsidRPr="00F53D09">
        <w:rPr>
          <w:sz w:val="18"/>
          <w:szCs w:val="18"/>
        </w:rPr>
        <w:t xml:space="preserve"> </w:t>
      </w:r>
      <w:r w:rsidRPr="00F64BB5">
        <w:rPr>
          <w:sz w:val="16"/>
          <w:szCs w:val="16"/>
        </w:rPr>
        <w:t xml:space="preserve">post online does not infringe on their right to parent a child, such a restriction could be considered a reasonable and legitimate restriction in order to fulfil their obligations as duty bearer. </w:t>
      </w:r>
    </w:p>
  </w:footnote>
  <w:footnote w:id="44">
    <w:p w14:paraId="447685B6" w14:textId="7EB820A2" w:rsidR="00CD02E0" w:rsidRPr="00290F0D" w:rsidRDefault="00CD02E0" w:rsidP="00F53D09">
      <w:pPr>
        <w:jc w:val="both"/>
        <w:rPr>
          <w:lang w:val="en-AU"/>
        </w:rPr>
      </w:pPr>
      <w:r w:rsidRPr="00F64BB5">
        <w:rPr>
          <w:rStyle w:val="FootnoteReference"/>
          <w:sz w:val="16"/>
          <w:szCs w:val="16"/>
        </w:rPr>
        <w:footnoteRef/>
      </w:r>
      <w:r w:rsidRPr="00F64BB5">
        <w:rPr>
          <w:sz w:val="16"/>
          <w:szCs w:val="16"/>
        </w:rPr>
        <w:t xml:space="preserve"> </w:t>
      </w:r>
      <w:r w:rsidRPr="00F64BB5">
        <w:rPr>
          <w:sz w:val="16"/>
          <w:szCs w:val="16"/>
          <w:lang w:val="en-AU"/>
        </w:rPr>
        <w:t>Measures could include: disabling facilities that allow ‘shadow profiles’ to be developed for children, introduction of prompts prior to posting photos or videos of children, disable sharing of content that includes a child’s information to the owner-user, disable photo ‘tagging’ of children, allow children to ‘disallow’ posts made by third parties that include their personal information, introduce mandatory reporting for tech companies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75993"/>
    <w:multiLevelType w:val="hybridMultilevel"/>
    <w:tmpl w:val="81DC4952"/>
    <w:lvl w:ilvl="0" w:tplc="0EFE8FAE">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01768DF"/>
    <w:multiLevelType w:val="hybridMultilevel"/>
    <w:tmpl w:val="3ED49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02216"/>
    <w:multiLevelType w:val="hybridMultilevel"/>
    <w:tmpl w:val="99107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0119C4"/>
    <w:multiLevelType w:val="hybridMultilevel"/>
    <w:tmpl w:val="B3DCB4A4"/>
    <w:lvl w:ilvl="0" w:tplc="61DA3DC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3F433B"/>
    <w:multiLevelType w:val="hybridMultilevel"/>
    <w:tmpl w:val="05AE3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D14FCD"/>
    <w:multiLevelType w:val="hybridMultilevel"/>
    <w:tmpl w:val="3ED49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5B73DA"/>
    <w:multiLevelType w:val="hybridMultilevel"/>
    <w:tmpl w:val="41FAA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8"/>
  </w:num>
  <w:num w:numId="5">
    <w:abstractNumId w:val="9"/>
  </w:num>
  <w:num w:numId="6">
    <w:abstractNumId w:val="10"/>
  </w:num>
  <w:num w:numId="7">
    <w:abstractNumId w:val="3"/>
  </w:num>
  <w:num w:numId="8">
    <w:abstractNumId w:val="7"/>
  </w:num>
  <w:num w:numId="9">
    <w:abstractNumId w:val="1"/>
  </w:num>
  <w:num w:numId="10">
    <w:abstractNumId w:val="13"/>
  </w:num>
  <w:num w:numId="11">
    <w:abstractNumId w:val="12"/>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s-ES" w:vendorID="64" w:dllVersion="6" w:nlCheck="1" w:checkStyle="0"/>
  <w:activeWritingStyle w:appName="MSWord" w:lang="en-GB" w:vendorID="64" w:dllVersion="6" w:nlCheck="1" w:checkStyle="1"/>
  <w:proofState w:spelling="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3C"/>
    <w:rsid w:val="0000463B"/>
    <w:rsid w:val="00016104"/>
    <w:rsid w:val="000252E3"/>
    <w:rsid w:val="00025D6A"/>
    <w:rsid w:val="00046BA3"/>
    <w:rsid w:val="00046BBE"/>
    <w:rsid w:val="00046E92"/>
    <w:rsid w:val="00055630"/>
    <w:rsid w:val="00061A34"/>
    <w:rsid w:val="00061FA4"/>
    <w:rsid w:val="0006523D"/>
    <w:rsid w:val="00066721"/>
    <w:rsid w:val="00071C64"/>
    <w:rsid w:val="00075C62"/>
    <w:rsid w:val="00085C41"/>
    <w:rsid w:val="00090DA6"/>
    <w:rsid w:val="00092A3B"/>
    <w:rsid w:val="00095914"/>
    <w:rsid w:val="000A256E"/>
    <w:rsid w:val="000A546B"/>
    <w:rsid w:val="000C12AA"/>
    <w:rsid w:val="000C4547"/>
    <w:rsid w:val="000C4BB9"/>
    <w:rsid w:val="000D6AF6"/>
    <w:rsid w:val="000F16DF"/>
    <w:rsid w:val="000F2490"/>
    <w:rsid w:val="000F60E0"/>
    <w:rsid w:val="00101F49"/>
    <w:rsid w:val="00110384"/>
    <w:rsid w:val="00110FAB"/>
    <w:rsid w:val="0011452F"/>
    <w:rsid w:val="00115462"/>
    <w:rsid w:val="00116202"/>
    <w:rsid w:val="00116C0B"/>
    <w:rsid w:val="00117C2E"/>
    <w:rsid w:val="00117E65"/>
    <w:rsid w:val="00121E49"/>
    <w:rsid w:val="00123363"/>
    <w:rsid w:val="0012494B"/>
    <w:rsid w:val="00131D7A"/>
    <w:rsid w:val="00146E59"/>
    <w:rsid w:val="00147938"/>
    <w:rsid w:val="00152161"/>
    <w:rsid w:val="001529DE"/>
    <w:rsid w:val="001550B3"/>
    <w:rsid w:val="0016127C"/>
    <w:rsid w:val="001632D7"/>
    <w:rsid w:val="00165C15"/>
    <w:rsid w:val="00166D3D"/>
    <w:rsid w:val="00167775"/>
    <w:rsid w:val="00170C41"/>
    <w:rsid w:val="00173702"/>
    <w:rsid w:val="001763A9"/>
    <w:rsid w:val="0018182B"/>
    <w:rsid w:val="001836E7"/>
    <w:rsid w:val="001840C0"/>
    <w:rsid w:val="00193AF4"/>
    <w:rsid w:val="001947D9"/>
    <w:rsid w:val="00195390"/>
    <w:rsid w:val="001B0A90"/>
    <w:rsid w:val="001B7509"/>
    <w:rsid w:val="001B7EC8"/>
    <w:rsid w:val="001C5AD2"/>
    <w:rsid w:val="001C7FC9"/>
    <w:rsid w:val="001D6C35"/>
    <w:rsid w:val="001E1FBA"/>
    <w:rsid w:val="001E2E9F"/>
    <w:rsid w:val="001E4A64"/>
    <w:rsid w:val="00202365"/>
    <w:rsid w:val="00202DE6"/>
    <w:rsid w:val="002105E3"/>
    <w:rsid w:val="002257AB"/>
    <w:rsid w:val="0022631E"/>
    <w:rsid w:val="00241B1E"/>
    <w:rsid w:val="00242B76"/>
    <w:rsid w:val="00242C43"/>
    <w:rsid w:val="002452DF"/>
    <w:rsid w:val="00246112"/>
    <w:rsid w:val="00247205"/>
    <w:rsid w:val="00247E2C"/>
    <w:rsid w:val="002564E2"/>
    <w:rsid w:val="00256FA1"/>
    <w:rsid w:val="002638D1"/>
    <w:rsid w:val="002762DF"/>
    <w:rsid w:val="00276FDC"/>
    <w:rsid w:val="0028024C"/>
    <w:rsid w:val="00283226"/>
    <w:rsid w:val="00290F0D"/>
    <w:rsid w:val="002A167E"/>
    <w:rsid w:val="002A21F5"/>
    <w:rsid w:val="002A36B3"/>
    <w:rsid w:val="002B0BC9"/>
    <w:rsid w:val="002B2887"/>
    <w:rsid w:val="002C032E"/>
    <w:rsid w:val="002C256A"/>
    <w:rsid w:val="002C3F01"/>
    <w:rsid w:val="002C50D5"/>
    <w:rsid w:val="002D00FE"/>
    <w:rsid w:val="002D0B9E"/>
    <w:rsid w:val="002D4FFC"/>
    <w:rsid w:val="002D56D0"/>
    <w:rsid w:val="002D6C53"/>
    <w:rsid w:val="002E02A2"/>
    <w:rsid w:val="002E1464"/>
    <w:rsid w:val="002E24F8"/>
    <w:rsid w:val="002F5595"/>
    <w:rsid w:val="003038DD"/>
    <w:rsid w:val="00305A79"/>
    <w:rsid w:val="00317689"/>
    <w:rsid w:val="003211D6"/>
    <w:rsid w:val="00321FC1"/>
    <w:rsid w:val="00322542"/>
    <w:rsid w:val="00323756"/>
    <w:rsid w:val="00330A36"/>
    <w:rsid w:val="003340CA"/>
    <w:rsid w:val="00334F6A"/>
    <w:rsid w:val="0033633B"/>
    <w:rsid w:val="0033704F"/>
    <w:rsid w:val="00342AC8"/>
    <w:rsid w:val="003510B0"/>
    <w:rsid w:val="003511AF"/>
    <w:rsid w:val="00352A55"/>
    <w:rsid w:val="003540D7"/>
    <w:rsid w:val="00355921"/>
    <w:rsid w:val="0037216D"/>
    <w:rsid w:val="003752C6"/>
    <w:rsid w:val="00392941"/>
    <w:rsid w:val="003A567E"/>
    <w:rsid w:val="003B2357"/>
    <w:rsid w:val="003B4550"/>
    <w:rsid w:val="003B473E"/>
    <w:rsid w:val="003B5470"/>
    <w:rsid w:val="003C0C5E"/>
    <w:rsid w:val="003D2B85"/>
    <w:rsid w:val="003D5682"/>
    <w:rsid w:val="003E1316"/>
    <w:rsid w:val="003E18DD"/>
    <w:rsid w:val="003E5FDE"/>
    <w:rsid w:val="003F00A6"/>
    <w:rsid w:val="003F0922"/>
    <w:rsid w:val="003F1070"/>
    <w:rsid w:val="003F3164"/>
    <w:rsid w:val="00401FEC"/>
    <w:rsid w:val="00402707"/>
    <w:rsid w:val="00404711"/>
    <w:rsid w:val="0040734D"/>
    <w:rsid w:val="0041220B"/>
    <w:rsid w:val="004155D4"/>
    <w:rsid w:val="00416B51"/>
    <w:rsid w:val="00416CE3"/>
    <w:rsid w:val="00421872"/>
    <w:rsid w:val="0042687D"/>
    <w:rsid w:val="00433521"/>
    <w:rsid w:val="00440EED"/>
    <w:rsid w:val="00442016"/>
    <w:rsid w:val="0044559D"/>
    <w:rsid w:val="004468CC"/>
    <w:rsid w:val="004478E4"/>
    <w:rsid w:val="00447989"/>
    <w:rsid w:val="00450307"/>
    <w:rsid w:val="004508A6"/>
    <w:rsid w:val="00457FF0"/>
    <w:rsid w:val="00461253"/>
    <w:rsid w:val="00463496"/>
    <w:rsid w:val="00465518"/>
    <w:rsid w:val="00470E81"/>
    <w:rsid w:val="00472FED"/>
    <w:rsid w:val="004747A5"/>
    <w:rsid w:val="00474DA6"/>
    <w:rsid w:val="00481E3C"/>
    <w:rsid w:val="00487E18"/>
    <w:rsid w:val="004908C9"/>
    <w:rsid w:val="00490AA1"/>
    <w:rsid w:val="004915C9"/>
    <w:rsid w:val="004A61B0"/>
    <w:rsid w:val="004C5736"/>
    <w:rsid w:val="004D15A0"/>
    <w:rsid w:val="004D5A21"/>
    <w:rsid w:val="004D79E6"/>
    <w:rsid w:val="004E2F38"/>
    <w:rsid w:val="004E4B89"/>
    <w:rsid w:val="004E6470"/>
    <w:rsid w:val="004F514C"/>
    <w:rsid w:val="004F6041"/>
    <w:rsid w:val="005020AC"/>
    <w:rsid w:val="005042C2"/>
    <w:rsid w:val="00507208"/>
    <w:rsid w:val="005166AC"/>
    <w:rsid w:val="00517A96"/>
    <w:rsid w:val="00526E53"/>
    <w:rsid w:val="005272A1"/>
    <w:rsid w:val="0053212C"/>
    <w:rsid w:val="005334AC"/>
    <w:rsid w:val="00534FCB"/>
    <w:rsid w:val="00546131"/>
    <w:rsid w:val="005502B9"/>
    <w:rsid w:val="005517D5"/>
    <w:rsid w:val="00551FBA"/>
    <w:rsid w:val="0055326C"/>
    <w:rsid w:val="0056175B"/>
    <w:rsid w:val="0056581E"/>
    <w:rsid w:val="005774F7"/>
    <w:rsid w:val="00584DB4"/>
    <w:rsid w:val="00585F61"/>
    <w:rsid w:val="005872B7"/>
    <w:rsid w:val="00592F3A"/>
    <w:rsid w:val="005944CD"/>
    <w:rsid w:val="005977CF"/>
    <w:rsid w:val="005B4B00"/>
    <w:rsid w:val="005C01F2"/>
    <w:rsid w:val="005C0A5C"/>
    <w:rsid w:val="005C41D7"/>
    <w:rsid w:val="005C6A25"/>
    <w:rsid w:val="005D650E"/>
    <w:rsid w:val="005E4CAD"/>
    <w:rsid w:val="005F79F0"/>
    <w:rsid w:val="005F7D2D"/>
    <w:rsid w:val="006015A4"/>
    <w:rsid w:val="006062AC"/>
    <w:rsid w:val="00612A61"/>
    <w:rsid w:val="00612F42"/>
    <w:rsid w:val="006267A0"/>
    <w:rsid w:val="00630F13"/>
    <w:rsid w:val="00633A45"/>
    <w:rsid w:val="00633C4C"/>
    <w:rsid w:val="00634AE6"/>
    <w:rsid w:val="00645C3E"/>
    <w:rsid w:val="00646A04"/>
    <w:rsid w:val="00652509"/>
    <w:rsid w:val="00670408"/>
    <w:rsid w:val="00671529"/>
    <w:rsid w:val="00671B51"/>
    <w:rsid w:val="006770A5"/>
    <w:rsid w:val="00677137"/>
    <w:rsid w:val="0068061E"/>
    <w:rsid w:val="00680CE8"/>
    <w:rsid w:val="00682EAB"/>
    <w:rsid w:val="0068699D"/>
    <w:rsid w:val="00692475"/>
    <w:rsid w:val="0069389D"/>
    <w:rsid w:val="006951B3"/>
    <w:rsid w:val="00697E66"/>
    <w:rsid w:val="006A07CE"/>
    <w:rsid w:val="006A5D6C"/>
    <w:rsid w:val="006A651F"/>
    <w:rsid w:val="006D023A"/>
    <w:rsid w:val="006D2CA6"/>
    <w:rsid w:val="006D7EED"/>
    <w:rsid w:val="006E516A"/>
    <w:rsid w:val="006E6C14"/>
    <w:rsid w:val="00707366"/>
    <w:rsid w:val="00707B8C"/>
    <w:rsid w:val="00710ED4"/>
    <w:rsid w:val="00715B3A"/>
    <w:rsid w:val="007167FD"/>
    <w:rsid w:val="00723E42"/>
    <w:rsid w:val="007262D6"/>
    <w:rsid w:val="007268F9"/>
    <w:rsid w:val="00734600"/>
    <w:rsid w:val="0073485E"/>
    <w:rsid w:val="007404FB"/>
    <w:rsid w:val="007410B1"/>
    <w:rsid w:val="007472E5"/>
    <w:rsid w:val="00750A8C"/>
    <w:rsid w:val="00754431"/>
    <w:rsid w:val="00763D09"/>
    <w:rsid w:val="00765FD0"/>
    <w:rsid w:val="00772C2C"/>
    <w:rsid w:val="007773F6"/>
    <w:rsid w:val="007778BC"/>
    <w:rsid w:val="00793F57"/>
    <w:rsid w:val="007A4204"/>
    <w:rsid w:val="007A54C2"/>
    <w:rsid w:val="007B5822"/>
    <w:rsid w:val="007B6DD1"/>
    <w:rsid w:val="007C38FA"/>
    <w:rsid w:val="007C3AAB"/>
    <w:rsid w:val="007C4456"/>
    <w:rsid w:val="007C52B0"/>
    <w:rsid w:val="007D66E5"/>
    <w:rsid w:val="007D7A7E"/>
    <w:rsid w:val="007E0C92"/>
    <w:rsid w:val="007E3C31"/>
    <w:rsid w:val="007E6D45"/>
    <w:rsid w:val="007F6F39"/>
    <w:rsid w:val="008018C9"/>
    <w:rsid w:val="00801D5E"/>
    <w:rsid w:val="008031B9"/>
    <w:rsid w:val="00803370"/>
    <w:rsid w:val="008063E2"/>
    <w:rsid w:val="00814B96"/>
    <w:rsid w:val="008176B3"/>
    <w:rsid w:val="00817CCF"/>
    <w:rsid w:val="00817E57"/>
    <w:rsid w:val="00821D6B"/>
    <w:rsid w:val="00824422"/>
    <w:rsid w:val="00834233"/>
    <w:rsid w:val="008439E7"/>
    <w:rsid w:val="00853BA7"/>
    <w:rsid w:val="008731AD"/>
    <w:rsid w:val="008801F8"/>
    <w:rsid w:val="0088114A"/>
    <w:rsid w:val="008832CD"/>
    <w:rsid w:val="00886E3E"/>
    <w:rsid w:val="00887B7D"/>
    <w:rsid w:val="008912CE"/>
    <w:rsid w:val="008B664B"/>
    <w:rsid w:val="008C3162"/>
    <w:rsid w:val="008C3759"/>
    <w:rsid w:val="008D14DE"/>
    <w:rsid w:val="008D1809"/>
    <w:rsid w:val="008D3450"/>
    <w:rsid w:val="008D76D7"/>
    <w:rsid w:val="008E2B99"/>
    <w:rsid w:val="008E4F00"/>
    <w:rsid w:val="008F468D"/>
    <w:rsid w:val="008F676E"/>
    <w:rsid w:val="00912631"/>
    <w:rsid w:val="009126D1"/>
    <w:rsid w:val="00917B0F"/>
    <w:rsid w:val="00931A22"/>
    <w:rsid w:val="00935C05"/>
    <w:rsid w:val="009411B4"/>
    <w:rsid w:val="0094163F"/>
    <w:rsid w:val="00941760"/>
    <w:rsid w:val="00943969"/>
    <w:rsid w:val="00944258"/>
    <w:rsid w:val="00947B43"/>
    <w:rsid w:val="009667E2"/>
    <w:rsid w:val="00967B03"/>
    <w:rsid w:val="00986965"/>
    <w:rsid w:val="00987E89"/>
    <w:rsid w:val="009904B2"/>
    <w:rsid w:val="009A06DF"/>
    <w:rsid w:val="009A24B1"/>
    <w:rsid w:val="009A4A1F"/>
    <w:rsid w:val="009A5E0A"/>
    <w:rsid w:val="009A608B"/>
    <w:rsid w:val="009B1E8F"/>
    <w:rsid w:val="009C186F"/>
    <w:rsid w:val="009C45C0"/>
    <w:rsid w:val="009C4D27"/>
    <w:rsid w:val="009D0139"/>
    <w:rsid w:val="009D0623"/>
    <w:rsid w:val="009D39DC"/>
    <w:rsid w:val="009D700C"/>
    <w:rsid w:val="009D7358"/>
    <w:rsid w:val="009E4853"/>
    <w:rsid w:val="009F494C"/>
    <w:rsid w:val="009F5BC8"/>
    <w:rsid w:val="009F5CDC"/>
    <w:rsid w:val="009F7995"/>
    <w:rsid w:val="00A045E9"/>
    <w:rsid w:val="00A119DB"/>
    <w:rsid w:val="00A20C5B"/>
    <w:rsid w:val="00A23459"/>
    <w:rsid w:val="00A24D4D"/>
    <w:rsid w:val="00A32A42"/>
    <w:rsid w:val="00A35C88"/>
    <w:rsid w:val="00A376F2"/>
    <w:rsid w:val="00A40D7A"/>
    <w:rsid w:val="00A41052"/>
    <w:rsid w:val="00A57395"/>
    <w:rsid w:val="00A573EB"/>
    <w:rsid w:val="00A70005"/>
    <w:rsid w:val="00A775CF"/>
    <w:rsid w:val="00A81B4E"/>
    <w:rsid w:val="00A8402E"/>
    <w:rsid w:val="00A9145E"/>
    <w:rsid w:val="00A94DA1"/>
    <w:rsid w:val="00A97E5A"/>
    <w:rsid w:val="00AA087C"/>
    <w:rsid w:val="00AA6E0E"/>
    <w:rsid w:val="00AB168A"/>
    <w:rsid w:val="00AC2975"/>
    <w:rsid w:val="00AC4B26"/>
    <w:rsid w:val="00AD054F"/>
    <w:rsid w:val="00AD0BF1"/>
    <w:rsid w:val="00AD304D"/>
    <w:rsid w:val="00AD5903"/>
    <w:rsid w:val="00AE4706"/>
    <w:rsid w:val="00AF21B8"/>
    <w:rsid w:val="00AF3DED"/>
    <w:rsid w:val="00B00854"/>
    <w:rsid w:val="00B00A83"/>
    <w:rsid w:val="00B018FE"/>
    <w:rsid w:val="00B06045"/>
    <w:rsid w:val="00B1168B"/>
    <w:rsid w:val="00B14AC9"/>
    <w:rsid w:val="00B14D78"/>
    <w:rsid w:val="00B164EF"/>
    <w:rsid w:val="00B2090D"/>
    <w:rsid w:val="00B26E89"/>
    <w:rsid w:val="00B305EA"/>
    <w:rsid w:val="00B3174D"/>
    <w:rsid w:val="00B416F3"/>
    <w:rsid w:val="00B41C86"/>
    <w:rsid w:val="00B424E4"/>
    <w:rsid w:val="00B42E61"/>
    <w:rsid w:val="00B44244"/>
    <w:rsid w:val="00B44E40"/>
    <w:rsid w:val="00B6157C"/>
    <w:rsid w:val="00B61FCB"/>
    <w:rsid w:val="00B667FB"/>
    <w:rsid w:val="00B778F2"/>
    <w:rsid w:val="00B903E5"/>
    <w:rsid w:val="00B927A9"/>
    <w:rsid w:val="00B96A10"/>
    <w:rsid w:val="00BA0F96"/>
    <w:rsid w:val="00BB4099"/>
    <w:rsid w:val="00BB5573"/>
    <w:rsid w:val="00BB7739"/>
    <w:rsid w:val="00BB7E3F"/>
    <w:rsid w:val="00BD424F"/>
    <w:rsid w:val="00BD46EC"/>
    <w:rsid w:val="00BD7EF7"/>
    <w:rsid w:val="00BE0010"/>
    <w:rsid w:val="00BF6389"/>
    <w:rsid w:val="00C0113D"/>
    <w:rsid w:val="00C01913"/>
    <w:rsid w:val="00C04CCD"/>
    <w:rsid w:val="00C07995"/>
    <w:rsid w:val="00C126F7"/>
    <w:rsid w:val="00C245DB"/>
    <w:rsid w:val="00C2656F"/>
    <w:rsid w:val="00C30C3B"/>
    <w:rsid w:val="00C331B7"/>
    <w:rsid w:val="00C33F61"/>
    <w:rsid w:val="00C34610"/>
    <w:rsid w:val="00C35A27"/>
    <w:rsid w:val="00C44C41"/>
    <w:rsid w:val="00C45FA3"/>
    <w:rsid w:val="00C571DC"/>
    <w:rsid w:val="00C61C68"/>
    <w:rsid w:val="00C67055"/>
    <w:rsid w:val="00C71246"/>
    <w:rsid w:val="00C71BF5"/>
    <w:rsid w:val="00C72595"/>
    <w:rsid w:val="00C72DF1"/>
    <w:rsid w:val="00C73034"/>
    <w:rsid w:val="00C7532D"/>
    <w:rsid w:val="00C83521"/>
    <w:rsid w:val="00C8616F"/>
    <w:rsid w:val="00C91F41"/>
    <w:rsid w:val="00CA1AEA"/>
    <w:rsid w:val="00CA2C51"/>
    <w:rsid w:val="00CA47BE"/>
    <w:rsid w:val="00CA6688"/>
    <w:rsid w:val="00CB4D3E"/>
    <w:rsid w:val="00CB57CA"/>
    <w:rsid w:val="00CB605E"/>
    <w:rsid w:val="00CC1E50"/>
    <w:rsid w:val="00CD0262"/>
    <w:rsid w:val="00CD02E0"/>
    <w:rsid w:val="00CD554E"/>
    <w:rsid w:val="00CD71F9"/>
    <w:rsid w:val="00CE423D"/>
    <w:rsid w:val="00CE7160"/>
    <w:rsid w:val="00CF577A"/>
    <w:rsid w:val="00CF6B53"/>
    <w:rsid w:val="00D002C7"/>
    <w:rsid w:val="00D10D7E"/>
    <w:rsid w:val="00D151CA"/>
    <w:rsid w:val="00D203D8"/>
    <w:rsid w:val="00D21454"/>
    <w:rsid w:val="00D30E09"/>
    <w:rsid w:val="00D41E76"/>
    <w:rsid w:val="00D42E18"/>
    <w:rsid w:val="00D47CF0"/>
    <w:rsid w:val="00D511F7"/>
    <w:rsid w:val="00D52926"/>
    <w:rsid w:val="00D55B53"/>
    <w:rsid w:val="00D61E72"/>
    <w:rsid w:val="00D64AAC"/>
    <w:rsid w:val="00D65E5D"/>
    <w:rsid w:val="00D7416C"/>
    <w:rsid w:val="00D76A2F"/>
    <w:rsid w:val="00D7727E"/>
    <w:rsid w:val="00D83BA5"/>
    <w:rsid w:val="00D92474"/>
    <w:rsid w:val="00D95EDB"/>
    <w:rsid w:val="00D96D65"/>
    <w:rsid w:val="00DA2C6E"/>
    <w:rsid w:val="00DA5D01"/>
    <w:rsid w:val="00DB1B93"/>
    <w:rsid w:val="00DC008E"/>
    <w:rsid w:val="00DC01B3"/>
    <w:rsid w:val="00DC1205"/>
    <w:rsid w:val="00DC5BD8"/>
    <w:rsid w:val="00DE02F2"/>
    <w:rsid w:val="00DE31F7"/>
    <w:rsid w:val="00DF0277"/>
    <w:rsid w:val="00DF168D"/>
    <w:rsid w:val="00DF2C85"/>
    <w:rsid w:val="00E02C2B"/>
    <w:rsid w:val="00E1272D"/>
    <w:rsid w:val="00E13558"/>
    <w:rsid w:val="00E15214"/>
    <w:rsid w:val="00E160C7"/>
    <w:rsid w:val="00E23A37"/>
    <w:rsid w:val="00E256DA"/>
    <w:rsid w:val="00E32A59"/>
    <w:rsid w:val="00E32CE4"/>
    <w:rsid w:val="00E331FD"/>
    <w:rsid w:val="00E373B2"/>
    <w:rsid w:val="00E40483"/>
    <w:rsid w:val="00E41878"/>
    <w:rsid w:val="00E44087"/>
    <w:rsid w:val="00E527B9"/>
    <w:rsid w:val="00E52F50"/>
    <w:rsid w:val="00E53726"/>
    <w:rsid w:val="00E6292D"/>
    <w:rsid w:val="00E720F3"/>
    <w:rsid w:val="00E73238"/>
    <w:rsid w:val="00E76678"/>
    <w:rsid w:val="00E77EE9"/>
    <w:rsid w:val="00E81C75"/>
    <w:rsid w:val="00E85AB2"/>
    <w:rsid w:val="00E86C76"/>
    <w:rsid w:val="00E918B0"/>
    <w:rsid w:val="00E92913"/>
    <w:rsid w:val="00E954DD"/>
    <w:rsid w:val="00E956AA"/>
    <w:rsid w:val="00EB3377"/>
    <w:rsid w:val="00EB453D"/>
    <w:rsid w:val="00EB6362"/>
    <w:rsid w:val="00EC23BB"/>
    <w:rsid w:val="00EC4E8F"/>
    <w:rsid w:val="00ED05E0"/>
    <w:rsid w:val="00ED1490"/>
    <w:rsid w:val="00ED6C48"/>
    <w:rsid w:val="00ED6F4C"/>
    <w:rsid w:val="00EE29B9"/>
    <w:rsid w:val="00EF51B4"/>
    <w:rsid w:val="00EF6940"/>
    <w:rsid w:val="00EF6F09"/>
    <w:rsid w:val="00F02F43"/>
    <w:rsid w:val="00F179D4"/>
    <w:rsid w:val="00F26D7F"/>
    <w:rsid w:val="00F30EE7"/>
    <w:rsid w:val="00F31767"/>
    <w:rsid w:val="00F343E0"/>
    <w:rsid w:val="00F41F0F"/>
    <w:rsid w:val="00F4313C"/>
    <w:rsid w:val="00F47584"/>
    <w:rsid w:val="00F51977"/>
    <w:rsid w:val="00F5201D"/>
    <w:rsid w:val="00F53B08"/>
    <w:rsid w:val="00F53D09"/>
    <w:rsid w:val="00F637B6"/>
    <w:rsid w:val="00F64BB5"/>
    <w:rsid w:val="00F65F5D"/>
    <w:rsid w:val="00F75C50"/>
    <w:rsid w:val="00F77AAF"/>
    <w:rsid w:val="00F81587"/>
    <w:rsid w:val="00F8323E"/>
    <w:rsid w:val="00F84C2B"/>
    <w:rsid w:val="00F86A3A"/>
    <w:rsid w:val="00F919B5"/>
    <w:rsid w:val="00F91BE7"/>
    <w:rsid w:val="00F91D08"/>
    <w:rsid w:val="00F97D1F"/>
    <w:rsid w:val="00FA0E69"/>
    <w:rsid w:val="00FA67BF"/>
    <w:rsid w:val="00FC516A"/>
    <w:rsid w:val="00FC517D"/>
    <w:rsid w:val="00FD6FD5"/>
    <w:rsid w:val="00FD735B"/>
    <w:rsid w:val="00FD7751"/>
    <w:rsid w:val="00FE1147"/>
    <w:rsid w:val="00FE2A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995A4"/>
  <w15:docId w15:val="{63C75112-6D6F-3B4D-8B0A-6FC554CB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D41E76"/>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D41E76"/>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D41E76"/>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styleId="ListParagraph">
    <w:name w:val="List Paragraph"/>
    <w:basedOn w:val="Normal"/>
    <w:uiPriority w:val="34"/>
    <w:rsid w:val="00A57395"/>
    <w:pPr>
      <w:ind w:left="720"/>
      <w:contextualSpacing/>
    </w:pPr>
  </w:style>
  <w:style w:type="character" w:styleId="Hyperlink">
    <w:name w:val="Hyperlink"/>
    <w:basedOn w:val="DefaultParagraphFont"/>
    <w:uiPriority w:val="99"/>
    <w:unhideWhenUsed/>
    <w:rsid w:val="00CD0262"/>
    <w:rPr>
      <w:color w:val="0000FF"/>
      <w:u w:val="single"/>
    </w:rPr>
  </w:style>
  <w:style w:type="character" w:styleId="UnresolvedMention">
    <w:name w:val="Unresolved Mention"/>
    <w:basedOn w:val="DefaultParagraphFont"/>
    <w:uiPriority w:val="99"/>
    <w:semiHidden/>
    <w:unhideWhenUsed/>
    <w:rsid w:val="00B164EF"/>
    <w:rPr>
      <w:color w:val="605E5C"/>
      <w:shd w:val="clear" w:color="auto" w:fill="E1DFDD"/>
    </w:rPr>
  </w:style>
  <w:style w:type="table" w:styleId="GridTable2-Accent1">
    <w:name w:val="Grid Table 2 Accent 1"/>
    <w:basedOn w:val="TableNormal"/>
    <w:uiPriority w:val="47"/>
    <w:rsid w:val="00242B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242B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20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192307750">
      <w:bodyDiv w:val="1"/>
      <w:marLeft w:val="0"/>
      <w:marRight w:val="0"/>
      <w:marTop w:val="0"/>
      <w:marBottom w:val="0"/>
      <w:divBdr>
        <w:top w:val="none" w:sz="0" w:space="0" w:color="auto"/>
        <w:left w:val="none" w:sz="0" w:space="0" w:color="auto"/>
        <w:bottom w:val="none" w:sz="0" w:space="0" w:color="auto"/>
        <w:right w:val="none" w:sz="0" w:space="0" w:color="auto"/>
      </w:divBdr>
    </w:div>
    <w:div w:id="257954998">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85503326">
      <w:bodyDiv w:val="1"/>
      <w:marLeft w:val="0"/>
      <w:marRight w:val="0"/>
      <w:marTop w:val="0"/>
      <w:marBottom w:val="0"/>
      <w:divBdr>
        <w:top w:val="none" w:sz="0" w:space="0" w:color="auto"/>
        <w:left w:val="none" w:sz="0" w:space="0" w:color="auto"/>
        <w:bottom w:val="none" w:sz="0" w:space="0" w:color="auto"/>
        <w:right w:val="none" w:sz="0" w:space="0" w:color="auto"/>
      </w:divBdr>
    </w:div>
    <w:div w:id="287902700">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438530964">
      <w:bodyDiv w:val="1"/>
      <w:marLeft w:val="0"/>
      <w:marRight w:val="0"/>
      <w:marTop w:val="0"/>
      <w:marBottom w:val="0"/>
      <w:divBdr>
        <w:top w:val="none" w:sz="0" w:space="0" w:color="auto"/>
        <w:left w:val="none" w:sz="0" w:space="0" w:color="auto"/>
        <w:bottom w:val="none" w:sz="0" w:space="0" w:color="auto"/>
        <w:right w:val="none" w:sz="0" w:space="0" w:color="auto"/>
      </w:divBdr>
    </w:div>
    <w:div w:id="439570124">
      <w:bodyDiv w:val="1"/>
      <w:marLeft w:val="0"/>
      <w:marRight w:val="0"/>
      <w:marTop w:val="0"/>
      <w:marBottom w:val="0"/>
      <w:divBdr>
        <w:top w:val="none" w:sz="0" w:space="0" w:color="auto"/>
        <w:left w:val="none" w:sz="0" w:space="0" w:color="auto"/>
        <w:bottom w:val="none" w:sz="0" w:space="0" w:color="auto"/>
        <w:right w:val="none" w:sz="0" w:space="0" w:color="auto"/>
      </w:divBdr>
    </w:div>
    <w:div w:id="445658681">
      <w:bodyDiv w:val="1"/>
      <w:marLeft w:val="0"/>
      <w:marRight w:val="0"/>
      <w:marTop w:val="0"/>
      <w:marBottom w:val="0"/>
      <w:divBdr>
        <w:top w:val="none" w:sz="0" w:space="0" w:color="auto"/>
        <w:left w:val="none" w:sz="0" w:space="0" w:color="auto"/>
        <w:bottom w:val="none" w:sz="0" w:space="0" w:color="auto"/>
        <w:right w:val="none" w:sz="0" w:space="0" w:color="auto"/>
      </w:divBdr>
    </w:div>
    <w:div w:id="487281626">
      <w:bodyDiv w:val="1"/>
      <w:marLeft w:val="0"/>
      <w:marRight w:val="0"/>
      <w:marTop w:val="0"/>
      <w:marBottom w:val="0"/>
      <w:divBdr>
        <w:top w:val="none" w:sz="0" w:space="0" w:color="auto"/>
        <w:left w:val="none" w:sz="0" w:space="0" w:color="auto"/>
        <w:bottom w:val="none" w:sz="0" w:space="0" w:color="auto"/>
        <w:right w:val="none" w:sz="0" w:space="0" w:color="auto"/>
      </w:divBdr>
    </w:div>
    <w:div w:id="495461087">
      <w:bodyDiv w:val="1"/>
      <w:marLeft w:val="0"/>
      <w:marRight w:val="0"/>
      <w:marTop w:val="0"/>
      <w:marBottom w:val="0"/>
      <w:divBdr>
        <w:top w:val="none" w:sz="0" w:space="0" w:color="auto"/>
        <w:left w:val="none" w:sz="0" w:space="0" w:color="auto"/>
        <w:bottom w:val="none" w:sz="0" w:space="0" w:color="auto"/>
        <w:right w:val="none" w:sz="0" w:space="0" w:color="auto"/>
      </w:divBdr>
    </w:div>
    <w:div w:id="496386161">
      <w:bodyDiv w:val="1"/>
      <w:marLeft w:val="0"/>
      <w:marRight w:val="0"/>
      <w:marTop w:val="0"/>
      <w:marBottom w:val="0"/>
      <w:divBdr>
        <w:top w:val="none" w:sz="0" w:space="0" w:color="auto"/>
        <w:left w:val="none" w:sz="0" w:space="0" w:color="auto"/>
        <w:bottom w:val="none" w:sz="0" w:space="0" w:color="auto"/>
        <w:right w:val="none" w:sz="0" w:space="0" w:color="auto"/>
      </w:divBdr>
    </w:div>
    <w:div w:id="529270187">
      <w:bodyDiv w:val="1"/>
      <w:marLeft w:val="0"/>
      <w:marRight w:val="0"/>
      <w:marTop w:val="0"/>
      <w:marBottom w:val="0"/>
      <w:divBdr>
        <w:top w:val="none" w:sz="0" w:space="0" w:color="auto"/>
        <w:left w:val="none" w:sz="0" w:space="0" w:color="auto"/>
        <w:bottom w:val="none" w:sz="0" w:space="0" w:color="auto"/>
        <w:right w:val="none" w:sz="0" w:space="0" w:color="auto"/>
      </w:divBdr>
    </w:div>
    <w:div w:id="529606309">
      <w:bodyDiv w:val="1"/>
      <w:marLeft w:val="0"/>
      <w:marRight w:val="0"/>
      <w:marTop w:val="0"/>
      <w:marBottom w:val="0"/>
      <w:divBdr>
        <w:top w:val="none" w:sz="0" w:space="0" w:color="auto"/>
        <w:left w:val="none" w:sz="0" w:space="0" w:color="auto"/>
        <w:bottom w:val="none" w:sz="0" w:space="0" w:color="auto"/>
        <w:right w:val="none" w:sz="0" w:space="0" w:color="auto"/>
      </w:divBdr>
    </w:div>
    <w:div w:id="549267728">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64258168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62935521">
      <w:bodyDiv w:val="1"/>
      <w:marLeft w:val="0"/>
      <w:marRight w:val="0"/>
      <w:marTop w:val="0"/>
      <w:marBottom w:val="0"/>
      <w:divBdr>
        <w:top w:val="none" w:sz="0" w:space="0" w:color="auto"/>
        <w:left w:val="none" w:sz="0" w:space="0" w:color="auto"/>
        <w:bottom w:val="none" w:sz="0" w:space="0" w:color="auto"/>
        <w:right w:val="none" w:sz="0" w:space="0" w:color="auto"/>
      </w:divBdr>
    </w:div>
    <w:div w:id="869144934">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20918049">
      <w:bodyDiv w:val="1"/>
      <w:marLeft w:val="0"/>
      <w:marRight w:val="0"/>
      <w:marTop w:val="0"/>
      <w:marBottom w:val="0"/>
      <w:divBdr>
        <w:top w:val="none" w:sz="0" w:space="0" w:color="auto"/>
        <w:left w:val="none" w:sz="0" w:space="0" w:color="auto"/>
        <w:bottom w:val="none" w:sz="0" w:space="0" w:color="auto"/>
        <w:right w:val="none" w:sz="0" w:space="0" w:color="auto"/>
      </w:divBdr>
    </w:div>
    <w:div w:id="983780177">
      <w:bodyDiv w:val="1"/>
      <w:marLeft w:val="0"/>
      <w:marRight w:val="0"/>
      <w:marTop w:val="0"/>
      <w:marBottom w:val="0"/>
      <w:divBdr>
        <w:top w:val="none" w:sz="0" w:space="0" w:color="auto"/>
        <w:left w:val="none" w:sz="0" w:space="0" w:color="auto"/>
        <w:bottom w:val="none" w:sz="0" w:space="0" w:color="auto"/>
        <w:right w:val="none" w:sz="0" w:space="0" w:color="auto"/>
      </w:divBdr>
    </w:div>
    <w:div w:id="1008679728">
      <w:bodyDiv w:val="1"/>
      <w:marLeft w:val="0"/>
      <w:marRight w:val="0"/>
      <w:marTop w:val="0"/>
      <w:marBottom w:val="0"/>
      <w:divBdr>
        <w:top w:val="none" w:sz="0" w:space="0" w:color="auto"/>
        <w:left w:val="none" w:sz="0" w:space="0" w:color="auto"/>
        <w:bottom w:val="none" w:sz="0" w:space="0" w:color="auto"/>
        <w:right w:val="none" w:sz="0" w:space="0" w:color="auto"/>
      </w:divBdr>
    </w:div>
    <w:div w:id="1020010015">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084960295">
      <w:bodyDiv w:val="1"/>
      <w:marLeft w:val="0"/>
      <w:marRight w:val="0"/>
      <w:marTop w:val="0"/>
      <w:marBottom w:val="0"/>
      <w:divBdr>
        <w:top w:val="none" w:sz="0" w:space="0" w:color="auto"/>
        <w:left w:val="none" w:sz="0" w:space="0" w:color="auto"/>
        <w:bottom w:val="none" w:sz="0" w:space="0" w:color="auto"/>
        <w:right w:val="none" w:sz="0" w:space="0" w:color="auto"/>
      </w:divBdr>
    </w:div>
    <w:div w:id="1104040013">
      <w:bodyDiv w:val="1"/>
      <w:marLeft w:val="0"/>
      <w:marRight w:val="0"/>
      <w:marTop w:val="0"/>
      <w:marBottom w:val="0"/>
      <w:divBdr>
        <w:top w:val="none" w:sz="0" w:space="0" w:color="auto"/>
        <w:left w:val="none" w:sz="0" w:space="0" w:color="auto"/>
        <w:bottom w:val="none" w:sz="0" w:space="0" w:color="auto"/>
        <w:right w:val="none" w:sz="0" w:space="0" w:color="auto"/>
      </w:divBdr>
    </w:div>
    <w:div w:id="1126507992">
      <w:bodyDiv w:val="1"/>
      <w:marLeft w:val="0"/>
      <w:marRight w:val="0"/>
      <w:marTop w:val="0"/>
      <w:marBottom w:val="0"/>
      <w:divBdr>
        <w:top w:val="none" w:sz="0" w:space="0" w:color="auto"/>
        <w:left w:val="none" w:sz="0" w:space="0" w:color="auto"/>
        <w:bottom w:val="none" w:sz="0" w:space="0" w:color="auto"/>
        <w:right w:val="none" w:sz="0" w:space="0" w:color="auto"/>
      </w:divBdr>
    </w:div>
    <w:div w:id="1146624508">
      <w:bodyDiv w:val="1"/>
      <w:marLeft w:val="0"/>
      <w:marRight w:val="0"/>
      <w:marTop w:val="0"/>
      <w:marBottom w:val="0"/>
      <w:divBdr>
        <w:top w:val="none" w:sz="0" w:space="0" w:color="auto"/>
        <w:left w:val="none" w:sz="0" w:space="0" w:color="auto"/>
        <w:bottom w:val="none" w:sz="0" w:space="0" w:color="auto"/>
        <w:right w:val="none" w:sz="0" w:space="0" w:color="auto"/>
      </w:divBdr>
    </w:div>
    <w:div w:id="1148012500">
      <w:bodyDiv w:val="1"/>
      <w:marLeft w:val="0"/>
      <w:marRight w:val="0"/>
      <w:marTop w:val="0"/>
      <w:marBottom w:val="0"/>
      <w:divBdr>
        <w:top w:val="none" w:sz="0" w:space="0" w:color="auto"/>
        <w:left w:val="none" w:sz="0" w:space="0" w:color="auto"/>
        <w:bottom w:val="none" w:sz="0" w:space="0" w:color="auto"/>
        <w:right w:val="none" w:sz="0" w:space="0" w:color="auto"/>
      </w:divBdr>
    </w:div>
    <w:div w:id="1163081386">
      <w:bodyDiv w:val="1"/>
      <w:marLeft w:val="0"/>
      <w:marRight w:val="0"/>
      <w:marTop w:val="0"/>
      <w:marBottom w:val="0"/>
      <w:divBdr>
        <w:top w:val="none" w:sz="0" w:space="0" w:color="auto"/>
        <w:left w:val="none" w:sz="0" w:space="0" w:color="auto"/>
        <w:bottom w:val="none" w:sz="0" w:space="0" w:color="auto"/>
        <w:right w:val="none" w:sz="0" w:space="0" w:color="auto"/>
      </w:divBdr>
    </w:div>
    <w:div w:id="1177770113">
      <w:bodyDiv w:val="1"/>
      <w:marLeft w:val="0"/>
      <w:marRight w:val="0"/>
      <w:marTop w:val="0"/>
      <w:marBottom w:val="0"/>
      <w:divBdr>
        <w:top w:val="none" w:sz="0" w:space="0" w:color="auto"/>
        <w:left w:val="none" w:sz="0" w:space="0" w:color="auto"/>
        <w:bottom w:val="none" w:sz="0" w:space="0" w:color="auto"/>
        <w:right w:val="none" w:sz="0" w:space="0" w:color="auto"/>
      </w:divBdr>
    </w:div>
    <w:div w:id="1183586912">
      <w:bodyDiv w:val="1"/>
      <w:marLeft w:val="0"/>
      <w:marRight w:val="0"/>
      <w:marTop w:val="0"/>
      <w:marBottom w:val="0"/>
      <w:divBdr>
        <w:top w:val="none" w:sz="0" w:space="0" w:color="auto"/>
        <w:left w:val="none" w:sz="0" w:space="0" w:color="auto"/>
        <w:bottom w:val="none" w:sz="0" w:space="0" w:color="auto"/>
        <w:right w:val="none" w:sz="0" w:space="0" w:color="auto"/>
      </w:divBdr>
    </w:div>
    <w:div w:id="1223909298">
      <w:bodyDiv w:val="1"/>
      <w:marLeft w:val="0"/>
      <w:marRight w:val="0"/>
      <w:marTop w:val="0"/>
      <w:marBottom w:val="0"/>
      <w:divBdr>
        <w:top w:val="none" w:sz="0" w:space="0" w:color="auto"/>
        <w:left w:val="none" w:sz="0" w:space="0" w:color="auto"/>
        <w:bottom w:val="none" w:sz="0" w:space="0" w:color="auto"/>
        <w:right w:val="none" w:sz="0" w:space="0" w:color="auto"/>
      </w:divBdr>
    </w:div>
    <w:div w:id="1236623720">
      <w:bodyDiv w:val="1"/>
      <w:marLeft w:val="0"/>
      <w:marRight w:val="0"/>
      <w:marTop w:val="0"/>
      <w:marBottom w:val="0"/>
      <w:divBdr>
        <w:top w:val="none" w:sz="0" w:space="0" w:color="auto"/>
        <w:left w:val="none" w:sz="0" w:space="0" w:color="auto"/>
        <w:bottom w:val="none" w:sz="0" w:space="0" w:color="auto"/>
        <w:right w:val="none" w:sz="0" w:space="0" w:color="auto"/>
      </w:divBdr>
    </w:div>
    <w:div w:id="1242326088">
      <w:bodyDiv w:val="1"/>
      <w:marLeft w:val="0"/>
      <w:marRight w:val="0"/>
      <w:marTop w:val="0"/>
      <w:marBottom w:val="0"/>
      <w:divBdr>
        <w:top w:val="none" w:sz="0" w:space="0" w:color="auto"/>
        <w:left w:val="none" w:sz="0" w:space="0" w:color="auto"/>
        <w:bottom w:val="none" w:sz="0" w:space="0" w:color="auto"/>
        <w:right w:val="none" w:sz="0" w:space="0" w:color="auto"/>
      </w:divBdr>
    </w:div>
    <w:div w:id="1245340550">
      <w:bodyDiv w:val="1"/>
      <w:marLeft w:val="0"/>
      <w:marRight w:val="0"/>
      <w:marTop w:val="0"/>
      <w:marBottom w:val="0"/>
      <w:divBdr>
        <w:top w:val="none" w:sz="0" w:space="0" w:color="auto"/>
        <w:left w:val="none" w:sz="0" w:space="0" w:color="auto"/>
        <w:bottom w:val="none" w:sz="0" w:space="0" w:color="auto"/>
        <w:right w:val="none" w:sz="0" w:space="0" w:color="auto"/>
      </w:divBdr>
    </w:div>
    <w:div w:id="1265919569">
      <w:bodyDiv w:val="1"/>
      <w:marLeft w:val="0"/>
      <w:marRight w:val="0"/>
      <w:marTop w:val="0"/>
      <w:marBottom w:val="0"/>
      <w:divBdr>
        <w:top w:val="none" w:sz="0" w:space="0" w:color="auto"/>
        <w:left w:val="none" w:sz="0" w:space="0" w:color="auto"/>
        <w:bottom w:val="none" w:sz="0" w:space="0" w:color="auto"/>
        <w:right w:val="none" w:sz="0" w:space="0" w:color="auto"/>
      </w:divBdr>
    </w:div>
    <w:div w:id="1343825769">
      <w:bodyDiv w:val="1"/>
      <w:marLeft w:val="0"/>
      <w:marRight w:val="0"/>
      <w:marTop w:val="0"/>
      <w:marBottom w:val="0"/>
      <w:divBdr>
        <w:top w:val="none" w:sz="0" w:space="0" w:color="auto"/>
        <w:left w:val="none" w:sz="0" w:space="0" w:color="auto"/>
        <w:bottom w:val="none" w:sz="0" w:space="0" w:color="auto"/>
        <w:right w:val="none" w:sz="0" w:space="0" w:color="auto"/>
      </w:divBdr>
    </w:div>
    <w:div w:id="1385330526">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465193030">
      <w:bodyDiv w:val="1"/>
      <w:marLeft w:val="0"/>
      <w:marRight w:val="0"/>
      <w:marTop w:val="0"/>
      <w:marBottom w:val="0"/>
      <w:divBdr>
        <w:top w:val="none" w:sz="0" w:space="0" w:color="auto"/>
        <w:left w:val="none" w:sz="0" w:space="0" w:color="auto"/>
        <w:bottom w:val="none" w:sz="0" w:space="0" w:color="auto"/>
        <w:right w:val="none" w:sz="0" w:space="0" w:color="auto"/>
      </w:divBdr>
    </w:div>
    <w:div w:id="1536965303">
      <w:bodyDiv w:val="1"/>
      <w:marLeft w:val="0"/>
      <w:marRight w:val="0"/>
      <w:marTop w:val="0"/>
      <w:marBottom w:val="0"/>
      <w:divBdr>
        <w:top w:val="none" w:sz="0" w:space="0" w:color="auto"/>
        <w:left w:val="none" w:sz="0" w:space="0" w:color="auto"/>
        <w:bottom w:val="none" w:sz="0" w:space="0" w:color="auto"/>
        <w:right w:val="none" w:sz="0" w:space="0" w:color="auto"/>
      </w:divBdr>
    </w:div>
    <w:div w:id="1549221359">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26043375">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680572318">
      <w:bodyDiv w:val="1"/>
      <w:marLeft w:val="0"/>
      <w:marRight w:val="0"/>
      <w:marTop w:val="0"/>
      <w:marBottom w:val="0"/>
      <w:divBdr>
        <w:top w:val="none" w:sz="0" w:space="0" w:color="auto"/>
        <w:left w:val="none" w:sz="0" w:space="0" w:color="auto"/>
        <w:bottom w:val="none" w:sz="0" w:space="0" w:color="auto"/>
        <w:right w:val="none" w:sz="0" w:space="0" w:color="auto"/>
      </w:divBdr>
    </w:div>
    <w:div w:id="1683703832">
      <w:bodyDiv w:val="1"/>
      <w:marLeft w:val="0"/>
      <w:marRight w:val="0"/>
      <w:marTop w:val="0"/>
      <w:marBottom w:val="0"/>
      <w:divBdr>
        <w:top w:val="none" w:sz="0" w:space="0" w:color="auto"/>
        <w:left w:val="none" w:sz="0" w:space="0" w:color="auto"/>
        <w:bottom w:val="none" w:sz="0" w:space="0" w:color="auto"/>
        <w:right w:val="none" w:sz="0" w:space="0" w:color="auto"/>
      </w:divBdr>
    </w:div>
    <w:div w:id="1714691660">
      <w:bodyDiv w:val="1"/>
      <w:marLeft w:val="0"/>
      <w:marRight w:val="0"/>
      <w:marTop w:val="0"/>
      <w:marBottom w:val="0"/>
      <w:divBdr>
        <w:top w:val="none" w:sz="0" w:space="0" w:color="auto"/>
        <w:left w:val="none" w:sz="0" w:space="0" w:color="auto"/>
        <w:bottom w:val="none" w:sz="0" w:space="0" w:color="auto"/>
        <w:right w:val="none" w:sz="0" w:space="0" w:color="auto"/>
      </w:divBdr>
    </w:div>
    <w:div w:id="1739666760">
      <w:bodyDiv w:val="1"/>
      <w:marLeft w:val="0"/>
      <w:marRight w:val="0"/>
      <w:marTop w:val="0"/>
      <w:marBottom w:val="0"/>
      <w:divBdr>
        <w:top w:val="none" w:sz="0" w:space="0" w:color="auto"/>
        <w:left w:val="none" w:sz="0" w:space="0" w:color="auto"/>
        <w:bottom w:val="none" w:sz="0" w:space="0" w:color="auto"/>
        <w:right w:val="none" w:sz="0" w:space="0" w:color="auto"/>
      </w:divBdr>
    </w:div>
    <w:div w:id="175847524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96618082">
      <w:bodyDiv w:val="1"/>
      <w:marLeft w:val="0"/>
      <w:marRight w:val="0"/>
      <w:marTop w:val="0"/>
      <w:marBottom w:val="0"/>
      <w:divBdr>
        <w:top w:val="none" w:sz="0" w:space="0" w:color="auto"/>
        <w:left w:val="none" w:sz="0" w:space="0" w:color="auto"/>
        <w:bottom w:val="none" w:sz="0" w:space="0" w:color="auto"/>
        <w:right w:val="none" w:sz="0" w:space="0" w:color="auto"/>
      </w:divBdr>
    </w:div>
    <w:div w:id="1964773698">
      <w:bodyDiv w:val="1"/>
      <w:marLeft w:val="0"/>
      <w:marRight w:val="0"/>
      <w:marTop w:val="0"/>
      <w:marBottom w:val="0"/>
      <w:divBdr>
        <w:top w:val="none" w:sz="0" w:space="0" w:color="auto"/>
        <w:left w:val="none" w:sz="0" w:space="0" w:color="auto"/>
        <w:bottom w:val="none" w:sz="0" w:space="0" w:color="auto"/>
        <w:right w:val="none" w:sz="0" w:space="0" w:color="auto"/>
      </w:divBdr>
    </w:div>
    <w:div w:id="1979648182">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10714735">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08380299">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7/12/04/technology/facebook-messenger-kids.html" TargetMode="External"/><Relationship Id="rId13" Type="http://schemas.openxmlformats.org/officeDocument/2006/relationships/hyperlink" Target="https://aifs.gov.au/publications/differential-parenting-children-diverse-cultural-bac/introduction" TargetMode="External"/><Relationship Id="rId3" Type="http://schemas.openxmlformats.org/officeDocument/2006/relationships/hyperlink" Target="https://www.facebook.com/terms.php%203" TargetMode="External"/><Relationship Id="rId7" Type="http://schemas.openxmlformats.org/officeDocument/2006/relationships/hyperlink" Target="https://techcrunch.com/2018/07/19/facebok-under-13/" TargetMode="External"/><Relationship Id="rId12" Type="http://schemas.openxmlformats.org/officeDocument/2006/relationships/hyperlink" Target="http://www.lse.ac.uk/media-and-communications/assets/documents/research/preparing-for-a-digital-future/P4DF-Report-3.pdf" TargetMode="External"/><Relationship Id="rId2" Type="http://schemas.openxmlformats.org/officeDocument/2006/relationships/hyperlink" Target="https://theconversation.com/technology-giants-didnt-deserve-public-trust-in-the-first-place-106989" TargetMode="External"/><Relationship Id="rId16" Type="http://schemas.openxmlformats.org/officeDocument/2006/relationships/hyperlink" Target="https://www.apsc.gov.au/changing-behaviour-public-policy-perspective" TargetMode="External"/><Relationship Id="rId1" Type="http://schemas.openxmlformats.org/officeDocument/2006/relationships/hyperlink" Target="http://www.lse.ac.uk/media-and-communications/assets/documents/research/preparing-for-a-digital-future/P4DF-Report-3.pdf" TargetMode="External"/><Relationship Id="rId6" Type="http://schemas.openxmlformats.org/officeDocument/2006/relationships/hyperlink" Target="https://theconversation.com/its-impossible-for-facebook-users-to-protect-themselves-from-data-exploitation-93800" TargetMode="External"/><Relationship Id="rId11" Type="http://schemas.openxmlformats.org/officeDocument/2006/relationships/hyperlink" Target="https://www.smh.com.au/technology/parents-warned-of-dangers-in-posting-childrens-images-online-20140330-35rtv.html" TargetMode="External"/><Relationship Id="rId5" Type="http://schemas.openxmlformats.org/officeDocument/2006/relationships/hyperlink" Target="https://theconversation.com/technology-giants-didnt-deserve-public-trust-in-the-first-place-106989" TargetMode="External"/><Relationship Id="rId15" Type="http://schemas.openxmlformats.org/officeDocument/2006/relationships/hyperlink" Target="https://www.jrf.org.uk/sites/default/files/jrf/migrated/files/2132-parenting-literature-reviews.pdf" TargetMode="External"/><Relationship Id="rId10" Type="http://schemas.openxmlformats.org/officeDocument/2006/relationships/hyperlink" Target="http://www.lse.ac.uk/media-and-communications/assets/documents/research/preparing-for-a-digital-future/P4DF-Report-3.pdf" TargetMode="External"/><Relationship Id="rId4" Type="http://schemas.openxmlformats.org/officeDocument/2006/relationships/hyperlink" Target="https://theconversation.com/shadow-profiles-facebook-knows-about-you-even-if-youre-not-on-facebook-94804" TargetMode="External"/><Relationship Id="rId9" Type="http://schemas.openxmlformats.org/officeDocument/2006/relationships/hyperlink" Target="http://fortune.com/2011/05/20/zuckerberg-kids-under-13-should-be-allowed-on-facebook/" TargetMode="External"/><Relationship Id="rId14" Type="http://schemas.openxmlformats.org/officeDocument/2006/relationships/hyperlink" Target="https://www.ncbi.nlm.nih.gov/pmc/articles/PMC34330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4F30C7-9105-1642-B786-9247A5477022}">
  <ds:schemaRefs>
    <ds:schemaRef ds:uri="http://schemas.openxmlformats.org/officeDocument/2006/bibliography"/>
  </ds:schemaRefs>
</ds:datastoreItem>
</file>

<file path=customXml/itemProps2.xml><?xml version="1.0" encoding="utf-8"?>
<ds:datastoreItem xmlns:ds="http://schemas.openxmlformats.org/officeDocument/2006/customXml" ds:itemID="{ED554825-8DA2-45F3-A56D-D175D7382DCD}"/>
</file>

<file path=customXml/itemProps3.xml><?xml version="1.0" encoding="utf-8"?>
<ds:datastoreItem xmlns:ds="http://schemas.openxmlformats.org/officeDocument/2006/customXml" ds:itemID="{EDC61AAB-D681-426C-9F7F-1EF326564793}"/>
</file>

<file path=customXml/itemProps4.xml><?xml version="1.0" encoding="utf-8"?>
<ds:datastoreItem xmlns:ds="http://schemas.openxmlformats.org/officeDocument/2006/customXml" ds:itemID="{1CD484F4-D447-4748-B65E-F1E4503DE6D6}"/>
</file>

<file path=docProps/app.xml><?xml version="1.0" encoding="utf-8"?>
<Properties xmlns="http://schemas.openxmlformats.org/officeDocument/2006/extended-properties" xmlns:vt="http://schemas.openxmlformats.org/officeDocument/2006/docPropsVTypes">
  <Template>G:\WORD\OFFICE2016\COVERPAGES\CCPR.dotm</Template>
  <TotalTime>10</TotalTime>
  <Pages>6</Pages>
  <Words>2382</Words>
  <Characters>13298</Characters>
  <Application>Microsoft Office Word</Application>
  <DocSecurity>0</DocSecurity>
  <Lines>255</Lines>
  <Paragraphs>83</Paragraphs>
  <ScaleCrop>false</ScaleCrop>
  <HeadingPairs>
    <vt:vector size="2" baseType="variant">
      <vt:variant>
        <vt:lpstr>Title</vt:lpstr>
      </vt:variant>
      <vt:variant>
        <vt:i4>1</vt:i4>
      </vt:variant>
    </vt:vector>
  </HeadingPairs>
  <TitlesOfParts>
    <vt:vector size="1" baseType="lpstr">
      <vt:lpstr>1808513</vt:lpstr>
    </vt:vector>
  </TitlesOfParts>
  <Company>DCM</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1808513</dc:title>
  <dc:subject>CCPR/C/122/D/2166/2012</dc:subject>
  <dc:creator>Maria Rosario GATMAYTAN</dc:creator>
  <cp:keywords/>
  <dc:description/>
  <cp:lastModifiedBy>Microsoft Office User</cp:lastModifiedBy>
  <cp:revision>13</cp:revision>
  <dcterms:created xsi:type="dcterms:W3CDTF">2019-05-15T08:36:00Z</dcterms:created>
  <dcterms:modified xsi:type="dcterms:W3CDTF">2019-05-15T11:56:00Z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