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D1" w:rsidRDefault="006104D1">
      <w:pPr>
        <w:spacing w:line="240" w:lineRule="auto"/>
        <w:rPr>
          <w:rFonts w:ascii="Times New Roman" w:eastAsia="Times New Roman" w:hAnsi="Times New Roman" w:cs="Times New Roman"/>
          <w:sz w:val="24"/>
          <w:szCs w:val="24"/>
          <w:highlight w:val="white"/>
        </w:rPr>
      </w:pPr>
    </w:p>
    <w:p w:rsidR="006104D1" w:rsidRDefault="00C20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Committee on the Rights of the Child</w:t>
      </w:r>
    </w:p>
    <w:p w:rsidR="006104D1" w:rsidRDefault="00C203F4">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Office of the United Nations High </w:t>
      </w:r>
    </w:p>
    <w:p w:rsidR="006104D1" w:rsidRDefault="00C203F4">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Commissioner for Human Rights (OHCHR)</w:t>
      </w:r>
    </w:p>
    <w:p w:rsidR="006104D1" w:rsidRDefault="00C203F4">
      <w:pPr>
        <w:spacing w:line="24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Palais</w:t>
      </w:r>
      <w:proofErr w:type="spellEnd"/>
      <w:r>
        <w:rPr>
          <w:rFonts w:ascii="Times New Roman" w:eastAsia="Times New Roman" w:hAnsi="Times New Roman" w:cs="Times New Roman"/>
          <w:sz w:val="24"/>
          <w:szCs w:val="24"/>
          <w:highlight w:val="white"/>
        </w:rPr>
        <w:t xml:space="preserve"> Wilson - 52, rue des </w:t>
      </w:r>
      <w:proofErr w:type="spellStart"/>
      <w:r>
        <w:rPr>
          <w:rFonts w:ascii="Times New Roman" w:eastAsia="Times New Roman" w:hAnsi="Times New Roman" w:cs="Times New Roman"/>
          <w:sz w:val="24"/>
          <w:szCs w:val="24"/>
          <w:highlight w:val="white"/>
        </w:rPr>
        <w:t>Pâquis</w:t>
      </w:r>
      <w:proofErr w:type="spellEnd"/>
    </w:p>
    <w:p w:rsidR="006104D1" w:rsidRDefault="00C203F4">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CH-1201 Geneva (Switzerland)</w:t>
      </w:r>
    </w:p>
    <w:p w:rsidR="006104D1" w:rsidRPr="00A87318" w:rsidRDefault="00C203F4">
      <w:pPr>
        <w:spacing w:line="240" w:lineRule="auto"/>
        <w:rPr>
          <w:rFonts w:ascii="Times New Roman" w:eastAsia="Times New Roman" w:hAnsi="Times New Roman" w:cs="Times New Roman"/>
          <w:sz w:val="24"/>
          <w:szCs w:val="24"/>
          <w:lang w:val="es-PE"/>
        </w:rPr>
      </w:pPr>
      <w:proofErr w:type="spellStart"/>
      <w:r w:rsidRPr="00A87318">
        <w:rPr>
          <w:rFonts w:ascii="Times New Roman" w:eastAsia="Times New Roman" w:hAnsi="Times New Roman" w:cs="Times New Roman"/>
          <w:sz w:val="24"/>
          <w:szCs w:val="24"/>
          <w:lang w:val="es-PE"/>
        </w:rPr>
        <w:t>Via</w:t>
      </w:r>
      <w:proofErr w:type="spellEnd"/>
      <w:r w:rsidRPr="00A87318">
        <w:rPr>
          <w:rFonts w:ascii="Times New Roman" w:eastAsia="Times New Roman" w:hAnsi="Times New Roman" w:cs="Times New Roman"/>
          <w:sz w:val="24"/>
          <w:szCs w:val="24"/>
          <w:lang w:val="es-PE"/>
        </w:rPr>
        <w:t xml:space="preserve"> email: crc@ohchr.org</w:t>
      </w:r>
    </w:p>
    <w:p w:rsidR="006104D1" w:rsidRPr="00A87318" w:rsidRDefault="006104D1">
      <w:pPr>
        <w:spacing w:line="240" w:lineRule="auto"/>
        <w:rPr>
          <w:rFonts w:ascii="Times New Roman" w:eastAsia="Times New Roman" w:hAnsi="Times New Roman" w:cs="Times New Roman"/>
          <w:b/>
          <w:sz w:val="24"/>
          <w:szCs w:val="24"/>
          <w:lang w:val="es-PE"/>
        </w:rPr>
      </w:pPr>
    </w:p>
    <w:p w:rsidR="006104D1" w:rsidRPr="00A87318" w:rsidRDefault="006104D1">
      <w:pPr>
        <w:spacing w:line="240" w:lineRule="auto"/>
        <w:rPr>
          <w:rFonts w:ascii="Times New Roman" w:eastAsia="Times New Roman" w:hAnsi="Times New Roman" w:cs="Times New Roman"/>
          <w:b/>
          <w:sz w:val="24"/>
          <w:szCs w:val="24"/>
          <w:lang w:val="es-PE"/>
        </w:rPr>
      </w:pPr>
    </w:p>
    <w:p w:rsidR="006104D1" w:rsidRPr="00A87318" w:rsidRDefault="006104D1">
      <w:pPr>
        <w:spacing w:line="240" w:lineRule="auto"/>
        <w:rPr>
          <w:rFonts w:ascii="Times New Roman" w:eastAsia="Times New Roman" w:hAnsi="Times New Roman" w:cs="Times New Roman"/>
          <w:b/>
          <w:sz w:val="24"/>
          <w:szCs w:val="24"/>
          <w:lang w:val="es-PE"/>
        </w:rPr>
      </w:pPr>
    </w:p>
    <w:p w:rsidR="006104D1" w:rsidRPr="00A87318" w:rsidRDefault="00C203F4">
      <w:pPr>
        <w:spacing w:line="240" w:lineRule="auto"/>
        <w:rPr>
          <w:rFonts w:ascii="Times New Roman" w:eastAsia="Times New Roman" w:hAnsi="Times New Roman" w:cs="Times New Roman"/>
          <w:sz w:val="24"/>
          <w:szCs w:val="24"/>
          <w:lang w:val="es-PE"/>
        </w:rPr>
      </w:pPr>
      <w:r w:rsidRPr="00A87318">
        <w:rPr>
          <w:rFonts w:ascii="Times New Roman" w:eastAsia="Times New Roman" w:hAnsi="Times New Roman" w:cs="Times New Roman"/>
          <w:b/>
          <w:sz w:val="24"/>
          <w:szCs w:val="24"/>
          <w:lang w:val="es-PE"/>
        </w:rPr>
        <w:tab/>
      </w:r>
      <w:r w:rsidRPr="00A87318">
        <w:rPr>
          <w:rFonts w:ascii="Times New Roman" w:eastAsia="Times New Roman" w:hAnsi="Times New Roman" w:cs="Times New Roman"/>
          <w:b/>
          <w:sz w:val="24"/>
          <w:szCs w:val="24"/>
          <w:lang w:val="es-PE"/>
        </w:rPr>
        <w:tab/>
      </w:r>
      <w:r w:rsidRPr="00A87318">
        <w:rPr>
          <w:rFonts w:ascii="Times New Roman" w:eastAsia="Times New Roman" w:hAnsi="Times New Roman" w:cs="Times New Roman"/>
          <w:b/>
          <w:sz w:val="24"/>
          <w:szCs w:val="24"/>
          <w:lang w:val="es-PE"/>
        </w:rPr>
        <w:tab/>
      </w:r>
      <w:r w:rsidRPr="00A87318">
        <w:rPr>
          <w:rFonts w:ascii="Times New Roman" w:eastAsia="Times New Roman" w:hAnsi="Times New Roman" w:cs="Times New Roman"/>
          <w:b/>
          <w:sz w:val="24"/>
          <w:szCs w:val="24"/>
          <w:lang w:val="es-PE"/>
        </w:rPr>
        <w:tab/>
      </w:r>
      <w:r w:rsidRPr="00A87318">
        <w:rPr>
          <w:rFonts w:ascii="Times New Roman" w:eastAsia="Times New Roman" w:hAnsi="Times New Roman" w:cs="Times New Roman"/>
          <w:b/>
          <w:sz w:val="24"/>
          <w:szCs w:val="24"/>
          <w:lang w:val="es-PE"/>
        </w:rPr>
        <w:tab/>
      </w:r>
      <w:r w:rsidRPr="00A87318">
        <w:rPr>
          <w:rFonts w:ascii="Times New Roman" w:eastAsia="Times New Roman" w:hAnsi="Times New Roman" w:cs="Times New Roman"/>
          <w:b/>
          <w:sz w:val="24"/>
          <w:szCs w:val="24"/>
          <w:lang w:val="es-PE"/>
        </w:rPr>
        <w:tab/>
      </w:r>
      <w:r w:rsidRPr="00A87318">
        <w:rPr>
          <w:rFonts w:ascii="Times New Roman" w:eastAsia="Times New Roman" w:hAnsi="Times New Roman" w:cs="Times New Roman"/>
          <w:b/>
          <w:sz w:val="24"/>
          <w:szCs w:val="24"/>
          <w:lang w:val="es-PE"/>
        </w:rPr>
        <w:tab/>
      </w:r>
      <w:r w:rsidRPr="00A87318">
        <w:rPr>
          <w:rFonts w:ascii="Times New Roman" w:eastAsia="Times New Roman" w:hAnsi="Times New Roman" w:cs="Times New Roman"/>
          <w:b/>
          <w:sz w:val="24"/>
          <w:szCs w:val="24"/>
          <w:lang w:val="es-PE"/>
        </w:rPr>
        <w:tab/>
      </w:r>
      <w:r w:rsidRPr="00A87318">
        <w:rPr>
          <w:rFonts w:ascii="Times New Roman" w:eastAsia="Times New Roman" w:hAnsi="Times New Roman" w:cs="Times New Roman"/>
          <w:b/>
          <w:sz w:val="24"/>
          <w:szCs w:val="24"/>
          <w:lang w:val="es-PE"/>
        </w:rPr>
        <w:tab/>
      </w:r>
      <w:r w:rsidRPr="00A87318">
        <w:rPr>
          <w:rFonts w:ascii="Times New Roman" w:eastAsia="Times New Roman" w:hAnsi="Times New Roman" w:cs="Times New Roman"/>
          <w:b/>
          <w:sz w:val="24"/>
          <w:szCs w:val="24"/>
          <w:lang w:val="es-PE"/>
        </w:rPr>
        <w:tab/>
      </w:r>
      <w:r w:rsidRPr="00A87318">
        <w:rPr>
          <w:rFonts w:ascii="Times New Roman" w:eastAsia="Times New Roman" w:hAnsi="Times New Roman" w:cs="Times New Roman"/>
          <w:sz w:val="24"/>
          <w:szCs w:val="24"/>
          <w:lang w:val="en-US"/>
        </w:rPr>
        <w:t>May</w:t>
      </w:r>
      <w:r w:rsidRPr="00A87318">
        <w:rPr>
          <w:rFonts w:ascii="Times New Roman" w:eastAsia="Times New Roman" w:hAnsi="Times New Roman" w:cs="Times New Roman"/>
          <w:sz w:val="24"/>
          <w:szCs w:val="24"/>
          <w:lang w:val="es-PE"/>
        </w:rPr>
        <w:t xml:space="preserve"> 15, 2019</w:t>
      </w:r>
    </w:p>
    <w:p w:rsidR="006104D1" w:rsidRPr="00A87318" w:rsidRDefault="006104D1">
      <w:pPr>
        <w:spacing w:line="240" w:lineRule="auto"/>
        <w:rPr>
          <w:rFonts w:ascii="Times New Roman" w:eastAsia="Times New Roman" w:hAnsi="Times New Roman" w:cs="Times New Roman"/>
          <w:b/>
          <w:sz w:val="24"/>
          <w:szCs w:val="24"/>
          <w:lang w:val="es-PE"/>
        </w:rPr>
      </w:pPr>
    </w:p>
    <w:p w:rsidR="006104D1" w:rsidRPr="00A87318" w:rsidRDefault="006104D1">
      <w:pPr>
        <w:spacing w:line="240" w:lineRule="auto"/>
        <w:rPr>
          <w:rFonts w:ascii="Times New Roman" w:eastAsia="Times New Roman" w:hAnsi="Times New Roman" w:cs="Times New Roman"/>
          <w:b/>
          <w:sz w:val="24"/>
          <w:szCs w:val="24"/>
          <w:lang w:val="es-PE"/>
        </w:rPr>
      </w:pPr>
    </w:p>
    <w:p w:rsidR="006104D1" w:rsidRDefault="00C20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 Information for the upcoming General Comment on children’s rights in relation to the digital environment</w:t>
      </w:r>
    </w:p>
    <w:p w:rsidR="006104D1" w:rsidRDefault="006104D1">
      <w:pPr>
        <w:spacing w:line="240" w:lineRule="auto"/>
        <w:rPr>
          <w:rFonts w:ascii="Times New Roman" w:eastAsia="Times New Roman" w:hAnsi="Times New Roman" w:cs="Times New Roman"/>
          <w:sz w:val="24"/>
          <w:szCs w:val="24"/>
        </w:rPr>
      </w:pPr>
    </w:p>
    <w:p w:rsidR="006104D1" w:rsidRDefault="006104D1">
      <w:pPr>
        <w:spacing w:line="240" w:lineRule="auto"/>
        <w:ind w:firstLine="720"/>
        <w:rPr>
          <w:rFonts w:ascii="Times New Roman" w:eastAsia="Times New Roman" w:hAnsi="Times New Roman" w:cs="Times New Roman"/>
          <w:sz w:val="24"/>
          <w:szCs w:val="24"/>
        </w:rPr>
      </w:pPr>
    </w:p>
    <w:p w:rsidR="006104D1" w:rsidRDefault="00C20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Distinguished Committee Members, </w:t>
      </w:r>
    </w:p>
    <w:p w:rsidR="006104D1" w:rsidRDefault="006104D1">
      <w:pPr>
        <w:spacing w:line="240" w:lineRule="auto"/>
        <w:ind w:firstLine="720"/>
        <w:rPr>
          <w:rFonts w:ascii="Times New Roman" w:eastAsia="Times New Roman" w:hAnsi="Times New Roman" w:cs="Times New Roman"/>
          <w:sz w:val="24"/>
          <w:szCs w:val="24"/>
        </w:rPr>
      </w:pPr>
    </w:p>
    <w:p w:rsidR="006104D1" w:rsidRDefault="00C203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Equality Now respectfully makes this submission in response to the Call for Submissions by the Committee </w:t>
      </w:r>
      <w:r>
        <w:rPr>
          <w:rFonts w:ascii="Times New Roman" w:eastAsia="Times New Roman" w:hAnsi="Times New Roman" w:cs="Times New Roman"/>
          <w:sz w:val="24"/>
          <w:szCs w:val="24"/>
        </w:rPr>
        <w:t xml:space="preserve">on the Rights of the Child for the General Comment on children’s rights in relation to the digital environment. </w:t>
      </w:r>
    </w:p>
    <w:p w:rsidR="006104D1" w:rsidRDefault="006104D1">
      <w:pPr>
        <w:spacing w:line="240" w:lineRule="auto"/>
        <w:ind w:firstLine="720"/>
        <w:jc w:val="both"/>
        <w:rPr>
          <w:rFonts w:ascii="Times New Roman" w:eastAsia="Times New Roman" w:hAnsi="Times New Roman" w:cs="Times New Roman"/>
          <w:sz w:val="24"/>
          <w:szCs w:val="24"/>
        </w:rPr>
      </w:pPr>
    </w:p>
    <w:p w:rsidR="006104D1" w:rsidRDefault="00C203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Founded in 1992, Equality Now is an international human rights </w:t>
      </w:r>
      <w:r w:rsidR="00A87318">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xml:space="preserve"> that works to protect and promote the rights of women and girls ar</w:t>
      </w:r>
      <w:r>
        <w:rPr>
          <w:rFonts w:ascii="Times New Roman" w:eastAsia="Times New Roman" w:hAnsi="Times New Roman" w:cs="Times New Roman"/>
          <w:sz w:val="24"/>
          <w:szCs w:val="24"/>
        </w:rPr>
        <w:t xml:space="preserve">ound the world in the areas of legal equality, harmful practices, sexual violence and sex trafficking, with a </w:t>
      </w:r>
      <w:r w:rsidR="00A87318">
        <w:rPr>
          <w:rFonts w:ascii="Times New Roman" w:eastAsia="Times New Roman" w:hAnsi="Times New Roman" w:cs="Times New Roman"/>
          <w:sz w:val="24"/>
          <w:szCs w:val="24"/>
        </w:rPr>
        <w:t>crosscutting</w:t>
      </w:r>
      <w:r>
        <w:rPr>
          <w:rFonts w:ascii="Times New Roman" w:eastAsia="Times New Roman" w:hAnsi="Times New Roman" w:cs="Times New Roman"/>
          <w:sz w:val="24"/>
          <w:szCs w:val="24"/>
        </w:rPr>
        <w:t xml:space="preserve"> focu</w:t>
      </w:r>
      <w:r w:rsidR="00A87318">
        <w:rPr>
          <w:rFonts w:ascii="Times New Roman" w:eastAsia="Times New Roman" w:hAnsi="Times New Roman" w:cs="Times New Roman"/>
          <w:sz w:val="24"/>
          <w:szCs w:val="24"/>
        </w:rPr>
        <w:t xml:space="preserve">s on adolescent girls. Equality </w:t>
      </w:r>
      <w:proofErr w:type="gramStart"/>
      <w:r>
        <w:rPr>
          <w:rFonts w:ascii="Times New Roman" w:eastAsia="Times New Roman" w:hAnsi="Times New Roman" w:cs="Times New Roman"/>
          <w:sz w:val="24"/>
          <w:szCs w:val="24"/>
        </w:rPr>
        <w:t>Now</w:t>
      </w:r>
      <w:proofErr w:type="gramEnd"/>
      <w:r>
        <w:rPr>
          <w:rFonts w:ascii="Times New Roman" w:eastAsia="Times New Roman" w:hAnsi="Times New Roman" w:cs="Times New Roman"/>
          <w:sz w:val="24"/>
          <w:szCs w:val="24"/>
        </w:rPr>
        <w:t xml:space="preserve"> combines grassroots activism with international, regional and national legal advocacy to ach</w:t>
      </w:r>
      <w:r>
        <w:rPr>
          <w:rFonts w:ascii="Times New Roman" w:eastAsia="Times New Roman" w:hAnsi="Times New Roman" w:cs="Times New Roman"/>
          <w:sz w:val="24"/>
          <w:szCs w:val="24"/>
        </w:rPr>
        <w:t xml:space="preserve">ieve legal and systemic change to benefit women and girls, and works to ensure that governments enact and enforce laws and policies that uphold their rights. Equality </w:t>
      </w:r>
      <w:proofErr w:type="gramStart"/>
      <w:r>
        <w:rPr>
          <w:rFonts w:ascii="Times New Roman" w:eastAsia="Times New Roman" w:hAnsi="Times New Roman" w:cs="Times New Roman"/>
          <w:sz w:val="24"/>
          <w:szCs w:val="24"/>
        </w:rPr>
        <w:t>Now</w:t>
      </w:r>
      <w:proofErr w:type="gramEnd"/>
      <w:r>
        <w:rPr>
          <w:rFonts w:ascii="Times New Roman" w:eastAsia="Times New Roman" w:hAnsi="Times New Roman" w:cs="Times New Roman"/>
          <w:sz w:val="24"/>
          <w:szCs w:val="24"/>
        </w:rPr>
        <w:t xml:space="preserve"> has offices in London, Beirut, Nairobi and New York, presence in Amman, New Delhi, Tb</w:t>
      </w:r>
      <w:r>
        <w:rPr>
          <w:rFonts w:ascii="Times New Roman" w:eastAsia="Times New Roman" w:hAnsi="Times New Roman" w:cs="Times New Roman"/>
          <w:sz w:val="24"/>
          <w:szCs w:val="24"/>
        </w:rPr>
        <w:t>ilisi, Beijing and Washington, DC and partners and members in almost every country in the world.</w:t>
      </w:r>
    </w:p>
    <w:p w:rsidR="006104D1" w:rsidRDefault="006104D1">
      <w:pPr>
        <w:spacing w:line="240" w:lineRule="auto"/>
        <w:jc w:val="both"/>
        <w:rPr>
          <w:rFonts w:ascii="Times New Roman" w:eastAsia="Times New Roman" w:hAnsi="Times New Roman" w:cs="Times New Roman"/>
          <w:sz w:val="24"/>
          <w:szCs w:val="24"/>
        </w:rPr>
      </w:pPr>
    </w:p>
    <w:p w:rsidR="006104D1" w:rsidRDefault="00C203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thank the Committee for </w:t>
      </w:r>
      <w:r w:rsidR="00A87318">
        <w:rPr>
          <w:rFonts w:ascii="Times New Roman" w:eastAsia="Times New Roman" w:hAnsi="Times New Roman" w:cs="Times New Roman"/>
          <w:sz w:val="24"/>
          <w:szCs w:val="24"/>
        </w:rPr>
        <w:t>recognizing</w:t>
      </w:r>
      <w:r>
        <w:rPr>
          <w:rFonts w:ascii="Times New Roman" w:eastAsia="Times New Roman" w:hAnsi="Times New Roman" w:cs="Times New Roman"/>
          <w:sz w:val="24"/>
          <w:szCs w:val="24"/>
        </w:rPr>
        <w:t xml:space="preserve"> the need to provide comprehensive guidance to States Parties in a new General Comment, in particular regarding the prot</w:t>
      </w:r>
      <w:r>
        <w:rPr>
          <w:rFonts w:ascii="Times New Roman" w:eastAsia="Times New Roman" w:hAnsi="Times New Roman" w:cs="Times New Roman"/>
          <w:sz w:val="24"/>
          <w:szCs w:val="24"/>
        </w:rPr>
        <w:t>ection of children from violence, exploitation, and other harm. We are writing to provide information about this issue as it happens online - specifically online sexual exploitation. We respectfully request that the Committee on the Rights of the Child inc</w:t>
      </w:r>
      <w:r>
        <w:rPr>
          <w:rFonts w:ascii="Times New Roman" w:eastAsia="Times New Roman" w:hAnsi="Times New Roman" w:cs="Times New Roman"/>
          <w:sz w:val="24"/>
          <w:szCs w:val="24"/>
        </w:rPr>
        <w:t>lude information about this form of exploitation and mistreatment, and recommendations to prevent it, in the upcoming General Comment.</w:t>
      </w:r>
    </w:p>
    <w:p w:rsidR="006104D1" w:rsidRDefault="006104D1">
      <w:pPr>
        <w:spacing w:line="240" w:lineRule="auto"/>
        <w:jc w:val="both"/>
        <w:rPr>
          <w:rFonts w:ascii="Times New Roman" w:eastAsia="Times New Roman" w:hAnsi="Times New Roman" w:cs="Times New Roman"/>
          <w:sz w:val="24"/>
          <w:szCs w:val="24"/>
        </w:rPr>
      </w:pPr>
    </w:p>
    <w:p w:rsidR="006104D1" w:rsidRDefault="00C203F4">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Legal Framework</w:t>
      </w:r>
    </w:p>
    <w:p w:rsidR="006104D1" w:rsidRDefault="006104D1">
      <w:pPr>
        <w:spacing w:line="240" w:lineRule="auto"/>
        <w:jc w:val="both"/>
        <w:rPr>
          <w:rFonts w:ascii="Times New Roman" w:eastAsia="Times New Roman" w:hAnsi="Times New Roman" w:cs="Times New Roman"/>
          <w:i/>
          <w:sz w:val="24"/>
          <w:szCs w:val="24"/>
        </w:rPr>
      </w:pPr>
    </w:p>
    <w:p w:rsidR="006104D1" w:rsidRDefault="00C203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issue areas outlined in this letter involve several interconnected principles and rights guaranteed under the Convention on the Rights of the Child (CRC), namely Articles 17, 19, 34, 35, and 36. Under these Articles, States Parties are required to prot</w:t>
      </w:r>
      <w:r>
        <w:rPr>
          <w:rFonts w:ascii="Times New Roman" w:eastAsia="Times New Roman" w:hAnsi="Times New Roman" w:cs="Times New Roman"/>
          <w:sz w:val="24"/>
          <w:szCs w:val="24"/>
        </w:rPr>
        <w:t xml:space="preserve">ect the child from all forms of exploitation, including sexual exploitation and abuse, and take all appropriate measures to prevent the sale of or traffic in children. We recommend the Committee </w:t>
      </w:r>
      <w:r w:rsidR="00A87318">
        <w:rPr>
          <w:rFonts w:ascii="Times New Roman" w:eastAsia="Times New Roman" w:hAnsi="Times New Roman" w:cs="Times New Roman"/>
          <w:sz w:val="24"/>
          <w:szCs w:val="24"/>
        </w:rPr>
        <w:t>encourage</w:t>
      </w:r>
      <w:r>
        <w:rPr>
          <w:rFonts w:ascii="Times New Roman" w:eastAsia="Times New Roman" w:hAnsi="Times New Roman" w:cs="Times New Roman"/>
          <w:sz w:val="24"/>
          <w:szCs w:val="24"/>
        </w:rPr>
        <w:t xml:space="preserve"> States Parties to implement these provisions in a </w:t>
      </w:r>
      <w:r>
        <w:rPr>
          <w:rFonts w:ascii="Times New Roman" w:eastAsia="Times New Roman" w:hAnsi="Times New Roman" w:cs="Times New Roman"/>
          <w:sz w:val="24"/>
          <w:szCs w:val="24"/>
        </w:rPr>
        <w:t xml:space="preserve">way that </w:t>
      </w:r>
      <w:r w:rsidR="00A87318">
        <w:rPr>
          <w:rFonts w:ascii="Times New Roman" w:eastAsia="Times New Roman" w:hAnsi="Times New Roman" w:cs="Times New Roman"/>
          <w:sz w:val="24"/>
          <w:szCs w:val="24"/>
        </w:rPr>
        <w:t>recognizes</w:t>
      </w:r>
      <w:r>
        <w:rPr>
          <w:rFonts w:ascii="Times New Roman" w:eastAsia="Times New Roman" w:hAnsi="Times New Roman" w:cs="Times New Roman"/>
          <w:sz w:val="24"/>
          <w:szCs w:val="24"/>
        </w:rPr>
        <w:t xml:space="preserve"> the role and importance of the internet and other communication technologies, and ensures equal and safe access to it. </w:t>
      </w:r>
    </w:p>
    <w:p w:rsidR="006104D1" w:rsidRDefault="006104D1">
      <w:pPr>
        <w:spacing w:line="240" w:lineRule="auto"/>
        <w:jc w:val="both"/>
        <w:rPr>
          <w:rFonts w:ascii="Times New Roman" w:eastAsia="Times New Roman" w:hAnsi="Times New Roman" w:cs="Times New Roman"/>
          <w:sz w:val="24"/>
          <w:szCs w:val="24"/>
        </w:rPr>
      </w:pPr>
    </w:p>
    <w:p w:rsidR="006104D1" w:rsidRDefault="00C203F4">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Protection from violence, sexual exploitation and other harm </w:t>
      </w:r>
    </w:p>
    <w:p w:rsidR="006104D1" w:rsidRDefault="006104D1">
      <w:pPr>
        <w:spacing w:line="240" w:lineRule="auto"/>
        <w:jc w:val="both"/>
        <w:rPr>
          <w:rFonts w:ascii="Times New Roman" w:eastAsia="Times New Roman" w:hAnsi="Times New Roman" w:cs="Times New Roman"/>
          <w:i/>
          <w:sz w:val="24"/>
          <w:szCs w:val="24"/>
        </w:rPr>
      </w:pPr>
    </w:p>
    <w:p w:rsidR="006104D1" w:rsidRDefault="00C203F4">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rapid expansion of access to </w:t>
      </w:r>
      <w:r w:rsidR="00A87318">
        <w:rPr>
          <w:rFonts w:ascii="Times New Roman" w:eastAsia="Times New Roman" w:hAnsi="Times New Roman" w:cs="Times New Roman"/>
          <w:sz w:val="24"/>
          <w:szCs w:val="24"/>
        </w:rPr>
        <w:t>high-speed</w:t>
      </w:r>
      <w:r>
        <w:rPr>
          <w:rFonts w:ascii="Times New Roman" w:eastAsia="Times New Roman" w:hAnsi="Times New Roman" w:cs="Times New Roman"/>
          <w:sz w:val="24"/>
          <w:szCs w:val="24"/>
        </w:rPr>
        <w:t xml:space="preserve"> internet</w:t>
      </w:r>
      <w:r>
        <w:rPr>
          <w:rFonts w:ascii="Times New Roman" w:eastAsia="Times New Roman" w:hAnsi="Times New Roman" w:cs="Times New Roman"/>
          <w:sz w:val="24"/>
          <w:szCs w:val="24"/>
        </w:rPr>
        <w:t xml:space="preserve"> and cell phones has </w:t>
      </w:r>
      <w:r w:rsidR="00A87318">
        <w:rPr>
          <w:rFonts w:ascii="Times New Roman" w:eastAsia="Times New Roman" w:hAnsi="Times New Roman" w:cs="Times New Roman"/>
          <w:sz w:val="24"/>
          <w:szCs w:val="24"/>
        </w:rPr>
        <w:t>led</w:t>
      </w:r>
      <w:r>
        <w:rPr>
          <w:rFonts w:ascii="Times New Roman" w:eastAsia="Times New Roman" w:hAnsi="Times New Roman" w:cs="Times New Roman"/>
          <w:sz w:val="24"/>
          <w:szCs w:val="24"/>
        </w:rPr>
        <w:t xml:space="preserve"> to an increase in online sexual exploitation of children, but in particular young and adolescent girls throughout the world.</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This advancement and availability of the internet has completely transformed the face of sex trafficking</w:t>
      </w:r>
      <w:r>
        <w:rPr>
          <w:rFonts w:ascii="Times New Roman" w:eastAsia="Times New Roman" w:hAnsi="Times New Roman" w:cs="Times New Roman"/>
          <w:sz w:val="24"/>
          <w:szCs w:val="24"/>
        </w:rPr>
        <w:t xml:space="preserve"> and of sexual exploitation and increased the ease and ways that children can be exploited.</w:t>
      </w:r>
    </w:p>
    <w:p w:rsidR="006104D1" w:rsidRDefault="00C203F4">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Online sexual exploitation includes grooming, recruiting and controlling for sex trafficking, coercing or extorting for images, or engaging in sexual activity via w</w:t>
      </w:r>
      <w:r>
        <w:rPr>
          <w:rFonts w:ascii="Times New Roman" w:eastAsia="Times New Roman" w:hAnsi="Times New Roman" w:cs="Times New Roman"/>
          <w:sz w:val="24"/>
          <w:szCs w:val="24"/>
        </w:rPr>
        <w:t xml:space="preserve">ebcam. </w:t>
      </w:r>
      <w:r>
        <w:rPr>
          <w:rFonts w:ascii="Times New Roman" w:eastAsia="Times New Roman" w:hAnsi="Times New Roman" w:cs="Times New Roman"/>
          <w:color w:val="222222"/>
          <w:sz w:val="24"/>
          <w:szCs w:val="24"/>
          <w:highlight w:val="white"/>
        </w:rPr>
        <w:t>The use of technology to facilitate trafficking has been recognized by the UN Secretary General</w:t>
      </w:r>
      <w:r>
        <w:rPr>
          <w:rFonts w:ascii="Times New Roman" w:eastAsia="Times New Roman" w:hAnsi="Times New Roman" w:cs="Times New Roman"/>
          <w:color w:val="222222"/>
          <w:sz w:val="24"/>
          <w:szCs w:val="24"/>
          <w:highlight w:val="white"/>
          <w:vertAlign w:val="superscript"/>
        </w:rPr>
        <w:footnoteReference w:id="2"/>
      </w:r>
      <w:r>
        <w:rPr>
          <w:rFonts w:ascii="Times New Roman" w:eastAsia="Times New Roman" w:hAnsi="Times New Roman" w:cs="Times New Roman"/>
          <w:color w:val="222222"/>
          <w:sz w:val="24"/>
          <w:szCs w:val="24"/>
          <w:highlight w:val="white"/>
        </w:rPr>
        <w:t xml:space="preserve"> and </w:t>
      </w:r>
      <w:r>
        <w:rPr>
          <w:rFonts w:ascii="Times New Roman" w:eastAsia="Times New Roman" w:hAnsi="Times New Roman" w:cs="Times New Roman"/>
          <w:sz w:val="24"/>
          <w:szCs w:val="24"/>
        </w:rPr>
        <w:t>the 2017 Political Declaration on the Implementation of the Global Plan of Action to Combat Trafficking in Persons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agreed upon in 2017, recognized the growing use of the internet to facilitate trafficking and emphasized the importance of combating use of the internet for purposes of trafficking. Effective implementation of the Global Plan of Action </w:t>
      </w:r>
      <w:r>
        <w:rPr>
          <w:rFonts w:ascii="Times New Roman" w:eastAsia="Times New Roman" w:hAnsi="Times New Roman" w:cs="Times New Roman"/>
          <w:color w:val="222222"/>
          <w:sz w:val="24"/>
          <w:szCs w:val="24"/>
          <w:highlight w:val="white"/>
          <w:vertAlign w:val="superscript"/>
        </w:rPr>
        <w:footnoteReference w:id="4"/>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sz w:val="24"/>
          <w:szCs w:val="24"/>
        </w:rPr>
        <w:t xml:space="preserve">and other global </w:t>
      </w:r>
      <w:r>
        <w:rPr>
          <w:rFonts w:ascii="Times New Roman" w:eastAsia="Times New Roman" w:hAnsi="Times New Roman" w:cs="Times New Roman"/>
          <w:sz w:val="24"/>
          <w:szCs w:val="24"/>
        </w:rPr>
        <w:t>anti-trafficking tools such as the Palermo Protocol and SDG targets 5.2, 8.7, and 16.2 will necessitate addressing the issue of online sex trafficking and exploitation. The internet is global and any solution must also be global, while some states, such as</w:t>
      </w:r>
      <w:r>
        <w:rPr>
          <w:rFonts w:ascii="Times New Roman" w:eastAsia="Times New Roman" w:hAnsi="Times New Roman" w:cs="Times New Roman"/>
          <w:sz w:val="24"/>
          <w:szCs w:val="24"/>
        </w:rPr>
        <w:t xml:space="preserve"> the United States (detailed below), are making advances on this front other states have not made this a priority. In the United States, nearly two thirds of children sold for sex are trafficked online,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and the National Center for Missing &amp; Exploited Chil</w:t>
      </w:r>
      <w:r>
        <w:rPr>
          <w:rFonts w:ascii="Times New Roman" w:eastAsia="Times New Roman" w:hAnsi="Times New Roman" w:cs="Times New Roman"/>
          <w:sz w:val="24"/>
          <w:szCs w:val="24"/>
        </w:rPr>
        <w:t>dren has directly correlated a five-year 846% increase in child sex trafficking reports to the growing use of the internet to sell children for sex.</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In the United </w:t>
      </w:r>
      <w:r w:rsidR="00A87318">
        <w:rPr>
          <w:rFonts w:ascii="Times New Roman" w:eastAsia="Times New Roman" w:hAnsi="Times New Roman" w:cs="Times New Roman"/>
          <w:sz w:val="24"/>
          <w:szCs w:val="24"/>
        </w:rPr>
        <w:t>Kingdom,</w:t>
      </w:r>
      <w:r>
        <w:rPr>
          <w:rFonts w:ascii="Times New Roman" w:eastAsia="Times New Roman" w:hAnsi="Times New Roman" w:cs="Times New Roman"/>
          <w:sz w:val="24"/>
          <w:szCs w:val="24"/>
        </w:rPr>
        <w:t xml:space="preserve"> police estimate that more than 8,500 sexual services ads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are posted online every mo</w:t>
      </w:r>
      <w:r>
        <w:rPr>
          <w:rFonts w:ascii="Times New Roman" w:eastAsia="Times New Roman" w:hAnsi="Times New Roman" w:cs="Times New Roman"/>
          <w:sz w:val="24"/>
          <w:szCs w:val="24"/>
        </w:rPr>
        <w:t xml:space="preserve">nth. The sheer volume of ads allows criminals posting ads for trafficked and/or underage girls to easily hide. </w:t>
      </w:r>
    </w:p>
    <w:p w:rsidR="006104D1" w:rsidRDefault="00C203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internet provides anonymity as well as very limited strict regulation. Moderation is often lax or non-existent and it allows traffickers and</w:t>
      </w:r>
      <w:r>
        <w:rPr>
          <w:rFonts w:ascii="Times New Roman" w:eastAsia="Times New Roman" w:hAnsi="Times New Roman" w:cs="Times New Roman"/>
          <w:sz w:val="24"/>
          <w:szCs w:val="24"/>
        </w:rPr>
        <w:t xml:space="preserve"> other offenders to easily contact sex buyers and recruit </w:t>
      </w:r>
      <w:r>
        <w:rPr>
          <w:rFonts w:ascii="Times New Roman" w:eastAsia="Times New Roman" w:hAnsi="Times New Roman" w:cs="Times New Roman"/>
          <w:sz w:val="24"/>
          <w:szCs w:val="24"/>
        </w:rPr>
        <w:lastRenderedPageBreak/>
        <w:t xml:space="preserve">potential victims. Increasingly sexual exploitation is taking place </w:t>
      </w:r>
      <w:r w:rsidR="00A87318">
        <w:rPr>
          <w:rFonts w:ascii="Times New Roman" w:eastAsia="Times New Roman" w:hAnsi="Times New Roman" w:cs="Times New Roman"/>
          <w:sz w:val="24"/>
          <w:szCs w:val="24"/>
        </w:rPr>
        <w:t>online;</w:t>
      </w:r>
      <w:r>
        <w:rPr>
          <w:rFonts w:ascii="Times New Roman" w:eastAsia="Times New Roman" w:hAnsi="Times New Roman" w:cs="Times New Roman"/>
          <w:sz w:val="24"/>
          <w:szCs w:val="24"/>
        </w:rPr>
        <w:t xml:space="preserve"> this includes grooming and recruiting for trafficking, coercing or extorting for images, or engaging in sexual activity vi</w:t>
      </w:r>
      <w:r>
        <w:rPr>
          <w:rFonts w:ascii="Times New Roman" w:eastAsia="Times New Roman" w:hAnsi="Times New Roman" w:cs="Times New Roman"/>
          <w:sz w:val="24"/>
          <w:szCs w:val="24"/>
        </w:rPr>
        <w:t>a webcam. The increasing use of social media has also allowed for more opportunities for people to come into contact with offenders and offenders are able to anonymously interact with an increasing number of potential victims. This technology trend is glob</w:t>
      </w:r>
      <w:r>
        <w:rPr>
          <w:rFonts w:ascii="Times New Roman" w:eastAsia="Times New Roman" w:hAnsi="Times New Roman" w:cs="Times New Roman"/>
          <w:sz w:val="24"/>
          <w:szCs w:val="24"/>
        </w:rPr>
        <w:t>al and presents new challenges on combating sexual exploitation.</w:t>
      </w:r>
    </w:p>
    <w:p w:rsidR="006104D1" w:rsidRDefault="006104D1">
      <w:pPr>
        <w:spacing w:line="240" w:lineRule="auto"/>
        <w:jc w:val="both"/>
        <w:rPr>
          <w:rFonts w:ascii="Times New Roman" w:eastAsia="Times New Roman" w:hAnsi="Times New Roman" w:cs="Times New Roman"/>
          <w:sz w:val="24"/>
          <w:szCs w:val="24"/>
        </w:rPr>
      </w:pPr>
    </w:p>
    <w:p w:rsidR="006104D1" w:rsidRDefault="00C203F4">
      <w:pPr>
        <w:shd w:val="clear" w:color="auto" w:fill="FFFFFF"/>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 recommend that the General Comment  encourage States to recognize and address the risks posed to children by online sexual exploitation and put in place prevention efforts through technol</w:t>
      </w:r>
      <w:r>
        <w:rPr>
          <w:rFonts w:ascii="Times New Roman" w:eastAsia="Times New Roman" w:hAnsi="Times New Roman" w:cs="Times New Roman"/>
          <w:b/>
          <w:sz w:val="24"/>
          <w:szCs w:val="24"/>
        </w:rPr>
        <w:t>ogical means, the creation of effective reporting mechanisms, and the development of awareness-raising and education programs to protect children from this harm.</w:t>
      </w:r>
    </w:p>
    <w:p w:rsidR="006104D1" w:rsidRDefault="006104D1">
      <w:pPr>
        <w:shd w:val="clear" w:color="auto" w:fill="FFFFFF"/>
        <w:spacing w:after="160" w:line="240" w:lineRule="auto"/>
        <w:jc w:val="both"/>
        <w:rPr>
          <w:rFonts w:ascii="Times New Roman" w:eastAsia="Times New Roman" w:hAnsi="Times New Roman" w:cs="Times New Roman"/>
          <w:b/>
          <w:sz w:val="24"/>
          <w:szCs w:val="24"/>
        </w:rPr>
      </w:pPr>
    </w:p>
    <w:p w:rsidR="006104D1" w:rsidRDefault="00C203F4">
      <w:pPr>
        <w:shd w:val="clear" w:color="auto" w:fill="FFFFFF"/>
        <w:spacing w:after="16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Allow States and Victims to Fight Online Sex Trafficking Act - A Good practice </w:t>
      </w:r>
    </w:p>
    <w:p w:rsidR="006104D1" w:rsidRDefault="00C203F4">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Online se</w:t>
      </w:r>
      <w:r>
        <w:rPr>
          <w:rFonts w:ascii="Times New Roman" w:eastAsia="Times New Roman" w:hAnsi="Times New Roman" w:cs="Times New Roman"/>
          <w:sz w:val="24"/>
          <w:szCs w:val="24"/>
        </w:rPr>
        <w:t>xual exploitation was encouraged in the United States by a legal loophole to 47 U.S.C. § 230, which allowed websites to publish advertisements for and profit from the sale of people for sex online, even though both sex trafficking and pimping are illegal i</w:t>
      </w:r>
      <w:r>
        <w:rPr>
          <w:rFonts w:ascii="Times New Roman" w:eastAsia="Times New Roman" w:hAnsi="Times New Roman" w:cs="Times New Roman"/>
          <w:sz w:val="24"/>
          <w:szCs w:val="24"/>
        </w:rPr>
        <w:t>n the United States. Fortunately, in April 2018, the Allow States and Victims to Fight Online Sex Trafficking Act of 2018 (“FOSTA”) was signed into law, which holds internet companies accountable when they knowingly facilitate sex trafficking.</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rsidR="006104D1" w:rsidRDefault="00C203F4">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FOSTA is a</w:t>
      </w:r>
      <w:r>
        <w:rPr>
          <w:rFonts w:ascii="Times New Roman" w:eastAsia="Times New Roman" w:hAnsi="Times New Roman" w:cs="Times New Roman"/>
          <w:sz w:val="24"/>
          <w:szCs w:val="24"/>
        </w:rPr>
        <w:t xml:space="preserve"> narrowly tailored law, applying solely to interactive computer services with the intent to facilitate sex trafficking. This carefully </w:t>
      </w:r>
      <w:proofErr w:type="gramStart"/>
      <w:r>
        <w:rPr>
          <w:rFonts w:ascii="Times New Roman" w:eastAsia="Times New Roman" w:hAnsi="Times New Roman" w:cs="Times New Roman"/>
          <w:sz w:val="24"/>
          <w:szCs w:val="24"/>
        </w:rPr>
        <w:t>crafted</w:t>
      </w:r>
      <w:proofErr w:type="gramEnd"/>
      <w:r>
        <w:rPr>
          <w:rFonts w:ascii="Times New Roman" w:eastAsia="Times New Roman" w:hAnsi="Times New Roman" w:cs="Times New Roman"/>
          <w:sz w:val="24"/>
          <w:szCs w:val="24"/>
        </w:rPr>
        <w:t xml:space="preserve"> law gives federal, state, and local law enforcement agencies the tools to bring forward more sex trafficking case</w:t>
      </w:r>
      <w:r>
        <w:rPr>
          <w:rFonts w:ascii="Times New Roman" w:eastAsia="Times New Roman" w:hAnsi="Times New Roman" w:cs="Times New Roman"/>
          <w:sz w:val="24"/>
          <w:szCs w:val="24"/>
        </w:rPr>
        <w:t xml:space="preserve">s. Critically, it allows victims to have a voice and seek justice against companies profiting from their exploitation. Prior to FOSTA being enacted in the United States, victims of sex trafficking - many of them children - were unable to seek justice from </w:t>
      </w:r>
      <w:r>
        <w:rPr>
          <w:rFonts w:ascii="Times New Roman" w:eastAsia="Times New Roman" w:hAnsi="Times New Roman" w:cs="Times New Roman"/>
          <w:sz w:val="24"/>
          <w:szCs w:val="24"/>
        </w:rPr>
        <w:t>companies such as Backpage who were profiting from their sale. FOSTA also encourages vigilance on the part of internet service providers in preventing their services from being used for the promotion of sex trafficking</w:t>
      </w:r>
    </w:p>
    <w:p w:rsidR="006104D1" w:rsidRDefault="00C203F4">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this is a positive step towa</w:t>
      </w:r>
      <w:r>
        <w:rPr>
          <w:rFonts w:ascii="Times New Roman" w:eastAsia="Times New Roman" w:hAnsi="Times New Roman" w:cs="Times New Roman"/>
          <w:sz w:val="24"/>
          <w:szCs w:val="24"/>
        </w:rPr>
        <w:t>rds ending online sexual exploitation, the law must be effectively implemented and enforced by the federal government to ensure that technology companies are held accountable for violations of the law.  Furthermore, as the internet is global, international</w:t>
      </w:r>
      <w:r>
        <w:rPr>
          <w:rFonts w:ascii="Times New Roman" w:eastAsia="Times New Roman" w:hAnsi="Times New Roman" w:cs="Times New Roman"/>
          <w:sz w:val="24"/>
          <w:szCs w:val="24"/>
        </w:rPr>
        <w:t xml:space="preserve"> cooperation is necessary to ensure that any solution is effective.  </w:t>
      </w:r>
    </w:p>
    <w:p w:rsidR="006104D1" w:rsidRDefault="006104D1">
      <w:pPr>
        <w:shd w:val="clear" w:color="auto" w:fill="FFFFFF"/>
        <w:spacing w:line="240" w:lineRule="auto"/>
        <w:rPr>
          <w:rFonts w:ascii="Times New Roman" w:eastAsia="Times New Roman" w:hAnsi="Times New Roman" w:cs="Times New Roman"/>
          <w:sz w:val="24"/>
          <w:szCs w:val="24"/>
        </w:rPr>
      </w:pPr>
    </w:p>
    <w:p w:rsidR="006104D1" w:rsidRDefault="00C203F4">
      <w:pPr>
        <w:shd w:val="clear" w:color="auto" w:fill="FFFFFF"/>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 recommend that the General Comment </w:t>
      </w:r>
      <w:r w:rsidR="00A87318">
        <w:rPr>
          <w:rFonts w:ascii="Times New Roman" w:eastAsia="Times New Roman" w:hAnsi="Times New Roman" w:cs="Times New Roman"/>
          <w:b/>
          <w:sz w:val="24"/>
          <w:szCs w:val="24"/>
        </w:rPr>
        <w:t>encourage</w:t>
      </w:r>
      <w:r>
        <w:rPr>
          <w:rFonts w:ascii="Times New Roman" w:eastAsia="Times New Roman" w:hAnsi="Times New Roman" w:cs="Times New Roman"/>
          <w:b/>
          <w:sz w:val="24"/>
          <w:szCs w:val="24"/>
        </w:rPr>
        <w:t xml:space="preserve"> State Parties to enact legal measures for the prosecution of internet platforms that knowingly facilitate sex trafficking and sexual exp</w:t>
      </w:r>
      <w:r>
        <w:rPr>
          <w:rFonts w:ascii="Times New Roman" w:eastAsia="Times New Roman" w:hAnsi="Times New Roman" w:cs="Times New Roman"/>
          <w:b/>
          <w:sz w:val="24"/>
          <w:szCs w:val="24"/>
        </w:rPr>
        <w:t xml:space="preserve">loitation in order to combat online sex trafficking and sexual exploitation.   </w:t>
      </w:r>
    </w:p>
    <w:p w:rsidR="006104D1" w:rsidRDefault="006104D1">
      <w:pPr>
        <w:spacing w:line="240" w:lineRule="auto"/>
        <w:jc w:val="both"/>
        <w:rPr>
          <w:rFonts w:ascii="Times New Roman" w:eastAsia="Times New Roman" w:hAnsi="Times New Roman" w:cs="Times New Roman"/>
          <w:sz w:val="24"/>
          <w:szCs w:val="24"/>
        </w:rPr>
      </w:pPr>
    </w:p>
    <w:p w:rsidR="006104D1" w:rsidRDefault="00C203F4">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International Cooperation</w:t>
      </w:r>
    </w:p>
    <w:p w:rsidR="006104D1" w:rsidRDefault="006104D1">
      <w:pPr>
        <w:spacing w:line="240" w:lineRule="auto"/>
        <w:jc w:val="both"/>
        <w:rPr>
          <w:rFonts w:ascii="Times New Roman" w:eastAsia="Times New Roman" w:hAnsi="Times New Roman" w:cs="Times New Roman"/>
          <w:i/>
          <w:sz w:val="24"/>
          <w:szCs w:val="24"/>
        </w:rPr>
      </w:pPr>
    </w:p>
    <w:p w:rsidR="006104D1" w:rsidRDefault="00C203F4">
      <w:pP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Internet is global and online sexual exploitation cannot be combated in a silo, it is a global concern requiring a global solution and </w:t>
      </w:r>
      <w:proofErr w:type="gramStart"/>
      <w:r>
        <w:rPr>
          <w:rFonts w:ascii="Times New Roman" w:eastAsia="Times New Roman" w:hAnsi="Times New Roman" w:cs="Times New Roman"/>
          <w:color w:val="333333"/>
          <w:sz w:val="24"/>
          <w:szCs w:val="24"/>
        </w:rPr>
        <w:t>must be supported</w:t>
      </w:r>
      <w:proofErr w:type="gramEnd"/>
      <w:r>
        <w:rPr>
          <w:rFonts w:ascii="Times New Roman" w:eastAsia="Times New Roman" w:hAnsi="Times New Roman" w:cs="Times New Roman"/>
          <w:color w:val="333333"/>
          <w:sz w:val="24"/>
          <w:szCs w:val="24"/>
        </w:rPr>
        <w:t xml:space="preserve"> by strong national response mechanisms. Furthermore, this scourge cannot be combated by politicians</w:t>
      </w:r>
      <w:r>
        <w:rPr>
          <w:rFonts w:ascii="Times New Roman" w:eastAsia="Times New Roman" w:hAnsi="Times New Roman" w:cs="Times New Roman"/>
          <w:color w:val="333333"/>
          <w:sz w:val="24"/>
          <w:szCs w:val="24"/>
        </w:rPr>
        <w:t xml:space="preserve"> and advocacy organizations alone, technology companies and platforms, and survivors must all take part in </w:t>
      </w:r>
      <w:r>
        <w:rPr>
          <w:rFonts w:ascii="Times New Roman" w:eastAsia="Times New Roman" w:hAnsi="Times New Roman" w:cs="Times New Roman"/>
          <w:color w:val="333333"/>
          <w:sz w:val="24"/>
          <w:szCs w:val="24"/>
        </w:rPr>
        <w:lastRenderedPageBreak/>
        <w:t>developing a solution and monitoring its impact. Only with their input and support can a global and effective solution be found.</w:t>
      </w:r>
    </w:p>
    <w:p w:rsidR="006104D1" w:rsidRDefault="006104D1">
      <w:pPr>
        <w:spacing w:line="240" w:lineRule="auto"/>
        <w:jc w:val="both"/>
        <w:rPr>
          <w:rFonts w:ascii="Times New Roman" w:eastAsia="Times New Roman" w:hAnsi="Times New Roman" w:cs="Times New Roman"/>
          <w:color w:val="333333"/>
          <w:sz w:val="24"/>
          <w:szCs w:val="24"/>
        </w:rPr>
      </w:pPr>
    </w:p>
    <w:p w:rsidR="006104D1" w:rsidRDefault="00C203F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 recommend that t</w:t>
      </w:r>
      <w:r>
        <w:rPr>
          <w:rFonts w:ascii="Times New Roman" w:eastAsia="Times New Roman" w:hAnsi="Times New Roman" w:cs="Times New Roman"/>
          <w:b/>
          <w:sz w:val="24"/>
          <w:szCs w:val="24"/>
        </w:rPr>
        <w:t xml:space="preserve">he General Comment </w:t>
      </w:r>
      <w:r w:rsidR="00A87318">
        <w:rPr>
          <w:rFonts w:ascii="Times New Roman" w:eastAsia="Times New Roman" w:hAnsi="Times New Roman" w:cs="Times New Roman"/>
          <w:b/>
          <w:sz w:val="24"/>
          <w:szCs w:val="24"/>
        </w:rPr>
        <w:t>promote</w:t>
      </w:r>
      <w:r>
        <w:rPr>
          <w:rFonts w:ascii="Times New Roman" w:eastAsia="Times New Roman" w:hAnsi="Times New Roman" w:cs="Times New Roman"/>
          <w:b/>
          <w:sz w:val="24"/>
          <w:szCs w:val="24"/>
        </w:rPr>
        <w:t xml:space="preserve"> international and regional coordination and collaboration among State Parties to develop </w:t>
      </w:r>
      <w:r>
        <w:rPr>
          <w:rFonts w:ascii="Times New Roman" w:eastAsia="Times New Roman" w:hAnsi="Times New Roman" w:cs="Times New Roman"/>
          <w:b/>
          <w:sz w:val="24"/>
          <w:szCs w:val="24"/>
          <w:highlight w:val="white"/>
        </w:rPr>
        <w:t xml:space="preserve">an international framework and standards for addressing online sexual exploitation and </w:t>
      </w:r>
      <w:r>
        <w:rPr>
          <w:rFonts w:ascii="Times New Roman" w:eastAsia="Times New Roman" w:hAnsi="Times New Roman" w:cs="Times New Roman"/>
          <w:b/>
          <w:sz w:val="24"/>
          <w:szCs w:val="24"/>
        </w:rPr>
        <w:t>urge States to coordinate with the Information and C</w:t>
      </w:r>
      <w:r>
        <w:rPr>
          <w:rFonts w:ascii="Times New Roman" w:eastAsia="Times New Roman" w:hAnsi="Times New Roman" w:cs="Times New Roman"/>
          <w:b/>
          <w:sz w:val="24"/>
          <w:szCs w:val="24"/>
        </w:rPr>
        <w:t xml:space="preserve">ommunications Technology industry to develop adequate guidelines and measures to protect children from online sexual exploitation, including grooming. </w:t>
      </w:r>
    </w:p>
    <w:p w:rsidR="006104D1" w:rsidRDefault="006104D1">
      <w:pPr>
        <w:spacing w:line="240" w:lineRule="auto"/>
        <w:jc w:val="both"/>
        <w:rPr>
          <w:rFonts w:ascii="Times New Roman" w:eastAsia="Times New Roman" w:hAnsi="Times New Roman" w:cs="Times New Roman"/>
          <w:b/>
          <w:color w:val="333333"/>
          <w:sz w:val="24"/>
          <w:szCs w:val="24"/>
        </w:rPr>
      </w:pPr>
    </w:p>
    <w:p w:rsidR="006104D1" w:rsidRDefault="00C20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attention and please let us know if we can provide further information.</w:t>
      </w:r>
    </w:p>
    <w:p w:rsidR="006104D1" w:rsidRDefault="00C20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104D1" w:rsidRDefault="00C20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rsidR="006104D1" w:rsidRDefault="006104D1">
      <w:pPr>
        <w:spacing w:line="240" w:lineRule="auto"/>
        <w:ind w:left="720"/>
        <w:rPr>
          <w:rFonts w:ascii="Times New Roman" w:eastAsia="Times New Roman" w:hAnsi="Times New Roman" w:cs="Times New Roman"/>
          <w:sz w:val="24"/>
          <w:szCs w:val="24"/>
        </w:rPr>
      </w:pPr>
    </w:p>
    <w:p w:rsidR="006104D1" w:rsidRDefault="00C203F4">
      <w:pPr>
        <w:spacing w:line="240" w:lineRule="auto"/>
        <w:ind w:left="720"/>
        <w:rPr>
          <w:rFonts w:ascii="Times New Roman" w:eastAsia="Times New Roman" w:hAnsi="Times New Roman" w:cs="Times New Roman"/>
          <w:sz w:val="24"/>
          <w:szCs w:val="24"/>
        </w:rPr>
      </w:pPr>
      <w:r>
        <w:rPr>
          <w:noProof/>
          <w:lang w:val="en-US"/>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33525" cy="400050"/>
            <wp:effectExtent l="0" t="0" r="0" b="0"/>
            <wp:wrapSquare wrapText="bothSides" distT="0" distB="0" distL="0" distR="0"/>
            <wp:docPr id="2" name="image2.jpg" descr="M:\STAFF\Signatures\Shelby signature.jpg"/>
            <wp:cNvGraphicFramePr/>
            <a:graphic xmlns:a="http://schemas.openxmlformats.org/drawingml/2006/main">
              <a:graphicData uri="http://schemas.openxmlformats.org/drawingml/2006/picture">
                <pic:pic xmlns:pic="http://schemas.openxmlformats.org/drawingml/2006/picture">
                  <pic:nvPicPr>
                    <pic:cNvPr id="0" name="image2.jpg" descr="M:\STAFF\Signatures\Shelby signature.jpg"/>
                    <pic:cNvPicPr preferRelativeResize="0"/>
                  </pic:nvPicPr>
                  <pic:blipFill>
                    <a:blip r:embed="rId6"/>
                    <a:srcRect/>
                    <a:stretch>
                      <a:fillRect/>
                    </a:stretch>
                  </pic:blipFill>
                  <pic:spPr>
                    <a:xfrm>
                      <a:off x="0" y="0"/>
                      <a:ext cx="1533525" cy="400050"/>
                    </a:xfrm>
                    <a:prstGeom prst="rect">
                      <a:avLst/>
                    </a:prstGeom>
                    <a:ln/>
                  </pic:spPr>
                </pic:pic>
              </a:graphicData>
            </a:graphic>
          </wp:anchor>
        </w:drawing>
      </w:r>
    </w:p>
    <w:p w:rsidR="006104D1" w:rsidRDefault="006104D1">
      <w:pPr>
        <w:spacing w:line="240" w:lineRule="auto"/>
        <w:ind w:left="720"/>
        <w:rPr>
          <w:rFonts w:ascii="Times New Roman" w:eastAsia="Times New Roman" w:hAnsi="Times New Roman" w:cs="Times New Roman"/>
          <w:sz w:val="24"/>
          <w:szCs w:val="24"/>
        </w:rPr>
      </w:pPr>
    </w:p>
    <w:p w:rsidR="006104D1" w:rsidRDefault="006104D1">
      <w:pPr>
        <w:spacing w:line="240" w:lineRule="auto"/>
        <w:ind w:left="720"/>
        <w:rPr>
          <w:rFonts w:ascii="Times New Roman" w:eastAsia="Times New Roman" w:hAnsi="Times New Roman" w:cs="Times New Roman"/>
          <w:sz w:val="24"/>
          <w:szCs w:val="24"/>
        </w:rPr>
      </w:pPr>
    </w:p>
    <w:p w:rsidR="006104D1" w:rsidRDefault="00C20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Shelby Quast</w:t>
      </w:r>
      <w:bookmarkStart w:id="0" w:name="_GoBack"/>
      <w:bookmarkEnd w:id="0"/>
    </w:p>
    <w:p w:rsidR="006104D1" w:rsidRDefault="00C20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Americas Office</w:t>
      </w:r>
    </w:p>
    <w:p w:rsidR="006104D1" w:rsidRDefault="006104D1">
      <w:pPr>
        <w:spacing w:line="240" w:lineRule="auto"/>
        <w:jc w:val="both"/>
        <w:rPr>
          <w:rFonts w:ascii="Times New Roman" w:eastAsia="Times New Roman" w:hAnsi="Times New Roman" w:cs="Times New Roman"/>
          <w:color w:val="333333"/>
          <w:sz w:val="24"/>
          <w:szCs w:val="24"/>
        </w:rPr>
      </w:pPr>
    </w:p>
    <w:sectPr w:rsidR="006104D1" w:rsidSect="00A87318">
      <w:headerReference w:type="first" r:id="rId7"/>
      <w:footerReference w:type="first" r:id="rId8"/>
      <w:pgSz w:w="12240" w:h="15840"/>
      <w:pgMar w:top="1440" w:right="1440" w:bottom="630" w:left="1440" w:header="633"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F4" w:rsidRDefault="00C203F4">
      <w:pPr>
        <w:spacing w:line="240" w:lineRule="auto"/>
      </w:pPr>
      <w:r>
        <w:separator/>
      </w:r>
    </w:p>
  </w:endnote>
  <w:endnote w:type="continuationSeparator" w:id="0">
    <w:p w:rsidR="00C203F4" w:rsidRDefault="00C20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4D1" w:rsidRDefault="006104D1"/>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3045"/>
      <w:gridCol w:w="3150"/>
      <w:gridCol w:w="2685"/>
    </w:tblGrid>
    <w:tr w:rsidR="006104D1">
      <w:trPr>
        <w:trHeight w:val="2180"/>
      </w:trPr>
      <w:tc>
        <w:tcPr>
          <w:tcW w:w="3045" w:type="dxa"/>
          <w:tcBorders>
            <w:top w:val="nil"/>
            <w:left w:val="nil"/>
            <w:bottom w:val="nil"/>
            <w:right w:val="nil"/>
          </w:tcBorders>
          <w:tcMar>
            <w:top w:w="100" w:type="dxa"/>
            <w:left w:w="100" w:type="dxa"/>
            <w:bottom w:w="100" w:type="dxa"/>
            <w:right w:w="100" w:type="dxa"/>
          </w:tcMar>
        </w:tcPr>
        <w:p w:rsidR="006104D1" w:rsidRDefault="00C203F4">
          <w:pPr>
            <w:rPr>
              <w:b/>
              <w:color w:val="FF0000"/>
              <w:sz w:val="14"/>
              <w:szCs w:val="14"/>
            </w:rPr>
          </w:pPr>
          <w:r>
            <w:rPr>
              <w:b/>
              <w:color w:val="FF0000"/>
              <w:sz w:val="14"/>
              <w:szCs w:val="14"/>
            </w:rPr>
            <w:t>Europe</w:t>
          </w:r>
        </w:p>
        <w:p w:rsidR="006104D1" w:rsidRDefault="00C203F4">
          <w:pPr>
            <w:rPr>
              <w:b/>
              <w:color w:val="7F7F7F"/>
              <w:sz w:val="12"/>
              <w:szCs w:val="12"/>
            </w:rPr>
          </w:pPr>
          <w:r>
            <w:rPr>
              <w:b/>
              <w:color w:val="7F7F7F"/>
              <w:sz w:val="12"/>
              <w:szCs w:val="12"/>
            </w:rPr>
            <w:t>1 Birdcage Walk, London, SW1H 9JJ, UK</w:t>
          </w:r>
        </w:p>
        <w:p w:rsidR="006104D1" w:rsidRDefault="00C203F4">
          <w:pPr>
            <w:rPr>
              <w:b/>
              <w:color w:val="7F7F7F"/>
              <w:sz w:val="12"/>
              <w:szCs w:val="12"/>
            </w:rPr>
          </w:pPr>
          <w:r>
            <w:rPr>
              <w:b/>
              <w:color w:val="7F7F7F"/>
              <w:sz w:val="12"/>
              <w:szCs w:val="12"/>
            </w:rPr>
            <w:t>p. +44(0)20-7304-6902 | f. +44(0)20-7973-1292</w:t>
          </w:r>
        </w:p>
        <w:p w:rsidR="006104D1" w:rsidRDefault="00C203F4">
          <w:pPr>
            <w:rPr>
              <w:b/>
              <w:color w:val="7F7F7F"/>
              <w:sz w:val="12"/>
              <w:szCs w:val="12"/>
            </w:rPr>
          </w:pPr>
          <w:r>
            <w:rPr>
              <w:b/>
              <w:color w:val="7F7F7F"/>
              <w:sz w:val="12"/>
              <w:szCs w:val="12"/>
            </w:rPr>
            <w:t>ukinfo@equalitynow.org</w:t>
          </w:r>
        </w:p>
      </w:tc>
      <w:tc>
        <w:tcPr>
          <w:tcW w:w="3150" w:type="dxa"/>
          <w:tcBorders>
            <w:top w:val="nil"/>
            <w:left w:val="nil"/>
            <w:bottom w:val="nil"/>
            <w:right w:val="nil"/>
          </w:tcBorders>
          <w:tcMar>
            <w:top w:w="100" w:type="dxa"/>
            <w:left w:w="100" w:type="dxa"/>
            <w:bottom w:w="100" w:type="dxa"/>
            <w:right w:w="100" w:type="dxa"/>
          </w:tcMar>
        </w:tcPr>
        <w:p w:rsidR="006104D1" w:rsidRDefault="00C203F4">
          <w:pPr>
            <w:ind w:right="-980"/>
            <w:rPr>
              <w:b/>
              <w:color w:val="FF0000"/>
              <w:sz w:val="16"/>
              <w:szCs w:val="16"/>
            </w:rPr>
          </w:pPr>
          <w:r>
            <w:rPr>
              <w:b/>
              <w:color w:val="FF0000"/>
              <w:sz w:val="16"/>
              <w:szCs w:val="16"/>
            </w:rPr>
            <w:t>Americas</w:t>
          </w:r>
        </w:p>
        <w:p w:rsidR="006104D1" w:rsidRDefault="00C203F4">
          <w:pPr>
            <w:ind w:right="-980"/>
            <w:rPr>
              <w:color w:val="7F7F7F"/>
              <w:sz w:val="16"/>
              <w:szCs w:val="16"/>
            </w:rPr>
          </w:pPr>
          <w:r>
            <w:rPr>
              <w:color w:val="7F7F7F"/>
              <w:sz w:val="16"/>
              <w:szCs w:val="16"/>
            </w:rPr>
            <w:t>125 Maiden Lane, 9</w:t>
          </w:r>
          <w:r>
            <w:rPr>
              <w:color w:val="7F7F7F"/>
              <w:sz w:val="16"/>
              <w:szCs w:val="16"/>
              <w:vertAlign w:val="superscript"/>
            </w:rPr>
            <w:t>th</w:t>
          </w:r>
          <w:r>
            <w:rPr>
              <w:color w:val="7F7F7F"/>
              <w:sz w:val="16"/>
              <w:szCs w:val="16"/>
            </w:rPr>
            <w:t xml:space="preserve"> Floor, Suite B</w:t>
          </w:r>
        </w:p>
        <w:p w:rsidR="006104D1" w:rsidRDefault="00C203F4">
          <w:pPr>
            <w:ind w:right="-980"/>
            <w:rPr>
              <w:color w:val="7F7F7F"/>
              <w:sz w:val="16"/>
              <w:szCs w:val="16"/>
            </w:rPr>
          </w:pPr>
          <w:r>
            <w:rPr>
              <w:color w:val="7F7F7F"/>
              <w:sz w:val="16"/>
              <w:szCs w:val="16"/>
            </w:rPr>
            <w:t>New York, NY 10038, USA</w:t>
          </w:r>
        </w:p>
        <w:p w:rsidR="006104D1" w:rsidRDefault="00C203F4">
          <w:pPr>
            <w:ind w:right="-980"/>
            <w:rPr>
              <w:color w:val="7F7F7F"/>
              <w:sz w:val="16"/>
              <w:szCs w:val="16"/>
            </w:rPr>
          </w:pPr>
          <w:r>
            <w:rPr>
              <w:color w:val="7F7F7F"/>
              <w:sz w:val="16"/>
              <w:szCs w:val="16"/>
            </w:rPr>
            <w:t>p. +1 212-586-0906 | f. +1 212-586-1611</w:t>
          </w:r>
        </w:p>
        <w:p w:rsidR="006104D1" w:rsidRDefault="00C203F4">
          <w:pPr>
            <w:ind w:right="-980"/>
            <w:rPr>
              <w:color w:val="7F7F7F"/>
              <w:sz w:val="16"/>
              <w:szCs w:val="16"/>
            </w:rPr>
          </w:pPr>
          <w:r>
            <w:rPr>
              <w:color w:val="7F7F7F"/>
              <w:sz w:val="16"/>
              <w:szCs w:val="16"/>
            </w:rPr>
            <w:t>info@equalitynow.org</w:t>
          </w:r>
        </w:p>
        <w:p w:rsidR="006104D1" w:rsidRDefault="00C203F4">
          <w:pPr>
            <w:spacing w:line="240" w:lineRule="auto"/>
            <w:rPr>
              <w:b/>
              <w:sz w:val="14"/>
              <w:szCs w:val="14"/>
            </w:rPr>
          </w:pPr>
          <w:r>
            <w:rPr>
              <w:b/>
              <w:sz w:val="14"/>
              <w:szCs w:val="14"/>
            </w:rPr>
            <w:t xml:space="preserve"> </w:t>
          </w:r>
        </w:p>
      </w:tc>
      <w:tc>
        <w:tcPr>
          <w:tcW w:w="2685" w:type="dxa"/>
          <w:tcBorders>
            <w:top w:val="nil"/>
            <w:left w:val="nil"/>
            <w:bottom w:val="nil"/>
            <w:right w:val="nil"/>
          </w:tcBorders>
          <w:tcMar>
            <w:top w:w="100" w:type="dxa"/>
            <w:left w:w="100" w:type="dxa"/>
            <w:bottom w:w="100" w:type="dxa"/>
            <w:right w:w="100" w:type="dxa"/>
          </w:tcMar>
        </w:tcPr>
        <w:p w:rsidR="006104D1" w:rsidRDefault="00C203F4">
          <w:pPr>
            <w:ind w:right="-980"/>
            <w:rPr>
              <w:b/>
              <w:color w:val="FF0000"/>
              <w:sz w:val="14"/>
              <w:szCs w:val="14"/>
            </w:rPr>
          </w:pPr>
          <w:r>
            <w:rPr>
              <w:b/>
              <w:color w:val="FF0000"/>
              <w:sz w:val="14"/>
              <w:szCs w:val="14"/>
            </w:rPr>
            <w:t>Africa</w:t>
          </w:r>
        </w:p>
        <w:p w:rsidR="006104D1" w:rsidRDefault="00C203F4">
          <w:pPr>
            <w:ind w:right="-980"/>
            <w:rPr>
              <w:color w:val="7F7F7F"/>
              <w:sz w:val="12"/>
              <w:szCs w:val="12"/>
            </w:rPr>
          </w:pPr>
          <w:r>
            <w:rPr>
              <w:color w:val="7F7F7F"/>
              <w:sz w:val="12"/>
              <w:szCs w:val="12"/>
            </w:rPr>
            <w:t>1st Floor, Bishops Garden Towers, Bishops Road</w:t>
          </w:r>
        </w:p>
        <w:p w:rsidR="006104D1" w:rsidRDefault="00C203F4">
          <w:pPr>
            <w:ind w:right="-980"/>
            <w:rPr>
              <w:color w:val="7F7F7F"/>
              <w:sz w:val="12"/>
              <w:szCs w:val="12"/>
            </w:rPr>
          </w:pPr>
          <w:r>
            <w:rPr>
              <w:color w:val="7F7F7F"/>
              <w:sz w:val="12"/>
              <w:szCs w:val="12"/>
            </w:rPr>
            <w:t>Mailing : PO Box 2018 - 00202, Nairobi, Kenya</w:t>
          </w:r>
        </w:p>
        <w:p w:rsidR="006104D1" w:rsidRDefault="00C203F4">
          <w:pPr>
            <w:ind w:right="-980"/>
            <w:rPr>
              <w:color w:val="7F7F7F"/>
              <w:sz w:val="12"/>
              <w:szCs w:val="12"/>
            </w:rPr>
          </w:pPr>
          <w:r>
            <w:rPr>
              <w:color w:val="7F7F7F"/>
              <w:sz w:val="12"/>
              <w:szCs w:val="12"/>
            </w:rPr>
            <w:t>p. +254 20-2719-832 | f.: +254 20-2719-868</w:t>
          </w:r>
        </w:p>
        <w:p w:rsidR="006104D1" w:rsidRDefault="00C203F4">
          <w:pPr>
            <w:ind w:right="-980"/>
            <w:rPr>
              <w:color w:val="7F7F7F"/>
              <w:sz w:val="12"/>
              <w:szCs w:val="12"/>
            </w:rPr>
          </w:pPr>
          <w:r>
            <w:rPr>
              <w:color w:val="7F7F7F"/>
              <w:sz w:val="12"/>
              <w:szCs w:val="12"/>
            </w:rPr>
            <w:t>equalitynownairobi@equalitynow.org</w:t>
          </w:r>
        </w:p>
        <w:p w:rsidR="006104D1" w:rsidRDefault="00C203F4">
          <w:pPr>
            <w:rPr>
              <w:b/>
              <w:sz w:val="10"/>
              <w:szCs w:val="10"/>
            </w:rPr>
          </w:pPr>
          <w:r>
            <w:rPr>
              <w:b/>
              <w:sz w:val="10"/>
              <w:szCs w:val="10"/>
            </w:rPr>
            <w:t xml:space="preserve"> </w:t>
          </w:r>
        </w:p>
      </w:tc>
    </w:tr>
  </w:tbl>
  <w:p w:rsidR="006104D1" w:rsidRDefault="006104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F4" w:rsidRDefault="00C203F4">
      <w:pPr>
        <w:spacing w:line="240" w:lineRule="auto"/>
      </w:pPr>
      <w:r>
        <w:separator/>
      </w:r>
    </w:p>
  </w:footnote>
  <w:footnote w:type="continuationSeparator" w:id="0">
    <w:p w:rsidR="00C203F4" w:rsidRDefault="00C203F4">
      <w:pPr>
        <w:spacing w:line="240" w:lineRule="auto"/>
      </w:pPr>
      <w:r>
        <w:continuationSeparator/>
      </w:r>
    </w:p>
  </w:footnote>
  <w:footnote w:id="1">
    <w:p w:rsidR="006104D1" w:rsidRDefault="00C203F4">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Mark </w:t>
      </w:r>
      <w:proofErr w:type="spellStart"/>
      <w:r>
        <w:rPr>
          <w:rFonts w:ascii="Times New Roman" w:eastAsia="Times New Roman" w:hAnsi="Times New Roman" w:cs="Times New Roman"/>
          <w:sz w:val="20"/>
          <w:szCs w:val="20"/>
        </w:rPr>
        <w:t>Latonero</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i/>
          <w:sz w:val="20"/>
          <w:szCs w:val="20"/>
        </w:rPr>
        <w:t>The</w:t>
      </w:r>
      <w:proofErr w:type="gramEnd"/>
      <w:r>
        <w:rPr>
          <w:rFonts w:ascii="Times New Roman" w:eastAsia="Times New Roman" w:hAnsi="Times New Roman" w:cs="Times New Roman"/>
          <w:i/>
          <w:sz w:val="20"/>
          <w:szCs w:val="20"/>
        </w:rPr>
        <w:t xml:space="preserve"> Rise of Mobile and the Diffusion of Technology-Facilitated </w:t>
      </w:r>
      <w:r w:rsidR="00A87318">
        <w:rPr>
          <w:rFonts w:ascii="Times New Roman" w:eastAsia="Times New Roman" w:hAnsi="Times New Roman" w:cs="Times New Roman"/>
          <w:i/>
          <w:sz w:val="20"/>
          <w:szCs w:val="20"/>
        </w:rPr>
        <w:t>Trafficking,</w:t>
      </w:r>
      <w:r w:rsidR="00A87318">
        <w:rPr>
          <w:rFonts w:ascii="Times New Roman" w:eastAsia="Times New Roman" w:hAnsi="Times New Roman" w:cs="Times New Roman"/>
          <w:sz w:val="20"/>
          <w:szCs w:val="20"/>
        </w:rPr>
        <w:t xml:space="preserve"> University</w:t>
      </w:r>
      <w:r>
        <w:rPr>
          <w:rFonts w:ascii="Times New Roman" w:eastAsia="Times New Roman" w:hAnsi="Times New Roman" w:cs="Times New Roman"/>
          <w:sz w:val="20"/>
          <w:szCs w:val="20"/>
        </w:rPr>
        <w:t xml:space="preserve"> of Southern California (Nov. 2012). According to the National Center for Missing and Exploited </w:t>
      </w:r>
      <w:r w:rsidR="00A87318">
        <w:rPr>
          <w:rFonts w:ascii="Times New Roman" w:eastAsia="Times New Roman" w:hAnsi="Times New Roman" w:cs="Times New Roman"/>
          <w:sz w:val="20"/>
          <w:szCs w:val="20"/>
        </w:rPr>
        <w:t>Children,</w:t>
      </w:r>
      <w:r>
        <w:rPr>
          <w:rFonts w:ascii="Times New Roman" w:eastAsia="Times New Roman" w:hAnsi="Times New Roman" w:cs="Times New Roman"/>
          <w:sz w:val="20"/>
          <w:szCs w:val="20"/>
        </w:rPr>
        <w:t xml:space="preserve"> the average age of child sex trafficking victims is 15 years old. </w:t>
      </w:r>
    </w:p>
  </w:footnote>
  <w:footnote w:id="2">
    <w:p w:rsidR="006104D1" w:rsidRDefault="00C203F4">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 Secretary General,</w:t>
      </w:r>
      <w:r>
        <w:rPr>
          <w:rFonts w:ascii="Times New Roman" w:eastAsia="Times New Roman" w:hAnsi="Times New Roman" w:cs="Times New Roman"/>
          <w:i/>
          <w:sz w:val="20"/>
          <w:szCs w:val="20"/>
        </w:rPr>
        <w:t xml:space="preserve"> Trafficking in women and girls, </w:t>
      </w:r>
      <w:r>
        <w:rPr>
          <w:rFonts w:ascii="Times New Roman" w:eastAsia="Times New Roman" w:hAnsi="Times New Roman" w:cs="Times New Roman"/>
          <w:sz w:val="20"/>
          <w:szCs w:val="20"/>
        </w:rPr>
        <w:t>par. 27, U.N. Do</w:t>
      </w:r>
      <w:r>
        <w:rPr>
          <w:rFonts w:ascii="Times New Roman" w:eastAsia="Times New Roman" w:hAnsi="Times New Roman" w:cs="Times New Roman"/>
          <w:sz w:val="20"/>
          <w:szCs w:val="20"/>
        </w:rPr>
        <w:t xml:space="preserve">c. A/73/263 (Jul. 27, 2018). </w:t>
      </w:r>
    </w:p>
  </w:footnote>
  <w:footnote w:id="3">
    <w:p w:rsidR="006104D1" w:rsidRDefault="00C203F4">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2017 Political Declaration on the Implementation of the Global Plan of Action to Combat Trafficking in Persons </w:t>
      </w:r>
      <w:r>
        <w:rPr>
          <w:rFonts w:ascii="Times New Roman" w:eastAsia="Times New Roman" w:hAnsi="Times New Roman" w:cs="Times New Roman"/>
          <w:i/>
          <w:sz w:val="20"/>
          <w:szCs w:val="20"/>
        </w:rPr>
        <w:t xml:space="preserve">available at </w:t>
      </w:r>
      <w:hyperlink r:id="rId1">
        <w:r>
          <w:rPr>
            <w:rFonts w:ascii="Times New Roman" w:eastAsia="Times New Roman" w:hAnsi="Times New Roman" w:cs="Times New Roman"/>
            <w:color w:val="1155CC"/>
            <w:sz w:val="20"/>
            <w:szCs w:val="20"/>
            <w:u w:val="single"/>
          </w:rPr>
          <w:t>https://www.un.org/pga/71/wp-content/uploads/sites/40/2015/08/HL-meeting-on-Global-Plan-of-Action-to-Combat-Traf</w:t>
        </w:r>
        <w:r>
          <w:rPr>
            <w:rFonts w:ascii="Times New Roman" w:eastAsia="Times New Roman" w:hAnsi="Times New Roman" w:cs="Times New Roman"/>
            <w:color w:val="1155CC"/>
            <w:sz w:val="20"/>
            <w:szCs w:val="20"/>
            <w:u w:val="single"/>
          </w:rPr>
          <w:t>ficking-in-Persons.pdf</w:t>
        </w:r>
      </w:hyperlink>
      <w:r>
        <w:rPr>
          <w:rFonts w:ascii="Times New Roman" w:eastAsia="Times New Roman" w:hAnsi="Times New Roman" w:cs="Times New Roman"/>
          <w:sz w:val="20"/>
          <w:szCs w:val="20"/>
        </w:rPr>
        <w:t xml:space="preserve">. </w:t>
      </w:r>
    </w:p>
  </w:footnote>
  <w:footnote w:id="4">
    <w:p w:rsidR="006104D1" w:rsidRDefault="00C203F4">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G.A. Res. 72/1, at 22 (Oct. 9, 2017).</w:t>
      </w:r>
    </w:p>
  </w:footnote>
  <w:footnote w:id="5">
    <w:p w:rsidR="006104D1" w:rsidRDefault="00C203F4">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A Report on the Use of Technology to Recruit, Groom and Sell Domestic Minor Sex Trafficking Victims, </w:t>
      </w:r>
      <w:r>
        <w:rPr>
          <w:rFonts w:ascii="Times New Roman" w:eastAsia="Times New Roman" w:hAnsi="Times New Roman" w:cs="Times New Roman"/>
          <w:sz w:val="20"/>
          <w:szCs w:val="20"/>
        </w:rPr>
        <w:t>THORN, 19 (Jan. 2015).  Available at https://www.thorn.org/wp-content/uploads/2015/02/Survivor_Survey_r5.pdf</w:t>
      </w:r>
    </w:p>
  </w:footnote>
  <w:footnote w:id="6">
    <w:p w:rsidR="006104D1" w:rsidRDefault="00C203F4">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 REP. no. </w:t>
      </w:r>
      <w:r>
        <w:rPr>
          <w:rFonts w:ascii="Times New Roman" w:eastAsia="Times New Roman" w:hAnsi="Times New Roman" w:cs="Times New Roman"/>
          <w:sz w:val="20"/>
          <w:szCs w:val="20"/>
        </w:rPr>
        <w:t xml:space="preserve">114-214, at </w:t>
      </w:r>
      <w:proofErr w:type="gramStart"/>
      <w:r>
        <w:rPr>
          <w:rFonts w:ascii="Times New Roman" w:eastAsia="Times New Roman" w:hAnsi="Times New Roman" w:cs="Times New Roman"/>
          <w:sz w:val="20"/>
          <w:szCs w:val="20"/>
        </w:rPr>
        <w:t>3</w:t>
      </w:r>
      <w:proofErr w:type="gramEnd"/>
      <w:r>
        <w:rPr>
          <w:rFonts w:ascii="Times New Roman" w:eastAsia="Times New Roman" w:hAnsi="Times New Roman" w:cs="Times New Roman"/>
          <w:sz w:val="20"/>
          <w:szCs w:val="20"/>
        </w:rPr>
        <w:t xml:space="preserve"> (2016).</w:t>
      </w:r>
    </w:p>
  </w:footnote>
  <w:footnote w:id="7">
    <w:p w:rsidR="006104D1" w:rsidRDefault="00C203F4">
      <w:pPr>
        <w:spacing w:line="240" w:lineRule="auto"/>
        <w:rPr>
          <w:rFonts w:ascii="Times New Roman" w:eastAsia="Times New Roman" w:hAnsi="Times New Roman" w:cs="Times New Roman"/>
          <w:color w:val="333333"/>
          <w:sz w:val="20"/>
          <w:szCs w:val="20"/>
        </w:rPr>
      </w:pPr>
      <w:r>
        <w:rPr>
          <w:vertAlign w:val="superscript"/>
        </w:rPr>
        <w:footnoteRef/>
      </w:r>
      <w:r>
        <w:rPr>
          <w:sz w:val="20"/>
          <w:szCs w:val="20"/>
        </w:rPr>
        <w:t xml:space="preserve"> </w:t>
      </w:r>
      <w:r>
        <w:rPr>
          <w:rFonts w:ascii="Times New Roman" w:eastAsia="Times New Roman" w:hAnsi="Times New Roman" w:cs="Times New Roman"/>
          <w:color w:val="333333"/>
          <w:sz w:val="20"/>
          <w:szCs w:val="20"/>
        </w:rPr>
        <w:t xml:space="preserve">Will closure of Backpage dent Britain's sex slave trade? </w:t>
      </w:r>
      <w:r>
        <w:rPr>
          <w:rFonts w:ascii="Times New Roman" w:eastAsia="Times New Roman" w:hAnsi="Times New Roman" w:cs="Times New Roman"/>
          <w:i/>
          <w:color w:val="333333"/>
          <w:sz w:val="20"/>
          <w:szCs w:val="20"/>
        </w:rPr>
        <w:t xml:space="preserve">Available at </w:t>
      </w:r>
      <w:r>
        <w:rPr>
          <w:rFonts w:ascii="Times New Roman" w:eastAsia="Times New Roman" w:hAnsi="Times New Roman" w:cs="Times New Roman"/>
          <w:color w:val="333333"/>
          <w:sz w:val="20"/>
          <w:szCs w:val="20"/>
        </w:rPr>
        <w:t>http://news.trust.org/item/20180409000019-kr8nz/</w:t>
      </w:r>
    </w:p>
    <w:p w:rsidR="006104D1" w:rsidRDefault="006104D1">
      <w:pPr>
        <w:spacing w:line="240" w:lineRule="auto"/>
        <w:rPr>
          <w:sz w:val="20"/>
          <w:szCs w:val="20"/>
        </w:rPr>
      </w:pPr>
    </w:p>
  </w:footnote>
  <w:footnote w:id="8">
    <w:p w:rsidR="006104D1" w:rsidRDefault="00C203F4">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47 U.S.C. § 230 (1996), </w:t>
      </w:r>
      <w:r>
        <w:rPr>
          <w:rFonts w:ascii="Times New Roman" w:eastAsia="Times New Roman" w:hAnsi="Times New Roman" w:cs="Times New Roman"/>
          <w:i/>
          <w:sz w:val="20"/>
          <w:szCs w:val="20"/>
        </w:rPr>
        <w:t xml:space="preserve">amended by </w:t>
      </w:r>
      <w:r>
        <w:rPr>
          <w:rFonts w:ascii="Times New Roman" w:eastAsia="Times New Roman" w:hAnsi="Times New Roman" w:cs="Times New Roman"/>
          <w:sz w:val="20"/>
          <w:szCs w:val="20"/>
        </w:rPr>
        <w:t>Act of Apr. 11,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4D1" w:rsidRDefault="00C203F4">
    <w:pPr>
      <w:shd w:val="clear" w:color="auto" w:fill="FFFFFF"/>
      <w:spacing w:after="160" w:line="240" w:lineRule="auto"/>
      <w:ind w:firstLine="720"/>
      <w:jc w:val="center"/>
    </w:pPr>
    <w:r>
      <w:rPr>
        <w:rFonts w:ascii="Times New Roman" w:eastAsia="Times New Roman" w:hAnsi="Times New Roman" w:cs="Times New Roman"/>
        <w:noProof/>
        <w:color w:val="222222"/>
        <w:sz w:val="23"/>
        <w:szCs w:val="23"/>
        <w:highlight w:val="white"/>
        <w:lang w:val="en-US"/>
      </w:rPr>
      <w:drawing>
        <wp:inline distT="0" distB="0" distL="114300" distR="114300">
          <wp:extent cx="2357438" cy="785813"/>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57438" cy="7858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D1"/>
    <w:rsid w:val="006104D1"/>
    <w:rsid w:val="00A87318"/>
    <w:rsid w:val="00C2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491A"/>
  <w15:docId w15:val="{85E903B4-BEB4-4A3B-A909-FC1CCE8F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87318"/>
    <w:pPr>
      <w:tabs>
        <w:tab w:val="center" w:pos="4680"/>
        <w:tab w:val="right" w:pos="9360"/>
      </w:tabs>
      <w:spacing w:line="240" w:lineRule="auto"/>
    </w:pPr>
  </w:style>
  <w:style w:type="character" w:customStyle="1" w:styleId="HeaderChar">
    <w:name w:val="Header Char"/>
    <w:basedOn w:val="DefaultParagraphFont"/>
    <w:link w:val="Header"/>
    <w:uiPriority w:val="99"/>
    <w:rsid w:val="00A87318"/>
  </w:style>
  <w:style w:type="paragraph" w:styleId="Footer">
    <w:name w:val="footer"/>
    <w:basedOn w:val="Normal"/>
    <w:link w:val="FooterChar"/>
    <w:uiPriority w:val="99"/>
    <w:unhideWhenUsed/>
    <w:rsid w:val="00A87318"/>
    <w:pPr>
      <w:tabs>
        <w:tab w:val="center" w:pos="4680"/>
        <w:tab w:val="right" w:pos="9360"/>
      </w:tabs>
      <w:spacing w:line="240" w:lineRule="auto"/>
    </w:pPr>
  </w:style>
  <w:style w:type="character" w:customStyle="1" w:styleId="FooterChar">
    <w:name w:val="Footer Char"/>
    <w:basedOn w:val="DefaultParagraphFont"/>
    <w:link w:val="Footer"/>
    <w:uiPriority w:val="99"/>
    <w:rsid w:val="00A8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ga/71/wp-content/uploads/sites/40/2015/08/HL-meeting-on-Global-Plan-of-Action-to-Combat-Trafficking-in-Pers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808B96-A0F6-43C3-A60D-DF1B75B7D6FC}"/>
</file>

<file path=customXml/itemProps2.xml><?xml version="1.0" encoding="utf-8"?>
<ds:datastoreItem xmlns:ds="http://schemas.openxmlformats.org/officeDocument/2006/customXml" ds:itemID="{61A02F61-9EDC-46F8-8FB3-18DDA5FCC4B9}"/>
</file>

<file path=customXml/itemProps3.xml><?xml version="1.0" encoding="utf-8"?>
<ds:datastoreItem xmlns:ds="http://schemas.openxmlformats.org/officeDocument/2006/customXml" ds:itemID="{9676DDAC-7325-47D1-AE00-5C58CC3CA0AC}"/>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Canessa</dc:creator>
  <cp:lastModifiedBy>Romina Canessa</cp:lastModifiedBy>
  <cp:revision>2</cp:revision>
  <dcterms:created xsi:type="dcterms:W3CDTF">2019-05-15T17:48:00Z</dcterms:created>
  <dcterms:modified xsi:type="dcterms:W3CDTF">2019-05-15T17:48:00Z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