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F7" w:rsidRDefault="004970F7" w:rsidP="00D04A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B0287F" w:rsidTr="001D7E3D">
        <w:tc>
          <w:tcPr>
            <w:tcW w:w="4390" w:type="dxa"/>
            <w:vAlign w:val="center"/>
          </w:tcPr>
          <w:p w:rsidR="00B0287F" w:rsidRDefault="00B0287F" w:rsidP="001D7E3D">
            <w:r w:rsidRPr="00F84DDF">
              <w:rPr>
                <w:noProof/>
                <w:lang w:eastAsia="zh-CN"/>
              </w:rPr>
              <w:drawing>
                <wp:inline distT="0" distB="0" distL="0" distR="0" wp14:anchorId="44D2F9F5" wp14:editId="6CCC1640">
                  <wp:extent cx="2381250" cy="1130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0709" cy="1144726"/>
                          </a:xfrm>
                          <a:prstGeom prst="rect">
                            <a:avLst/>
                          </a:prstGeom>
                        </pic:spPr>
                      </pic:pic>
                    </a:graphicData>
                  </a:graphic>
                </wp:inline>
              </w:drawing>
            </w:r>
          </w:p>
        </w:tc>
        <w:tc>
          <w:tcPr>
            <w:tcW w:w="4626" w:type="dxa"/>
            <w:vAlign w:val="center"/>
          </w:tcPr>
          <w:p w:rsidR="00B0287F" w:rsidRDefault="00B0287F" w:rsidP="001D7E3D">
            <w:pPr>
              <w:jc w:val="center"/>
            </w:pPr>
            <w:r>
              <w:rPr>
                <w:noProof/>
                <w:lang w:eastAsia="zh-CN"/>
              </w:rPr>
              <w:drawing>
                <wp:inline distT="0" distB="0" distL="0" distR="0" wp14:anchorId="6C7E84D1" wp14:editId="4CBA3199">
                  <wp:extent cx="2708084"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7610" cy="564593"/>
                          </a:xfrm>
                          <a:prstGeom prst="rect">
                            <a:avLst/>
                          </a:prstGeom>
                        </pic:spPr>
                      </pic:pic>
                    </a:graphicData>
                  </a:graphic>
                </wp:inline>
              </w:drawing>
            </w:r>
          </w:p>
        </w:tc>
      </w:tr>
    </w:tbl>
    <w:p w:rsidR="00B0287F" w:rsidRDefault="00B0287F" w:rsidP="00D04ADA"/>
    <w:p w:rsidR="007D62E9" w:rsidRPr="007D4045" w:rsidRDefault="001A23E6" w:rsidP="007D4045">
      <w:pPr>
        <w:rPr>
          <w:rFonts w:asciiTheme="minorHAnsi" w:hAnsiTheme="minorHAnsi" w:cstheme="minorHAnsi"/>
          <w:sz w:val="22"/>
          <w:szCs w:val="22"/>
        </w:rPr>
      </w:pPr>
      <w:r w:rsidRPr="007D4045">
        <w:rPr>
          <w:rFonts w:asciiTheme="minorHAnsi" w:hAnsiTheme="minorHAnsi" w:cstheme="minorHAnsi"/>
          <w:sz w:val="22"/>
          <w:szCs w:val="22"/>
        </w:rPr>
        <w:t>1</w:t>
      </w:r>
      <w:r w:rsidR="007D4045" w:rsidRPr="007D4045">
        <w:rPr>
          <w:rFonts w:asciiTheme="minorHAnsi" w:hAnsiTheme="minorHAnsi" w:cstheme="minorHAnsi"/>
          <w:sz w:val="22"/>
          <w:szCs w:val="22"/>
        </w:rPr>
        <w:t>5</w:t>
      </w:r>
      <w:r w:rsidRPr="007D4045">
        <w:rPr>
          <w:rFonts w:asciiTheme="minorHAnsi" w:hAnsiTheme="minorHAnsi" w:cstheme="minorHAnsi"/>
          <w:sz w:val="22"/>
          <w:szCs w:val="22"/>
        </w:rPr>
        <w:t xml:space="preserve"> May 2019</w:t>
      </w:r>
    </w:p>
    <w:p w:rsidR="007D62E9" w:rsidRPr="007D4045" w:rsidRDefault="007D62E9">
      <w:pPr>
        <w:rPr>
          <w:rFonts w:asciiTheme="minorHAnsi" w:hAnsiTheme="minorHAnsi" w:cstheme="minorHAnsi"/>
          <w:sz w:val="22"/>
          <w:szCs w:val="22"/>
        </w:rPr>
      </w:pPr>
    </w:p>
    <w:p w:rsidR="00D04ADA" w:rsidRPr="007D4045" w:rsidRDefault="001A23E6" w:rsidP="001A23E6">
      <w:pPr>
        <w:rPr>
          <w:rFonts w:asciiTheme="minorHAnsi" w:hAnsiTheme="minorHAnsi" w:cstheme="minorHAnsi"/>
          <w:b/>
          <w:bCs/>
          <w:sz w:val="22"/>
          <w:szCs w:val="22"/>
        </w:rPr>
      </w:pPr>
      <w:r w:rsidRPr="007D4045">
        <w:rPr>
          <w:rFonts w:asciiTheme="minorHAnsi" w:hAnsiTheme="minorHAnsi" w:cstheme="minorHAnsi"/>
          <w:b/>
          <w:bCs/>
          <w:sz w:val="22"/>
          <w:szCs w:val="22"/>
        </w:rPr>
        <w:t>Submission on the Concept note for a General Comment on children’s rights in relation to the digital environment</w:t>
      </w:r>
      <w:r w:rsidR="007D4045" w:rsidRPr="007D4045">
        <w:rPr>
          <w:rFonts w:asciiTheme="minorHAnsi" w:hAnsiTheme="minorHAnsi" w:cstheme="minorHAnsi"/>
          <w:b/>
          <w:bCs/>
          <w:sz w:val="22"/>
          <w:szCs w:val="22"/>
        </w:rPr>
        <w:t xml:space="preserve"> addressing in particular</w:t>
      </w:r>
    </w:p>
    <w:p w:rsidR="007D4045" w:rsidRPr="007D4045" w:rsidRDefault="007D4045" w:rsidP="007D4045">
      <w:pPr>
        <w:pStyle w:val="ListParagraph"/>
        <w:numPr>
          <w:ilvl w:val="0"/>
          <w:numId w:val="7"/>
        </w:numPr>
        <w:rPr>
          <w:rFonts w:asciiTheme="minorHAnsi" w:hAnsiTheme="minorHAnsi" w:cstheme="minorHAnsi"/>
          <w:sz w:val="22"/>
          <w:szCs w:val="22"/>
        </w:rPr>
      </w:pPr>
      <w:r w:rsidRPr="007D4045">
        <w:rPr>
          <w:rFonts w:asciiTheme="minorHAnsi" w:hAnsiTheme="minorHAnsi" w:cstheme="minorHAnsi"/>
          <w:sz w:val="22"/>
          <w:szCs w:val="22"/>
        </w:rPr>
        <w:t>How can States better realise their obligations to children's rights in relation to the digital environment?</w:t>
      </w:r>
    </w:p>
    <w:p w:rsidR="00D04ADA" w:rsidRPr="007D4045" w:rsidRDefault="007D4045" w:rsidP="007D4045">
      <w:pPr>
        <w:pStyle w:val="ListParagraph"/>
        <w:numPr>
          <w:ilvl w:val="0"/>
          <w:numId w:val="7"/>
        </w:numPr>
        <w:rPr>
          <w:rFonts w:asciiTheme="minorHAnsi" w:hAnsiTheme="minorHAnsi" w:cstheme="minorHAnsi"/>
          <w:sz w:val="22"/>
          <w:szCs w:val="22"/>
        </w:rPr>
      </w:pPr>
      <w:r w:rsidRPr="007D4045">
        <w:rPr>
          <w:rFonts w:asciiTheme="minorHAnsi" w:hAnsiTheme="minorHAnsi" w:cstheme="minorHAnsi"/>
          <w:sz w:val="22"/>
          <w:szCs w:val="22"/>
        </w:rPr>
        <w:t>Is the realisation of children’s rights in the digital environment necessary to realise children’s rights in other environments?</w:t>
      </w:r>
    </w:p>
    <w:p w:rsidR="007D4045" w:rsidRPr="007D4045" w:rsidRDefault="007D4045" w:rsidP="007D4045">
      <w:pPr>
        <w:pStyle w:val="ListParagraph"/>
        <w:numPr>
          <w:ilvl w:val="0"/>
          <w:numId w:val="7"/>
        </w:numPr>
        <w:rPr>
          <w:rFonts w:asciiTheme="minorHAnsi" w:hAnsiTheme="minorHAnsi" w:cstheme="minorHAnsi"/>
          <w:sz w:val="22"/>
          <w:szCs w:val="22"/>
        </w:rPr>
      </w:pPr>
      <w:r w:rsidRPr="007D4045">
        <w:rPr>
          <w:rFonts w:asciiTheme="minorHAnsi" w:hAnsiTheme="minorHAnsi" w:cstheme="minorHAnsi"/>
          <w:sz w:val="22"/>
          <w:szCs w:val="22"/>
        </w:rPr>
        <w:t>How can children’s views and experiences be expressed and taken into account when formulating policies and practices which affect their access to, and use of, digital technologies?</w:t>
      </w:r>
    </w:p>
    <w:p w:rsidR="007D4045" w:rsidRPr="007D4045" w:rsidRDefault="007D4045" w:rsidP="007D4045">
      <w:pPr>
        <w:rPr>
          <w:rFonts w:asciiTheme="minorHAnsi" w:hAnsiTheme="minorHAnsi" w:cstheme="minorHAnsi"/>
          <w:sz w:val="22"/>
          <w:szCs w:val="22"/>
        </w:rPr>
      </w:pPr>
    </w:p>
    <w:p w:rsidR="001A23E6" w:rsidRDefault="001A23E6" w:rsidP="001A23E6">
      <w:pPr>
        <w:pStyle w:val="Heading2"/>
      </w:pPr>
      <w:r>
        <w:t>The Grand Digital Challenge</w:t>
      </w:r>
    </w:p>
    <w:p w:rsidR="001A23E6" w:rsidRPr="00CF52ED" w:rsidRDefault="001A23E6" w:rsidP="00CF52ED">
      <w:pPr>
        <w:rPr>
          <w:rFonts w:asciiTheme="minorHAnsi" w:hAnsiTheme="minorHAnsi" w:cstheme="minorHAnsi"/>
          <w:sz w:val="22"/>
          <w:szCs w:val="22"/>
        </w:rPr>
      </w:pPr>
      <w:r w:rsidRPr="00CF52ED">
        <w:rPr>
          <w:rFonts w:asciiTheme="minorHAnsi" w:hAnsiTheme="minorHAnsi" w:cstheme="minorHAnsi"/>
          <w:sz w:val="22"/>
          <w:szCs w:val="22"/>
        </w:rPr>
        <w:t>We are in the midst of digital transformation. Profound re-imagining and re-figuring of the ways in which we transact our lives, interact with governments and organisations, access services, connect with and contribute to the families, communities and societies to which we belong, driven by the capacities and capabilities of digital and networked information and communication technologies.</w:t>
      </w:r>
    </w:p>
    <w:p w:rsidR="001A23E6" w:rsidRPr="00CF52ED" w:rsidRDefault="001A23E6" w:rsidP="00CF52ED">
      <w:pPr>
        <w:rPr>
          <w:rFonts w:asciiTheme="minorHAnsi" w:hAnsiTheme="minorHAnsi" w:cstheme="minorHAnsi"/>
          <w:sz w:val="22"/>
          <w:szCs w:val="22"/>
        </w:rPr>
      </w:pPr>
      <w:r w:rsidRPr="00CF52ED">
        <w:rPr>
          <w:rFonts w:asciiTheme="minorHAnsi" w:hAnsiTheme="minorHAnsi" w:cstheme="minorHAnsi"/>
          <w:sz w:val="22"/>
          <w:szCs w:val="22"/>
        </w:rPr>
        <w:t>There is however a real danger that we are also entering an age of increasing information asymmetries where, despite ubiquitous access to digital and networking technologies and rhetoric around participation, power and control over information is being consolidated into a smaller and smaller number of state and private actors. The current machine learning explosion, fuelled by cries of ‘data is the new oil,’ has the potential to further exacerbate this situation. If control is blithely handed over to increasingly complex and opaque algorithms without adequate consideration of inherent biases and without appropriate attention to the mechanisms by which they need to account for decisions, actions and their consequences, there is a real danger of cementing systemic and enduring disadvantage and disenfranchisement. This has given rise to the critical interrogation of emerging technologies in areas like AI, software design and HCI and raising questions about fairness, equity, accountabilities and rights in data driven processes and systems, and the contexts that shape and structure them.</w:t>
      </w:r>
    </w:p>
    <w:p w:rsidR="001A23E6" w:rsidRDefault="001A23E6" w:rsidP="00CF52ED">
      <w:pPr>
        <w:rPr>
          <w:rFonts w:asciiTheme="minorHAnsi" w:hAnsiTheme="minorHAnsi" w:cstheme="minorHAnsi"/>
          <w:sz w:val="22"/>
          <w:szCs w:val="22"/>
        </w:rPr>
      </w:pPr>
      <w:r w:rsidRPr="00CF52ED">
        <w:rPr>
          <w:rFonts w:asciiTheme="minorHAnsi" w:hAnsiTheme="minorHAnsi" w:cstheme="minorHAnsi"/>
          <w:sz w:val="22"/>
          <w:szCs w:val="22"/>
        </w:rPr>
        <w:t xml:space="preserve">Others would argue of the potential for new digital and networked information technologies to be an enfranchising and emancipatory force, and are interested in exploring the ways in which digital disruption could be harnessed to address chronic disadvantage, tackle social injustices, promote increased participation in government and support social inclusion in shifting power imbalances in societal structures. There is growing interest in ensuring that digital transformations tackle grand societal challenges in smarter, agile, more open, transparent and inclusive ways – a societal design </w:t>
      </w:r>
      <w:r w:rsidRPr="00CF52ED">
        <w:rPr>
          <w:rFonts w:asciiTheme="minorHAnsi" w:hAnsiTheme="minorHAnsi" w:cstheme="minorHAnsi"/>
          <w:sz w:val="22"/>
          <w:szCs w:val="22"/>
        </w:rPr>
        <w:lastRenderedPageBreak/>
        <w:t>challenge, which cuts across disciplines, professions, government agencies, organisations and communities.</w:t>
      </w:r>
    </w:p>
    <w:p w:rsidR="00B0287F" w:rsidRPr="00CF52ED" w:rsidRDefault="00B0287F" w:rsidP="00CF52ED">
      <w:pPr>
        <w:rPr>
          <w:rFonts w:asciiTheme="minorHAnsi" w:hAnsiTheme="minorHAnsi" w:cstheme="minorHAnsi"/>
          <w:sz w:val="22"/>
          <w:szCs w:val="22"/>
        </w:rPr>
      </w:pPr>
    </w:p>
    <w:p w:rsidR="001A23E6" w:rsidRDefault="001A23E6" w:rsidP="001A23E6">
      <w:pPr>
        <w:pStyle w:val="Heading2"/>
      </w:pPr>
      <w:r>
        <w:t>Digital Rights in Alternative Care Systems</w:t>
      </w:r>
    </w:p>
    <w:p w:rsidR="001A23E6" w:rsidRPr="00CF52ED" w:rsidRDefault="001A23E6" w:rsidP="00CE2B7C">
      <w:pPr>
        <w:rPr>
          <w:rFonts w:asciiTheme="minorHAnsi" w:hAnsiTheme="minorHAnsi" w:cstheme="minorHAnsi"/>
          <w:sz w:val="22"/>
          <w:szCs w:val="22"/>
        </w:rPr>
      </w:pPr>
      <w:r w:rsidRPr="00CF52ED">
        <w:rPr>
          <w:rFonts w:asciiTheme="minorHAnsi" w:hAnsiTheme="minorHAnsi" w:cstheme="minorHAnsi"/>
          <w:sz w:val="22"/>
          <w:szCs w:val="22"/>
        </w:rPr>
        <w:t xml:space="preserve">Much of the discussion about the rights of children in the digital environment seems to be focused on the </w:t>
      </w:r>
      <w:r w:rsidR="00CE2B7C" w:rsidRPr="00CF52ED">
        <w:rPr>
          <w:rFonts w:asciiTheme="minorHAnsi" w:hAnsiTheme="minorHAnsi" w:cstheme="minorHAnsi"/>
          <w:i/>
          <w:iCs/>
          <w:sz w:val="22"/>
          <w:szCs w:val="22"/>
        </w:rPr>
        <w:t>discretionary</w:t>
      </w:r>
      <w:r w:rsidR="00CE2B7C" w:rsidRPr="00CF52ED">
        <w:rPr>
          <w:rFonts w:asciiTheme="minorHAnsi" w:hAnsiTheme="minorHAnsi" w:cstheme="minorHAnsi"/>
          <w:sz w:val="22"/>
          <w:szCs w:val="22"/>
        </w:rPr>
        <w:t xml:space="preserve"> </w:t>
      </w:r>
      <w:r w:rsidRPr="00CF52ED">
        <w:rPr>
          <w:rFonts w:asciiTheme="minorHAnsi" w:hAnsiTheme="minorHAnsi" w:cstheme="minorHAnsi"/>
          <w:sz w:val="22"/>
          <w:szCs w:val="22"/>
        </w:rPr>
        <w:t xml:space="preserve">use of </w:t>
      </w:r>
      <w:r w:rsidR="00CE2B7C" w:rsidRPr="00CF52ED">
        <w:rPr>
          <w:rFonts w:asciiTheme="minorHAnsi" w:hAnsiTheme="minorHAnsi" w:cstheme="minorHAnsi"/>
          <w:sz w:val="22"/>
          <w:szCs w:val="22"/>
        </w:rPr>
        <w:t xml:space="preserve">digital </w:t>
      </w:r>
      <w:r w:rsidRPr="00CF52ED">
        <w:rPr>
          <w:rFonts w:asciiTheme="minorHAnsi" w:hAnsiTheme="minorHAnsi" w:cstheme="minorHAnsi"/>
          <w:sz w:val="22"/>
          <w:szCs w:val="22"/>
        </w:rPr>
        <w:t xml:space="preserve">systems by children and/or families. In this submission the emphasis is on the need for a General Comment on Children’s Rights in Relation to The Digital Environment to also address the representation and enactment of children’s rights in </w:t>
      </w:r>
      <w:r w:rsidRPr="00CF52ED">
        <w:rPr>
          <w:rFonts w:asciiTheme="minorHAnsi" w:hAnsiTheme="minorHAnsi" w:cstheme="minorHAnsi"/>
          <w:i/>
          <w:iCs/>
          <w:sz w:val="22"/>
          <w:szCs w:val="22"/>
        </w:rPr>
        <w:t>non-discretionary systems</w:t>
      </w:r>
      <w:r w:rsidRPr="00CF52ED">
        <w:rPr>
          <w:rFonts w:asciiTheme="minorHAnsi" w:hAnsiTheme="minorHAnsi" w:cstheme="minorHAnsi"/>
          <w:sz w:val="22"/>
          <w:szCs w:val="22"/>
        </w:rPr>
        <w:t xml:space="preserve">. </w:t>
      </w:r>
      <w:r w:rsidR="00CE2B7C" w:rsidRPr="00CF52ED">
        <w:rPr>
          <w:rFonts w:asciiTheme="minorHAnsi" w:hAnsiTheme="minorHAnsi" w:cstheme="minorHAnsi"/>
          <w:sz w:val="22"/>
          <w:szCs w:val="22"/>
        </w:rPr>
        <w:t xml:space="preserve">These are systems in which </w:t>
      </w:r>
      <w:r w:rsidRPr="00CF52ED">
        <w:rPr>
          <w:rFonts w:asciiTheme="minorHAnsi" w:hAnsiTheme="minorHAnsi" w:cstheme="minorHAnsi"/>
          <w:sz w:val="22"/>
          <w:szCs w:val="22"/>
        </w:rPr>
        <w:t>children and their families hav</w:t>
      </w:r>
      <w:r w:rsidR="00CE2B7C" w:rsidRPr="00CF52ED">
        <w:rPr>
          <w:rFonts w:asciiTheme="minorHAnsi" w:hAnsiTheme="minorHAnsi" w:cstheme="minorHAnsi"/>
          <w:sz w:val="22"/>
          <w:szCs w:val="22"/>
        </w:rPr>
        <w:t>e</w:t>
      </w:r>
      <w:r w:rsidRPr="00CF52ED">
        <w:rPr>
          <w:rFonts w:asciiTheme="minorHAnsi" w:hAnsiTheme="minorHAnsi" w:cstheme="minorHAnsi"/>
          <w:sz w:val="22"/>
          <w:szCs w:val="22"/>
        </w:rPr>
        <w:t xml:space="preserve"> </w:t>
      </w:r>
      <w:r w:rsidR="00CE2B7C" w:rsidRPr="00CF52ED">
        <w:rPr>
          <w:rFonts w:asciiTheme="minorHAnsi" w:hAnsiTheme="minorHAnsi" w:cstheme="minorHAnsi"/>
          <w:sz w:val="22"/>
          <w:szCs w:val="22"/>
        </w:rPr>
        <w:t>little</w:t>
      </w:r>
      <w:r w:rsidRPr="00CF52ED">
        <w:rPr>
          <w:rFonts w:asciiTheme="minorHAnsi" w:hAnsiTheme="minorHAnsi" w:cstheme="minorHAnsi"/>
          <w:sz w:val="22"/>
          <w:szCs w:val="22"/>
        </w:rPr>
        <w:t xml:space="preserve"> choice over participation </w:t>
      </w:r>
      <w:r w:rsidR="00CE2B7C" w:rsidRPr="00CF52ED">
        <w:rPr>
          <w:rFonts w:asciiTheme="minorHAnsi" w:hAnsiTheme="minorHAnsi" w:cstheme="minorHAnsi"/>
          <w:sz w:val="22"/>
          <w:szCs w:val="22"/>
        </w:rPr>
        <w:t>and so</w:t>
      </w:r>
      <w:r w:rsidRPr="00CF52ED">
        <w:rPr>
          <w:rFonts w:asciiTheme="minorHAnsi" w:hAnsiTheme="minorHAnsi" w:cstheme="minorHAnsi"/>
          <w:sz w:val="22"/>
          <w:szCs w:val="22"/>
        </w:rPr>
        <w:t xml:space="preserve"> it is vital that they also embed and embody children’s digital rights in their design and implementation.</w:t>
      </w:r>
    </w:p>
    <w:p w:rsidR="001A23E6" w:rsidRPr="00CF52ED" w:rsidRDefault="001A23E6" w:rsidP="001A23E6">
      <w:pPr>
        <w:rPr>
          <w:rFonts w:asciiTheme="minorHAnsi" w:hAnsiTheme="minorHAnsi" w:cstheme="minorHAnsi"/>
          <w:sz w:val="22"/>
          <w:szCs w:val="22"/>
        </w:rPr>
      </w:pPr>
      <w:r w:rsidRPr="00CF52ED">
        <w:rPr>
          <w:rFonts w:asciiTheme="minorHAnsi" w:hAnsiTheme="minorHAnsi" w:cstheme="minorHAnsi"/>
          <w:sz w:val="22"/>
          <w:szCs w:val="22"/>
        </w:rPr>
        <w:t xml:space="preserve">A further emphasis of this submission is on the digital rights of children and young people in Alternative Care environments. This represents a particularly pointed example of the far reaching impacts of non-discretionary systems on children’s digital information and recordkeeping rights, and the challenges in ensuring that they act in the best interests of the child at all times, given the inherent dichotomies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GtiIOJtO","properties":{"formattedCitation":"[1]","plainCitation":"[1]","noteIndex":0},"citationItems":[{"id":4579,"uris":["http://zotero.org/users/470245/items/9BKY538G"],"uri":["http://zotero.org/users/470245/items/9BKY538G"],"itemData":{"id":4579,"type":"paper-conference","title":"Weapons of affect: the imperative for transdisciplinary information systems design","container-title":"Proceedings of the 81st Annual Meeting - Building &amp; Sustaining An Ethical Future With Emerging Technology","publisher":"Association for Information Science and Technology","page":"420–429","abstract":"Much has been written about ethical and human-centred Information Systems (IS) design, most recently regard-ing the deleterious outcomes and negative affect of some machine learning applications that embed and perpet-uate unethical or even inhumane automation. Terms such as ‘harm’, ‘damage’, and surprisingly, ‘weapon’ have entered the language of this discourse. However, these characteristics are not unique to applications of data science but have long manifested in IS that can also can exhibit opacity and establish tight vicious cycles. These, when coupled with a lack of governance feedback, can perpetuate injustice that has community or sector-wide reach. In this paper, we explore how IS design that sets out with the best of intentions or at least, conceived as a ‘neutral’ system for managing transactional information, can emerge as ‘tools that punish’. We argue that there are crucial principles to be taken from Recordkeeping Informatics, concerned as it is with the entanglement of information and people across space and through time on multi-generational timescales. In particular we discuss how transdisciplinary and critical approaches are necessary to cover more of the design space and surface issues, rights, stakeholders, and, most importantly, values that may be otherwise hidden from a here-and-now, transactional viewpoint.","language":"English","author":[{"family":"Rolan","given":"Gregory"},{"family":"Evans","given":"Joanne"},{"family":"Bone","given":"Jane"},{"family":"Lewis","given":"Antonia"},{"family":"Golding","given":"Frank"},{"family":"Wilson","given":"Jacqueline"},{"family":"McKemmish","given":"Sue"},{"family":"Mendes","given":"Philip"},{"family":"Reeves","given":"Keir"}],"editor":[{"family":"S. Middleton","given":"Lydia"}],"issued":{"date-parts":[["2018"]]}}}],"schema":"https://github.com/citation-style-language/schema/raw/master/csl-citation.json"}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As noted in the UN Guidelines for the Alternative Care of Children, ‘rigorous assessment, planning and review’ underpins decision-making on Alternative Care, and that ‘it should involve full consultation at all stages with the child, according to his/her evolving capacities, and with his/her parents or legal guardians’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rZoX0Yob","properties":{"formattedCitation":"[2]","plainCitation":"[2]","noteIndex":0},"citationItems":[{"id":4009,"uris":["http://zotero.org/users/470245/items/HWD3QNZA"],"uri":["http://zotero.org/users/470245/items/HWD3QNZA"],"itemData":{"id":4009,"type":"report","title":"Guidelines for the Alternative Care of Children","publisher":"United Nations","abstract":"The present Guidelines are intended to enhance the implementation of the Convention on the Rights of the Child and of relevant provisions of other international instruments regarding the protection and well-being of children who are deprived of parental care or who are at risk of being so. The Guidelines seek to ensure that, firstly, children do not find themselves in out-of-home care unnecessarily and, secondly, that the type and quality of out-of-home care provided is appropriate to the rights and specific needs of the child concerned.","URL":"https://digitallibrary.un.org/record/673583?ln=en","call-number":"PCD000479","note":"Resolution adopted by the General Assembly on 18 December 2009","number":"A/RES/64/142","author":[{"literal":"UN General Assembly"}],"issued":{"date-parts":[["2009",12,18]]},"accessed":{"date-parts":[["2018",11,11]]}}}],"schema":"https://github.com/citation-style-language/schema/raw/master/csl-citation.json"}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[2]</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Furthermore ‘all concerned should be provided with the necessary information on which to base their opinion’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76jaz29A","properties":{"formattedCitation":"[2]","plainCitation":"[2]","noteIndex":0},"citationItems":[{"id":4009,"uris":["http://zotero.org/users/470245/items/HWD3QNZA"],"uri":["http://zotero.org/users/470245/items/HWD3QNZA"],"itemData":{"id":4009,"type":"report","title":"Guidelines for the Alternative Care of Children","publisher":"United Nations","abstract":"The present Guidelines are intended to enhance the implementation of the Convention on the Rights of the Child and of relevant provisions of other international instruments regarding the protection and well-being of children who are deprived of parental care or who are at risk of being so. The Guidelines seek to ensure that, firstly, children do not find themselves in out-of-home care unnecessarily and, secondly, that the type and quality of out-of-home care provided is appropriate to the rights and specific needs of the child concerned.","URL":"https://digitallibrary.un.org/record/673583?ln=en","call-number":"PCD000479","note":"Resolution adopted by the General Assembly on 18 December 2009","number":"A/RES/64/142","author":[{"literal":"UN General Assembly"}],"issued":{"date-parts":[["2009",12,18]]},"accessed":{"date-parts":[["2018",11,11]]}}}],"schema":"https://github.com/citation-style-language/schema/raw/master/csl-citation.json"}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[2]</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w:t>
      </w:r>
    </w:p>
    <w:p w:rsidR="001A23E6" w:rsidRPr="00CF52ED" w:rsidRDefault="001A23E6" w:rsidP="001A23E6">
      <w:pPr>
        <w:rPr>
          <w:rFonts w:asciiTheme="minorHAnsi" w:hAnsiTheme="minorHAnsi" w:cstheme="minorHAnsi"/>
          <w:sz w:val="22"/>
          <w:szCs w:val="22"/>
        </w:rPr>
      </w:pPr>
      <w:r w:rsidRPr="00CF52ED">
        <w:rPr>
          <w:rFonts w:asciiTheme="minorHAnsi" w:hAnsiTheme="minorHAnsi" w:cstheme="minorHAnsi"/>
          <w:sz w:val="22"/>
          <w:szCs w:val="22"/>
        </w:rPr>
        <w:t>Children and young people in Alternative Care situation</w:t>
      </w:r>
      <w:r w:rsidR="00CE2B7C" w:rsidRPr="00CF52ED">
        <w:rPr>
          <w:rFonts w:asciiTheme="minorHAnsi" w:hAnsiTheme="minorHAnsi" w:cstheme="minorHAnsi"/>
          <w:sz w:val="22"/>
          <w:szCs w:val="22"/>
        </w:rPr>
        <w:t>s</w:t>
      </w:r>
      <w:r w:rsidRPr="00CF52ED">
        <w:rPr>
          <w:rFonts w:asciiTheme="minorHAnsi" w:hAnsiTheme="minorHAnsi" w:cstheme="minorHAnsi"/>
          <w:sz w:val="22"/>
          <w:szCs w:val="22"/>
        </w:rPr>
        <w:t xml:space="preserve"> therefore have little to no discretion around participation in the child protection and welfare systems which document the intimate, sensitive and personal details of their lives. A multitude of inquiries in Australia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nLQ8GcK3","properties":{"formattedCitation":"[3]\\uc0\\u8211{}[8]","plainCitation":"[3]–[8]","noteIndex":0},"citationItems":[{"id":1417,"uris":["http://zotero.org/users/470245/items/SPIM994P"],"uri":["http://zotero.org/users/470245/items/SPIM994P"],"itemData":{"id":1417,"type":"report","title":"Commonwealth Contribution to Former Forced Adoption Policies and Practices","publisher":"Commonwealth of Australia","publisher-place":"Canberra","event-place":"Canberra","URL":"http://www.aph.gov.au/Parliamentary_Business/Committees/Senate/Community_Affairs/Completed_inquiries/2010-13/commcontribformerforcedadoption/report/index","language":"en","author":[{"literal":"Community Affairs References Committee"}],"issued":{"date-parts":[["2012",2,29]]},"accessed":{"date-parts":[["2013",10,9]]}},"label":"page"},{"id":1379,"uris":["http://zotero.org/users/470245/items/R8SWFSCU"],"uri":["http://zotero.org/users/470245/items/R8SWFSCU"],"itemData":{"id":1379,"type":"report","title":"Bringing them Home: Report of the National Inquiry into the Separation of Aboriginal and Torres Strait Islander Children from Their Families","publisher":"Human Rights and Equal Opportunity Commission","URL":"http://www.humanrights.gov.au/publications/bringing-them-home-report-1997","call-number":"PCD000002","author":[{"literal":"Human Rights and Equal Opportunity Commission"}],"issued":{"date-parts":[["1997"]]},"accessed":{"date-parts":[["2013",10,9]]}},"label":"page"},{"id":2307,"uris":["http://zotero.org/users/470245/items/RKMJPHKD"],"uri":["http://zotero.org/users/470245/items/RKMJPHKD"],"itemData":{"id":2307,"type":"book","title":"Final Report: Volume 8 Recordkeeping and information sharing","publisher":"Attorney-General’s Department, Australian Government","volume":"8","number-of-volumes":"17","abstract":"This report examines records and recordkeeping by institutions that care for or provide services to children; and information sharing between institutions with responsibilities for children's safety and wellbeing and between those institutions and relevant professionals. It makes recommendations to improve records and recordkeeping practices within institutions and information sharing between key agencies and institutions.","URL":"https://www.childabuseroyalcommission.gov.au/recordkeeping-and-information-sharing","call-number":"PCD000211","author":[{"literal":"Royal Commission into Institutional Responses to Child Sexual Abuse"}],"issued":{"date-parts":[["2017",12,15]]},"accessed":{"date-parts":[["2018",1,29]]}},"label":"page"},{"id":1166,"uris":["http://zotero.org/users/470245/items/G726Z5WQ"],"uri":["http://zotero.org/users/470245/items/G726Z5WQ"],"itemData":{"id":1166,"type":"report","title":"Lost Innocents: Righting the Record - Report on Child Migration","publisher":"Commonwealth of Australia","URL":"http://www.aph.gov.au/Parliamentary_Business/Committees/Senate/Community_Affairs/Completed_inquiries/1999-02/child_migrat/report/index","call-number":"PCD000003","language":"en","author":[{"literal":"Senate Community Affairs References Committee"}],"issued":{"date-parts":[["2001",8,30]]},"accessed":{"date-parts":[["2013",4,4]]}},"label":"page"},{"id":1311,"uris":["http://zotero.org/users/470245/items/NQFSBVDR"],"uri":["http://zotero.org/users/470245/items/NQFSBVDR"],"itemData":{"id":1311,"type":"report","title":"Forgotten Australians: A Report on Australians Who Experienced Institutional or Out-of-Home Care as Children","publisher":"Commonwealth of Australia","URL":"http://www.aph.gov.au/Parliamentary_Business/Committees/Senate/Community_Affairs/Completed_inquiries/2004-07/inst_care/report/index","call-number":"PCD000004","title-short":"Forgotten Australians","language":"en","author":[{"literal":"Senate Community Affairs References Committee"}],"issued":{"date-parts":[["2004",8,30]]},"accessed":{"date-parts":[["2013",10,12]]}},"label":"page"},{"id":1155,"uris":["http://zotero.org/users/470245/items/FMADQJPC"],"uri":["http://zotero.org/users/470245/items/FMADQJPC"],"itemData":{"id":1155,"type":"report","title":"Wilam Naling … Knowing Who You Are…: Improving Access to Records of the Stolen Generations, A Report to the Victorian Government","publisher":"Department for Victorian Communities","publisher-place":"Melbourne","event-place":"Melbourne","URL":"http://prov.vic.gov.au/wp-content/uploads/2011/05/WilamNalingReportJune2006.pdf","author":[{"literal":"Victorian Koorie Records Taskforce"}],"issued":{"date-parts":[["2006",5]]}},"label":"page"}],"schema":"https://github.com/citation-style-language/schema/raw/master/csl-citation.json"}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[3]–[8]</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and in other countries – Ireland, UK, Sweden, Canada, Norway, Iceland, Denmark, Germany, South Africa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oRpxy0ig","properties":{"formattedCitation":"[9]","plainCitation":"[9]","noteIndex":0},"citationItems":[{"id":957,"uris":["http://zotero.org/users/470245/items/65PJNVXX"],"uri":["http://zotero.org/users/470245/items/65PJNVXX"],"itemData":{"id":957,"type":"article-journal","title":"Conflicting or Complementing Narratives? Interviewees’ Stories Compared to Their Documentary Records in the Swedish Commission to Inquire into Child Abuse and Neglect in Institutions and Foster Homes","container-title":"Archives and Manuscripts","page":"15-28","volume":"40","issue":"1","source":"Taylor and Francis+NEJM","abstract":"The Swedish Commission to Inquire into Child Abuse and Neglect in Institutions and Foster Homes has interviewed 866 people who claim that they were subjected to neglect and abuse during their time in municipal or state care in Sweden. The inquiry has also examined many of the interviewees’ documentary records. This article is based on the interviews and documentary records for 140 individuals and raises questions about the possibilities of corroborating stories of abuse and neglect through documentary records. In this study we found that the interviewees and the records told similar stories about where the interviewee resided during care and the duration of placements. However, in details the sources represented different perspectives on the same individual’s history. Important aspects to take into consideration are that case files seldom reveal anything about abuse and neglect, and the tendency of authorities to make only cautious descriptions of suspected abuse. The study also highlights the differences between practices of recordkeeping which mean that some individuals can read extensive case files about themselves while other peoples’ care histories have left barely any trace in the archives. In this article, these findings are used to question expectations about the possibility of establishing one ‘truth’ of abuse in an individual case by collecting ‘evidence’ from several sources.","DOI":"10.1080/01576895.2012.668842","ISSN":"0157-6895","title-short":"Conflicting or complementing narratives?","author":[{"family":"Sköld","given":"Johanna"},{"family":"Foberg","given":"Emma"},{"family":"Hedström","given":"Johanna"}],"issued":{"date-parts":[["2012"]]}}}],"schema":"https://github.com/citation-style-language/schema/raw/master/csl-citation.json"}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[9]</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have detailed the lifelong consequences of a lack of participation and agency in and over records of childhood Alternative Care experiences. A lack of agency in recordkeeping has been shown to deny children, young people and the adults they become their fundamental human rights to identity, memory, privacy and accountability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kWwIQwoN","properties":{"formattedCitation":"[10]","plainCitation":"[10]","noteIndex":0},"citationItems":[{"id":1124,"uris":["http://zotero.org/users/470245/items/E559MU8U"],"uri":["http://zotero.org/users/470245/items/E559MU8U"],"itemData":{"id":1124,"type":"article-journal","title":"Latent scrutiny: personal archives as perpetual mementos of the official gaze","container-title":"Archival Science","page":"93-109","volume":"16","issue":"1","source":"link.springer.com","abstract":"This article examines the significance, in the lives of those who experienced out-of-home care as children, of the archived records of their institutionalisation. The affective ramifications of accessing the records as adults are discussed, with especial focus on the records’ capacity to revive past suffering. Drawing on the work of Bruner (Crit Inq Autumn 1–21,1991, Consumption and everyday life, Sage, London, 1997) and MacIntyre (After virtue: a study in moral theory, University of Notre Dame Press, Notre Dame, 1981), a ‘narrative’ model of the self is utilised to account for the negative effect of systemic flaws in the records’ original composition. Such flaws, it is argued, have the potential to disrupt the individual’s sense of self. Both the authors, who experienced out-of-home care as children, present their own experiences of accessing the records, as case studies. The records’ manifold inaccuracies and inadequacies are interpreted in the light of prevailing welfare practices, in particular a highly damaging judgemental paradigm of gendered and moralistic assumptions of the inferior character of those in care. The authors conclude by arguing that research into the archives should involve the direct participation, as ‘insider researchers’, of those who experienced the matters contained in the records. Such participation is essential if the process of revealing and interpreting the archives is to maintain the dignity of the records’ subject individuals, and ensure the integrity of the research.","DOI":"10.1007/s10502-015-9255-3","ISSN":"1389-0166, 1573-7519","title-short":"Latent scrutiny","language":"en","author":[{"family":"Wilson","given":"Jacqueline Z."},{"family":"Golding","given":"Frank"}],"issued":{"date-parts":[["2016",3]]}}}],"schema":"https://github.com/citation-style-language/schema/raw/master/csl-citation.json"}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[10]</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w:t>
      </w:r>
    </w:p>
    <w:p w:rsidR="001A23E6" w:rsidRPr="00CF52ED" w:rsidRDefault="001A23E6" w:rsidP="00CE2B7C">
      <w:pPr>
        <w:rPr>
          <w:rFonts w:asciiTheme="minorHAnsi" w:hAnsiTheme="minorHAnsi" w:cstheme="minorHAnsi"/>
          <w:sz w:val="22"/>
          <w:szCs w:val="22"/>
        </w:rPr>
      </w:pPr>
      <w:r w:rsidRPr="00CF52ED">
        <w:rPr>
          <w:rFonts w:asciiTheme="minorHAnsi" w:hAnsiTheme="minorHAnsi" w:cstheme="minorHAnsi"/>
          <w:sz w:val="22"/>
          <w:szCs w:val="22"/>
        </w:rPr>
        <w:t>Many national standards for Alternative Care identify the rights of children and young people to have access to a complete and accurate history of their time in Care, the plans for their future, their health, education and other important official records, their family and community connections, memories of key events, and other records which support and nurture their sense of identity, security, and connectedness with the world. They also emphasise the need for children and young people to participate in the decision-making that impacts on their lives, which therefore must include the formation and use of this increasingly digital archive. Despite increasingly extensive policy layer</w:t>
      </w:r>
      <w:r w:rsidR="00CE2B7C" w:rsidRPr="00CF52ED">
        <w:rPr>
          <w:rFonts w:asciiTheme="minorHAnsi" w:hAnsiTheme="minorHAnsi" w:cstheme="minorHAnsi"/>
          <w:sz w:val="22"/>
          <w:szCs w:val="22"/>
        </w:rPr>
        <w:t>s</w:t>
      </w:r>
      <w:r w:rsidRPr="00CF52ED">
        <w:rPr>
          <w:rFonts w:asciiTheme="minorHAnsi" w:hAnsiTheme="minorHAnsi" w:cstheme="minorHAnsi"/>
          <w:sz w:val="22"/>
          <w:szCs w:val="22"/>
        </w:rPr>
        <w:t xml:space="preserve"> reflecting the emphasis in Alternative Care standards on child-centred approaches, there is also continuing evidence of barriers to their translation into practice. For example surveys of Care experienced children and young people by CREATE Foundation</w:t>
      </w:r>
      <w:r w:rsidR="00CE2B7C" w:rsidRPr="00CF52ED">
        <w:rPr>
          <w:rFonts w:asciiTheme="minorHAnsi" w:hAnsiTheme="minorHAnsi" w:cstheme="minorHAnsi"/>
          <w:sz w:val="22"/>
          <w:szCs w:val="22"/>
        </w:rPr>
        <w:t xml:space="preserve">, Australia’s national body representing the voices of children and young people with out-of-home care experiences, </w:t>
      </w:r>
      <w:r w:rsidRPr="00CF52ED">
        <w:rPr>
          <w:rFonts w:asciiTheme="minorHAnsi" w:hAnsiTheme="minorHAnsi" w:cstheme="minorHAnsi"/>
          <w:sz w:val="22"/>
          <w:szCs w:val="22"/>
        </w:rPr>
        <w:t xml:space="preserve">continue to show a lack of participation in case and cultural planning processes and access to information and records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f62ToU3B","properties":{"formattedCitation":"[11]","plainCitation":"[11]","noteIndex":0},"citationItems":[{"id":4835,"uris":["http://zotero.org/users/470245/items/UJQ7S4BK"],"uri":["http://zotero.org/users/470245/items/UJQ7S4BK"],"itemData":{"id":4835,"type":"report","title":"Out-of-Home Care in Australia: Children and Young People’s Views After Five Years of National Standards","publisher":"CREATE Foundation","page":"208","source":"Zotero","URL":"https://create.org.au/publications/2018-create-report/","call-number":"PCD000527","language":"en","author":[{"family":"McDowall","given":"Joseph J."}],"issued":{"date-parts":[["2018",12]]}}}],"schema":"https://github.com/citation-style-language/schema/raw/master/csl-citation.json"}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[11]</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w:t>
      </w:r>
    </w:p>
    <w:p w:rsidR="001A23E6" w:rsidRPr="00CF52ED" w:rsidRDefault="001A23E6" w:rsidP="001A23E6">
      <w:pPr>
        <w:rPr>
          <w:rFonts w:asciiTheme="minorHAnsi" w:hAnsiTheme="minorHAnsi" w:cstheme="minorHAnsi"/>
          <w:sz w:val="22"/>
          <w:szCs w:val="22"/>
        </w:rPr>
      </w:pPr>
      <w:r w:rsidRPr="00CF52ED">
        <w:rPr>
          <w:rFonts w:asciiTheme="minorHAnsi" w:hAnsiTheme="minorHAnsi" w:cstheme="minorHAnsi"/>
          <w:sz w:val="22"/>
          <w:szCs w:val="22"/>
        </w:rPr>
        <w:t xml:space="preserve">As Alternative Care systems move into the digital realm there is a real danger of encoding, enshrining and amplifying existing exclusions, biases and discrimination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0HUOKywM","properties":{"formattedCitation":"[12]","plainCitation":"[12]","noteIndex":0},"citationItems":[{"id":3065,"uris":["http://zotero.org/users/470245/items/KW8PY64K"],"uri":["http://zotero.org/users/470245/items/KW8PY64K"],"itemData":{"id":3065,"type":"book","title":"Automating Inequality: How High-Tech Tools Profile, Police, and Punish the Poor","publisher":"St. Martin's Press","publisher-place":"New York, NY","number-of-pages":"272","source":"Amazon","event-place":"New York, NY","abstract":"Naomi Klein: \"This book is downright scary.\"Ethan Zuckerman, MIT: \"Should be required reading.\"Dorothy Roberts, author of Killing the Black Body: \"A must-read.\"Astra Taylor, author of The People's Platform: \"The single most important book about technology you will read this year.\"Cory Doctorow: \"Indispensable.\"A powerful investigative look at data-based discrimination―and how technology affects civil and human rights and economic equity The State of Indiana denies one million applications for healthcare, foodstamps and cash benefits in three years―because a new computer system interprets any mistake as “failure to cooperate.” In Los Angeles, an algorithm calculates the comparative vulnerability of tens of thousands of homeless people in order to prioritize them for an inadequate pool of housing resources. In Pittsburgh, a child welfare agency uses a statistical model to try to predict which children might be future victims of abuse or neglect.Since the dawn of the digital age, decision-making in finance, employment, politics, health and human services has undergone revolutionary change. Today, automated systems―rather than humans―control which neighborhoods get policed, which families attain needed resources, and who is investigated for fraud. While we all live under this new regime of data, the most invasive and punitive systems are aimed at the poor.In Automating Inequality, Virginia Eubanks systematically investigates the impacts of data mining, policy algorithms, and predictive risk models on poor and working-class people in America. The book is full of heart-wrenching and eye-opening stories, from a woman in Indiana whose benefits are literally cut off as she lays dying to a family in Pennsylvania in daily fear of losing their daughter because they fit a certain statistical profile.The U.S. has always used its most cutting-edge science and technology to contain, investigate, discipline and punish the destitute. Like the county poorhouse and scientific charity before them, digital tracking and automated decision-making hide poverty from the middle-class public and give the nation the ethical distance it needs to make inhumane choices: which families get food and which starve, who has housing and who remains homeless, and which families are broken up by the state. In the process, they weaken democracy and betray our most cherished national values.This deeply researched and passionate book could not be more timely.","ISBN":"978-1-250-07431-7","language":"English","author":[{"family":"Eubanks","given":"Virginia"}],"issued":{"date-parts":[["2018",1]]}}}],"schema":"https://github.com/citation-style-language/schema/raw/master/csl-citation.json"}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[12]</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without attending to the recordkeeping and information rights explicitly and implicitly embedded in children and other human rights charters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zDlJmZJ4","properties":{"formattedCitation":"[13]","plainCitation":"[13]","noteIndex":0},"citationItems":[{"id":1095,"uris":["http://zotero.org/users/470245/items/CKPG6HSN"],"uri":["http://zotero.org/users/470245/items/CKPG6HSN"],"itemData":{"id":1095,"type":"article-journal","title":"The role of participatory archives in furthering human rights, reconciliation and recovery","container-title":"Atlanti: Review for Modern Archival Theory and Practice","page":"79-88","volume":"24","call-number":"PCD000028","author":[{"family":"Gilliland","given":"Anne"},{"family":"McKemmish","given":"Sue"}],"issued":{"date-parts":[["2014"]]}}}],"schema":"https://github.com/citation-style-language/schema/raw/master/csl-citation.json"}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[13]</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Alternative Care recordkeeping systems can exemplify the ‘problematic tendency of existing frameworks to prioritize protection over participation, rather than finding better ways of resolving … [the] conflicts among rights … [that] inevitably arise’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{"citationID":"MoLgftOD","properties":{"formattedCitation":"[14, p. 490]","plainCitation":"[14, p. 490]","noteIndex":0},"citationItems":[{"id":5042,"uris":["http://zotero.org/users/470245/items/K52NKR35"],"uri":["http://zotero.org/users/470245/items/K52NKR35"],"itemData":{"id":5042,"type":"chapter","title":"Children’s Rights and Digital Technologies","container-title":"International Human Rights of Children","collection-title":"International Human Rights","publisher":"Springer Singapore","publisher-place":"Singapore","page":"487-513","event-place":"Singapore","abstract":"Digital technologies have reshaped children’s lives, resulting in new opportunities for and risks to their well-being and rights. This chapter investigates the impact of digital technologies on children’s rights through the lens of the United Nations Convention on the Rights of the Child. Up until now, not all rights have received the same level of attention in the digital context. Legal and policy discourse in the area of children and digital media predominantly focuses on “protection” rights, albeit with a growing awareness of the tension between “protection” and “participation” rights. “Provision” rights are not often emphasized, other than in the important domain of education. However, all children’s rights should be supported, valued, and developed in both online and offline spheres of engagement. Governments, parents, educators, industry, civil society, and children’s rights commissioners or ombudspersons should all take up their responsibility to enhance children’s rights in relation to digital technologies while actively listening and taking account of children’s views when developing laws, policies, programs, and other measures in this field.","URL":"https://doi.org/10.1007/978-981-10-4184-6_16","ISBN":"978-981-10-4184-6","call-number":"PCD000542","note":"DOI: 10.1007/978-981-10-4184-6_16","language":"en","author":[{"family":"Lievens","given":"Eva"},{"family":"Livingstone","given":"Sonia"},{"family":"McLaughlin","given":"Sharon"},{"family":"O’Neill","given":"Brian"},{"family":"Verdoodt","given":"Valerie"}],"editor":[{"family":"Kilkelly","given":"Ursula"},{"family":"Liefaard","given":"Ton"}],"issued":{"date-parts":[["2019"]]},"accessed":{"date-parts":[["2019",5,7]]}},"locator":"490","label":"page"}],"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[14, p. 490]</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This is </w:t>
      </w:r>
      <w:r w:rsidRPr="00CF52ED">
        <w:rPr>
          <w:rFonts w:asciiTheme="minorHAnsi" w:hAnsiTheme="minorHAnsi" w:cstheme="minorHAnsi"/>
          <w:sz w:val="22"/>
          <w:szCs w:val="22"/>
        </w:rPr>
        <w:lastRenderedPageBreak/>
        <w:t xml:space="preserve">despite recognition that active participation and proactive provision of rights are a protective factor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xVM9gxIb","properties":{"formattedCitation":"[15]","plainCitation":"[15]","noteIndex":0},"citationItems":[{"id":4829,"uris":["http://zotero.org/users/470245/items/II7EENVP"],"uri":["http://zotero.org/users/470245/items/II7EENVP"],"itemData":{"id":4829,"type":"chapter","title":"Module 3: Child Participation","container-title":"Child Rights Toolkit: Integrating Child Rights in Development Cooperation","publisher":"United Nations Children's Fund","URL":"https://www.unicef.org/eu/crtoolkit/downloads/Child-Rights-Toolkit-Module3-Web-Links.pdf","author":[{"literal":"EU-UNICEF"}],"issued":{"date-parts":[["2014"]]},"accessed":{"date-parts":[["2019",3,19]]}}}],"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[15]</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w:t>
      </w:r>
    </w:p>
    <w:p w:rsidR="00D26026" w:rsidRPr="00CF52ED" w:rsidRDefault="001A23E6" w:rsidP="00D26026">
      <w:pPr>
        <w:rPr>
          <w:rFonts w:asciiTheme="minorHAnsi" w:hAnsiTheme="minorHAnsi" w:cstheme="minorHAnsi"/>
          <w:sz w:val="22"/>
          <w:szCs w:val="22"/>
        </w:rPr>
      </w:pPr>
      <w:r w:rsidRPr="00CF52ED">
        <w:rPr>
          <w:rFonts w:asciiTheme="minorHAnsi" w:hAnsiTheme="minorHAnsi" w:cstheme="minorHAnsi"/>
          <w:sz w:val="22"/>
          <w:szCs w:val="22"/>
        </w:rPr>
        <w:t xml:space="preserve">In Alternative Care environments the increased surveillance capabilities of both discretionary and non-discretionary systems have the potential to be utilised both for and against the best interests of the child. While increased abilities to monitor online activities and capacities for seamless sharing of digital data and information might help to identify risks to children and young people, they may also infringe on rights to privacy and confidentiality with consequent impacts on </w:t>
      </w:r>
      <w:r w:rsidR="00492885" w:rsidRPr="00CF52ED">
        <w:rPr>
          <w:rFonts w:asciiTheme="minorHAnsi" w:hAnsiTheme="minorHAnsi" w:cstheme="minorHAnsi"/>
          <w:sz w:val="22"/>
          <w:szCs w:val="22"/>
        </w:rPr>
        <w:t xml:space="preserve">the </w:t>
      </w:r>
      <w:r w:rsidRPr="00CF52ED">
        <w:rPr>
          <w:rFonts w:asciiTheme="minorHAnsi" w:hAnsiTheme="minorHAnsi" w:cstheme="minorHAnsi"/>
          <w:sz w:val="22"/>
          <w:szCs w:val="22"/>
        </w:rPr>
        <w:t xml:space="preserve">development </w:t>
      </w:r>
      <w:r w:rsidR="00492885" w:rsidRPr="00CF52ED">
        <w:rPr>
          <w:rFonts w:asciiTheme="minorHAnsi" w:hAnsiTheme="minorHAnsi" w:cstheme="minorHAnsi"/>
          <w:sz w:val="22"/>
          <w:szCs w:val="22"/>
        </w:rPr>
        <w:t xml:space="preserve">of self-identity, </w:t>
      </w:r>
      <w:r w:rsidR="00D26026" w:rsidRPr="00CF52ED">
        <w:rPr>
          <w:rFonts w:asciiTheme="minorHAnsi" w:hAnsiTheme="minorHAnsi" w:cstheme="minorHAnsi"/>
          <w:sz w:val="22"/>
          <w:szCs w:val="22"/>
        </w:rPr>
        <w:t>and connection to family and community</w:t>
      </w:r>
      <w:r w:rsidRPr="00CF52ED">
        <w:rPr>
          <w:rFonts w:asciiTheme="minorHAnsi" w:hAnsiTheme="minorHAnsi" w:cstheme="minorHAnsi"/>
          <w:sz w:val="22"/>
          <w:szCs w:val="22"/>
        </w:rPr>
        <w:t xml:space="preserve">. The ability to establish identity as an individual human being, as well as having agency and control over personal and sensitive information, goes to the core of fundamental human rights to autonomy and self-determination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{"citationID":"kaFqhsj8","properties":{"formattedCitation":"[16], [17]","plainCitation":"[16], [17]","noteIndex":0},"citationItems":[{"id":921,"uris":["http://zotero.org/users/470245/items/4H5GE8S7"],"uri":["http://zotero.org/users/470245/items/4H5GE8S7"],"itemData":{"id":921,"type":"article-journal","title":"Self-determination and archival autonomy: advocating activism","container-title":"Archival Science","page":"337-368","volume":"15","issue":"4","abstract":"This paper explores the role of archival activism in supporting social movements linked to human rights and social justice agendas. Taking a records continuum perspective, it presents an Australian case study relating to the Stolen Generations, Former Child Migrants, Forgotten Australians and Forced Adoption communities to illustrate imperatives for advocacy and activism in support of the “archival autonomy” of communities. Framed by critical theory, the study identifies and analyses systemic problems in meeting the recordkeeping and archival identity, memory, accountability, redress and recovery needs of these key communities. The devastating impact of both finding and not finding relevant information is highlighted, along with how systemic and structural difficulties in seeking access to vital evidence can be re-traumatising. Using reflexivity and the Movement Action Plan as an analytical tool, the case study reflects on the activist role archival research and development projects can potentially play, using the Who Am I? and Trust and Technology Projects as exemplars. The paper explores how an extended suite of rights in records, stretching beyond discovery and access to appraisal, description and disclosure, and linked to records continuum concepts of co-creation and multiple provenance, and the emergent concept of the participatory archive, might support community self-determination in the context of human rights and social justice agendas, with particular reference to the rights of the child. Additionally, the paper explores a new concept of archival autonomy and its relationship to community self-determination. Archival autonomy is tentatively defined as the ability for individuals and communities to participate in societal memory, with their own voice, and to become participatory agents in recordkeeping and archiving for identity, memory and accountability purposes. The achievement of archival autonomy is identified as a grand societal challenge, with the need for archival activism to become an integral part of social movements on a local and global scale. The paper concludes with a proposed National Summit on the Archive and the Rights of the Child, envisaged as a vehicle for archival advocacy and activism leading to transformative action to address social justice and human rights agendas in Australia.","DOI":"10.1007/s10502-015-9244-6","ISSN":"1389-0166, 1573-7519","call-number":"PCD000056","language":"en","author":[{"family":"Evans","given":"Joanne"},{"family":"McKemmish","given":"Sue"},{"family":"Daniels","given":"Elizabeth"},{"family":"McCarthy","given":"Gavan"}],"issued":{"date-parts":[["2015"]]}}},{"id":4505,"uris":["http://zotero.org/users/470245/items/4U2JFGZN"],"uri":["http://zotero.org/users/470245/items/4U2JFGZN"],"itemData":{"id":4505,"type":"report","title":"The right to privacy in the digital age","publisher":"UN General Assembly, Human Rights Council","abstract":"Report of the United Nations High Commissioner for Human Rights","URL":"https://documents-dds-ny.un.org/doc/UNDOC/GEN/G18/239/58/PDF/G1823958.pdf?OpenElement","number":"A/HRC/39/29","author":[{"literal":"United Nations High Commissioner for Human Rights"}],"issued":{"date-parts":[["2018",8,3]]},"accessed":{"date-parts":[["2018",12,16]]}}}],"schema":"https://github.com/citation-style-language/schema/raw/master/csl-citation.json"}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[16], [17]</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w:t>
      </w:r>
    </w:p>
    <w:p w:rsidR="001A23E6" w:rsidRDefault="001A23E6" w:rsidP="007D4045">
      <w:pPr>
        <w:rPr>
          <w:rFonts w:asciiTheme="minorHAnsi" w:hAnsiTheme="minorHAnsi" w:cstheme="minorHAnsi"/>
          <w:sz w:val="22"/>
          <w:szCs w:val="22"/>
        </w:rPr>
      </w:pPr>
      <w:r w:rsidRPr="00CF52ED">
        <w:rPr>
          <w:rFonts w:asciiTheme="minorHAnsi" w:hAnsiTheme="minorHAnsi" w:cstheme="minorHAnsi"/>
          <w:sz w:val="22"/>
          <w:szCs w:val="22"/>
        </w:rPr>
        <w:t>Existing reactive governance mechanisms – retrospective file audits and inquiries by Children’s Commissioners/Guardians or other oversight bodies in response to complaints, catastrophic failings or other systemic concerns – often fall short of ensuring those rights.</w:t>
      </w:r>
      <w:r w:rsidR="00D26026" w:rsidRPr="00CF52ED">
        <w:rPr>
          <w:rFonts w:asciiTheme="minorHAnsi" w:hAnsiTheme="minorHAnsi" w:cstheme="minorHAnsi"/>
          <w:sz w:val="22"/>
          <w:szCs w:val="22"/>
        </w:rPr>
        <w:t xml:space="preserve"> </w:t>
      </w:r>
      <w:r w:rsidRPr="00CF52ED">
        <w:rPr>
          <w:rFonts w:asciiTheme="minorHAnsi" w:hAnsiTheme="minorHAnsi" w:cstheme="minorHAnsi"/>
          <w:sz w:val="22"/>
          <w:szCs w:val="22"/>
        </w:rPr>
        <w:t xml:space="preserve">It is therefore vital that mechanisms to identify, protect and monitor these rights be designed and equipped to efficiently and effectively operate in digital environments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U0jxS65X","properties":{"formattedCitation":"[18]","plainCitation":"[18]","noteIndex":0},"citationItems":[{"id":4813,"uris":["http://zotero.org/users/470245/items/7VFBN36Q"],"uri":["http://zotero.org/users/470245/items/7VFBN36Q"],"itemData":{"id":4813,"type":"article-journal","title":"Participatory information governance: Transforming recordkeeping for childhood out-of-home Care","container-title":"Records Management Journal","page":"178-193","volume":"29","issue":"1/2","source":"www-emeraldinsight-com.ezproxy.lib.monash.edu.au (Atypon)","DOI":"10.1108/RMJ-09-2018-0041","ISSN":"0956-5698","title-short":"Participatory information governance","journalAbbreviation":"Records Management Journal","author":[{"family":"Evans","given":"Joanne"},{"family":"McKemmish","given":"Sue"},{"family":"Rolan","given":"Gregory"}],"issued":{"date-parts":[["2019"]]}}}],"schema":"https://github.com/citation-style-language/schema/raw/master/csl-citation.json"}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[18]</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The potential for digital and networking technologies to address the current power asymmetries in information and recordkeeping systems for Alternative Care could herald a new paradigm of rights-based practice in the sector. </w:t>
      </w:r>
      <w:r w:rsidR="00D26026" w:rsidRPr="00CF52ED">
        <w:rPr>
          <w:rFonts w:asciiTheme="minorHAnsi" w:hAnsiTheme="minorHAnsi" w:cstheme="minorHAnsi"/>
          <w:sz w:val="22"/>
          <w:szCs w:val="22"/>
        </w:rPr>
        <w:t>A</w:t>
      </w:r>
      <w:r w:rsidRPr="00CF52ED">
        <w:rPr>
          <w:rFonts w:asciiTheme="minorHAnsi" w:hAnsiTheme="minorHAnsi" w:cstheme="minorHAnsi"/>
          <w:sz w:val="22"/>
          <w:szCs w:val="22"/>
        </w:rPr>
        <w:t xml:space="preserve"> Concept Note for a General Comment on Children’s Rights in Relation to the Digital Environment </w:t>
      </w:r>
      <w:r w:rsidR="00D26026" w:rsidRPr="00CF52ED">
        <w:rPr>
          <w:rFonts w:asciiTheme="minorHAnsi" w:hAnsiTheme="minorHAnsi" w:cstheme="minorHAnsi"/>
          <w:sz w:val="22"/>
          <w:szCs w:val="22"/>
        </w:rPr>
        <w:t>in highlighting the need for the digital enablement of the mechanisms for monitoring and regulation children’s rights in both discretionary and non-discretionary digital environments</w:t>
      </w:r>
      <w:r w:rsidR="007D4045" w:rsidRPr="00CF52ED">
        <w:rPr>
          <w:rFonts w:asciiTheme="minorHAnsi" w:hAnsiTheme="minorHAnsi" w:cstheme="minorHAnsi"/>
          <w:sz w:val="22"/>
          <w:szCs w:val="22"/>
        </w:rPr>
        <w:t>, could be a spur for such innovation</w:t>
      </w:r>
      <w:r w:rsidR="00D26026" w:rsidRPr="00CF52ED">
        <w:rPr>
          <w:rFonts w:asciiTheme="minorHAnsi" w:hAnsiTheme="minorHAnsi" w:cstheme="minorHAnsi"/>
          <w:sz w:val="22"/>
          <w:szCs w:val="22"/>
        </w:rPr>
        <w:t>.</w:t>
      </w:r>
    </w:p>
    <w:p w:rsidR="00B0287F" w:rsidRPr="00CF52ED" w:rsidRDefault="00B0287F" w:rsidP="007D4045">
      <w:pPr>
        <w:rPr>
          <w:rFonts w:asciiTheme="minorHAnsi" w:hAnsiTheme="minorHAnsi" w:cstheme="minorHAnsi"/>
          <w:sz w:val="22"/>
          <w:szCs w:val="22"/>
        </w:rPr>
      </w:pPr>
      <w:bookmarkStart w:id="0" w:name="_GoBack"/>
      <w:bookmarkEnd w:id="0"/>
    </w:p>
    <w:p w:rsidR="001A23E6" w:rsidRDefault="001A23E6" w:rsidP="0078520D">
      <w:pPr>
        <w:pStyle w:val="Heading2"/>
      </w:pPr>
      <w:r>
        <w:t xml:space="preserve">Archives and the Rights of the Child </w:t>
      </w:r>
      <w:r w:rsidR="0078520D">
        <w:t>R</w:t>
      </w:r>
      <w:r>
        <w:t>esearch Program</w:t>
      </w:r>
    </w:p>
    <w:p w:rsidR="001A23E6" w:rsidRPr="00CF52ED" w:rsidRDefault="001A23E6" w:rsidP="007D4045">
      <w:pPr>
        <w:rPr>
          <w:rFonts w:asciiTheme="minorHAnsi" w:hAnsiTheme="minorHAnsi" w:cstheme="minorHAnsi"/>
          <w:sz w:val="22"/>
          <w:szCs w:val="22"/>
        </w:rPr>
      </w:pPr>
      <w:r w:rsidRPr="00CF52ED">
        <w:rPr>
          <w:rFonts w:asciiTheme="minorHAnsi" w:hAnsiTheme="minorHAnsi" w:cstheme="minorHAnsi"/>
          <w:sz w:val="22"/>
          <w:szCs w:val="22"/>
        </w:rPr>
        <w:t xml:space="preserve">Recordkeeping and its governance is a significant </w:t>
      </w:r>
      <w:r w:rsidR="0078520D" w:rsidRPr="00CF52ED">
        <w:rPr>
          <w:rFonts w:asciiTheme="minorHAnsi" w:hAnsiTheme="minorHAnsi" w:cstheme="minorHAnsi"/>
          <w:sz w:val="22"/>
          <w:szCs w:val="22"/>
        </w:rPr>
        <w:t>issue</w:t>
      </w:r>
      <w:r w:rsidRPr="00CF52ED">
        <w:rPr>
          <w:rFonts w:asciiTheme="minorHAnsi" w:hAnsiTheme="minorHAnsi" w:cstheme="minorHAnsi"/>
          <w:sz w:val="22"/>
          <w:szCs w:val="22"/>
        </w:rPr>
        <w:t xml:space="preserve"> for the Alternative Care sector, which affects the social, emotional and psychological health and wellbeing of Care experienced children, young people and adults. Those with Care experiences often speak of having to fight for their rights, or of having strong advocates making sure that their best interests are at the forefront of decision-making, in a fractured, fragmented and under-resourced system. Quality recordkeeping is one of the rights they should be accorded as a matter of course. It should also be part of making </w:t>
      </w:r>
      <w:r w:rsidR="007D4045" w:rsidRPr="00CF52ED">
        <w:rPr>
          <w:rFonts w:asciiTheme="minorHAnsi" w:hAnsiTheme="minorHAnsi" w:cstheme="minorHAnsi"/>
          <w:sz w:val="22"/>
          <w:szCs w:val="22"/>
        </w:rPr>
        <w:t>Alternative Care</w:t>
      </w:r>
      <w:r w:rsidRPr="00CF52ED">
        <w:rPr>
          <w:rFonts w:asciiTheme="minorHAnsi" w:hAnsiTheme="minorHAnsi" w:cstheme="minorHAnsi"/>
          <w:sz w:val="22"/>
          <w:szCs w:val="22"/>
        </w:rPr>
        <w:t xml:space="preserve"> system</w:t>
      </w:r>
      <w:r w:rsidR="007D4045" w:rsidRPr="00CF52ED">
        <w:rPr>
          <w:rFonts w:asciiTheme="minorHAnsi" w:hAnsiTheme="minorHAnsi" w:cstheme="minorHAnsi"/>
          <w:sz w:val="22"/>
          <w:szCs w:val="22"/>
        </w:rPr>
        <w:t>s</w:t>
      </w:r>
      <w:r w:rsidRPr="00CF52ED">
        <w:rPr>
          <w:rFonts w:asciiTheme="minorHAnsi" w:hAnsiTheme="minorHAnsi" w:cstheme="minorHAnsi"/>
          <w:sz w:val="22"/>
          <w:szCs w:val="22"/>
        </w:rPr>
        <w:t xml:space="preserve"> more efficient and effective in safeguarding children and young people.</w:t>
      </w:r>
    </w:p>
    <w:p w:rsidR="001A23E6" w:rsidRPr="00CF52ED" w:rsidRDefault="001A23E6" w:rsidP="007D4045">
      <w:pPr>
        <w:rPr>
          <w:rFonts w:asciiTheme="minorHAnsi" w:hAnsiTheme="minorHAnsi" w:cstheme="minorHAnsi"/>
          <w:sz w:val="22"/>
          <w:szCs w:val="22"/>
        </w:rPr>
      </w:pPr>
      <w:r w:rsidRPr="00CF52ED">
        <w:rPr>
          <w:rFonts w:asciiTheme="minorHAnsi" w:hAnsiTheme="minorHAnsi" w:cstheme="minorHAnsi"/>
          <w:sz w:val="22"/>
          <w:szCs w:val="22"/>
        </w:rPr>
        <w:t xml:space="preserve">The </w:t>
      </w:r>
      <w:r w:rsidRPr="00CF52ED">
        <w:rPr>
          <w:rFonts w:asciiTheme="minorHAnsi" w:hAnsiTheme="minorHAnsi" w:cstheme="minorHAnsi"/>
          <w:i/>
          <w:iCs/>
          <w:sz w:val="22"/>
          <w:szCs w:val="22"/>
        </w:rPr>
        <w:t>Archives and the Rights of the Child Research Program</w:t>
      </w:r>
      <w:r w:rsidRPr="00CF52ED">
        <w:rPr>
          <w:rFonts w:asciiTheme="minorHAnsi" w:hAnsiTheme="minorHAnsi" w:cstheme="minorHAnsi"/>
          <w:sz w:val="22"/>
          <w:szCs w:val="22"/>
        </w:rPr>
        <w:t xml:space="preserve"> </w:t>
      </w:r>
      <w:r w:rsidR="00492885" w:rsidRPr="00CF52ED">
        <w:rPr>
          <w:rFonts w:asciiTheme="minorHAnsi" w:hAnsiTheme="minorHAnsi" w:cstheme="minorHAnsi"/>
          <w:sz w:val="22"/>
          <w:szCs w:val="22"/>
        </w:rPr>
        <w:t>is</w:t>
      </w:r>
      <w:r w:rsidRPr="00CF52ED">
        <w:rPr>
          <w:rFonts w:asciiTheme="minorHAnsi" w:hAnsiTheme="minorHAnsi" w:cstheme="minorHAnsi"/>
          <w:sz w:val="22"/>
          <w:szCs w:val="22"/>
        </w:rPr>
        <w:t xml:space="preserve"> a transdisciplinary research </w:t>
      </w:r>
      <w:r w:rsidR="00492885" w:rsidRPr="00CF52ED">
        <w:rPr>
          <w:rFonts w:asciiTheme="minorHAnsi" w:hAnsiTheme="minorHAnsi" w:cstheme="minorHAnsi"/>
          <w:sz w:val="22"/>
          <w:szCs w:val="22"/>
        </w:rPr>
        <w:t>agenda</w:t>
      </w:r>
      <w:r w:rsidRPr="00CF52ED">
        <w:rPr>
          <w:rFonts w:asciiTheme="minorHAnsi" w:hAnsiTheme="minorHAnsi" w:cstheme="minorHAnsi"/>
          <w:sz w:val="22"/>
          <w:szCs w:val="22"/>
        </w:rPr>
        <w:t xml:space="preserve"> </w:t>
      </w:r>
      <w:r w:rsidR="00492885" w:rsidRPr="00CF52ED">
        <w:rPr>
          <w:rFonts w:asciiTheme="minorHAnsi" w:hAnsiTheme="minorHAnsi" w:cstheme="minorHAnsi"/>
          <w:sz w:val="22"/>
          <w:szCs w:val="22"/>
        </w:rPr>
        <w:t xml:space="preserve">to </w:t>
      </w:r>
      <w:r w:rsidRPr="00CF52ED">
        <w:rPr>
          <w:rFonts w:asciiTheme="minorHAnsi" w:hAnsiTheme="minorHAnsi" w:cstheme="minorHAnsi"/>
          <w:sz w:val="22"/>
          <w:szCs w:val="22"/>
        </w:rPr>
        <w:t>investigat</w:t>
      </w:r>
      <w:r w:rsidR="00492885" w:rsidRPr="00CF52ED">
        <w:rPr>
          <w:rFonts w:asciiTheme="minorHAnsi" w:hAnsiTheme="minorHAnsi" w:cstheme="minorHAnsi"/>
          <w:sz w:val="22"/>
          <w:szCs w:val="22"/>
        </w:rPr>
        <w:t>e</w:t>
      </w:r>
      <w:r w:rsidRPr="00CF52ED">
        <w:rPr>
          <w:rFonts w:asciiTheme="minorHAnsi" w:hAnsiTheme="minorHAnsi" w:cstheme="minorHAnsi"/>
          <w:sz w:val="22"/>
          <w:szCs w:val="22"/>
        </w:rPr>
        <w:t xml:space="preserve"> how multiple and lifelong rights in records and recordkeeping can be recognised, respected and enacted in Alternative Care systems</w:t>
      </w:r>
      <w:r w:rsidR="0078520D" w:rsidRPr="00CF52ED">
        <w:rPr>
          <w:rFonts w:asciiTheme="minorHAnsi" w:hAnsiTheme="minorHAnsi" w:cstheme="minorHAnsi"/>
          <w:sz w:val="22"/>
          <w:szCs w:val="22"/>
        </w:rPr>
        <w:t xml:space="preserve"> utilising digital and networking </w:t>
      </w:r>
      <w:r w:rsidR="008C478F" w:rsidRPr="00CF52ED">
        <w:rPr>
          <w:rFonts w:asciiTheme="minorHAnsi" w:hAnsiTheme="minorHAnsi" w:cstheme="minorHAnsi"/>
          <w:sz w:val="22"/>
          <w:szCs w:val="22"/>
        </w:rPr>
        <w:t>technologies</w:t>
      </w:r>
      <w:r w:rsidRPr="00CF52ED">
        <w:rPr>
          <w:rFonts w:asciiTheme="minorHAnsi" w:hAnsiTheme="minorHAnsi" w:cstheme="minorHAnsi"/>
          <w:sz w:val="22"/>
          <w:szCs w:val="22"/>
        </w:rPr>
        <w:t xml:space="preserve">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nKs3ZQmC","properties":{"formattedCitation":"[19]","plainCitation":"[19]","noteIndex":0},"citationItems":[{"id":1978,"uris":["http://zotero.org/users/470245/items/KER8RDJ9"],"uri":["http://zotero.org/users/470245/items/KER8RDJ9"],"itemData":{"id":1978,"type":"article-journal","title":"Critical approaches to archiving and recordkeeping in the continuum","container-title":"Journal of Critical Library and Information Studies","volume":"1","issue":"2","abstract":"Records Continuum research is increasingly engaging with critical and participatory archiving and recordkeeping approaches to research and practice, “questioning the social constructs, values and power differentials embedded in current frameworks, processes, systems and technologies, exploring archival and recordkeeping agency, autonomy and activism, and moving beyond insight and critique with the aim of bringing about transformative outcomes”.[1] In this paper, we explore the characteristics of these approaches with reference to an illustrative case, and the Records Continuum, theory, models and constructs which complement, frame and support critical archiving and recordkeeping theorizing and practice.[1] Sue McKemmish, “Recordkeeping in the Continuum: An Australian Tradition.” In Research in the Archival Multiverse edited by Anne Gilliland, Sue McKemmish and Andrew Lau. Melbourne: Monash Publishing, 2016 (in press)","URL":"http://libraryjuicepress.com/journals/index.php/jclis/article/view/35","ISSN":"2572-1364","call-number":"PCD000345","language":"en","author":[{"family":"Evans","given":"Joanne"},{"family":"McKemmish","given":"Sue"},{"family":"Rolan","given":"Greg"}],"issued":{"date-parts":[["2017"]]},"accessed":{"date-parts":[["2017",8,16]]}}}],"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[19]</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 xml:space="preserve">. It brings together researcher from a range of academic, community and organisational contexts, and from a variety of disciplinary perspectives to tackle this complex problem using participatory research and design methodologies (see </w:t>
      </w:r>
      <w:hyperlink r:id="rId9" w:history="1">
        <w:r w:rsidRPr="00CF52ED">
          <w:rPr>
            <w:rStyle w:val="Hyperlink"/>
            <w:rFonts w:asciiTheme="minorHAnsi" w:hAnsiTheme="minorHAnsi" w:cstheme="minorHAnsi"/>
            <w:sz w:val="22"/>
            <w:szCs w:val="22"/>
          </w:rPr>
          <w:t>https://rights-records.it.monash.edu/research-development-agenda/</w:t>
        </w:r>
      </w:hyperlink>
      <w:r w:rsidRPr="00CF52ED">
        <w:rPr>
          <w:rFonts w:asciiTheme="minorHAnsi" w:hAnsiTheme="minorHAnsi" w:cstheme="minorHAnsi"/>
          <w:sz w:val="22"/>
          <w:szCs w:val="22"/>
        </w:rPr>
        <w:t xml:space="preserve">). </w:t>
      </w:r>
      <w:r w:rsidR="007D4045" w:rsidRPr="00CF52ED">
        <w:rPr>
          <w:rFonts w:asciiTheme="minorHAnsi" w:hAnsiTheme="minorHAnsi" w:cstheme="minorHAnsi"/>
          <w:sz w:val="22"/>
          <w:szCs w:val="22"/>
        </w:rPr>
        <w:t>It is an example of giving voice and agency to those with Care experiences in research to address their recordkeeping needs.</w:t>
      </w:r>
    </w:p>
    <w:p w:rsidR="001A23E6" w:rsidRPr="00CF52ED" w:rsidRDefault="001A23E6" w:rsidP="001A23E6">
      <w:pPr>
        <w:rPr>
          <w:rFonts w:asciiTheme="minorHAnsi" w:hAnsiTheme="minorHAnsi" w:cstheme="minorHAnsi"/>
          <w:sz w:val="22"/>
          <w:szCs w:val="22"/>
        </w:rPr>
      </w:pPr>
      <w:r w:rsidRPr="00CF52ED">
        <w:rPr>
          <w:rFonts w:asciiTheme="minorHAnsi" w:hAnsiTheme="minorHAnsi" w:cstheme="minorHAnsi"/>
          <w:sz w:val="22"/>
          <w:szCs w:val="22"/>
        </w:rPr>
        <w:t>The program incorporates a range of interconnected and complementary research projects, including an Australian Research Council Future Fellowship</w:t>
      </w:r>
      <w:r w:rsidRPr="00CF52ED">
        <w:rPr>
          <w:rFonts w:asciiTheme="minorHAnsi" w:hAnsiTheme="minorHAnsi" w:cstheme="minorHAnsi"/>
          <w:i/>
          <w:iCs/>
          <w:sz w:val="22"/>
          <w:szCs w:val="22"/>
        </w:rPr>
        <w:t>, Connecting the Disconnected: Co-Designing Integrated and Inclusive Recordkeeping and Archival Networks</w:t>
      </w:r>
      <w:r w:rsidRPr="00CF52ED">
        <w:rPr>
          <w:rFonts w:asciiTheme="minorHAnsi" w:hAnsiTheme="minorHAnsi" w:cstheme="minorHAnsi"/>
          <w:sz w:val="22"/>
          <w:szCs w:val="22"/>
        </w:rPr>
        <w:t xml:space="preserve"> (2015-2018), doctoral research on </w:t>
      </w:r>
      <w:r w:rsidRPr="00CF52ED">
        <w:rPr>
          <w:rFonts w:asciiTheme="minorHAnsi" w:hAnsiTheme="minorHAnsi" w:cstheme="minorHAnsi"/>
          <w:i/>
          <w:iCs/>
          <w:sz w:val="22"/>
          <w:szCs w:val="22"/>
        </w:rPr>
        <w:t>Transforming Archival Systems Design for Interoperability</w:t>
      </w:r>
      <w:r w:rsidRPr="00CF52ED">
        <w:rPr>
          <w:rFonts w:asciiTheme="minorHAnsi" w:hAnsiTheme="minorHAnsi" w:cstheme="minorHAnsi"/>
          <w:sz w:val="22"/>
          <w:szCs w:val="22"/>
        </w:rPr>
        <w:t xml:space="preserve"> (2014-2017) and </w:t>
      </w:r>
      <w:r w:rsidRPr="00CF52ED">
        <w:rPr>
          <w:rFonts w:asciiTheme="minorHAnsi" w:hAnsiTheme="minorHAnsi" w:cstheme="minorHAnsi"/>
          <w:i/>
          <w:iCs/>
          <w:sz w:val="22"/>
          <w:szCs w:val="22"/>
        </w:rPr>
        <w:t>Early Childhood Recordkeeping Literacy</w:t>
      </w:r>
      <w:r w:rsidRPr="00CF52ED">
        <w:rPr>
          <w:rFonts w:asciiTheme="minorHAnsi" w:hAnsiTheme="minorHAnsi" w:cstheme="minorHAnsi"/>
          <w:sz w:val="22"/>
          <w:szCs w:val="22"/>
        </w:rPr>
        <w:t xml:space="preserve"> (2014-2020), the Australian Research Council Discovery Project, </w:t>
      </w:r>
      <w:r w:rsidRPr="00CF52ED">
        <w:rPr>
          <w:rFonts w:asciiTheme="minorHAnsi" w:hAnsiTheme="minorHAnsi" w:cstheme="minorHAnsi"/>
          <w:i/>
          <w:iCs/>
          <w:sz w:val="22"/>
          <w:szCs w:val="22"/>
        </w:rPr>
        <w:t>Rights in Records by Design: Transforming Recordkeeping Systems for Children in Out-of-home Care</w:t>
      </w:r>
      <w:r w:rsidRPr="00CF52ED">
        <w:rPr>
          <w:rFonts w:asciiTheme="minorHAnsi" w:hAnsiTheme="minorHAnsi" w:cstheme="minorHAnsi"/>
          <w:sz w:val="22"/>
          <w:szCs w:val="22"/>
        </w:rPr>
        <w:t xml:space="preserve"> (2017-2019), and </w:t>
      </w:r>
      <w:r w:rsidRPr="00CF52ED">
        <w:rPr>
          <w:rFonts w:asciiTheme="minorHAnsi" w:hAnsiTheme="minorHAnsi" w:cstheme="minorHAnsi"/>
          <w:i/>
          <w:iCs/>
          <w:sz w:val="22"/>
          <w:szCs w:val="22"/>
        </w:rPr>
        <w:t>The Imagined Archive for Childhood Out-of-Home Care</w:t>
      </w:r>
      <w:r w:rsidRPr="00CF52ED">
        <w:rPr>
          <w:rFonts w:asciiTheme="minorHAnsi" w:hAnsiTheme="minorHAnsi" w:cstheme="minorHAnsi"/>
          <w:sz w:val="22"/>
          <w:szCs w:val="22"/>
        </w:rPr>
        <w:t xml:space="preserve"> (2017-2018). The research agenda embodied in these projects is linked to the 2017 </w:t>
      </w:r>
      <w:r w:rsidRPr="00CF52ED">
        <w:rPr>
          <w:rFonts w:asciiTheme="minorHAnsi" w:hAnsiTheme="minorHAnsi" w:cstheme="minorHAnsi"/>
          <w:i/>
          <w:iCs/>
          <w:sz w:val="22"/>
          <w:szCs w:val="22"/>
        </w:rPr>
        <w:t>Setting the Record Straight for the Rights of the Child National Summit</w:t>
      </w:r>
      <w:r w:rsidRPr="00CF52ED">
        <w:rPr>
          <w:rFonts w:asciiTheme="minorHAnsi" w:hAnsiTheme="minorHAnsi" w:cstheme="minorHAnsi"/>
          <w:sz w:val="22"/>
          <w:szCs w:val="22"/>
        </w:rPr>
        <w:t xml:space="preserve"> that brought together stakeholder communities to develop a ten-year </w:t>
      </w:r>
      <w:r w:rsidRPr="00CF52ED">
        <w:rPr>
          <w:rFonts w:asciiTheme="minorHAnsi" w:hAnsiTheme="minorHAnsi" w:cstheme="minorHAnsi"/>
          <w:sz w:val="22"/>
          <w:szCs w:val="22"/>
        </w:rPr>
        <w:lastRenderedPageBreak/>
        <w:t xml:space="preserve">research, development and action agenda to transform recordkeeping and archiving for childhood Alternate Care around recognizing, respecting and enacting multiple rights in records </w:t>
      </w:r>
      <w:r w:rsidRPr="00CF52ED">
        <w:rPr>
          <w:rFonts w:asciiTheme="minorHAnsi" w:hAnsiTheme="minorHAnsi" w:cstheme="minorHAnsi"/>
          <w:sz w:val="22"/>
          <w:szCs w:val="22"/>
        </w:rPr>
        <w:fldChar w:fldCharType="begin"/>
      </w:r>
      <w:r w:rsidRPr="00CF52ED">
        <w:rPr>
          <w:rFonts w:asciiTheme="minorHAnsi" w:hAnsiTheme="minorHAnsi" w:cstheme="minorHAnsi"/>
          <w:sz w:val="22"/>
          <w:szCs w:val="22"/>
        </w:rPr>
        <w:instrText xml:space="preserve"> ADDIN ZOTERO_ITEM CSL_CITATION {"citationID":"noLeJiih","properties":{"formattedCitation":"[20], [21]","plainCitation":"[20], [21]","noteIndex":0},"citationItems":[{"id":3165,"uris":["http://zotero.org/users/470245/items/3ID2Y3GQ"],"uri":["http://zotero.org/users/470245/items/3ID2Y3GQ"],"itemData":{"id":3165,"type":"article-journal","title":"Setting the Record Straight for the Rights of the Child Summit","container-title":"Archives and Manuscripts","page":"247-252","volume":"45","issue":"3","DOI":"10.1080/01576895.2017.1373244","ISSN":"0157-6895, 2164-6058","call-number":"PCD000346","language":"en","author":[{"family":"Evans","given":"Joanne"}],"issued":{"date-parts":[["2017",9]]}}},{"id":3877,"uris":["http://zotero.org/users/470245/items/CWQEUV47"],"uri":["http://zotero.org/users/470245/items/CWQEUV47"],"itemData":{"id":3877,"type":"report","title":"Setting the Record Straight for the Rights of the Child Strategic Plan","publisher":"Setting the Record Straight for the Rights of the Child Initiative","URL":"http://rights-records.it.monash.edu/wp-content/uploads/2018/02/Strategic_Plan_Final_Amended.pdf","author":[{"literal":"Setting the Record Straight for the Rights of the Child Initiative"}],"issued":{"date-parts":[["2017",8]]},"accessed":{"date-parts":[["2018",9,30]]}}}],"schema":"https://github.com/citation-style-language/schema/raw/master/csl-citation.json"} </w:instrText>
      </w:r>
      <w:r w:rsidRPr="00CF52ED">
        <w:rPr>
          <w:rFonts w:asciiTheme="minorHAnsi" w:hAnsiTheme="minorHAnsi" w:cstheme="minorHAnsi"/>
          <w:sz w:val="22"/>
          <w:szCs w:val="22"/>
        </w:rPr>
        <w:fldChar w:fldCharType="separate"/>
      </w:r>
      <w:r w:rsidRPr="00CF52ED">
        <w:rPr>
          <w:rFonts w:asciiTheme="minorHAnsi" w:hAnsiTheme="minorHAnsi" w:cstheme="minorHAnsi"/>
          <w:sz w:val="22"/>
          <w:szCs w:val="22"/>
        </w:rPr>
        <w:t>[20], [21]</w:t>
      </w:r>
      <w:r w:rsidRPr="00CF52ED">
        <w:rPr>
          <w:rFonts w:asciiTheme="minorHAnsi" w:hAnsiTheme="minorHAnsi" w:cstheme="minorHAnsi"/>
          <w:sz w:val="22"/>
          <w:szCs w:val="22"/>
        </w:rPr>
        <w:fldChar w:fldCharType="end"/>
      </w:r>
      <w:r w:rsidRPr="00CF52ED">
        <w:rPr>
          <w:rFonts w:asciiTheme="minorHAnsi" w:hAnsiTheme="minorHAnsi" w:cstheme="minorHAnsi"/>
          <w:sz w:val="22"/>
          <w:szCs w:val="22"/>
        </w:rPr>
        <w:t>.</w:t>
      </w:r>
    </w:p>
    <w:p w:rsidR="001A23E6" w:rsidRPr="00CF52ED" w:rsidRDefault="001A23E6" w:rsidP="001A23E6">
      <w:pPr>
        <w:rPr>
          <w:rFonts w:asciiTheme="minorHAnsi" w:hAnsiTheme="minorHAnsi" w:cstheme="minorHAnsi"/>
          <w:sz w:val="22"/>
          <w:szCs w:val="22"/>
        </w:rPr>
      </w:pPr>
      <w:r w:rsidRPr="00CF52ED">
        <w:rPr>
          <w:rFonts w:asciiTheme="minorHAnsi" w:hAnsiTheme="minorHAnsi" w:cstheme="minorHAnsi"/>
          <w:sz w:val="22"/>
          <w:szCs w:val="22"/>
        </w:rPr>
        <w:t xml:space="preserve">In the </w:t>
      </w:r>
      <w:r w:rsidRPr="00CF52ED">
        <w:rPr>
          <w:rFonts w:asciiTheme="minorHAnsi" w:hAnsiTheme="minorHAnsi" w:cstheme="minorHAnsi"/>
          <w:i/>
          <w:iCs/>
          <w:sz w:val="22"/>
          <w:szCs w:val="22"/>
        </w:rPr>
        <w:t>Rights in Record by Design Project</w:t>
      </w:r>
      <w:r w:rsidRPr="00CF52ED">
        <w:rPr>
          <w:rFonts w:asciiTheme="minorHAnsi" w:hAnsiTheme="minorHAnsi" w:cstheme="minorHAnsi"/>
          <w:sz w:val="22"/>
          <w:szCs w:val="22"/>
        </w:rPr>
        <w:t xml:space="preserve"> we are currently researching a world first Charter of Recordkeeping Rights for Childhood Alternative Care and its translation into a recordkeeping rights engine – a technical demonstrator of how recordkeeping rights in Alternative Care systems could be dynamically enacted, negotiated and monitored. This research is part of imagining future digital systems for Alternative Care capable of real-time, proactive and transparent accountability to the principles of provision, protection and participation in the best interests of the child enshrined in the Convention on the Rights of the Child.</w:t>
      </w:r>
    </w:p>
    <w:p w:rsidR="00492885" w:rsidRDefault="00492885" w:rsidP="001A23E6"/>
    <w:p w:rsidR="001A23E6" w:rsidRPr="00CF52ED" w:rsidRDefault="001A23E6" w:rsidP="0078520D">
      <w:pPr>
        <w:spacing w:after="0"/>
        <w:rPr>
          <w:rFonts w:asciiTheme="minorHAnsi" w:hAnsiTheme="minorHAnsi" w:cstheme="minorHAnsi"/>
          <w:sz w:val="22"/>
          <w:szCs w:val="22"/>
        </w:rPr>
      </w:pPr>
      <w:r w:rsidRPr="00CF52ED">
        <w:rPr>
          <w:rFonts w:asciiTheme="minorHAnsi" w:hAnsiTheme="minorHAnsi" w:cstheme="minorHAnsi"/>
          <w:sz w:val="22"/>
          <w:szCs w:val="22"/>
        </w:rPr>
        <w:t>Prepared by</w:t>
      </w:r>
    </w:p>
    <w:p w:rsidR="001A23E6" w:rsidRPr="00CF52ED" w:rsidRDefault="001A23E6" w:rsidP="0078520D">
      <w:pPr>
        <w:spacing w:after="0"/>
        <w:rPr>
          <w:rFonts w:asciiTheme="minorHAnsi" w:hAnsiTheme="minorHAnsi" w:cstheme="minorHAnsi"/>
          <w:sz w:val="22"/>
          <w:szCs w:val="22"/>
        </w:rPr>
      </w:pPr>
      <w:r w:rsidRPr="00CF52ED">
        <w:rPr>
          <w:rFonts w:asciiTheme="minorHAnsi" w:hAnsiTheme="minorHAnsi" w:cstheme="minorHAnsi"/>
          <w:sz w:val="22"/>
          <w:szCs w:val="22"/>
        </w:rPr>
        <w:t>Associate Professor Joanne Evans</w:t>
      </w:r>
    </w:p>
    <w:p w:rsidR="001A23E6" w:rsidRPr="00CF52ED" w:rsidRDefault="001A23E6" w:rsidP="0078520D">
      <w:pPr>
        <w:spacing w:after="0"/>
        <w:rPr>
          <w:rFonts w:asciiTheme="minorHAnsi" w:hAnsiTheme="minorHAnsi" w:cstheme="minorHAnsi"/>
          <w:sz w:val="22"/>
          <w:szCs w:val="22"/>
        </w:rPr>
      </w:pPr>
      <w:r w:rsidRPr="00CF52ED">
        <w:rPr>
          <w:rFonts w:asciiTheme="minorHAnsi" w:hAnsiTheme="minorHAnsi" w:cstheme="minorHAnsi"/>
          <w:sz w:val="22"/>
          <w:szCs w:val="22"/>
        </w:rPr>
        <w:t>Faculty of IT</w:t>
      </w:r>
    </w:p>
    <w:p w:rsidR="001A23E6" w:rsidRPr="00CF52ED" w:rsidRDefault="001A23E6" w:rsidP="0078520D">
      <w:pPr>
        <w:spacing w:after="0"/>
        <w:rPr>
          <w:rFonts w:asciiTheme="minorHAnsi" w:hAnsiTheme="minorHAnsi" w:cstheme="minorHAnsi"/>
          <w:sz w:val="22"/>
          <w:szCs w:val="22"/>
        </w:rPr>
      </w:pPr>
      <w:r w:rsidRPr="00CF52ED">
        <w:rPr>
          <w:rFonts w:asciiTheme="minorHAnsi" w:hAnsiTheme="minorHAnsi" w:cstheme="minorHAnsi"/>
          <w:sz w:val="22"/>
          <w:szCs w:val="22"/>
        </w:rPr>
        <w:t>Monash University</w:t>
      </w:r>
    </w:p>
    <w:p w:rsidR="0078520D" w:rsidRPr="00CF52ED" w:rsidRDefault="001A23E6" w:rsidP="0078520D">
      <w:pPr>
        <w:spacing w:after="0"/>
        <w:rPr>
          <w:rFonts w:asciiTheme="minorHAnsi" w:hAnsiTheme="minorHAnsi" w:cstheme="minorHAnsi"/>
          <w:sz w:val="22"/>
          <w:szCs w:val="22"/>
        </w:rPr>
      </w:pPr>
      <w:r w:rsidRPr="00CF52ED">
        <w:rPr>
          <w:rFonts w:asciiTheme="minorHAnsi" w:hAnsiTheme="minorHAnsi" w:cstheme="minorHAnsi"/>
          <w:sz w:val="22"/>
          <w:szCs w:val="22"/>
        </w:rPr>
        <w:t xml:space="preserve">Telephone +61 3 9903 2177 </w:t>
      </w:r>
    </w:p>
    <w:p w:rsidR="001A23E6" w:rsidRPr="00CF52ED" w:rsidRDefault="001A23E6" w:rsidP="0078520D">
      <w:pPr>
        <w:spacing w:after="0"/>
        <w:rPr>
          <w:rFonts w:asciiTheme="minorHAnsi" w:hAnsiTheme="minorHAnsi" w:cstheme="minorHAnsi"/>
          <w:sz w:val="22"/>
          <w:szCs w:val="22"/>
        </w:rPr>
      </w:pPr>
      <w:r w:rsidRPr="00CF52ED">
        <w:rPr>
          <w:rFonts w:asciiTheme="minorHAnsi" w:hAnsiTheme="minorHAnsi" w:cstheme="minorHAnsi"/>
          <w:sz w:val="22"/>
          <w:szCs w:val="22"/>
        </w:rPr>
        <w:t xml:space="preserve">Email </w:t>
      </w:r>
      <w:hyperlink r:id="rId10" w:history="1">
        <w:r w:rsidRPr="00CF52ED">
          <w:rPr>
            <w:rStyle w:val="Hyperlink"/>
            <w:rFonts w:asciiTheme="minorHAnsi" w:hAnsiTheme="minorHAnsi" w:cstheme="minorHAnsi"/>
            <w:sz w:val="22"/>
            <w:szCs w:val="22"/>
          </w:rPr>
          <w:t>joanne.evans@monash.edu</w:t>
        </w:r>
      </w:hyperlink>
    </w:p>
    <w:p w:rsidR="001A23E6" w:rsidRPr="00CF52ED" w:rsidRDefault="001A23E6" w:rsidP="001A23E6">
      <w:pPr>
        <w:rPr>
          <w:rFonts w:asciiTheme="minorHAnsi" w:hAnsiTheme="minorHAnsi" w:cstheme="minorHAnsi"/>
          <w:sz w:val="22"/>
          <w:szCs w:val="22"/>
        </w:rPr>
      </w:pPr>
    </w:p>
    <w:p w:rsidR="001A23E6" w:rsidRDefault="001A23E6" w:rsidP="001A23E6">
      <w:pPr>
        <w:pStyle w:val="Heading2"/>
      </w:pPr>
      <w:r>
        <w:t>References</w:t>
      </w:r>
    </w:p>
    <w:p w:rsidR="001A23E6" w:rsidRPr="001A23E6" w:rsidRDefault="001A23E6" w:rsidP="001A23E6">
      <w:pPr>
        <w:pStyle w:val="Bibliography"/>
        <w:rPr>
          <w:rFonts w:ascii="Calibri" w:hAnsi="Calibri" w:cs="Calibri"/>
        </w:rPr>
      </w:pPr>
      <w:r>
        <w:fldChar w:fldCharType="begin"/>
      </w:r>
      <w:r>
        <w:instrText xml:space="preserve"> ADDIN ZOTERO_BIBL {"uncited":[],"omitted":[],"custom":[]} CSL_BIBLIOGRAPHY </w:instrText>
      </w:r>
      <w:r>
        <w:fldChar w:fldCharType="separate"/>
      </w:r>
      <w:r w:rsidRPr="001A23E6">
        <w:rPr>
          <w:rFonts w:ascii="Calibri" w:hAnsi="Calibri" w:cs="Calibri"/>
        </w:rPr>
        <w:t>[1]</w:t>
      </w:r>
      <w:r w:rsidRPr="001A23E6">
        <w:rPr>
          <w:rFonts w:ascii="Calibri" w:hAnsi="Calibri" w:cs="Calibri"/>
        </w:rPr>
        <w:tab/>
        <w:t xml:space="preserve">G. Rolan </w:t>
      </w:r>
      <w:r w:rsidRPr="001A23E6">
        <w:rPr>
          <w:rFonts w:ascii="Calibri" w:hAnsi="Calibri" w:cs="Calibri"/>
          <w:i/>
          <w:iCs/>
        </w:rPr>
        <w:t>et al.</w:t>
      </w:r>
      <w:r w:rsidRPr="001A23E6">
        <w:rPr>
          <w:rFonts w:ascii="Calibri" w:hAnsi="Calibri" w:cs="Calibri"/>
        </w:rPr>
        <w:t xml:space="preserve">, ‘Weapons of affect: the imperative for transdisciplinary information systems design’, in </w:t>
      </w:r>
      <w:r w:rsidRPr="001A23E6">
        <w:rPr>
          <w:rFonts w:ascii="Calibri" w:hAnsi="Calibri" w:cs="Calibri"/>
          <w:i/>
          <w:iCs/>
        </w:rPr>
        <w:t>Proceedings of the 81st Annual Meeting - Building &amp; Sustaining An Ethical Future With Emerging Technology</w:t>
      </w:r>
      <w:r w:rsidRPr="001A23E6">
        <w:rPr>
          <w:rFonts w:ascii="Calibri" w:hAnsi="Calibri" w:cs="Calibri"/>
        </w:rPr>
        <w:t>, 2018, pp. 420–429.</w:t>
      </w:r>
    </w:p>
    <w:p w:rsidR="001A23E6" w:rsidRPr="001A23E6" w:rsidRDefault="001A23E6" w:rsidP="001A23E6">
      <w:pPr>
        <w:pStyle w:val="Bibliography"/>
        <w:rPr>
          <w:rFonts w:ascii="Calibri" w:hAnsi="Calibri" w:cs="Calibri"/>
        </w:rPr>
      </w:pPr>
      <w:r w:rsidRPr="001A23E6">
        <w:rPr>
          <w:rFonts w:ascii="Calibri" w:hAnsi="Calibri" w:cs="Calibri"/>
        </w:rPr>
        <w:t>[2]</w:t>
      </w:r>
      <w:r w:rsidRPr="001A23E6">
        <w:rPr>
          <w:rFonts w:ascii="Calibri" w:hAnsi="Calibri" w:cs="Calibri"/>
        </w:rPr>
        <w:tab/>
        <w:t>UN General Assembly, ‘Guidelines for the Alternative Care of Children’, United Nations, A/RES/64/142, Dec. 2009.</w:t>
      </w:r>
    </w:p>
    <w:p w:rsidR="001A23E6" w:rsidRPr="001A23E6" w:rsidRDefault="001A23E6" w:rsidP="001A23E6">
      <w:pPr>
        <w:pStyle w:val="Bibliography"/>
        <w:rPr>
          <w:rFonts w:ascii="Calibri" w:hAnsi="Calibri" w:cs="Calibri"/>
        </w:rPr>
      </w:pPr>
      <w:r w:rsidRPr="001A23E6">
        <w:rPr>
          <w:rFonts w:ascii="Calibri" w:hAnsi="Calibri" w:cs="Calibri"/>
        </w:rPr>
        <w:t>[3]</w:t>
      </w:r>
      <w:r w:rsidRPr="001A23E6">
        <w:rPr>
          <w:rFonts w:ascii="Calibri" w:hAnsi="Calibri" w:cs="Calibri"/>
        </w:rPr>
        <w:tab/>
        <w:t>Community Affairs References Committee, ‘Commonwealth Contribution to Former Forced Adoption Policies and Practices’, Commonwealth of Australia, Canberra, Feb. 2012.</w:t>
      </w:r>
    </w:p>
    <w:p w:rsidR="001A23E6" w:rsidRPr="001A23E6" w:rsidRDefault="001A23E6" w:rsidP="001A23E6">
      <w:pPr>
        <w:pStyle w:val="Bibliography"/>
        <w:rPr>
          <w:rFonts w:ascii="Calibri" w:hAnsi="Calibri" w:cs="Calibri"/>
        </w:rPr>
      </w:pPr>
      <w:r w:rsidRPr="001A23E6">
        <w:rPr>
          <w:rFonts w:ascii="Calibri" w:hAnsi="Calibri" w:cs="Calibri"/>
        </w:rPr>
        <w:t>[4]</w:t>
      </w:r>
      <w:r w:rsidRPr="001A23E6">
        <w:rPr>
          <w:rFonts w:ascii="Calibri" w:hAnsi="Calibri" w:cs="Calibri"/>
        </w:rPr>
        <w:tab/>
        <w:t>Human Rights and Equal Opportunity Commission, ‘Bringing them Home: Report of the National Inquiry into the Separation of Aboriginal and Torres Strait Islander Children from Their Families’, Human Rights and Equal Opportunity Commission, 1997.</w:t>
      </w:r>
    </w:p>
    <w:p w:rsidR="001A23E6" w:rsidRPr="001A23E6" w:rsidRDefault="001A23E6" w:rsidP="001A23E6">
      <w:pPr>
        <w:pStyle w:val="Bibliography"/>
        <w:rPr>
          <w:rFonts w:ascii="Calibri" w:hAnsi="Calibri" w:cs="Calibri"/>
        </w:rPr>
      </w:pPr>
      <w:r w:rsidRPr="001A23E6">
        <w:rPr>
          <w:rFonts w:ascii="Calibri" w:hAnsi="Calibri" w:cs="Calibri"/>
        </w:rPr>
        <w:t>[5]</w:t>
      </w:r>
      <w:r w:rsidRPr="001A23E6">
        <w:rPr>
          <w:rFonts w:ascii="Calibri" w:hAnsi="Calibri" w:cs="Calibri"/>
        </w:rPr>
        <w:tab/>
        <w:t xml:space="preserve">Royal Commission into Institutional Responses to Child Sexual Abuse, </w:t>
      </w:r>
      <w:r w:rsidRPr="001A23E6">
        <w:rPr>
          <w:rFonts w:ascii="Calibri" w:hAnsi="Calibri" w:cs="Calibri"/>
          <w:i/>
          <w:iCs/>
        </w:rPr>
        <w:t>Final Report: Volume 8 Recordkeeping and information sharing</w:t>
      </w:r>
      <w:r w:rsidRPr="001A23E6">
        <w:rPr>
          <w:rFonts w:ascii="Calibri" w:hAnsi="Calibri" w:cs="Calibri"/>
        </w:rPr>
        <w:t>, vol. 8, 17 vols. Attorney-General’s Department, Australian Government, 2017.</w:t>
      </w:r>
    </w:p>
    <w:p w:rsidR="001A23E6" w:rsidRPr="001A23E6" w:rsidRDefault="001A23E6" w:rsidP="001A23E6">
      <w:pPr>
        <w:pStyle w:val="Bibliography"/>
        <w:rPr>
          <w:rFonts w:ascii="Calibri" w:hAnsi="Calibri" w:cs="Calibri"/>
        </w:rPr>
      </w:pPr>
      <w:r w:rsidRPr="001A23E6">
        <w:rPr>
          <w:rFonts w:ascii="Calibri" w:hAnsi="Calibri" w:cs="Calibri"/>
        </w:rPr>
        <w:t>[6]</w:t>
      </w:r>
      <w:r w:rsidRPr="001A23E6">
        <w:rPr>
          <w:rFonts w:ascii="Calibri" w:hAnsi="Calibri" w:cs="Calibri"/>
        </w:rPr>
        <w:tab/>
        <w:t>Senate Community Affairs References Committee, ‘Lost Innocents: Righting the Record - Report on Child Migration’, Commonwealth of Australia, Aug. 2001.</w:t>
      </w:r>
    </w:p>
    <w:p w:rsidR="001A23E6" w:rsidRPr="001A23E6" w:rsidRDefault="001A23E6" w:rsidP="001A23E6">
      <w:pPr>
        <w:pStyle w:val="Bibliography"/>
        <w:rPr>
          <w:rFonts w:ascii="Calibri" w:hAnsi="Calibri" w:cs="Calibri"/>
        </w:rPr>
      </w:pPr>
      <w:r w:rsidRPr="001A23E6">
        <w:rPr>
          <w:rFonts w:ascii="Calibri" w:hAnsi="Calibri" w:cs="Calibri"/>
        </w:rPr>
        <w:t>[7]</w:t>
      </w:r>
      <w:r w:rsidRPr="001A23E6">
        <w:rPr>
          <w:rFonts w:ascii="Calibri" w:hAnsi="Calibri" w:cs="Calibri"/>
        </w:rPr>
        <w:tab/>
        <w:t>Senate Community Affairs References Committee, ‘Forgotten Australians: A Report on Australians Who Experienced Institutional or Out-of-Home Care as Children’, Commonwealth of Australia, Aug. 2004.</w:t>
      </w:r>
    </w:p>
    <w:p w:rsidR="001A23E6" w:rsidRPr="001A23E6" w:rsidRDefault="001A23E6" w:rsidP="001A23E6">
      <w:pPr>
        <w:pStyle w:val="Bibliography"/>
        <w:rPr>
          <w:rFonts w:ascii="Calibri" w:hAnsi="Calibri" w:cs="Calibri"/>
        </w:rPr>
      </w:pPr>
      <w:r w:rsidRPr="001A23E6">
        <w:rPr>
          <w:rFonts w:ascii="Calibri" w:hAnsi="Calibri" w:cs="Calibri"/>
        </w:rPr>
        <w:t>[8]</w:t>
      </w:r>
      <w:r w:rsidRPr="001A23E6">
        <w:rPr>
          <w:rFonts w:ascii="Calibri" w:hAnsi="Calibri" w:cs="Calibri"/>
        </w:rPr>
        <w:tab/>
        <w:t>Victorian Koorie Records Taskforce, ‘Wilam Naling … Knowing Who You Are…: Improving Access to Records of the Stolen Generations, A Report to the Victorian Government’, Department for Victorian Communities, Melbourne, May 2006.</w:t>
      </w:r>
    </w:p>
    <w:p w:rsidR="001A23E6" w:rsidRPr="001A23E6" w:rsidRDefault="001A23E6" w:rsidP="001A23E6">
      <w:pPr>
        <w:pStyle w:val="Bibliography"/>
        <w:rPr>
          <w:rFonts w:ascii="Calibri" w:hAnsi="Calibri" w:cs="Calibri"/>
        </w:rPr>
      </w:pPr>
      <w:r w:rsidRPr="001A23E6">
        <w:rPr>
          <w:rFonts w:ascii="Calibri" w:hAnsi="Calibri" w:cs="Calibri"/>
        </w:rPr>
        <w:t>[9]</w:t>
      </w:r>
      <w:r w:rsidRPr="001A23E6">
        <w:rPr>
          <w:rFonts w:ascii="Calibri" w:hAnsi="Calibri" w:cs="Calibri"/>
        </w:rPr>
        <w:tab/>
        <w:t xml:space="preserve">J. Sköld, E. Foberg, and J. Hedström, ‘Conflicting or Complementing Narratives? Interviewees’ Stories Compared to Their Documentary Records in the Swedish Commission to Inquire into Child Abuse and Neglect in Institutions and Foster Homes’, </w:t>
      </w:r>
      <w:r w:rsidRPr="001A23E6">
        <w:rPr>
          <w:rFonts w:ascii="Calibri" w:hAnsi="Calibri" w:cs="Calibri"/>
          <w:i/>
          <w:iCs/>
        </w:rPr>
        <w:t>Archives and Manuscripts</w:t>
      </w:r>
      <w:r w:rsidRPr="001A23E6">
        <w:rPr>
          <w:rFonts w:ascii="Calibri" w:hAnsi="Calibri" w:cs="Calibri"/>
        </w:rPr>
        <w:t>, vol. 40, no. 1, pp. 15–28, 2012.</w:t>
      </w:r>
    </w:p>
    <w:p w:rsidR="001A23E6" w:rsidRPr="001A23E6" w:rsidRDefault="001A23E6" w:rsidP="001A23E6">
      <w:pPr>
        <w:pStyle w:val="Bibliography"/>
        <w:rPr>
          <w:rFonts w:ascii="Calibri" w:hAnsi="Calibri" w:cs="Calibri"/>
        </w:rPr>
      </w:pPr>
      <w:r w:rsidRPr="001A23E6">
        <w:rPr>
          <w:rFonts w:ascii="Calibri" w:hAnsi="Calibri" w:cs="Calibri"/>
        </w:rPr>
        <w:t>[10]</w:t>
      </w:r>
      <w:r w:rsidRPr="001A23E6">
        <w:rPr>
          <w:rFonts w:ascii="Calibri" w:hAnsi="Calibri" w:cs="Calibri"/>
        </w:rPr>
        <w:tab/>
        <w:t xml:space="preserve">J. Z. Wilson and F. Golding, ‘Latent scrutiny: personal archives as perpetual mementos of the official gaze’, </w:t>
      </w:r>
      <w:r w:rsidRPr="001A23E6">
        <w:rPr>
          <w:rFonts w:ascii="Calibri" w:hAnsi="Calibri" w:cs="Calibri"/>
          <w:i/>
          <w:iCs/>
        </w:rPr>
        <w:t>Archival Science</w:t>
      </w:r>
      <w:r w:rsidRPr="001A23E6">
        <w:rPr>
          <w:rFonts w:ascii="Calibri" w:hAnsi="Calibri" w:cs="Calibri"/>
        </w:rPr>
        <w:t>, vol. 16, no. 1, pp. 93–109, Mar. 2016.</w:t>
      </w:r>
    </w:p>
    <w:p w:rsidR="001A23E6" w:rsidRPr="001A23E6" w:rsidRDefault="001A23E6" w:rsidP="001A23E6">
      <w:pPr>
        <w:pStyle w:val="Bibliography"/>
        <w:rPr>
          <w:rFonts w:ascii="Calibri" w:hAnsi="Calibri" w:cs="Calibri"/>
        </w:rPr>
      </w:pPr>
      <w:r w:rsidRPr="001A23E6">
        <w:rPr>
          <w:rFonts w:ascii="Calibri" w:hAnsi="Calibri" w:cs="Calibri"/>
        </w:rPr>
        <w:t>[11]</w:t>
      </w:r>
      <w:r w:rsidRPr="001A23E6">
        <w:rPr>
          <w:rFonts w:ascii="Calibri" w:hAnsi="Calibri" w:cs="Calibri"/>
        </w:rPr>
        <w:tab/>
        <w:t>J. J. McDowall, ‘Out-of-Home Care in Australia: Children and Young People’s Views After Five Years of National Standards’, CREATE Foundation, Dec. 2018.</w:t>
      </w:r>
    </w:p>
    <w:p w:rsidR="001A23E6" w:rsidRPr="001A23E6" w:rsidRDefault="001A23E6" w:rsidP="001A23E6">
      <w:pPr>
        <w:pStyle w:val="Bibliography"/>
        <w:rPr>
          <w:rFonts w:ascii="Calibri" w:hAnsi="Calibri" w:cs="Calibri"/>
        </w:rPr>
      </w:pPr>
      <w:r w:rsidRPr="001A23E6">
        <w:rPr>
          <w:rFonts w:ascii="Calibri" w:hAnsi="Calibri" w:cs="Calibri"/>
        </w:rPr>
        <w:t>[12]</w:t>
      </w:r>
      <w:r w:rsidRPr="001A23E6">
        <w:rPr>
          <w:rFonts w:ascii="Calibri" w:hAnsi="Calibri" w:cs="Calibri"/>
        </w:rPr>
        <w:tab/>
        <w:t xml:space="preserve">V. Eubanks, </w:t>
      </w:r>
      <w:r w:rsidRPr="001A23E6">
        <w:rPr>
          <w:rFonts w:ascii="Calibri" w:hAnsi="Calibri" w:cs="Calibri"/>
          <w:i/>
          <w:iCs/>
        </w:rPr>
        <w:t>Automating Inequality: How High-Tech Tools Profile, Police, and Punish the Poor</w:t>
      </w:r>
      <w:r w:rsidRPr="001A23E6">
        <w:rPr>
          <w:rFonts w:ascii="Calibri" w:hAnsi="Calibri" w:cs="Calibri"/>
        </w:rPr>
        <w:t>. New York, NY: St. Martin’s Press, 2018.</w:t>
      </w:r>
    </w:p>
    <w:p w:rsidR="001A23E6" w:rsidRPr="001A23E6" w:rsidRDefault="001A23E6" w:rsidP="001A23E6">
      <w:pPr>
        <w:pStyle w:val="Bibliography"/>
        <w:rPr>
          <w:rFonts w:ascii="Calibri" w:hAnsi="Calibri" w:cs="Calibri"/>
        </w:rPr>
      </w:pPr>
      <w:r w:rsidRPr="001A23E6">
        <w:rPr>
          <w:rFonts w:ascii="Calibri" w:hAnsi="Calibri" w:cs="Calibri"/>
        </w:rPr>
        <w:t>[13]</w:t>
      </w:r>
      <w:r w:rsidRPr="001A23E6">
        <w:rPr>
          <w:rFonts w:ascii="Calibri" w:hAnsi="Calibri" w:cs="Calibri"/>
        </w:rPr>
        <w:tab/>
        <w:t xml:space="preserve">A. Gilliland and S. McKemmish, ‘The role of participatory archives in furthering human rights, reconciliation and recovery’, </w:t>
      </w:r>
      <w:r w:rsidRPr="001A23E6">
        <w:rPr>
          <w:rFonts w:ascii="Calibri" w:hAnsi="Calibri" w:cs="Calibri"/>
          <w:i/>
          <w:iCs/>
        </w:rPr>
        <w:t>Atlanti: Review for Modern Archival Theory and Practice</w:t>
      </w:r>
      <w:r w:rsidRPr="001A23E6">
        <w:rPr>
          <w:rFonts w:ascii="Calibri" w:hAnsi="Calibri" w:cs="Calibri"/>
        </w:rPr>
        <w:t>, vol. 24, pp. 79–88, 2014.</w:t>
      </w:r>
    </w:p>
    <w:p w:rsidR="001A23E6" w:rsidRPr="001A23E6" w:rsidRDefault="001A23E6" w:rsidP="001A23E6">
      <w:pPr>
        <w:pStyle w:val="Bibliography"/>
        <w:rPr>
          <w:rFonts w:ascii="Calibri" w:hAnsi="Calibri" w:cs="Calibri"/>
        </w:rPr>
      </w:pPr>
      <w:r w:rsidRPr="001A23E6">
        <w:rPr>
          <w:rFonts w:ascii="Calibri" w:hAnsi="Calibri" w:cs="Calibri"/>
        </w:rPr>
        <w:lastRenderedPageBreak/>
        <w:t>[14]</w:t>
      </w:r>
      <w:r w:rsidRPr="001A23E6">
        <w:rPr>
          <w:rFonts w:ascii="Calibri" w:hAnsi="Calibri" w:cs="Calibri"/>
        </w:rPr>
        <w:tab/>
        <w:t xml:space="preserve">E. Lievens, S. Livingstone, S. McLaughlin, B. O’Neill, and V. Verdoodt, ‘Children’s Rights and Digital Technologies’, in </w:t>
      </w:r>
      <w:r w:rsidRPr="001A23E6">
        <w:rPr>
          <w:rFonts w:ascii="Calibri" w:hAnsi="Calibri" w:cs="Calibri"/>
          <w:i/>
          <w:iCs/>
        </w:rPr>
        <w:t>International Human Rights of Children</w:t>
      </w:r>
      <w:r w:rsidRPr="001A23E6">
        <w:rPr>
          <w:rFonts w:ascii="Calibri" w:hAnsi="Calibri" w:cs="Calibri"/>
        </w:rPr>
        <w:t>, U. Kilkelly and T. Liefaard, Eds. Singapore: Springer Singapore, 2019, pp. 487–513.</w:t>
      </w:r>
    </w:p>
    <w:p w:rsidR="001A23E6" w:rsidRPr="001A23E6" w:rsidRDefault="001A23E6" w:rsidP="001A23E6">
      <w:pPr>
        <w:pStyle w:val="Bibliography"/>
        <w:rPr>
          <w:rFonts w:ascii="Calibri" w:hAnsi="Calibri" w:cs="Calibri"/>
        </w:rPr>
      </w:pPr>
      <w:r w:rsidRPr="001A23E6">
        <w:rPr>
          <w:rFonts w:ascii="Calibri" w:hAnsi="Calibri" w:cs="Calibri"/>
        </w:rPr>
        <w:t>[15]</w:t>
      </w:r>
      <w:r w:rsidRPr="001A23E6">
        <w:rPr>
          <w:rFonts w:ascii="Calibri" w:hAnsi="Calibri" w:cs="Calibri"/>
        </w:rPr>
        <w:tab/>
        <w:t xml:space="preserve">EU-UNICEF, ‘Module 3: Child Participation’, in </w:t>
      </w:r>
      <w:r w:rsidRPr="001A23E6">
        <w:rPr>
          <w:rFonts w:ascii="Calibri" w:hAnsi="Calibri" w:cs="Calibri"/>
          <w:i/>
          <w:iCs/>
        </w:rPr>
        <w:t>Child Rights Toolkit: Integrating Child Rights in Development Cooperation</w:t>
      </w:r>
      <w:r w:rsidRPr="001A23E6">
        <w:rPr>
          <w:rFonts w:ascii="Calibri" w:hAnsi="Calibri" w:cs="Calibri"/>
        </w:rPr>
        <w:t>, United Nations Children’s Fund, 2014.</w:t>
      </w:r>
    </w:p>
    <w:p w:rsidR="001A23E6" w:rsidRPr="001A23E6" w:rsidRDefault="001A23E6" w:rsidP="001A23E6">
      <w:pPr>
        <w:pStyle w:val="Bibliography"/>
        <w:rPr>
          <w:rFonts w:ascii="Calibri" w:hAnsi="Calibri" w:cs="Calibri"/>
        </w:rPr>
      </w:pPr>
      <w:r w:rsidRPr="001A23E6">
        <w:rPr>
          <w:rFonts w:ascii="Calibri" w:hAnsi="Calibri" w:cs="Calibri"/>
        </w:rPr>
        <w:t>[16]</w:t>
      </w:r>
      <w:r w:rsidRPr="001A23E6">
        <w:rPr>
          <w:rFonts w:ascii="Calibri" w:hAnsi="Calibri" w:cs="Calibri"/>
        </w:rPr>
        <w:tab/>
        <w:t xml:space="preserve">J. Evans, S. McKemmish, E. Daniels, and G. McCarthy, ‘Self-determination and archival autonomy: advocating activism’, </w:t>
      </w:r>
      <w:r w:rsidRPr="001A23E6">
        <w:rPr>
          <w:rFonts w:ascii="Calibri" w:hAnsi="Calibri" w:cs="Calibri"/>
          <w:i/>
          <w:iCs/>
        </w:rPr>
        <w:t>Archival Science</w:t>
      </w:r>
      <w:r w:rsidRPr="001A23E6">
        <w:rPr>
          <w:rFonts w:ascii="Calibri" w:hAnsi="Calibri" w:cs="Calibri"/>
        </w:rPr>
        <w:t>, vol. 15, no. 4, pp. 337–368, 2015.</w:t>
      </w:r>
    </w:p>
    <w:p w:rsidR="001A23E6" w:rsidRPr="001A23E6" w:rsidRDefault="001A23E6" w:rsidP="001A23E6">
      <w:pPr>
        <w:pStyle w:val="Bibliography"/>
        <w:rPr>
          <w:rFonts w:ascii="Calibri" w:hAnsi="Calibri" w:cs="Calibri"/>
        </w:rPr>
      </w:pPr>
      <w:r w:rsidRPr="001A23E6">
        <w:rPr>
          <w:rFonts w:ascii="Calibri" w:hAnsi="Calibri" w:cs="Calibri"/>
        </w:rPr>
        <w:t>[17]</w:t>
      </w:r>
      <w:r w:rsidRPr="001A23E6">
        <w:rPr>
          <w:rFonts w:ascii="Calibri" w:hAnsi="Calibri" w:cs="Calibri"/>
        </w:rPr>
        <w:tab/>
        <w:t>United Nations High Commissioner for Human Rights, ‘The right to privacy in the digital age’, UN General Assembly, Human Rights Council, A/HRC/39/29, Aug. 2018.</w:t>
      </w:r>
    </w:p>
    <w:p w:rsidR="001A23E6" w:rsidRPr="001A23E6" w:rsidRDefault="001A23E6" w:rsidP="001A23E6">
      <w:pPr>
        <w:pStyle w:val="Bibliography"/>
        <w:rPr>
          <w:rFonts w:ascii="Calibri" w:hAnsi="Calibri" w:cs="Calibri"/>
        </w:rPr>
      </w:pPr>
      <w:r w:rsidRPr="001A23E6">
        <w:rPr>
          <w:rFonts w:ascii="Calibri" w:hAnsi="Calibri" w:cs="Calibri"/>
        </w:rPr>
        <w:t>[18]</w:t>
      </w:r>
      <w:r w:rsidRPr="001A23E6">
        <w:rPr>
          <w:rFonts w:ascii="Calibri" w:hAnsi="Calibri" w:cs="Calibri"/>
        </w:rPr>
        <w:tab/>
        <w:t xml:space="preserve">J. Evans, S. McKemmish, and G. Rolan, ‘Participatory information governance: Transforming recordkeeping for childhood out-of-home Care’, </w:t>
      </w:r>
      <w:r w:rsidRPr="001A23E6">
        <w:rPr>
          <w:rFonts w:ascii="Calibri" w:hAnsi="Calibri" w:cs="Calibri"/>
          <w:i/>
          <w:iCs/>
        </w:rPr>
        <w:t>Records Management Journal</w:t>
      </w:r>
      <w:r w:rsidRPr="001A23E6">
        <w:rPr>
          <w:rFonts w:ascii="Calibri" w:hAnsi="Calibri" w:cs="Calibri"/>
        </w:rPr>
        <w:t>, vol. 29, no. 1/2, pp. 178–193, 2019.</w:t>
      </w:r>
    </w:p>
    <w:p w:rsidR="001A23E6" w:rsidRPr="001A23E6" w:rsidRDefault="001A23E6" w:rsidP="001A23E6">
      <w:pPr>
        <w:pStyle w:val="Bibliography"/>
        <w:rPr>
          <w:rFonts w:ascii="Calibri" w:hAnsi="Calibri" w:cs="Calibri"/>
        </w:rPr>
      </w:pPr>
      <w:r w:rsidRPr="001A23E6">
        <w:rPr>
          <w:rFonts w:ascii="Calibri" w:hAnsi="Calibri" w:cs="Calibri"/>
        </w:rPr>
        <w:t>[19]</w:t>
      </w:r>
      <w:r w:rsidRPr="001A23E6">
        <w:rPr>
          <w:rFonts w:ascii="Calibri" w:hAnsi="Calibri" w:cs="Calibri"/>
        </w:rPr>
        <w:tab/>
        <w:t xml:space="preserve">J. Evans, S. McKemmish, and G. Rolan, ‘Critical approaches to archiving and recordkeeping in the continuum’, </w:t>
      </w:r>
      <w:r w:rsidRPr="001A23E6">
        <w:rPr>
          <w:rFonts w:ascii="Calibri" w:hAnsi="Calibri" w:cs="Calibri"/>
          <w:i/>
          <w:iCs/>
        </w:rPr>
        <w:t>Journal of Critical Library and Information Studies</w:t>
      </w:r>
      <w:r w:rsidRPr="001A23E6">
        <w:rPr>
          <w:rFonts w:ascii="Calibri" w:hAnsi="Calibri" w:cs="Calibri"/>
        </w:rPr>
        <w:t>, vol. 1, no. 2, 2017.</w:t>
      </w:r>
    </w:p>
    <w:p w:rsidR="001A23E6" w:rsidRPr="001A23E6" w:rsidRDefault="001A23E6" w:rsidP="001A23E6">
      <w:pPr>
        <w:pStyle w:val="Bibliography"/>
        <w:rPr>
          <w:rFonts w:ascii="Calibri" w:hAnsi="Calibri" w:cs="Calibri"/>
        </w:rPr>
      </w:pPr>
      <w:r w:rsidRPr="001A23E6">
        <w:rPr>
          <w:rFonts w:ascii="Calibri" w:hAnsi="Calibri" w:cs="Calibri"/>
        </w:rPr>
        <w:t>[20]</w:t>
      </w:r>
      <w:r w:rsidRPr="001A23E6">
        <w:rPr>
          <w:rFonts w:ascii="Calibri" w:hAnsi="Calibri" w:cs="Calibri"/>
        </w:rPr>
        <w:tab/>
        <w:t xml:space="preserve">J. Evans, ‘Setting the Record Straight for the Rights of the Child Summit’, </w:t>
      </w:r>
      <w:r w:rsidRPr="001A23E6">
        <w:rPr>
          <w:rFonts w:ascii="Calibri" w:hAnsi="Calibri" w:cs="Calibri"/>
          <w:i/>
          <w:iCs/>
        </w:rPr>
        <w:t>Archives and Manuscripts</w:t>
      </w:r>
      <w:r w:rsidRPr="001A23E6">
        <w:rPr>
          <w:rFonts w:ascii="Calibri" w:hAnsi="Calibri" w:cs="Calibri"/>
        </w:rPr>
        <w:t>, vol. 45, no. 3, pp. 247–252, Sep. 2017.</w:t>
      </w:r>
    </w:p>
    <w:p w:rsidR="001A23E6" w:rsidRPr="001A23E6" w:rsidRDefault="001A23E6" w:rsidP="001A23E6">
      <w:pPr>
        <w:pStyle w:val="Bibliography"/>
        <w:rPr>
          <w:rFonts w:ascii="Calibri" w:hAnsi="Calibri" w:cs="Calibri"/>
        </w:rPr>
      </w:pPr>
      <w:r w:rsidRPr="001A23E6">
        <w:rPr>
          <w:rFonts w:ascii="Calibri" w:hAnsi="Calibri" w:cs="Calibri"/>
        </w:rPr>
        <w:t>[21]</w:t>
      </w:r>
      <w:r w:rsidRPr="001A23E6">
        <w:rPr>
          <w:rFonts w:ascii="Calibri" w:hAnsi="Calibri" w:cs="Calibri"/>
        </w:rPr>
        <w:tab/>
        <w:t>Setting the Record Straight for the Rights of the Child Initiative, ‘Setting the Record Straight for the Rights of the Child Strategic Plan’, Setting the Record Straight for the Rights of the Child Initiative, Aug. 2017.</w:t>
      </w:r>
    </w:p>
    <w:p w:rsidR="00D04ADA" w:rsidRDefault="001A23E6" w:rsidP="001A23E6">
      <w:r>
        <w:fldChar w:fldCharType="end"/>
      </w:r>
    </w:p>
    <w:p w:rsidR="007C1AE0" w:rsidRDefault="007C1AE0" w:rsidP="00F60B39"/>
    <w:p w:rsidR="00E720C9" w:rsidRDefault="00E720C9" w:rsidP="00F60B39"/>
    <w:p w:rsidR="00F60B39" w:rsidRDefault="00F60B39" w:rsidP="00F60B39"/>
    <w:sectPr w:rsidR="00F60B39" w:rsidSect="004970F7">
      <w:headerReference w:type="default" r:id="rId11"/>
      <w:footerReference w:type="default" r:id="rId12"/>
      <w:footerReference w:type="first" r:id="rId13"/>
      <w:pgSz w:w="11906" w:h="16838"/>
      <w:pgMar w:top="1440" w:right="1440" w:bottom="1440" w:left="1440"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FC" w:rsidRDefault="00766AFC">
      <w:r>
        <w:separator/>
      </w:r>
    </w:p>
  </w:endnote>
  <w:endnote w:type="continuationSeparator" w:id="0">
    <w:p w:rsidR="00766AFC" w:rsidRDefault="007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528992"/>
      <w:docPartObj>
        <w:docPartGallery w:val="Page Numbers (Bottom of Page)"/>
        <w:docPartUnique/>
      </w:docPartObj>
    </w:sdtPr>
    <w:sdtEndPr>
      <w:rPr>
        <w:noProof/>
      </w:rPr>
    </w:sdtEndPr>
    <w:sdtContent>
      <w:p w:rsidR="00F84DDF" w:rsidRDefault="00F84DDF">
        <w:pPr>
          <w:pStyle w:val="Footer"/>
          <w:jc w:val="right"/>
        </w:pPr>
        <w:r>
          <w:fldChar w:fldCharType="begin"/>
        </w:r>
        <w:r>
          <w:instrText xml:space="preserve"> PAGE   \* MERGEFORMAT </w:instrText>
        </w:r>
        <w:r>
          <w:fldChar w:fldCharType="separate"/>
        </w:r>
        <w:r w:rsidR="00531EA9">
          <w:rPr>
            <w:noProof/>
          </w:rPr>
          <w:t>5</w:t>
        </w:r>
        <w:r>
          <w:rPr>
            <w:noProof/>
          </w:rPr>
          <w:fldChar w:fldCharType="end"/>
        </w:r>
      </w:p>
    </w:sdtContent>
  </w:sdt>
  <w:p w:rsidR="00F84DDF" w:rsidRDefault="00F8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F7" w:rsidRDefault="004970F7">
    <w:pPr>
      <w:pStyle w:val="Footer"/>
    </w:pPr>
  </w:p>
  <w:p w:rsidR="004C6BD8" w:rsidRPr="004970F7" w:rsidRDefault="004970F7">
    <w:pPr>
      <w:pStyle w:val="Footer"/>
      <w:rPr>
        <w:sz w:val="16"/>
        <w:szCs w:val="16"/>
      </w:rPr>
    </w:pPr>
    <w:r w:rsidRPr="004970F7">
      <w:rPr>
        <w:sz w:val="16"/>
        <w:szCs w:val="16"/>
      </w:rPr>
      <w:t>Rights in Records by Design is funded through an Australian Research Council (ARC) Discovery Grant DP170100198. The Chief Investigators on this project are Associate Professor Joanne Evans (Monash University), Associate Professor Jacqueline Wilson (Federation University), Professor Sue McKemmish (Monash University), Associate Professor Philip Mendes (Monash University), Professor Keir Reeves (Federation University), and Dr Jane Bone (Monash University)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FC" w:rsidRDefault="00766AFC">
      <w:r>
        <w:separator/>
      </w:r>
    </w:p>
  </w:footnote>
  <w:footnote w:type="continuationSeparator" w:id="0">
    <w:p w:rsidR="00766AFC" w:rsidRDefault="0076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9" w:rsidRDefault="007D62E9">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98513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38A71027"/>
    <w:multiLevelType w:val="hybridMultilevel"/>
    <w:tmpl w:val="D368DB9C"/>
    <w:lvl w:ilvl="0" w:tplc="9F18EA3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C00561"/>
    <w:multiLevelType w:val="hybridMultilevel"/>
    <w:tmpl w:val="FF2605F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4E2577"/>
    <w:multiLevelType w:val="hybridMultilevel"/>
    <w:tmpl w:val="733AD6AC"/>
    <w:lvl w:ilvl="0" w:tplc="9F18EA3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9521CC"/>
    <w:multiLevelType w:val="hybridMultilevel"/>
    <w:tmpl w:val="50DC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672484"/>
    <w:multiLevelType w:val="hybridMultilevel"/>
    <w:tmpl w:val="32B2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71149"/>
    <w:multiLevelType w:val="hybridMultilevel"/>
    <w:tmpl w:val="7F52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E6"/>
    <w:rsid w:val="00001EC7"/>
    <w:rsid w:val="0000586A"/>
    <w:rsid w:val="00075145"/>
    <w:rsid w:val="000870F0"/>
    <w:rsid w:val="00097FD6"/>
    <w:rsid w:val="000E7EE5"/>
    <w:rsid w:val="00117549"/>
    <w:rsid w:val="00161B9E"/>
    <w:rsid w:val="00191C35"/>
    <w:rsid w:val="001A23E6"/>
    <w:rsid w:val="001C7A53"/>
    <w:rsid w:val="001E6CE3"/>
    <w:rsid w:val="001F3D5C"/>
    <w:rsid w:val="0022173B"/>
    <w:rsid w:val="002375D0"/>
    <w:rsid w:val="00252B46"/>
    <w:rsid w:val="002C672E"/>
    <w:rsid w:val="002F05AC"/>
    <w:rsid w:val="00363BDC"/>
    <w:rsid w:val="003721E2"/>
    <w:rsid w:val="003C65C7"/>
    <w:rsid w:val="003D0EDC"/>
    <w:rsid w:val="00404B83"/>
    <w:rsid w:val="0041310D"/>
    <w:rsid w:val="00463268"/>
    <w:rsid w:val="004672AC"/>
    <w:rsid w:val="00492885"/>
    <w:rsid w:val="004970F7"/>
    <w:rsid w:val="004C6BD8"/>
    <w:rsid w:val="00520781"/>
    <w:rsid w:val="0052796C"/>
    <w:rsid w:val="00531EA9"/>
    <w:rsid w:val="00534A56"/>
    <w:rsid w:val="005E1FFA"/>
    <w:rsid w:val="005F236E"/>
    <w:rsid w:val="00643F13"/>
    <w:rsid w:val="00684A48"/>
    <w:rsid w:val="006872D8"/>
    <w:rsid w:val="006C4984"/>
    <w:rsid w:val="00715776"/>
    <w:rsid w:val="00766AFC"/>
    <w:rsid w:val="0078520D"/>
    <w:rsid w:val="007C1AE0"/>
    <w:rsid w:val="007D4045"/>
    <w:rsid w:val="007D62E9"/>
    <w:rsid w:val="007F4D71"/>
    <w:rsid w:val="00843D0D"/>
    <w:rsid w:val="008458AD"/>
    <w:rsid w:val="008664AF"/>
    <w:rsid w:val="008C0D15"/>
    <w:rsid w:val="008C478F"/>
    <w:rsid w:val="00903FA4"/>
    <w:rsid w:val="00921A93"/>
    <w:rsid w:val="009259E4"/>
    <w:rsid w:val="00946917"/>
    <w:rsid w:val="0098241A"/>
    <w:rsid w:val="009E66E9"/>
    <w:rsid w:val="00A61F76"/>
    <w:rsid w:val="00A95673"/>
    <w:rsid w:val="00AA47FC"/>
    <w:rsid w:val="00B0287F"/>
    <w:rsid w:val="00BD6F95"/>
    <w:rsid w:val="00C85B72"/>
    <w:rsid w:val="00CE2B7C"/>
    <w:rsid w:val="00CF52ED"/>
    <w:rsid w:val="00D04ADA"/>
    <w:rsid w:val="00D06231"/>
    <w:rsid w:val="00D11F83"/>
    <w:rsid w:val="00D25FF1"/>
    <w:rsid w:val="00D26026"/>
    <w:rsid w:val="00D8404F"/>
    <w:rsid w:val="00E720C9"/>
    <w:rsid w:val="00EB28BA"/>
    <w:rsid w:val="00F0235F"/>
    <w:rsid w:val="00F40AA2"/>
    <w:rsid w:val="00F60B39"/>
    <w:rsid w:val="00F7698F"/>
    <w:rsid w:val="00F84DDF"/>
    <w:rsid w:val="00FA24F3"/>
    <w:rsid w:val="00FC3F4D"/>
    <w:rsid w:val="00FC6E18"/>
    <w:rsid w:val="00FD7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D952C"/>
  <w15:docId w15:val="{620B43D7-0B51-4097-B987-365BE7E8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3E6"/>
    <w:pPr>
      <w:spacing w:after="120"/>
    </w:pPr>
    <w:rPr>
      <w:rFonts w:ascii="Arial" w:hAnsi="Arial" w:cs="Arial"/>
      <w:lang w:eastAsia="en-US"/>
    </w:rPr>
  </w:style>
  <w:style w:type="paragraph" w:styleId="Heading1">
    <w:name w:val="heading 1"/>
    <w:basedOn w:val="Normal"/>
    <w:next w:val="Normal"/>
    <w:qFormat/>
    <w:pPr>
      <w:keepNext/>
      <w:spacing w:before="240" w:after="60"/>
      <w:outlineLvl w:val="0"/>
    </w:pPr>
    <w:rPr>
      <w:b/>
      <w:bCs/>
      <w:kern w:val="32"/>
      <w:sz w:val="24"/>
      <w:szCs w:val="32"/>
    </w:rPr>
  </w:style>
  <w:style w:type="paragraph" w:styleId="Heading2">
    <w:name w:val="heading 2"/>
    <w:basedOn w:val="Normal"/>
    <w:next w:val="Normal"/>
    <w:link w:val="Heading2Char"/>
    <w:uiPriority w:val="9"/>
    <w:qFormat/>
    <w:pPr>
      <w:keepNext/>
      <w:spacing w:before="240" w:after="60"/>
      <w:outlineLvl w:val="1"/>
    </w:pPr>
    <w:rPr>
      <w:bCs/>
      <w:iCs/>
      <w:sz w:val="28"/>
      <w:szCs w:val="28"/>
    </w:rPr>
  </w:style>
  <w:style w:type="paragraph" w:styleId="Heading4">
    <w:name w:val="heading 4"/>
    <w:basedOn w:val="Normal"/>
    <w:next w:val="Normal"/>
    <w:qFormat/>
    <w:pPr>
      <w:keepNext/>
      <w:spacing w:before="240" w:after="60"/>
      <w:outlineLvl w:val="3"/>
    </w:pPr>
    <w:rPr>
      <w:rFonts w:cs="Times New Roman"/>
      <w:bCs/>
      <w:sz w:val="28"/>
      <w:szCs w:val="28"/>
    </w:rPr>
  </w:style>
  <w:style w:type="paragraph" w:styleId="Heading5">
    <w:name w:val="heading 5"/>
    <w:basedOn w:val="Normal"/>
    <w:next w:val="Normal"/>
    <w:qFormat/>
    <w:pPr>
      <w:spacing w:before="240" w:after="60"/>
      <w:outlineLvl w:val="4"/>
    </w:pPr>
    <w:rPr>
      <w:bCs/>
      <w:iCs/>
      <w:sz w:val="26"/>
      <w:szCs w:val="26"/>
    </w:rPr>
  </w:style>
  <w:style w:type="paragraph" w:styleId="Heading6">
    <w:name w:val="heading 6"/>
    <w:basedOn w:val="Normal"/>
    <w:next w:val="Normal"/>
    <w:qFormat/>
    <w:pPr>
      <w:spacing w:before="240" w:after="60"/>
      <w:outlineLvl w:val="5"/>
    </w:pPr>
    <w:rPr>
      <w:rFonts w:cs="Times New Roman"/>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paragraph" w:customStyle="1" w:styleId="e-letterdetails">
    <w:name w:val="e-letterdetails"/>
    <w:basedOn w:val="Normal"/>
    <w:rPr>
      <w:sz w:val="16"/>
      <w:lang w:val="en-US"/>
    </w:rPr>
  </w:style>
  <w:style w:type="paragraph" w:styleId="ListBullet3">
    <w:name w:val="List Bullet 3"/>
    <w:basedOn w:val="Normal"/>
    <w:autoRedefine/>
  </w:style>
  <w:style w:type="paragraph" w:styleId="BalloonText">
    <w:name w:val="Balloon Text"/>
    <w:basedOn w:val="Normal"/>
    <w:link w:val="BalloonTextChar"/>
    <w:rsid w:val="00404B83"/>
    <w:rPr>
      <w:rFonts w:ascii="Tahoma" w:hAnsi="Tahoma" w:cs="Tahoma"/>
      <w:sz w:val="16"/>
      <w:szCs w:val="16"/>
    </w:rPr>
  </w:style>
  <w:style w:type="character" w:customStyle="1" w:styleId="BalloonTextChar">
    <w:name w:val="Balloon Text Char"/>
    <w:basedOn w:val="DefaultParagraphFont"/>
    <w:link w:val="BalloonText"/>
    <w:rsid w:val="00404B83"/>
    <w:rPr>
      <w:rFonts w:ascii="Tahoma" w:hAnsi="Tahoma" w:cs="Tahoma"/>
      <w:sz w:val="16"/>
      <w:szCs w:val="16"/>
      <w:lang w:eastAsia="en-US"/>
    </w:rPr>
  </w:style>
  <w:style w:type="paragraph" w:styleId="ListParagraph">
    <w:name w:val="List Paragraph"/>
    <w:basedOn w:val="Normal"/>
    <w:uiPriority w:val="34"/>
    <w:qFormat/>
    <w:rsid w:val="00A95673"/>
    <w:pPr>
      <w:ind w:left="720"/>
      <w:contextualSpacing/>
    </w:pPr>
  </w:style>
  <w:style w:type="table" w:styleId="TableGrid">
    <w:name w:val="Table Grid"/>
    <w:basedOn w:val="TableNormal"/>
    <w:uiPriority w:val="39"/>
    <w:rsid w:val="00D0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A23E6"/>
    <w:pPr>
      <w:tabs>
        <w:tab w:val="left" w:pos="504"/>
      </w:tabs>
      <w:spacing w:after="0"/>
      <w:ind w:left="504" w:hanging="504"/>
    </w:pPr>
  </w:style>
  <w:style w:type="character" w:customStyle="1" w:styleId="Heading2Char">
    <w:name w:val="Heading 2 Char"/>
    <w:basedOn w:val="DefaultParagraphFont"/>
    <w:link w:val="Heading2"/>
    <w:uiPriority w:val="9"/>
    <w:rsid w:val="001A23E6"/>
    <w:rPr>
      <w:rFonts w:ascii="Arial" w:hAnsi="Arial" w:cs="Arial"/>
      <w:bCs/>
      <w:iCs/>
      <w:sz w:val="28"/>
      <w:szCs w:val="28"/>
      <w:lang w:eastAsia="en-US"/>
    </w:rPr>
  </w:style>
  <w:style w:type="character" w:styleId="CommentReference">
    <w:name w:val="annotation reference"/>
    <w:basedOn w:val="DefaultParagraphFont"/>
    <w:uiPriority w:val="99"/>
    <w:semiHidden/>
    <w:unhideWhenUsed/>
    <w:rsid w:val="001A23E6"/>
    <w:rPr>
      <w:sz w:val="16"/>
      <w:szCs w:val="16"/>
    </w:rPr>
  </w:style>
  <w:style w:type="paragraph" w:styleId="CommentText">
    <w:name w:val="annotation text"/>
    <w:basedOn w:val="Normal"/>
    <w:link w:val="CommentTextChar"/>
    <w:uiPriority w:val="99"/>
    <w:semiHidden/>
    <w:unhideWhenUsed/>
    <w:rsid w:val="001A23E6"/>
    <w:pPr>
      <w:spacing w:before="100" w:after="200"/>
    </w:pPr>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semiHidden/>
    <w:rsid w:val="001A23E6"/>
    <w:rPr>
      <w:rFonts w:asciiTheme="minorHAnsi" w:eastAsiaTheme="minorEastAsia" w:hAnsiTheme="minorHAnsi" w:cstheme="minorBidi"/>
    </w:rPr>
  </w:style>
  <w:style w:type="character" w:customStyle="1" w:styleId="FooterChar">
    <w:name w:val="Footer Char"/>
    <w:basedOn w:val="DefaultParagraphFont"/>
    <w:link w:val="Footer"/>
    <w:uiPriority w:val="99"/>
    <w:rsid w:val="00F84DDF"/>
    <w:rPr>
      <w:rFonts w:ascii="Arial" w:hAnsi="Arial" w:cs="Arial"/>
      <w:lang w:eastAsia="en-US"/>
    </w:rPr>
  </w:style>
  <w:style w:type="paragraph" w:styleId="NoSpacing">
    <w:name w:val="No Spacing"/>
    <w:link w:val="NoSpacingChar"/>
    <w:uiPriority w:val="1"/>
    <w:qFormat/>
    <w:rsid w:val="00B0287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0287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anne.evans@monash.edu" TargetMode="External"/><Relationship Id="rId4" Type="http://schemas.openxmlformats.org/officeDocument/2006/relationships/webSettings" Target="webSettings.xml"/><Relationship Id="rId9" Type="http://schemas.openxmlformats.org/officeDocument/2006/relationships/hyperlink" Target="https://rights-records.it.monash.edu/research-development-agend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rejp\docs\templates\REJP\COSI%20Monash%20Letterhead%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83E22C-044E-4FA8-9C65-84A975650F6C}"/>
</file>

<file path=customXml/itemProps2.xml><?xml version="1.0" encoding="utf-8"?>
<ds:datastoreItem xmlns:ds="http://schemas.openxmlformats.org/officeDocument/2006/customXml" ds:itemID="{123DAC68-1F62-44D1-98EB-B6330DF96563}"/>
</file>

<file path=customXml/itemProps3.xml><?xml version="1.0" encoding="utf-8"?>
<ds:datastoreItem xmlns:ds="http://schemas.openxmlformats.org/officeDocument/2006/customXml" ds:itemID="{C2095C15-B845-471A-AA0C-6D51BA2152C0}"/>
</file>

<file path=docProps/app.xml><?xml version="1.0" encoding="utf-8"?>
<Properties xmlns="http://schemas.openxmlformats.org/officeDocument/2006/extended-properties" xmlns:vt="http://schemas.openxmlformats.org/officeDocument/2006/docPropsVTypes">
  <Template>COSI Monash Letterhead 2015.dotx</Template>
  <TotalTime>1</TotalTime>
  <Pages>5</Pages>
  <Words>7046</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Insert School/Centre/Department/Unit</vt:lpstr>
    </vt:vector>
  </TitlesOfParts>
  <Company>Monash University</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School/Centre/Department/Unit</dc:title>
  <dc:creator>Joanne Evans</dc:creator>
  <cp:lastModifiedBy>Joanne Evans</cp:lastModifiedBy>
  <cp:revision>2</cp:revision>
  <cp:lastPrinted>2015-10-22T00:46:00Z</cp:lastPrinted>
  <dcterms:created xsi:type="dcterms:W3CDTF">2019-05-15T09:39:00Z</dcterms:created>
  <dcterms:modified xsi:type="dcterms:W3CDTF">2019-05-15T09:39:00Z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id="U2i6YuJq"/&gt;&lt;style id="http://www.zotero.org/styles/ieee" locale="en-GB" hasBibliography="1" bibliographyStyleHasBeenSet="1"/&gt;&lt;prefs&gt;&lt;pref name="fieldType" value="Field"/&gt;&lt;/prefs&gt;&lt;/data&gt;</vt:lpwstr>
  </property>
  <property fmtid="{D5CDD505-2E9C-101B-9397-08002B2CF9AE}" pid="3" name="ContentTypeId">
    <vt:lpwstr>0x0101008822B9E06671B54FA89F14538B9B0FEA</vt:lpwstr>
  </property>
</Properties>
</file>