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18C2F" w14:textId="1F569236" w:rsidR="0017725D" w:rsidRPr="00B21F9B" w:rsidRDefault="0017725D" w:rsidP="00B21F9B">
      <w:pPr>
        <w:spacing w:line="360" w:lineRule="auto"/>
        <w:rPr>
          <w:rFonts w:ascii="Times New Roman" w:hAnsi="Times New Roman" w:cs="Times New Roman"/>
          <w:b/>
          <w:sz w:val="22"/>
          <w:szCs w:val="22"/>
        </w:rPr>
      </w:pPr>
      <w:r w:rsidRPr="00B21F9B">
        <w:rPr>
          <w:rFonts w:ascii="Times New Roman" w:hAnsi="Times New Roman" w:cs="Times New Roman"/>
          <w:b/>
          <w:sz w:val="22"/>
          <w:szCs w:val="22"/>
        </w:rPr>
        <w:t xml:space="preserve">14 May 2019 </w:t>
      </w:r>
    </w:p>
    <w:p w14:paraId="5733E979" w14:textId="77777777" w:rsidR="0017725D" w:rsidRPr="00B21F9B" w:rsidRDefault="0017725D" w:rsidP="00B21F9B">
      <w:pPr>
        <w:spacing w:line="360" w:lineRule="auto"/>
        <w:rPr>
          <w:rFonts w:ascii="Times New Roman" w:hAnsi="Times New Roman" w:cs="Times New Roman"/>
          <w:b/>
          <w:sz w:val="22"/>
          <w:szCs w:val="22"/>
        </w:rPr>
      </w:pPr>
    </w:p>
    <w:p w14:paraId="5BB5F670" w14:textId="6E9D79AB" w:rsidR="0017725D" w:rsidRPr="00B21F9B" w:rsidRDefault="0017725D" w:rsidP="00B21F9B">
      <w:pPr>
        <w:spacing w:line="360" w:lineRule="auto"/>
        <w:rPr>
          <w:rFonts w:ascii="Times New Roman" w:hAnsi="Times New Roman" w:cs="Times New Roman"/>
          <w:b/>
          <w:sz w:val="22"/>
          <w:szCs w:val="22"/>
        </w:rPr>
      </w:pPr>
      <w:r w:rsidRPr="00B21F9B">
        <w:rPr>
          <w:rFonts w:ascii="Times New Roman" w:hAnsi="Times New Roman" w:cs="Times New Roman"/>
          <w:b/>
          <w:sz w:val="22"/>
          <w:szCs w:val="22"/>
        </w:rPr>
        <w:t>To: CRC Committee</w:t>
      </w:r>
    </w:p>
    <w:p w14:paraId="67E4B29E" w14:textId="77777777" w:rsidR="0017725D" w:rsidRPr="00B21F9B" w:rsidRDefault="0017725D" w:rsidP="00B21F9B">
      <w:pPr>
        <w:spacing w:line="360" w:lineRule="auto"/>
        <w:rPr>
          <w:rFonts w:ascii="Times New Roman" w:hAnsi="Times New Roman" w:cs="Times New Roman"/>
          <w:b/>
          <w:sz w:val="22"/>
          <w:szCs w:val="22"/>
        </w:rPr>
      </w:pPr>
      <w:r w:rsidRPr="00B21F9B">
        <w:rPr>
          <w:rFonts w:ascii="Times New Roman" w:hAnsi="Times New Roman" w:cs="Times New Roman"/>
          <w:b/>
          <w:sz w:val="22"/>
          <w:szCs w:val="22"/>
        </w:rPr>
        <w:t xml:space="preserve">From: UNICEF East Asia and the Pacific Regional Office </w:t>
      </w:r>
    </w:p>
    <w:p w14:paraId="5B474757" w14:textId="05357D86" w:rsidR="00F96264" w:rsidRPr="00B21F9B" w:rsidRDefault="0017725D" w:rsidP="00B21F9B">
      <w:pPr>
        <w:spacing w:line="360" w:lineRule="auto"/>
        <w:rPr>
          <w:rFonts w:ascii="Times New Roman" w:hAnsi="Times New Roman" w:cs="Times New Roman"/>
          <w:b/>
          <w:sz w:val="22"/>
          <w:szCs w:val="22"/>
        </w:rPr>
      </w:pPr>
      <w:r w:rsidRPr="00B21F9B">
        <w:rPr>
          <w:rFonts w:ascii="Times New Roman" w:hAnsi="Times New Roman" w:cs="Times New Roman"/>
          <w:b/>
          <w:sz w:val="22"/>
          <w:szCs w:val="22"/>
        </w:rPr>
        <w:t xml:space="preserve">Re: Draft Concept note on the CRC </w:t>
      </w:r>
      <w:r w:rsidR="00D01D2C" w:rsidRPr="00B21F9B">
        <w:rPr>
          <w:rFonts w:ascii="Times New Roman" w:hAnsi="Times New Roman" w:cs="Times New Roman"/>
          <w:b/>
          <w:sz w:val="22"/>
          <w:szCs w:val="22"/>
        </w:rPr>
        <w:t>General Comment</w:t>
      </w:r>
      <w:r w:rsidRPr="00B21F9B">
        <w:rPr>
          <w:rFonts w:ascii="Times New Roman" w:hAnsi="Times New Roman" w:cs="Times New Roman"/>
          <w:b/>
          <w:sz w:val="22"/>
          <w:szCs w:val="22"/>
        </w:rPr>
        <w:t xml:space="preserve"> on Child Rights in the Digital Environment </w:t>
      </w:r>
    </w:p>
    <w:p w14:paraId="701D2743" w14:textId="77777777" w:rsidR="0017725D" w:rsidRPr="00B21F9B" w:rsidRDefault="0017725D" w:rsidP="00B21F9B">
      <w:pPr>
        <w:spacing w:line="360" w:lineRule="auto"/>
        <w:rPr>
          <w:rFonts w:ascii="Times New Roman" w:hAnsi="Times New Roman" w:cs="Times New Roman"/>
          <w:b/>
          <w:sz w:val="22"/>
          <w:szCs w:val="22"/>
        </w:rPr>
      </w:pPr>
    </w:p>
    <w:p w14:paraId="03DB8485" w14:textId="0AE399BF" w:rsidR="00D01D2C" w:rsidRPr="00B21F9B" w:rsidRDefault="00D01D2C" w:rsidP="00B21F9B">
      <w:pPr>
        <w:spacing w:line="360" w:lineRule="auto"/>
        <w:rPr>
          <w:rFonts w:ascii="Times New Roman" w:hAnsi="Times New Roman" w:cs="Times New Roman"/>
          <w:sz w:val="22"/>
          <w:szCs w:val="22"/>
        </w:rPr>
      </w:pPr>
    </w:p>
    <w:p w14:paraId="699E8455" w14:textId="127835B0" w:rsidR="00F94713" w:rsidRPr="00B21F9B" w:rsidRDefault="00F94713" w:rsidP="00B21F9B">
      <w:pPr>
        <w:spacing w:line="360" w:lineRule="auto"/>
        <w:rPr>
          <w:rFonts w:ascii="Times New Roman" w:hAnsi="Times New Roman" w:cs="Times New Roman"/>
          <w:sz w:val="22"/>
          <w:szCs w:val="22"/>
        </w:rPr>
      </w:pPr>
      <w:r w:rsidRPr="00B21F9B">
        <w:rPr>
          <w:rFonts w:ascii="Times New Roman" w:hAnsi="Times New Roman" w:cs="Times New Roman"/>
          <w:sz w:val="22"/>
          <w:szCs w:val="22"/>
        </w:rPr>
        <w:t>It would</w:t>
      </w:r>
      <w:r w:rsidR="00D01D2C" w:rsidRPr="00B21F9B">
        <w:rPr>
          <w:rFonts w:ascii="Times New Roman" w:hAnsi="Times New Roman" w:cs="Times New Roman"/>
          <w:sz w:val="22"/>
          <w:szCs w:val="22"/>
        </w:rPr>
        <w:t xml:space="preserve"> be helpful to frame the structure of the sub-headings around the </w:t>
      </w:r>
      <w:r w:rsidR="00630E95" w:rsidRPr="00B21F9B">
        <w:rPr>
          <w:rFonts w:ascii="Times New Roman" w:hAnsi="Times New Roman" w:cs="Times New Roman"/>
          <w:sz w:val="22"/>
          <w:szCs w:val="22"/>
        </w:rPr>
        <w:t>cornerstone of international human rights law</w:t>
      </w:r>
      <w:r w:rsidRPr="00B21F9B">
        <w:rPr>
          <w:rFonts w:ascii="Times New Roman" w:hAnsi="Times New Roman" w:cs="Times New Roman"/>
          <w:sz w:val="22"/>
          <w:szCs w:val="22"/>
        </w:rPr>
        <w:t xml:space="preserve"> - </w:t>
      </w:r>
      <w:r w:rsidR="00630E95" w:rsidRPr="00B21F9B">
        <w:rPr>
          <w:rFonts w:ascii="Times New Roman" w:hAnsi="Times New Roman" w:cs="Times New Roman"/>
          <w:sz w:val="22"/>
          <w:szCs w:val="22"/>
        </w:rPr>
        <w:t xml:space="preserve">the </w:t>
      </w:r>
      <w:hyperlink r:id="rId5" w:history="1">
        <w:r w:rsidR="00630E95" w:rsidRPr="00B21F9B">
          <w:rPr>
            <w:rStyle w:val="Hyperlink"/>
            <w:rFonts w:ascii="Times New Roman" w:hAnsi="Times New Roman" w:cs="Times New Roman"/>
            <w:sz w:val="22"/>
            <w:szCs w:val="22"/>
          </w:rPr>
          <w:t>principle of universality</w:t>
        </w:r>
      </w:hyperlink>
      <w:r w:rsidR="002038C9">
        <w:rPr>
          <w:rFonts w:ascii="Times New Roman" w:hAnsi="Times New Roman" w:cs="Times New Roman"/>
          <w:sz w:val="22"/>
          <w:szCs w:val="22"/>
        </w:rPr>
        <w:t xml:space="preserve">. As human rights are </w:t>
      </w:r>
      <w:proofErr w:type="gramStart"/>
      <w:r w:rsidR="002038C9">
        <w:rPr>
          <w:rFonts w:ascii="Times New Roman" w:hAnsi="Times New Roman" w:cs="Times New Roman"/>
          <w:sz w:val="22"/>
          <w:szCs w:val="22"/>
        </w:rPr>
        <w:t>universal ,</w:t>
      </w:r>
      <w:proofErr w:type="gramEnd"/>
      <w:r w:rsidR="002038C9">
        <w:rPr>
          <w:rFonts w:ascii="Times New Roman" w:hAnsi="Times New Roman" w:cs="Times New Roman"/>
          <w:sz w:val="22"/>
          <w:szCs w:val="22"/>
        </w:rPr>
        <w:t xml:space="preserve"> inalienable,</w:t>
      </w:r>
      <w:r w:rsidR="00D01D2C" w:rsidRPr="00B21F9B">
        <w:rPr>
          <w:rFonts w:ascii="Times New Roman" w:hAnsi="Times New Roman" w:cs="Times New Roman"/>
          <w:sz w:val="22"/>
          <w:szCs w:val="22"/>
        </w:rPr>
        <w:t xml:space="preserve"> indivisible, in</w:t>
      </w:r>
      <w:r w:rsidR="002038C9">
        <w:rPr>
          <w:rFonts w:ascii="Times New Roman" w:hAnsi="Times New Roman" w:cs="Times New Roman"/>
          <w:sz w:val="22"/>
          <w:szCs w:val="22"/>
        </w:rPr>
        <w:t>ter-related and interdependent, i</w:t>
      </w:r>
      <w:r w:rsidRPr="00B21F9B">
        <w:rPr>
          <w:rFonts w:ascii="Times New Roman" w:hAnsi="Times New Roman" w:cs="Times New Roman"/>
          <w:sz w:val="22"/>
          <w:szCs w:val="22"/>
        </w:rPr>
        <w:t xml:space="preserve">t is important to emphasise that we cannot sacrifice one set of rights for another. For example, we must </w:t>
      </w:r>
      <w:r w:rsidR="002038C9">
        <w:rPr>
          <w:rFonts w:ascii="Times New Roman" w:hAnsi="Times New Roman" w:cs="Times New Roman"/>
          <w:sz w:val="22"/>
          <w:szCs w:val="22"/>
        </w:rPr>
        <w:t>not compromise children’s right</w:t>
      </w:r>
      <w:r w:rsidRPr="00B21F9B">
        <w:rPr>
          <w:rFonts w:ascii="Times New Roman" w:hAnsi="Times New Roman" w:cs="Times New Roman"/>
          <w:sz w:val="22"/>
          <w:szCs w:val="22"/>
        </w:rPr>
        <w:t xml:space="preserve"> to access information, </w:t>
      </w:r>
      <w:proofErr w:type="gramStart"/>
      <w:r w:rsidRPr="00B21F9B">
        <w:rPr>
          <w:rFonts w:ascii="Times New Roman" w:hAnsi="Times New Roman" w:cs="Times New Roman"/>
          <w:sz w:val="22"/>
          <w:szCs w:val="22"/>
        </w:rPr>
        <w:t>in order to</w:t>
      </w:r>
      <w:proofErr w:type="gramEnd"/>
      <w:r w:rsidRPr="00B21F9B">
        <w:rPr>
          <w:rFonts w:ascii="Times New Roman" w:hAnsi="Times New Roman" w:cs="Times New Roman"/>
          <w:sz w:val="22"/>
          <w:szCs w:val="22"/>
        </w:rPr>
        <w:t xml:space="preserve"> protect them from harm. </w:t>
      </w:r>
    </w:p>
    <w:p w14:paraId="76CEE6E8" w14:textId="77777777" w:rsidR="00F94713" w:rsidRPr="00B21F9B" w:rsidRDefault="00F94713" w:rsidP="00B21F9B">
      <w:pPr>
        <w:spacing w:line="360" w:lineRule="auto"/>
        <w:rPr>
          <w:rFonts w:ascii="Times New Roman" w:hAnsi="Times New Roman" w:cs="Times New Roman"/>
          <w:sz w:val="22"/>
          <w:szCs w:val="22"/>
        </w:rPr>
      </w:pPr>
    </w:p>
    <w:p w14:paraId="588DDB46" w14:textId="1ECAAEE3" w:rsidR="00D01D2C" w:rsidRPr="00B21F9B" w:rsidRDefault="00D01D2C" w:rsidP="00B21F9B">
      <w:pPr>
        <w:spacing w:line="360" w:lineRule="auto"/>
        <w:rPr>
          <w:rFonts w:ascii="Times New Roman" w:hAnsi="Times New Roman" w:cs="Times New Roman"/>
          <w:sz w:val="22"/>
          <w:szCs w:val="22"/>
        </w:rPr>
      </w:pPr>
      <w:r w:rsidRPr="00B21F9B">
        <w:rPr>
          <w:rFonts w:ascii="Times New Roman" w:hAnsi="Times New Roman" w:cs="Times New Roman"/>
          <w:sz w:val="22"/>
          <w:szCs w:val="22"/>
        </w:rPr>
        <w:t>Importantly, children’s rights are also human rights, and the whole international human rights framework applie</w:t>
      </w:r>
      <w:r w:rsidR="00F94713" w:rsidRPr="00B21F9B">
        <w:rPr>
          <w:rFonts w:ascii="Times New Roman" w:hAnsi="Times New Roman" w:cs="Times New Roman"/>
          <w:sz w:val="22"/>
          <w:szCs w:val="22"/>
        </w:rPr>
        <w:t>s</w:t>
      </w:r>
      <w:r w:rsidRPr="00B21F9B">
        <w:rPr>
          <w:rFonts w:ascii="Times New Roman" w:hAnsi="Times New Roman" w:cs="Times New Roman"/>
          <w:sz w:val="22"/>
          <w:szCs w:val="22"/>
        </w:rPr>
        <w:t xml:space="preserve"> to children, and not only the Convention on the Rights of the Child. </w:t>
      </w:r>
    </w:p>
    <w:p w14:paraId="60A3ED31" w14:textId="5DE7A041" w:rsidR="00F94713" w:rsidRPr="00B21F9B" w:rsidRDefault="00F94713" w:rsidP="00B21F9B">
      <w:pPr>
        <w:spacing w:line="360" w:lineRule="auto"/>
        <w:rPr>
          <w:rFonts w:ascii="Times New Roman" w:hAnsi="Times New Roman" w:cs="Times New Roman"/>
          <w:sz w:val="22"/>
          <w:szCs w:val="22"/>
        </w:rPr>
      </w:pPr>
    </w:p>
    <w:p w14:paraId="4C7A8727" w14:textId="104710D0" w:rsidR="00D86B1F" w:rsidRPr="002038C9" w:rsidRDefault="00D86B1F" w:rsidP="00B21F9B">
      <w:pPr>
        <w:spacing w:line="360" w:lineRule="auto"/>
        <w:rPr>
          <w:rFonts w:ascii="Times New Roman" w:hAnsi="Times New Roman" w:cs="Times New Roman"/>
          <w:b/>
          <w:sz w:val="22"/>
          <w:szCs w:val="22"/>
        </w:rPr>
      </w:pPr>
      <w:r w:rsidRPr="00B21F9B">
        <w:rPr>
          <w:rFonts w:ascii="Times New Roman" w:hAnsi="Times New Roman" w:cs="Times New Roman"/>
          <w:b/>
          <w:sz w:val="22"/>
          <w:szCs w:val="22"/>
        </w:rPr>
        <w:t>Headings</w:t>
      </w:r>
    </w:p>
    <w:p w14:paraId="139FB7D7" w14:textId="109859A2" w:rsidR="00D86B1F" w:rsidRPr="00B21F9B" w:rsidRDefault="00D86B1F" w:rsidP="00B21F9B">
      <w:pPr>
        <w:spacing w:line="360" w:lineRule="auto"/>
        <w:rPr>
          <w:rFonts w:ascii="Times New Roman" w:hAnsi="Times New Roman" w:cs="Times New Roman"/>
          <w:sz w:val="22"/>
          <w:szCs w:val="22"/>
        </w:rPr>
      </w:pPr>
      <w:r w:rsidRPr="00B21F9B">
        <w:rPr>
          <w:rFonts w:ascii="Times New Roman" w:hAnsi="Times New Roman" w:cs="Times New Roman"/>
          <w:sz w:val="22"/>
          <w:szCs w:val="22"/>
        </w:rPr>
        <w:t xml:space="preserve">It would be good to add a first heading of </w:t>
      </w:r>
      <w:r w:rsidRPr="002038C9">
        <w:rPr>
          <w:rFonts w:ascii="Times New Roman" w:hAnsi="Times New Roman" w:cs="Times New Roman"/>
          <w:sz w:val="22"/>
          <w:szCs w:val="22"/>
        </w:rPr>
        <w:t>access to the internet</w:t>
      </w:r>
      <w:r w:rsidRPr="00B21F9B">
        <w:rPr>
          <w:rFonts w:ascii="Times New Roman" w:hAnsi="Times New Roman" w:cs="Times New Roman"/>
          <w:i/>
          <w:sz w:val="22"/>
          <w:szCs w:val="22"/>
        </w:rPr>
        <w:t>,</w:t>
      </w:r>
      <w:r w:rsidRPr="00B21F9B">
        <w:rPr>
          <w:rFonts w:ascii="Times New Roman" w:hAnsi="Times New Roman" w:cs="Times New Roman"/>
          <w:sz w:val="22"/>
          <w:szCs w:val="22"/>
        </w:rPr>
        <w:t xml:space="preserve"> which would cover inequality in access to the internet in for example rural areas, and in relation to gender, disability</w:t>
      </w:r>
      <w:r w:rsidR="002038C9">
        <w:rPr>
          <w:rFonts w:ascii="Times New Roman" w:hAnsi="Times New Roman" w:cs="Times New Roman"/>
          <w:sz w:val="22"/>
          <w:szCs w:val="22"/>
        </w:rPr>
        <w:t xml:space="preserve">, </w:t>
      </w:r>
      <w:proofErr w:type="gramStart"/>
      <w:r w:rsidR="002038C9">
        <w:rPr>
          <w:rFonts w:ascii="Times New Roman" w:hAnsi="Times New Roman" w:cs="Times New Roman"/>
          <w:sz w:val="22"/>
          <w:szCs w:val="22"/>
        </w:rPr>
        <w:t xml:space="preserve">ethnicity </w:t>
      </w:r>
      <w:r w:rsidRPr="00B21F9B">
        <w:rPr>
          <w:rFonts w:ascii="Times New Roman" w:hAnsi="Times New Roman" w:cs="Times New Roman"/>
          <w:sz w:val="22"/>
          <w:szCs w:val="22"/>
        </w:rPr>
        <w:t xml:space="preserve"> and</w:t>
      </w:r>
      <w:proofErr w:type="gramEnd"/>
      <w:r w:rsidRPr="00B21F9B">
        <w:rPr>
          <w:rFonts w:ascii="Times New Roman" w:hAnsi="Times New Roman" w:cs="Times New Roman"/>
          <w:sz w:val="22"/>
          <w:szCs w:val="22"/>
        </w:rPr>
        <w:t xml:space="preserve"> immigration status. This would also address the difference between children who have access to the internet via computers and tablets with broadband or similar connections, and those who access the internet only via smart phones and sometimes with limited 2G coverage on a pay as yo</w:t>
      </w:r>
      <w:r w:rsidR="002038C9">
        <w:rPr>
          <w:rFonts w:ascii="Times New Roman" w:hAnsi="Times New Roman" w:cs="Times New Roman"/>
          <w:sz w:val="22"/>
          <w:szCs w:val="22"/>
        </w:rPr>
        <w:t xml:space="preserve">u go basis. </w:t>
      </w:r>
      <w:r w:rsidR="002038C9" w:rsidRPr="002038C9">
        <w:rPr>
          <w:rFonts w:ascii="Times New Roman" w:hAnsi="Times New Roman" w:cs="Times New Roman"/>
          <w:sz w:val="22"/>
          <w:szCs w:val="22"/>
        </w:rPr>
        <w:t>This is different from</w:t>
      </w:r>
      <w:r w:rsidRPr="002038C9">
        <w:rPr>
          <w:rFonts w:ascii="Times New Roman" w:hAnsi="Times New Roman" w:cs="Times New Roman"/>
          <w:sz w:val="22"/>
          <w:szCs w:val="22"/>
        </w:rPr>
        <w:t xml:space="preserve"> access to information, although connected in relation to the content accessible in these different contexts</w:t>
      </w:r>
      <w:r w:rsidRPr="00B21F9B">
        <w:rPr>
          <w:rFonts w:ascii="Times New Roman" w:hAnsi="Times New Roman" w:cs="Times New Roman"/>
          <w:sz w:val="22"/>
          <w:szCs w:val="22"/>
        </w:rPr>
        <w:t>.</w:t>
      </w:r>
    </w:p>
    <w:p w14:paraId="53B6468D" w14:textId="77777777" w:rsidR="00D86B1F" w:rsidRPr="00B21F9B" w:rsidRDefault="00D86B1F" w:rsidP="00B21F9B">
      <w:pPr>
        <w:spacing w:line="360" w:lineRule="auto"/>
        <w:rPr>
          <w:rFonts w:ascii="Times New Roman" w:hAnsi="Times New Roman" w:cs="Times New Roman"/>
          <w:sz w:val="22"/>
          <w:szCs w:val="22"/>
        </w:rPr>
      </w:pPr>
    </w:p>
    <w:p w14:paraId="0AF0B35E" w14:textId="77777777" w:rsidR="008835E7" w:rsidRPr="00B21F9B" w:rsidRDefault="00D86B1F" w:rsidP="00B21F9B">
      <w:pPr>
        <w:pStyle w:val="ListParagraph"/>
        <w:numPr>
          <w:ilvl w:val="0"/>
          <w:numId w:val="1"/>
        </w:numPr>
        <w:spacing w:line="360" w:lineRule="auto"/>
        <w:jc w:val="both"/>
        <w:rPr>
          <w:rFonts w:ascii="Times New Roman" w:hAnsi="Times New Roman"/>
          <w:color w:val="000000" w:themeColor="text1"/>
          <w:sz w:val="22"/>
          <w:szCs w:val="22"/>
        </w:rPr>
      </w:pPr>
      <w:r w:rsidRPr="00B21F9B">
        <w:rPr>
          <w:rFonts w:ascii="Times New Roman" w:hAnsi="Times New Roman"/>
          <w:color w:val="000000" w:themeColor="text1"/>
          <w:sz w:val="22"/>
          <w:szCs w:val="22"/>
        </w:rPr>
        <w:t>Access to information and freedom of expression and thought</w:t>
      </w:r>
    </w:p>
    <w:p w14:paraId="0EFBD060" w14:textId="673B06D4" w:rsidR="00AE4CD6" w:rsidRPr="00B21F9B" w:rsidRDefault="002038C9" w:rsidP="00B21F9B">
      <w:pPr>
        <w:pStyle w:val="ListParagraph"/>
        <w:numPr>
          <w:ilvl w:val="1"/>
          <w:numId w:val="1"/>
        </w:numPr>
        <w:spacing w:line="360" w:lineRule="auto"/>
        <w:jc w:val="both"/>
        <w:rPr>
          <w:rFonts w:ascii="Times New Roman" w:hAnsi="Times New Roman"/>
          <w:color w:val="000000" w:themeColor="text1"/>
          <w:sz w:val="22"/>
          <w:szCs w:val="22"/>
        </w:rPr>
      </w:pPr>
      <w:r>
        <w:rPr>
          <w:rFonts w:ascii="Times New Roman" w:hAnsi="Times New Roman"/>
          <w:color w:val="000000" w:themeColor="text1"/>
          <w:sz w:val="22"/>
          <w:szCs w:val="22"/>
        </w:rPr>
        <w:t>It would be good for the General C</w:t>
      </w:r>
      <w:r w:rsidR="00AE4CD6" w:rsidRPr="00B21F9B">
        <w:rPr>
          <w:rFonts w:ascii="Times New Roman" w:hAnsi="Times New Roman"/>
          <w:color w:val="000000" w:themeColor="text1"/>
          <w:sz w:val="22"/>
          <w:szCs w:val="22"/>
        </w:rPr>
        <w:t xml:space="preserve">omment to reiterate children’s rights in this area, and to </w:t>
      </w:r>
      <w:r w:rsidR="008835E7" w:rsidRPr="00B21F9B">
        <w:rPr>
          <w:rFonts w:ascii="Times New Roman" w:hAnsi="Times New Roman"/>
          <w:color w:val="000000" w:themeColor="text1"/>
          <w:sz w:val="22"/>
          <w:szCs w:val="22"/>
        </w:rPr>
        <w:t>emphasise</w:t>
      </w:r>
      <w:r w:rsidR="00AE4CD6" w:rsidRPr="00B21F9B">
        <w:rPr>
          <w:rFonts w:ascii="Times New Roman" w:hAnsi="Times New Roman"/>
          <w:color w:val="000000" w:themeColor="text1"/>
          <w:sz w:val="22"/>
          <w:szCs w:val="22"/>
        </w:rPr>
        <w:t xml:space="preserve"> that the International Covenant on Civil and Political Rights also applies to children. Recalling that Human Rights Council resolution 32/13 condemned unequivocally measures to intentionally prevent or disrupt access to or dissemination of information online in violation of international human rights law, and called upon States to refrain from and cease such measures; and further recalling the </w:t>
      </w:r>
      <w:hyperlink r:id="rId6" w:history="1">
        <w:r w:rsidR="00AE4CD6" w:rsidRPr="00B21F9B">
          <w:rPr>
            <w:rStyle w:val="Hyperlink"/>
            <w:rFonts w:ascii="Times New Roman" w:hAnsi="Times New Roman"/>
            <w:sz w:val="22"/>
            <w:szCs w:val="22"/>
          </w:rPr>
          <w:t>Special Rapporteur’s 2017 report to the UN Human Rights Council</w:t>
        </w:r>
      </w:hyperlink>
      <w:r w:rsidR="00AE4CD6" w:rsidRPr="00B21F9B">
        <w:rPr>
          <w:rFonts w:ascii="Times New Roman" w:hAnsi="Times New Roman"/>
          <w:color w:val="000000" w:themeColor="text1"/>
          <w:sz w:val="22"/>
          <w:szCs w:val="22"/>
        </w:rPr>
        <w:t xml:space="preserve"> which </w:t>
      </w:r>
      <w:r w:rsidR="008835E7" w:rsidRPr="00B21F9B">
        <w:rPr>
          <w:rFonts w:ascii="Times New Roman" w:hAnsi="Times New Roman"/>
          <w:color w:val="000000" w:themeColor="text1"/>
          <w:sz w:val="22"/>
          <w:szCs w:val="22"/>
        </w:rPr>
        <w:t>called on the private sector to mitigate State calls for censorship or surveillance to the maximum extent allowed by law, whilst also taking measures to ensure they do not cause, contribute to or become complicit in human rights abuses.</w:t>
      </w:r>
    </w:p>
    <w:p w14:paraId="47FE6318" w14:textId="3F1720B7" w:rsidR="008835E7" w:rsidRPr="00B21F9B" w:rsidRDefault="008835E7" w:rsidP="00B21F9B">
      <w:pPr>
        <w:pStyle w:val="ListParagraph"/>
        <w:numPr>
          <w:ilvl w:val="1"/>
          <w:numId w:val="1"/>
        </w:numPr>
        <w:spacing w:line="360" w:lineRule="auto"/>
        <w:jc w:val="both"/>
        <w:rPr>
          <w:rFonts w:ascii="Times New Roman" w:hAnsi="Times New Roman"/>
          <w:color w:val="000000" w:themeColor="text1"/>
          <w:sz w:val="22"/>
          <w:szCs w:val="22"/>
        </w:rPr>
      </w:pPr>
      <w:r w:rsidRPr="00B21F9B">
        <w:rPr>
          <w:rFonts w:ascii="Times New Roman" w:hAnsi="Times New Roman"/>
          <w:color w:val="000000" w:themeColor="text1"/>
          <w:sz w:val="22"/>
          <w:szCs w:val="22"/>
        </w:rPr>
        <w:lastRenderedPageBreak/>
        <w:t xml:space="preserve">This </w:t>
      </w:r>
      <w:r w:rsidR="00EB007C" w:rsidRPr="00B21F9B">
        <w:rPr>
          <w:rFonts w:ascii="Times New Roman" w:hAnsi="Times New Roman"/>
          <w:color w:val="000000" w:themeColor="text1"/>
          <w:sz w:val="22"/>
          <w:szCs w:val="22"/>
        </w:rPr>
        <w:t>reminder</w:t>
      </w:r>
      <w:r w:rsidRPr="00B21F9B">
        <w:rPr>
          <w:rFonts w:ascii="Times New Roman" w:hAnsi="Times New Roman"/>
          <w:color w:val="000000" w:themeColor="text1"/>
          <w:sz w:val="22"/>
          <w:szCs w:val="22"/>
        </w:rPr>
        <w:t xml:space="preserve"> of the existing relevant international legal framework would be helpful, particularly in the context of regions such as Southeast Asia where </w:t>
      </w:r>
      <w:hyperlink r:id="rId7" w:history="1">
        <w:r w:rsidRPr="00B21F9B">
          <w:rPr>
            <w:rStyle w:val="Hyperlink"/>
            <w:rFonts w:ascii="Times New Roman" w:hAnsi="Times New Roman"/>
            <w:sz w:val="22"/>
            <w:szCs w:val="22"/>
          </w:rPr>
          <w:t>civic space online is shrinking</w:t>
        </w:r>
      </w:hyperlink>
      <w:r w:rsidRPr="00B21F9B">
        <w:rPr>
          <w:rFonts w:ascii="Times New Roman" w:hAnsi="Times New Roman"/>
          <w:color w:val="000000" w:themeColor="text1"/>
          <w:sz w:val="22"/>
          <w:szCs w:val="22"/>
        </w:rPr>
        <w:t xml:space="preserve"> and access to information is being restricted, which impacts on children as well as adults.</w:t>
      </w:r>
    </w:p>
    <w:p w14:paraId="7C840CAA" w14:textId="4F1082CD" w:rsidR="00AE4CD6" w:rsidRPr="00B21F9B" w:rsidRDefault="008835E7" w:rsidP="00B21F9B">
      <w:pPr>
        <w:pStyle w:val="ListParagraph"/>
        <w:numPr>
          <w:ilvl w:val="1"/>
          <w:numId w:val="1"/>
        </w:numPr>
        <w:spacing w:line="360" w:lineRule="auto"/>
        <w:jc w:val="both"/>
        <w:rPr>
          <w:rFonts w:ascii="Times New Roman" w:hAnsi="Times New Roman"/>
          <w:color w:val="000000" w:themeColor="text1"/>
          <w:sz w:val="22"/>
          <w:szCs w:val="22"/>
        </w:rPr>
      </w:pPr>
      <w:r w:rsidRPr="00B21F9B">
        <w:rPr>
          <w:rFonts w:ascii="Times New Roman" w:hAnsi="Times New Roman"/>
          <w:color w:val="000000" w:themeColor="text1"/>
          <w:sz w:val="22"/>
          <w:szCs w:val="22"/>
        </w:rPr>
        <w:t xml:space="preserve">A key area in which UNICEF is seeking to improve access to information online is in relation to </w:t>
      </w:r>
      <w:r w:rsidR="00EB007C" w:rsidRPr="00B21F9B">
        <w:rPr>
          <w:rFonts w:ascii="Times New Roman" w:hAnsi="Times New Roman"/>
          <w:color w:val="000000" w:themeColor="text1"/>
          <w:sz w:val="22"/>
          <w:szCs w:val="22"/>
        </w:rPr>
        <w:t xml:space="preserve">access to </w:t>
      </w:r>
      <w:r w:rsidRPr="00B21F9B">
        <w:rPr>
          <w:rFonts w:ascii="Times New Roman" w:hAnsi="Times New Roman"/>
          <w:color w:val="000000" w:themeColor="text1"/>
          <w:sz w:val="22"/>
          <w:szCs w:val="22"/>
        </w:rPr>
        <w:t>sexuality education materials</w:t>
      </w:r>
      <w:r w:rsidR="0017725D" w:rsidRPr="00B21F9B">
        <w:rPr>
          <w:rFonts w:ascii="Times New Roman" w:hAnsi="Times New Roman"/>
          <w:color w:val="000000" w:themeColor="text1"/>
          <w:sz w:val="22"/>
          <w:szCs w:val="22"/>
        </w:rPr>
        <w:t>.</w:t>
      </w:r>
    </w:p>
    <w:p w14:paraId="01830B89" w14:textId="77777777" w:rsidR="00D86B1F" w:rsidRPr="00B21F9B" w:rsidRDefault="00D86B1F" w:rsidP="00B21F9B">
      <w:pPr>
        <w:pStyle w:val="ListParagraph"/>
        <w:numPr>
          <w:ilvl w:val="0"/>
          <w:numId w:val="1"/>
        </w:numPr>
        <w:spacing w:line="360" w:lineRule="auto"/>
        <w:jc w:val="both"/>
        <w:rPr>
          <w:rFonts w:ascii="Times New Roman" w:hAnsi="Times New Roman"/>
          <w:color w:val="000000" w:themeColor="text1"/>
          <w:sz w:val="22"/>
          <w:szCs w:val="22"/>
        </w:rPr>
      </w:pPr>
      <w:r w:rsidRPr="00B21F9B">
        <w:rPr>
          <w:rFonts w:ascii="Times New Roman" w:hAnsi="Times New Roman"/>
          <w:color w:val="000000" w:themeColor="text1"/>
          <w:sz w:val="22"/>
          <w:szCs w:val="22"/>
        </w:rPr>
        <w:t>Protection of privacy, identity and data processing</w:t>
      </w:r>
    </w:p>
    <w:p w14:paraId="078EA457" w14:textId="198042D7" w:rsidR="00D86B1F" w:rsidRPr="00B21F9B" w:rsidRDefault="00EB007C" w:rsidP="00B21F9B">
      <w:pPr>
        <w:pStyle w:val="ListParagraph"/>
        <w:spacing w:line="360" w:lineRule="auto"/>
        <w:jc w:val="both"/>
        <w:rPr>
          <w:rFonts w:ascii="Times New Roman" w:hAnsi="Times New Roman"/>
          <w:color w:val="000000" w:themeColor="text1"/>
          <w:sz w:val="22"/>
          <w:szCs w:val="22"/>
        </w:rPr>
      </w:pPr>
      <w:r w:rsidRPr="00B21F9B">
        <w:rPr>
          <w:rFonts w:ascii="Times New Roman" w:hAnsi="Times New Roman"/>
          <w:color w:val="000000" w:themeColor="text1"/>
          <w:sz w:val="22"/>
          <w:szCs w:val="22"/>
        </w:rPr>
        <w:t xml:space="preserve">It is suggested that privacy should be sub divided into children’s privacy vis a vis (i) the public – e.g. covering the need for privacy settings and management of online identities; (ii) their parents </w:t>
      </w:r>
      <w:r w:rsidR="00E213A5" w:rsidRPr="00B21F9B">
        <w:rPr>
          <w:rFonts w:ascii="Times New Roman" w:hAnsi="Times New Roman"/>
          <w:color w:val="000000" w:themeColor="text1"/>
          <w:sz w:val="22"/>
          <w:szCs w:val="22"/>
        </w:rPr>
        <w:t xml:space="preserve">or caregivers </w:t>
      </w:r>
      <w:r w:rsidRPr="00B21F9B">
        <w:rPr>
          <w:rFonts w:ascii="Times New Roman" w:hAnsi="Times New Roman"/>
          <w:color w:val="000000" w:themeColor="text1"/>
          <w:sz w:val="22"/>
          <w:szCs w:val="22"/>
        </w:rPr>
        <w:t xml:space="preserve">– noting that parental controls can be useful for use with very young children, but should be used in accordance with the evolving capacity of the child; and (iii) industry – calling for controls on collection of data by industry (see for example the </w:t>
      </w:r>
      <w:hyperlink r:id="rId8" w:history="1">
        <w:r w:rsidRPr="00B21F9B">
          <w:rPr>
            <w:rStyle w:val="Hyperlink"/>
            <w:rFonts w:ascii="Times New Roman" w:hAnsi="Times New Roman"/>
            <w:sz w:val="22"/>
            <w:szCs w:val="22"/>
          </w:rPr>
          <w:t>UK Children’s Commissioner report</w:t>
        </w:r>
      </w:hyperlink>
      <w:r w:rsidRPr="00B21F9B">
        <w:rPr>
          <w:rFonts w:ascii="Times New Roman" w:hAnsi="Times New Roman"/>
          <w:color w:val="000000" w:themeColor="text1"/>
          <w:sz w:val="22"/>
          <w:szCs w:val="22"/>
        </w:rPr>
        <w:t xml:space="preserve"> into the collection and sharing of children’s data)</w:t>
      </w:r>
      <w:r w:rsidR="00CC57DD">
        <w:rPr>
          <w:rFonts w:ascii="Times New Roman" w:hAnsi="Times New Roman"/>
          <w:color w:val="000000" w:themeColor="text1"/>
          <w:sz w:val="22"/>
          <w:szCs w:val="22"/>
        </w:rPr>
        <w:t>.</w:t>
      </w:r>
    </w:p>
    <w:p w14:paraId="0643602F" w14:textId="77777777" w:rsidR="00D86B1F" w:rsidRPr="00B21F9B" w:rsidRDefault="00D86B1F" w:rsidP="00B21F9B">
      <w:pPr>
        <w:pStyle w:val="ListParagraph"/>
        <w:numPr>
          <w:ilvl w:val="0"/>
          <w:numId w:val="1"/>
        </w:numPr>
        <w:spacing w:line="360" w:lineRule="auto"/>
        <w:jc w:val="both"/>
        <w:rPr>
          <w:rFonts w:ascii="Times New Roman" w:hAnsi="Times New Roman"/>
          <w:color w:val="000000" w:themeColor="text1"/>
          <w:sz w:val="22"/>
          <w:szCs w:val="22"/>
        </w:rPr>
      </w:pPr>
      <w:r w:rsidRPr="00B21F9B">
        <w:rPr>
          <w:rFonts w:ascii="Times New Roman" w:hAnsi="Times New Roman"/>
          <w:color w:val="000000" w:themeColor="text1"/>
          <w:sz w:val="22"/>
          <w:szCs w:val="22"/>
        </w:rPr>
        <w:t>Protection from violence, sexual exploitation and other harm</w:t>
      </w:r>
    </w:p>
    <w:p w14:paraId="58523580" w14:textId="1F390693" w:rsidR="00FA3D17" w:rsidRPr="00B21F9B" w:rsidRDefault="00AC11B4" w:rsidP="00B21F9B">
      <w:pPr>
        <w:pStyle w:val="ListParagraph"/>
        <w:spacing w:line="360" w:lineRule="auto"/>
        <w:jc w:val="both"/>
        <w:rPr>
          <w:rFonts w:ascii="Times New Roman" w:hAnsi="Times New Roman"/>
          <w:color w:val="000000" w:themeColor="text1"/>
          <w:sz w:val="22"/>
          <w:szCs w:val="22"/>
        </w:rPr>
      </w:pPr>
      <w:r w:rsidRPr="00B21F9B">
        <w:rPr>
          <w:rFonts w:ascii="Times New Roman" w:hAnsi="Times New Roman"/>
          <w:color w:val="000000" w:themeColor="text1"/>
          <w:sz w:val="22"/>
          <w:szCs w:val="22"/>
        </w:rPr>
        <w:t xml:space="preserve">Protecting children from sexual exploitation online requires a multi-sectoral approach, which is set out in the WePROTECT Model National Response </w:t>
      </w:r>
      <w:r w:rsidR="00070CF8" w:rsidRPr="00B21F9B">
        <w:rPr>
          <w:rFonts w:ascii="Times New Roman" w:hAnsi="Times New Roman"/>
          <w:color w:val="000000" w:themeColor="text1"/>
          <w:sz w:val="22"/>
          <w:szCs w:val="22"/>
        </w:rPr>
        <w:t>framework. It</w:t>
      </w:r>
      <w:r w:rsidR="00FA3D17" w:rsidRPr="00B21F9B">
        <w:rPr>
          <w:rFonts w:ascii="Times New Roman" w:hAnsi="Times New Roman"/>
          <w:color w:val="000000" w:themeColor="text1"/>
          <w:sz w:val="22"/>
          <w:szCs w:val="22"/>
        </w:rPr>
        <w:t xml:space="preserve"> is also important to look at the digital technology tools used by the development and humanitarian sector to protect children such as the use of biometrics, and to </w:t>
      </w:r>
      <w:hyperlink r:id="rId9" w:history="1">
        <w:r w:rsidR="00FA3D17" w:rsidRPr="00B21F9B">
          <w:rPr>
            <w:rStyle w:val="Hyperlink"/>
            <w:rFonts w:ascii="Times New Roman" w:hAnsi="Times New Roman"/>
            <w:sz w:val="22"/>
            <w:szCs w:val="22"/>
          </w:rPr>
          <w:t>caution the collection of biometric data unless it is absolutely necessary</w:t>
        </w:r>
      </w:hyperlink>
      <w:r w:rsidR="00FA3D17" w:rsidRPr="00B21F9B">
        <w:rPr>
          <w:rFonts w:ascii="Times New Roman" w:hAnsi="Times New Roman"/>
          <w:color w:val="000000" w:themeColor="text1"/>
          <w:sz w:val="22"/>
          <w:szCs w:val="22"/>
        </w:rPr>
        <w:t xml:space="preserve">. </w:t>
      </w:r>
    </w:p>
    <w:p w14:paraId="43A80928" w14:textId="207417C1" w:rsidR="00D01D2C" w:rsidRPr="00B21F9B" w:rsidRDefault="00D01D2C" w:rsidP="00B21F9B">
      <w:pPr>
        <w:spacing w:line="360" w:lineRule="auto"/>
        <w:rPr>
          <w:rFonts w:ascii="Times New Roman" w:hAnsi="Times New Roman" w:cs="Times New Roman"/>
          <w:sz w:val="22"/>
          <w:szCs w:val="22"/>
        </w:rPr>
      </w:pPr>
    </w:p>
    <w:p w14:paraId="6516E0F1" w14:textId="3A13AC1E" w:rsidR="008835E7" w:rsidRPr="00B21F9B" w:rsidRDefault="008835E7" w:rsidP="00B21F9B">
      <w:pPr>
        <w:spacing w:line="360" w:lineRule="auto"/>
        <w:rPr>
          <w:rFonts w:ascii="Times New Roman" w:hAnsi="Times New Roman" w:cs="Times New Roman"/>
          <w:b/>
          <w:color w:val="000000" w:themeColor="text1"/>
          <w:sz w:val="22"/>
          <w:szCs w:val="22"/>
        </w:rPr>
      </w:pPr>
      <w:r w:rsidRPr="00B21F9B">
        <w:rPr>
          <w:rFonts w:ascii="Times New Roman" w:hAnsi="Times New Roman" w:cs="Times New Roman"/>
          <w:b/>
          <w:color w:val="000000" w:themeColor="text1"/>
          <w:sz w:val="22"/>
          <w:szCs w:val="22"/>
        </w:rPr>
        <w:t>Specific Questions from the Committee</w:t>
      </w:r>
    </w:p>
    <w:p w14:paraId="5A84FCCE" w14:textId="77777777" w:rsidR="008835E7" w:rsidRPr="00B21F9B" w:rsidRDefault="008835E7" w:rsidP="00B21F9B">
      <w:pPr>
        <w:spacing w:line="360" w:lineRule="auto"/>
        <w:jc w:val="both"/>
        <w:rPr>
          <w:rFonts w:ascii="Times New Roman" w:hAnsi="Times New Roman" w:cs="Times New Roman"/>
          <w:sz w:val="22"/>
          <w:szCs w:val="22"/>
        </w:rPr>
      </w:pPr>
    </w:p>
    <w:p w14:paraId="3AE3419B" w14:textId="77049638" w:rsidR="008835E7" w:rsidRPr="00B21F9B" w:rsidRDefault="008835E7" w:rsidP="00B21F9B">
      <w:pPr>
        <w:pStyle w:val="ListParagraph"/>
        <w:numPr>
          <w:ilvl w:val="0"/>
          <w:numId w:val="1"/>
        </w:numPr>
        <w:spacing w:line="360" w:lineRule="auto"/>
        <w:jc w:val="both"/>
        <w:rPr>
          <w:rFonts w:ascii="Times New Roman" w:hAnsi="Times New Roman"/>
          <w:color w:val="000000" w:themeColor="text1"/>
          <w:sz w:val="22"/>
          <w:szCs w:val="22"/>
        </w:rPr>
      </w:pPr>
      <w:r w:rsidRPr="00B21F9B">
        <w:rPr>
          <w:rFonts w:ascii="Times New Roman" w:hAnsi="Times New Roman"/>
          <w:color w:val="000000" w:themeColor="text1"/>
          <w:sz w:val="22"/>
          <w:szCs w:val="22"/>
        </w:rPr>
        <w:t>How can children’s views and experiences be expressed and taken into account when formulating policies and practices which affect their access to, and use of, digital technologies?</w:t>
      </w:r>
    </w:p>
    <w:p w14:paraId="319C2C6F" w14:textId="77777777" w:rsidR="00FA3D17" w:rsidRPr="00B21F9B" w:rsidRDefault="00AC11B4" w:rsidP="00B21F9B">
      <w:pPr>
        <w:pStyle w:val="ListParagraph"/>
        <w:numPr>
          <w:ilvl w:val="1"/>
          <w:numId w:val="1"/>
        </w:numPr>
        <w:spacing w:line="360" w:lineRule="auto"/>
        <w:jc w:val="both"/>
        <w:rPr>
          <w:rFonts w:ascii="Times New Roman" w:hAnsi="Times New Roman"/>
          <w:color w:val="000000" w:themeColor="text1"/>
          <w:sz w:val="22"/>
          <w:szCs w:val="22"/>
        </w:rPr>
      </w:pPr>
      <w:r w:rsidRPr="00B21F9B">
        <w:rPr>
          <w:rFonts w:ascii="Times New Roman" w:hAnsi="Times New Roman"/>
          <w:color w:val="000000" w:themeColor="text1"/>
          <w:sz w:val="22"/>
          <w:szCs w:val="22"/>
        </w:rPr>
        <w:t xml:space="preserve">It should be emphasised that there is a considerable divide between the understanding and use of digital technologies by children, and that of adults. This makes it even more important to frequently consult with children as technologies rapidly evolve to understand their experiences, and to formulate policies that take their opinions into account. It is also important for adults to continually check their assumptions about children’s experiences online against children’s lived experiences. </w:t>
      </w:r>
    </w:p>
    <w:p w14:paraId="0603E52C" w14:textId="0211423E" w:rsidR="00AC11B4" w:rsidRPr="00B21F9B" w:rsidRDefault="00AC11B4" w:rsidP="00B21F9B">
      <w:pPr>
        <w:pStyle w:val="ListParagraph"/>
        <w:numPr>
          <w:ilvl w:val="1"/>
          <w:numId w:val="1"/>
        </w:numPr>
        <w:spacing w:line="360" w:lineRule="auto"/>
        <w:jc w:val="both"/>
        <w:rPr>
          <w:rFonts w:ascii="Times New Roman" w:hAnsi="Times New Roman"/>
          <w:color w:val="000000" w:themeColor="text1"/>
          <w:sz w:val="22"/>
          <w:szCs w:val="22"/>
        </w:rPr>
      </w:pPr>
      <w:r w:rsidRPr="00B21F9B">
        <w:rPr>
          <w:rFonts w:ascii="Times New Roman" w:hAnsi="Times New Roman"/>
          <w:color w:val="000000" w:themeColor="text1"/>
          <w:sz w:val="22"/>
          <w:szCs w:val="22"/>
        </w:rPr>
        <w:t xml:space="preserve">There may be categories of risks which children may not have the capacity to understand, such as </w:t>
      </w:r>
      <w:hyperlink r:id="rId10" w:history="1">
        <w:r w:rsidRPr="00B21F9B">
          <w:rPr>
            <w:rStyle w:val="Hyperlink"/>
            <w:rFonts w:ascii="Times New Roman" w:hAnsi="Times New Roman"/>
            <w:sz w:val="22"/>
            <w:szCs w:val="22"/>
          </w:rPr>
          <w:t>company retention of data</w:t>
        </w:r>
      </w:hyperlink>
      <w:r w:rsidRPr="00B21F9B">
        <w:rPr>
          <w:rFonts w:ascii="Times New Roman" w:hAnsi="Times New Roman"/>
          <w:color w:val="000000" w:themeColor="text1"/>
          <w:sz w:val="22"/>
          <w:szCs w:val="22"/>
        </w:rPr>
        <w:t>; and categories of risk that children are better placed to understand</w:t>
      </w:r>
      <w:r w:rsidR="00FA3D17" w:rsidRPr="00B21F9B">
        <w:rPr>
          <w:rFonts w:ascii="Times New Roman" w:hAnsi="Times New Roman"/>
          <w:color w:val="000000" w:themeColor="text1"/>
          <w:sz w:val="22"/>
          <w:szCs w:val="22"/>
        </w:rPr>
        <w:t xml:space="preserve"> than adults</w:t>
      </w:r>
      <w:r w:rsidRPr="00B21F9B">
        <w:rPr>
          <w:rFonts w:ascii="Times New Roman" w:hAnsi="Times New Roman"/>
          <w:color w:val="000000" w:themeColor="text1"/>
          <w:sz w:val="22"/>
          <w:szCs w:val="22"/>
        </w:rPr>
        <w:t xml:space="preserve">, such as </w:t>
      </w:r>
      <w:r w:rsidR="00FA3D17" w:rsidRPr="00B21F9B">
        <w:rPr>
          <w:rFonts w:ascii="Times New Roman" w:hAnsi="Times New Roman"/>
          <w:color w:val="000000" w:themeColor="text1"/>
          <w:sz w:val="22"/>
          <w:szCs w:val="22"/>
        </w:rPr>
        <w:t xml:space="preserve">online </w:t>
      </w:r>
      <w:r w:rsidRPr="00B21F9B">
        <w:rPr>
          <w:rFonts w:ascii="Times New Roman" w:hAnsi="Times New Roman"/>
          <w:color w:val="000000" w:themeColor="text1"/>
          <w:sz w:val="22"/>
          <w:szCs w:val="22"/>
        </w:rPr>
        <w:t xml:space="preserve">peer to peer violence and abuse. </w:t>
      </w:r>
    </w:p>
    <w:p w14:paraId="50C53C30" w14:textId="77777777" w:rsidR="008835E7" w:rsidRPr="00B21F9B" w:rsidRDefault="008835E7" w:rsidP="00B21F9B">
      <w:pPr>
        <w:pStyle w:val="ListParagraph"/>
        <w:numPr>
          <w:ilvl w:val="0"/>
          <w:numId w:val="1"/>
        </w:numPr>
        <w:spacing w:line="360" w:lineRule="auto"/>
        <w:jc w:val="both"/>
        <w:rPr>
          <w:rFonts w:ascii="Times New Roman" w:hAnsi="Times New Roman"/>
          <w:color w:val="000000" w:themeColor="text1"/>
          <w:sz w:val="22"/>
          <w:szCs w:val="22"/>
        </w:rPr>
      </w:pPr>
      <w:r w:rsidRPr="00B21F9B">
        <w:rPr>
          <w:rFonts w:ascii="Times New Roman" w:hAnsi="Times New Roman"/>
          <w:color w:val="000000" w:themeColor="text1"/>
          <w:sz w:val="22"/>
          <w:szCs w:val="22"/>
        </w:rPr>
        <w:t>How can discrimination (originating offline or online) be effectively addressed, to ensure all children have their rights realised in a digital world?</w:t>
      </w:r>
    </w:p>
    <w:p w14:paraId="38DE7CCF" w14:textId="77777777" w:rsidR="008835E7" w:rsidRPr="00B21F9B" w:rsidRDefault="008835E7" w:rsidP="00B21F9B">
      <w:pPr>
        <w:pStyle w:val="ListParagraph"/>
        <w:numPr>
          <w:ilvl w:val="0"/>
          <w:numId w:val="1"/>
        </w:numPr>
        <w:spacing w:line="360" w:lineRule="auto"/>
        <w:jc w:val="both"/>
        <w:rPr>
          <w:rFonts w:ascii="Times New Roman" w:hAnsi="Times New Roman"/>
          <w:color w:val="000000" w:themeColor="text1"/>
          <w:sz w:val="22"/>
          <w:szCs w:val="22"/>
        </w:rPr>
      </w:pPr>
      <w:r w:rsidRPr="00B21F9B">
        <w:rPr>
          <w:rFonts w:ascii="Times New Roman" w:hAnsi="Times New Roman"/>
          <w:color w:val="000000" w:themeColor="text1"/>
          <w:sz w:val="22"/>
          <w:szCs w:val="22"/>
        </w:rPr>
        <w:t>How should the General Comment treat the role of parents and other caregivers?</w:t>
      </w:r>
    </w:p>
    <w:p w14:paraId="675F86CE" w14:textId="56F48A6E" w:rsidR="008835E7" w:rsidRPr="00B21F9B" w:rsidRDefault="008835E7" w:rsidP="00B21F9B">
      <w:pPr>
        <w:pStyle w:val="ListParagraph"/>
        <w:numPr>
          <w:ilvl w:val="0"/>
          <w:numId w:val="1"/>
        </w:numPr>
        <w:spacing w:line="360" w:lineRule="auto"/>
        <w:jc w:val="both"/>
        <w:rPr>
          <w:rFonts w:ascii="Times New Roman" w:hAnsi="Times New Roman"/>
          <w:color w:val="000000" w:themeColor="text1"/>
          <w:sz w:val="22"/>
          <w:szCs w:val="22"/>
        </w:rPr>
      </w:pPr>
      <w:r w:rsidRPr="00B21F9B">
        <w:rPr>
          <w:rFonts w:ascii="Times New Roman" w:hAnsi="Times New Roman"/>
          <w:color w:val="000000" w:themeColor="text1"/>
          <w:sz w:val="22"/>
          <w:szCs w:val="22"/>
        </w:rPr>
        <w:lastRenderedPageBreak/>
        <w:t>How should the practices of businesses operating in the digital environment support the realisation of children's rights?</w:t>
      </w:r>
    </w:p>
    <w:p w14:paraId="7E6F8C1A" w14:textId="322C7BDE" w:rsidR="00E42BDE" w:rsidRPr="00B21F9B" w:rsidRDefault="00E42BDE" w:rsidP="00B21F9B">
      <w:pPr>
        <w:pStyle w:val="ListParagraph"/>
        <w:numPr>
          <w:ilvl w:val="1"/>
          <w:numId w:val="1"/>
        </w:numPr>
        <w:spacing w:line="360" w:lineRule="auto"/>
        <w:jc w:val="both"/>
        <w:rPr>
          <w:rFonts w:ascii="Times New Roman" w:hAnsi="Times New Roman"/>
          <w:color w:val="000000" w:themeColor="text1"/>
          <w:sz w:val="22"/>
          <w:szCs w:val="22"/>
        </w:rPr>
      </w:pPr>
      <w:r w:rsidRPr="00B21F9B">
        <w:rPr>
          <w:rFonts w:ascii="Times New Roman" w:hAnsi="Times New Roman"/>
          <w:color w:val="000000" w:themeColor="text1"/>
          <w:sz w:val="22"/>
          <w:szCs w:val="22"/>
        </w:rPr>
        <w:t xml:space="preserve">Social media platforms, gaming companies, and websites, should be responsible for removing the worst forms of content that is harmful to children, such as content that encourages suicide, extreme violence, and sexual exploitation. Technology companies should also take  responsibility ensure that algorithms do not reinforce searches by children for harmful content, as was highlighted in the recent case involving a </w:t>
      </w:r>
      <w:hyperlink r:id="rId11" w:history="1">
        <w:r w:rsidRPr="00B21F9B">
          <w:rPr>
            <w:rStyle w:val="Hyperlink"/>
            <w:rFonts w:ascii="Times New Roman" w:hAnsi="Times New Roman"/>
            <w:sz w:val="22"/>
            <w:szCs w:val="22"/>
          </w:rPr>
          <w:t>British girl who committed suicide</w:t>
        </w:r>
      </w:hyperlink>
      <w:r w:rsidRPr="00B21F9B">
        <w:rPr>
          <w:rFonts w:ascii="Times New Roman" w:hAnsi="Times New Roman"/>
          <w:color w:val="000000" w:themeColor="text1"/>
          <w:sz w:val="22"/>
          <w:szCs w:val="22"/>
        </w:rPr>
        <w:t xml:space="preserve"> after her Instagram feed reinforced her searches for suicide-related content.  for States should consider imposing a duty of care on companies in this regard, as recently set out by the </w:t>
      </w:r>
      <w:hyperlink r:id="rId12" w:history="1">
        <w:r w:rsidRPr="00B21F9B">
          <w:rPr>
            <w:rStyle w:val="Hyperlink"/>
            <w:rFonts w:ascii="Times New Roman" w:hAnsi="Times New Roman"/>
            <w:sz w:val="22"/>
            <w:szCs w:val="22"/>
          </w:rPr>
          <w:t>NPSCC</w:t>
        </w:r>
      </w:hyperlink>
      <w:r w:rsidR="00CC57DD">
        <w:rPr>
          <w:rStyle w:val="Hyperlink"/>
          <w:rFonts w:ascii="Times New Roman" w:hAnsi="Times New Roman"/>
          <w:sz w:val="22"/>
          <w:szCs w:val="22"/>
        </w:rPr>
        <w:t>.</w:t>
      </w:r>
    </w:p>
    <w:p w14:paraId="09C30A8B" w14:textId="0DD8CEA5" w:rsidR="00FA3D17" w:rsidRPr="00B21F9B" w:rsidRDefault="00FA3D17" w:rsidP="00B21F9B">
      <w:pPr>
        <w:pStyle w:val="ListParagraph"/>
        <w:numPr>
          <w:ilvl w:val="1"/>
          <w:numId w:val="1"/>
        </w:numPr>
        <w:spacing w:line="360" w:lineRule="auto"/>
        <w:jc w:val="both"/>
        <w:rPr>
          <w:rFonts w:ascii="Times New Roman" w:hAnsi="Times New Roman"/>
          <w:color w:val="000000" w:themeColor="text1"/>
          <w:sz w:val="22"/>
          <w:szCs w:val="22"/>
        </w:rPr>
      </w:pPr>
      <w:r w:rsidRPr="00B21F9B">
        <w:rPr>
          <w:rFonts w:ascii="Times New Roman" w:hAnsi="Times New Roman"/>
          <w:color w:val="000000" w:themeColor="text1"/>
          <w:sz w:val="22"/>
          <w:szCs w:val="22"/>
        </w:rPr>
        <w:t xml:space="preserve">Businesses should follow the children’s rights and business principles. </w:t>
      </w:r>
      <w:r w:rsidR="00D77399" w:rsidRPr="00B21F9B">
        <w:rPr>
          <w:rFonts w:ascii="Times New Roman" w:hAnsi="Times New Roman"/>
          <w:color w:val="000000" w:themeColor="text1"/>
          <w:sz w:val="22"/>
          <w:szCs w:val="22"/>
        </w:rPr>
        <w:t>UNICEF and the ITU have produced a range of practical guidance documents and toolkits for busin</w:t>
      </w:r>
      <w:r w:rsidR="00CC57DD">
        <w:rPr>
          <w:rFonts w:ascii="Times New Roman" w:hAnsi="Times New Roman"/>
          <w:color w:val="000000" w:themeColor="text1"/>
          <w:sz w:val="22"/>
          <w:szCs w:val="22"/>
        </w:rPr>
        <w:t xml:space="preserve">ess in this regard. </w:t>
      </w:r>
    </w:p>
    <w:p w14:paraId="29D91459" w14:textId="10552D8D" w:rsidR="008835E7" w:rsidRPr="00CC57DD" w:rsidRDefault="00D77399" w:rsidP="00B21F9B">
      <w:pPr>
        <w:pStyle w:val="ListParagraph"/>
        <w:numPr>
          <w:ilvl w:val="1"/>
          <w:numId w:val="1"/>
        </w:numPr>
        <w:spacing w:line="360" w:lineRule="auto"/>
        <w:jc w:val="both"/>
        <w:rPr>
          <w:rFonts w:ascii="Times New Roman" w:hAnsi="Times New Roman"/>
          <w:color w:val="000000" w:themeColor="text1"/>
          <w:sz w:val="22"/>
          <w:szCs w:val="22"/>
        </w:rPr>
      </w:pPr>
      <w:r w:rsidRPr="00B21F9B">
        <w:rPr>
          <w:rFonts w:ascii="Times New Roman" w:hAnsi="Times New Roman"/>
          <w:color w:val="000000" w:themeColor="text1"/>
          <w:sz w:val="22"/>
          <w:szCs w:val="22"/>
        </w:rPr>
        <w:t xml:space="preserve">Social media companies could support the UN by providing data on prevalence of </w:t>
      </w:r>
      <w:r w:rsidR="00725730" w:rsidRPr="00B21F9B">
        <w:rPr>
          <w:rFonts w:ascii="Times New Roman" w:hAnsi="Times New Roman"/>
          <w:color w:val="000000" w:themeColor="text1"/>
          <w:sz w:val="22"/>
          <w:szCs w:val="22"/>
        </w:rPr>
        <w:t xml:space="preserve">reported violence against children online through their applications. It is understood that many companies collect and analyse this </w:t>
      </w:r>
      <w:r w:rsidR="00D65658" w:rsidRPr="00B21F9B">
        <w:rPr>
          <w:rFonts w:ascii="Times New Roman" w:hAnsi="Times New Roman"/>
          <w:color w:val="000000" w:themeColor="text1"/>
          <w:sz w:val="22"/>
          <w:szCs w:val="22"/>
        </w:rPr>
        <w:t>data but</w:t>
      </w:r>
      <w:r w:rsidR="00725730" w:rsidRPr="00B21F9B">
        <w:rPr>
          <w:rFonts w:ascii="Times New Roman" w:hAnsi="Times New Roman"/>
          <w:color w:val="000000" w:themeColor="text1"/>
          <w:sz w:val="22"/>
          <w:szCs w:val="22"/>
        </w:rPr>
        <w:t xml:space="preserve"> will not share it due to the commercial risk to their reputation. </w:t>
      </w:r>
    </w:p>
    <w:p w14:paraId="5142029B" w14:textId="07518976" w:rsidR="008835E7" w:rsidRPr="00B21F9B" w:rsidRDefault="008835E7" w:rsidP="00B21F9B">
      <w:pPr>
        <w:pStyle w:val="ListParagraph"/>
        <w:numPr>
          <w:ilvl w:val="0"/>
          <w:numId w:val="1"/>
        </w:numPr>
        <w:spacing w:line="360" w:lineRule="auto"/>
        <w:jc w:val="both"/>
        <w:rPr>
          <w:rFonts w:ascii="Times New Roman" w:hAnsi="Times New Roman"/>
          <w:sz w:val="22"/>
          <w:szCs w:val="22"/>
        </w:rPr>
      </w:pPr>
      <w:r w:rsidRPr="00B21F9B">
        <w:rPr>
          <w:rFonts w:ascii="Times New Roman" w:hAnsi="Times New Roman"/>
          <w:color w:val="000000" w:themeColor="text1"/>
          <w:sz w:val="22"/>
          <w:szCs w:val="22"/>
        </w:rPr>
        <w:t>How can States better realise their obligations to children's rights in relation to the digital environment?</w:t>
      </w:r>
    </w:p>
    <w:p w14:paraId="5E1333DB" w14:textId="28A6F9F2" w:rsidR="00725730" w:rsidRPr="00B21F9B" w:rsidRDefault="00725730" w:rsidP="00B21F9B">
      <w:pPr>
        <w:pStyle w:val="ListParagraph"/>
        <w:numPr>
          <w:ilvl w:val="1"/>
          <w:numId w:val="1"/>
        </w:numPr>
        <w:spacing w:line="360" w:lineRule="auto"/>
        <w:jc w:val="both"/>
        <w:rPr>
          <w:rFonts w:ascii="Times New Roman" w:hAnsi="Times New Roman"/>
          <w:sz w:val="22"/>
          <w:szCs w:val="22"/>
        </w:rPr>
      </w:pPr>
      <w:r w:rsidRPr="00B21F9B">
        <w:rPr>
          <w:rFonts w:ascii="Times New Roman" w:hAnsi="Times New Roman"/>
          <w:color w:val="000000" w:themeColor="text1"/>
          <w:sz w:val="22"/>
          <w:szCs w:val="22"/>
        </w:rPr>
        <w:t>States need to carefully balance children’s rights to protection, with their other rights to privacy, freedom of expression, and access to information. There are certain areas in which minimum State regulation should be imposed on the ICT sector as follows:</w:t>
      </w:r>
    </w:p>
    <w:p w14:paraId="28CF8126" w14:textId="26080234" w:rsidR="00725730" w:rsidRPr="00B21F9B" w:rsidRDefault="00725730" w:rsidP="00CC57DD">
      <w:pPr>
        <w:pStyle w:val="ListParagraph"/>
        <w:numPr>
          <w:ilvl w:val="2"/>
          <w:numId w:val="1"/>
        </w:numPr>
        <w:spacing w:line="360" w:lineRule="auto"/>
        <w:jc w:val="both"/>
        <w:rPr>
          <w:rFonts w:ascii="Times New Roman" w:hAnsi="Times New Roman"/>
          <w:sz w:val="22"/>
          <w:szCs w:val="22"/>
        </w:rPr>
      </w:pPr>
      <w:r w:rsidRPr="00B21F9B">
        <w:rPr>
          <w:rFonts w:ascii="Times New Roman" w:hAnsi="Times New Roman"/>
          <w:color w:val="000000" w:themeColor="text1"/>
          <w:sz w:val="22"/>
          <w:szCs w:val="22"/>
        </w:rPr>
        <w:t>Retention and preservation of data by internet service providers to enable better investigation of cases involving child sex abuse materials.</w:t>
      </w:r>
      <w:r w:rsidR="001E5F40" w:rsidRPr="00B21F9B">
        <w:rPr>
          <w:rFonts w:ascii="Times New Roman" w:hAnsi="Times New Roman"/>
          <w:color w:val="000000" w:themeColor="text1"/>
          <w:sz w:val="22"/>
          <w:szCs w:val="22"/>
        </w:rPr>
        <w:t xml:space="preserve"> See further </w:t>
      </w:r>
      <w:hyperlink r:id="rId13" w:history="1">
        <w:r w:rsidR="001E5F40" w:rsidRPr="00B21F9B">
          <w:rPr>
            <w:rStyle w:val="Hyperlink"/>
            <w:rFonts w:ascii="Times New Roman" w:hAnsi="Times New Roman"/>
            <w:sz w:val="22"/>
            <w:szCs w:val="22"/>
          </w:rPr>
          <w:t>ICMEC Model Legislation</w:t>
        </w:r>
      </w:hyperlink>
      <w:r w:rsidR="001E5F40" w:rsidRPr="00B21F9B">
        <w:rPr>
          <w:rFonts w:ascii="Times New Roman" w:hAnsi="Times New Roman"/>
          <w:color w:val="000000" w:themeColor="text1"/>
          <w:sz w:val="22"/>
          <w:szCs w:val="22"/>
        </w:rPr>
        <w:t xml:space="preserve"> and global review.</w:t>
      </w:r>
    </w:p>
    <w:p w14:paraId="217503D6" w14:textId="3A4EA45F" w:rsidR="00725730" w:rsidRPr="00B21F9B" w:rsidRDefault="00725730" w:rsidP="00CC57DD">
      <w:pPr>
        <w:pStyle w:val="ListParagraph"/>
        <w:numPr>
          <w:ilvl w:val="2"/>
          <w:numId w:val="1"/>
        </w:numPr>
        <w:spacing w:line="360" w:lineRule="auto"/>
        <w:jc w:val="both"/>
        <w:rPr>
          <w:rFonts w:ascii="Times New Roman" w:hAnsi="Times New Roman"/>
          <w:sz w:val="22"/>
          <w:szCs w:val="22"/>
        </w:rPr>
      </w:pPr>
      <w:r w:rsidRPr="00B21F9B">
        <w:rPr>
          <w:rFonts w:ascii="Times New Roman" w:hAnsi="Times New Roman"/>
          <w:sz w:val="22"/>
          <w:szCs w:val="22"/>
        </w:rPr>
        <w:t xml:space="preserve">Removal of known online content containing child sex abuse materials such as the </w:t>
      </w:r>
      <w:hyperlink r:id="rId14" w:history="1">
        <w:r w:rsidR="001E5F40" w:rsidRPr="00B21F9B">
          <w:rPr>
            <w:rStyle w:val="Hyperlink"/>
            <w:rFonts w:ascii="Times New Roman" w:hAnsi="Times New Roman"/>
            <w:sz w:val="22"/>
            <w:szCs w:val="22"/>
          </w:rPr>
          <w:t xml:space="preserve">INTERPOL </w:t>
        </w:r>
        <w:r w:rsidRPr="00B21F9B">
          <w:rPr>
            <w:rStyle w:val="Hyperlink"/>
            <w:rFonts w:ascii="Times New Roman" w:hAnsi="Times New Roman"/>
            <w:sz w:val="22"/>
            <w:szCs w:val="22"/>
          </w:rPr>
          <w:t>Worst of List</w:t>
        </w:r>
      </w:hyperlink>
      <w:r w:rsidRPr="00B21F9B">
        <w:rPr>
          <w:rFonts w:ascii="Times New Roman" w:hAnsi="Times New Roman"/>
          <w:sz w:val="22"/>
          <w:szCs w:val="22"/>
        </w:rPr>
        <w:t xml:space="preserve">. </w:t>
      </w:r>
    </w:p>
    <w:p w14:paraId="0FBF7051" w14:textId="186B28C6" w:rsidR="00725730" w:rsidRPr="00B21F9B" w:rsidRDefault="00725730" w:rsidP="00CC57DD">
      <w:pPr>
        <w:pStyle w:val="ListParagraph"/>
        <w:numPr>
          <w:ilvl w:val="2"/>
          <w:numId w:val="1"/>
        </w:numPr>
        <w:spacing w:line="360" w:lineRule="auto"/>
        <w:jc w:val="both"/>
        <w:rPr>
          <w:rFonts w:ascii="Times New Roman" w:hAnsi="Times New Roman"/>
          <w:sz w:val="22"/>
          <w:szCs w:val="22"/>
        </w:rPr>
      </w:pPr>
      <w:r w:rsidRPr="00B21F9B">
        <w:rPr>
          <w:rFonts w:ascii="Times New Roman" w:hAnsi="Times New Roman"/>
          <w:sz w:val="22"/>
          <w:szCs w:val="22"/>
        </w:rPr>
        <w:t>Imposition of a duty of care on social media companies</w:t>
      </w:r>
    </w:p>
    <w:p w14:paraId="6207F916" w14:textId="7D421F63" w:rsidR="00725730" w:rsidRPr="00B21F9B" w:rsidRDefault="00725730" w:rsidP="00CC57DD">
      <w:pPr>
        <w:pStyle w:val="ListParagraph"/>
        <w:numPr>
          <w:ilvl w:val="2"/>
          <w:numId w:val="1"/>
        </w:numPr>
        <w:spacing w:line="360" w:lineRule="auto"/>
        <w:jc w:val="both"/>
        <w:rPr>
          <w:rFonts w:ascii="Times New Roman" w:hAnsi="Times New Roman"/>
          <w:sz w:val="22"/>
          <w:szCs w:val="22"/>
        </w:rPr>
      </w:pPr>
      <w:r w:rsidRPr="00B21F9B">
        <w:rPr>
          <w:rFonts w:ascii="Times New Roman" w:hAnsi="Times New Roman"/>
          <w:sz w:val="22"/>
          <w:szCs w:val="22"/>
        </w:rPr>
        <w:t>Promotion of a free civic space online</w:t>
      </w:r>
    </w:p>
    <w:p w14:paraId="0B70B0FA" w14:textId="5C5A428D" w:rsidR="00725730" w:rsidRPr="00B21F9B" w:rsidRDefault="001E5F40" w:rsidP="00CC57DD">
      <w:pPr>
        <w:pStyle w:val="ListParagraph"/>
        <w:numPr>
          <w:ilvl w:val="2"/>
          <w:numId w:val="1"/>
        </w:numPr>
        <w:spacing w:line="360" w:lineRule="auto"/>
        <w:jc w:val="both"/>
        <w:rPr>
          <w:rFonts w:ascii="Times New Roman" w:hAnsi="Times New Roman"/>
          <w:sz w:val="22"/>
          <w:szCs w:val="22"/>
        </w:rPr>
      </w:pPr>
      <w:r w:rsidRPr="00B21F9B">
        <w:rPr>
          <w:rFonts w:ascii="Times New Roman" w:hAnsi="Times New Roman"/>
          <w:sz w:val="22"/>
          <w:szCs w:val="22"/>
        </w:rPr>
        <w:t xml:space="preserve">Regulation of retention of children’s data by the private sector, especially biometric data. </w:t>
      </w:r>
    </w:p>
    <w:p w14:paraId="42921F9A" w14:textId="26DCE966" w:rsidR="008835E7" w:rsidRPr="00D65658" w:rsidRDefault="008835E7" w:rsidP="00B21F9B">
      <w:pPr>
        <w:pStyle w:val="ListParagraph"/>
        <w:numPr>
          <w:ilvl w:val="0"/>
          <w:numId w:val="1"/>
        </w:numPr>
        <w:spacing w:line="360" w:lineRule="auto"/>
        <w:jc w:val="both"/>
        <w:rPr>
          <w:rFonts w:ascii="Times New Roman" w:hAnsi="Times New Roman"/>
          <w:sz w:val="22"/>
          <w:szCs w:val="22"/>
        </w:rPr>
      </w:pPr>
      <w:r w:rsidRPr="00B21F9B">
        <w:rPr>
          <w:rFonts w:ascii="Times New Roman" w:hAnsi="Times New Roman"/>
          <w:color w:val="000000" w:themeColor="text1"/>
          <w:sz w:val="22"/>
          <w:szCs w:val="22"/>
        </w:rPr>
        <w:t>Is the realisation of children’s rights in the digital environment necessary to realise children’s rights in other environments?</w:t>
      </w:r>
    </w:p>
    <w:p w14:paraId="03F2BC6F" w14:textId="61CD4767" w:rsidR="00D65658" w:rsidRPr="00B21F9B" w:rsidRDefault="00D65658" w:rsidP="00D65658">
      <w:pPr>
        <w:pStyle w:val="ListParagraph"/>
        <w:spacing w:line="360" w:lineRule="auto"/>
        <w:jc w:val="both"/>
        <w:rPr>
          <w:rFonts w:ascii="Times New Roman" w:hAnsi="Times New Roman"/>
          <w:sz w:val="22"/>
          <w:szCs w:val="22"/>
        </w:rPr>
      </w:pPr>
    </w:p>
    <w:p w14:paraId="7AD321B8" w14:textId="6A06EDC7" w:rsidR="008835E7" w:rsidRPr="00B21F9B" w:rsidRDefault="00746A60" w:rsidP="00B21F9B">
      <w:pPr>
        <w:spacing w:line="360" w:lineRule="auto"/>
        <w:jc w:val="both"/>
        <w:rPr>
          <w:rFonts w:ascii="Times New Roman" w:hAnsi="Times New Roman" w:cs="Times New Roman"/>
          <w:sz w:val="22"/>
          <w:szCs w:val="22"/>
        </w:rPr>
      </w:pPr>
      <w:r w:rsidRPr="00B21F9B">
        <w:rPr>
          <w:rFonts w:ascii="Times New Roman" w:hAnsi="Times New Roman" w:cs="Times New Roman"/>
          <w:sz w:val="22"/>
          <w:szCs w:val="22"/>
        </w:rPr>
        <w:t xml:space="preserve">Children’s online and offline worlds are increasingly overlapping and sometimes merging. As more educational content moves </w:t>
      </w:r>
      <w:r w:rsidR="00D65658">
        <w:rPr>
          <w:rFonts w:ascii="Times New Roman" w:hAnsi="Times New Roman" w:cs="Times New Roman"/>
          <w:sz w:val="22"/>
          <w:szCs w:val="22"/>
        </w:rPr>
        <w:t>online</w:t>
      </w:r>
      <w:r w:rsidRPr="00B21F9B">
        <w:rPr>
          <w:rFonts w:ascii="Times New Roman" w:hAnsi="Times New Roman" w:cs="Times New Roman"/>
          <w:sz w:val="22"/>
          <w:szCs w:val="22"/>
        </w:rPr>
        <w:t xml:space="preserve"> and technology is used in classrooms, the internet becomes essential </w:t>
      </w:r>
      <w:r w:rsidRPr="00B21F9B">
        <w:rPr>
          <w:rFonts w:ascii="Times New Roman" w:hAnsi="Times New Roman" w:cs="Times New Roman"/>
          <w:sz w:val="22"/>
          <w:szCs w:val="22"/>
        </w:rPr>
        <w:lastRenderedPageBreak/>
        <w:t xml:space="preserve">to children’s right to education and to access information. Further, as technology develops in relation to the internet of things children are increasingly interacting with technology in other environments such as at home (through toys, games, and home technologies such as alexa and robotics) and in public spaces (through public surveillance technologies and through publicly accessible toys and games). </w:t>
      </w:r>
      <w:r w:rsidR="00FD78D3" w:rsidRPr="00B21F9B">
        <w:rPr>
          <w:rFonts w:ascii="Times New Roman" w:hAnsi="Times New Roman" w:cs="Times New Roman"/>
          <w:sz w:val="22"/>
          <w:szCs w:val="22"/>
        </w:rPr>
        <w:t xml:space="preserve">Further, the increased indefinite retention of children’s data by the private sector and governments means that children’s rights to privacy and sometimes identity are being affected across both space and time. </w:t>
      </w:r>
    </w:p>
    <w:p w14:paraId="19D7CAFF" w14:textId="06791357" w:rsidR="0017725D" w:rsidRPr="00B21F9B" w:rsidRDefault="0017725D" w:rsidP="00B21F9B">
      <w:pPr>
        <w:spacing w:line="360" w:lineRule="auto"/>
        <w:jc w:val="both"/>
        <w:rPr>
          <w:rFonts w:ascii="Times New Roman" w:hAnsi="Times New Roman" w:cs="Times New Roman"/>
          <w:sz w:val="22"/>
          <w:szCs w:val="22"/>
        </w:rPr>
      </w:pPr>
    </w:p>
    <w:p w14:paraId="7611F463" w14:textId="27840F7D" w:rsidR="00E569FE" w:rsidRPr="00B21F9B" w:rsidRDefault="00E569FE" w:rsidP="00B21F9B">
      <w:pPr>
        <w:spacing w:line="360" w:lineRule="auto"/>
        <w:rPr>
          <w:rFonts w:ascii="Times New Roman" w:eastAsia="Arial" w:hAnsi="Times New Roman" w:cs="Times New Roman"/>
          <w:b/>
          <w:color w:val="222222"/>
          <w:sz w:val="22"/>
          <w:szCs w:val="22"/>
          <w:highlight w:val="white"/>
        </w:rPr>
      </w:pPr>
      <w:r w:rsidRPr="00B21F9B">
        <w:rPr>
          <w:rFonts w:ascii="Times New Roman" w:eastAsia="Arial" w:hAnsi="Times New Roman" w:cs="Times New Roman"/>
          <w:b/>
          <w:color w:val="222222"/>
          <w:sz w:val="22"/>
          <w:szCs w:val="22"/>
          <w:highlight w:val="white"/>
        </w:rPr>
        <w:t xml:space="preserve">Gender </w:t>
      </w:r>
      <w:r w:rsidR="0017725D" w:rsidRPr="00B21F9B">
        <w:rPr>
          <w:rFonts w:ascii="Times New Roman" w:eastAsia="Arial" w:hAnsi="Times New Roman" w:cs="Times New Roman"/>
          <w:b/>
          <w:color w:val="222222"/>
          <w:sz w:val="22"/>
          <w:szCs w:val="22"/>
          <w:highlight w:val="white"/>
        </w:rPr>
        <w:t xml:space="preserve">perspective </w:t>
      </w:r>
    </w:p>
    <w:p w14:paraId="29D96676" w14:textId="4864FD2E" w:rsidR="00E569FE" w:rsidRPr="00B21F9B" w:rsidRDefault="00E569FE" w:rsidP="00B21F9B">
      <w:pPr>
        <w:spacing w:line="360" w:lineRule="auto"/>
        <w:jc w:val="both"/>
        <w:rPr>
          <w:rFonts w:ascii="Times New Roman" w:eastAsia="Arial" w:hAnsi="Times New Roman" w:cs="Times New Roman"/>
          <w:color w:val="222222"/>
          <w:sz w:val="22"/>
          <w:szCs w:val="22"/>
          <w:highlight w:val="white"/>
        </w:rPr>
      </w:pPr>
      <w:r w:rsidRPr="00B21F9B">
        <w:rPr>
          <w:rFonts w:ascii="Times New Roman" w:eastAsia="Arial" w:hAnsi="Times New Roman" w:cs="Times New Roman"/>
          <w:color w:val="222222"/>
          <w:sz w:val="22"/>
          <w:szCs w:val="22"/>
          <w:highlight w:val="white"/>
        </w:rPr>
        <w:t xml:space="preserve">It is important for the </w:t>
      </w:r>
      <w:r w:rsidR="0017725D" w:rsidRPr="00B21F9B">
        <w:rPr>
          <w:rFonts w:ascii="Times New Roman" w:eastAsia="Arial" w:hAnsi="Times New Roman" w:cs="Times New Roman"/>
          <w:color w:val="222222"/>
          <w:sz w:val="22"/>
          <w:szCs w:val="22"/>
          <w:highlight w:val="white"/>
        </w:rPr>
        <w:t xml:space="preserve">concept </w:t>
      </w:r>
      <w:r w:rsidR="00DF6ADD" w:rsidRPr="00B21F9B">
        <w:rPr>
          <w:rFonts w:ascii="Times New Roman" w:eastAsia="Arial" w:hAnsi="Times New Roman" w:cs="Times New Roman"/>
          <w:color w:val="222222"/>
          <w:sz w:val="22"/>
          <w:szCs w:val="22"/>
          <w:highlight w:val="white"/>
        </w:rPr>
        <w:t>note and</w:t>
      </w:r>
      <w:r w:rsidRPr="00B21F9B">
        <w:rPr>
          <w:rFonts w:ascii="Times New Roman" w:eastAsia="Arial" w:hAnsi="Times New Roman" w:cs="Times New Roman"/>
          <w:color w:val="222222"/>
          <w:sz w:val="22"/>
          <w:szCs w:val="22"/>
          <w:highlight w:val="white"/>
        </w:rPr>
        <w:t xml:space="preserve"> s</w:t>
      </w:r>
      <w:r w:rsidR="0017725D" w:rsidRPr="00B21F9B">
        <w:rPr>
          <w:rFonts w:ascii="Times New Roman" w:eastAsia="Arial" w:hAnsi="Times New Roman" w:cs="Times New Roman"/>
          <w:color w:val="222222"/>
          <w:sz w:val="22"/>
          <w:szCs w:val="22"/>
          <w:highlight w:val="white"/>
        </w:rPr>
        <w:t>ubsequently the General Comment</w:t>
      </w:r>
      <w:r w:rsidRPr="00B21F9B">
        <w:rPr>
          <w:rFonts w:ascii="Times New Roman" w:eastAsia="Arial" w:hAnsi="Times New Roman" w:cs="Times New Roman"/>
          <w:color w:val="222222"/>
          <w:sz w:val="22"/>
          <w:szCs w:val="22"/>
          <w:highlight w:val="white"/>
        </w:rPr>
        <w:t xml:space="preserve">, to acknowledge gender differences in the way boys and girls access and experience digital technology, and its related effect on children’s rights in a digital age and digital environment. We also believe </w:t>
      </w:r>
      <w:r w:rsidR="00DF6ADD" w:rsidRPr="00B21F9B">
        <w:rPr>
          <w:rFonts w:ascii="Times New Roman" w:eastAsia="Arial" w:hAnsi="Times New Roman" w:cs="Times New Roman"/>
          <w:color w:val="222222"/>
          <w:sz w:val="22"/>
          <w:szCs w:val="22"/>
          <w:highlight w:val="white"/>
        </w:rPr>
        <w:t>attention</w:t>
      </w:r>
      <w:r w:rsidRPr="00B21F9B">
        <w:rPr>
          <w:rFonts w:ascii="Times New Roman" w:eastAsia="Arial" w:hAnsi="Times New Roman" w:cs="Times New Roman"/>
          <w:color w:val="222222"/>
          <w:sz w:val="22"/>
          <w:szCs w:val="22"/>
          <w:highlight w:val="white"/>
        </w:rPr>
        <w:t xml:space="preserve"> should be paid to closing the digital gender gap for girls and boys (in access and use, self-efficacy, etc).</w:t>
      </w:r>
    </w:p>
    <w:p w14:paraId="143C974F" w14:textId="77777777" w:rsidR="00E569FE" w:rsidRPr="00B21F9B" w:rsidRDefault="00E569FE" w:rsidP="00B21F9B">
      <w:pPr>
        <w:spacing w:line="360" w:lineRule="auto"/>
        <w:jc w:val="both"/>
        <w:rPr>
          <w:rFonts w:ascii="Times New Roman" w:eastAsia="Arial" w:hAnsi="Times New Roman" w:cs="Times New Roman"/>
          <w:color w:val="222222"/>
          <w:sz w:val="22"/>
          <w:szCs w:val="22"/>
          <w:highlight w:val="white"/>
        </w:rPr>
      </w:pPr>
    </w:p>
    <w:p w14:paraId="73856E63" w14:textId="77777777" w:rsidR="00E569FE" w:rsidRPr="00B21F9B" w:rsidRDefault="00E569FE" w:rsidP="00B21F9B">
      <w:pPr>
        <w:spacing w:line="360" w:lineRule="auto"/>
        <w:jc w:val="both"/>
        <w:rPr>
          <w:rFonts w:ascii="Times New Roman" w:eastAsia="Arial" w:hAnsi="Times New Roman" w:cs="Times New Roman"/>
          <w:color w:val="222222"/>
          <w:sz w:val="22"/>
          <w:szCs w:val="22"/>
          <w:highlight w:val="white"/>
        </w:rPr>
      </w:pPr>
      <w:r w:rsidRPr="00B21F9B">
        <w:rPr>
          <w:rFonts w:ascii="Times New Roman" w:eastAsia="Arial" w:hAnsi="Times New Roman" w:cs="Times New Roman"/>
          <w:color w:val="222222"/>
          <w:sz w:val="22"/>
          <w:szCs w:val="22"/>
          <w:highlight w:val="white"/>
        </w:rPr>
        <w:t>We suggest ensuring there is a gender perspective throughout the General Comment, but particularly in some key groups of rights (as the suggested structure for the GC) where the evidence shows that girls have different online and digital experiences compared to boys:</w:t>
      </w:r>
    </w:p>
    <w:p w14:paraId="60E8D11C" w14:textId="77777777" w:rsidR="00E569FE" w:rsidRPr="00B21F9B" w:rsidRDefault="00E569FE" w:rsidP="00B21F9B">
      <w:pPr>
        <w:spacing w:line="360" w:lineRule="auto"/>
        <w:jc w:val="both"/>
        <w:rPr>
          <w:rFonts w:ascii="Times New Roman" w:eastAsia="Arial" w:hAnsi="Times New Roman" w:cs="Times New Roman"/>
          <w:color w:val="222222"/>
          <w:sz w:val="22"/>
          <w:szCs w:val="22"/>
          <w:highlight w:val="white"/>
        </w:rPr>
      </w:pPr>
    </w:p>
    <w:p w14:paraId="5EAB16D5" w14:textId="4AEA40DB" w:rsidR="00E569FE" w:rsidRPr="00B21F9B" w:rsidRDefault="00E569FE" w:rsidP="00B21F9B">
      <w:pPr>
        <w:numPr>
          <w:ilvl w:val="0"/>
          <w:numId w:val="6"/>
        </w:numPr>
        <w:spacing w:after="120" w:line="360" w:lineRule="auto"/>
        <w:jc w:val="both"/>
        <w:rPr>
          <w:rFonts w:ascii="Times New Roman" w:hAnsi="Times New Roman" w:cs="Times New Roman"/>
          <w:color w:val="222222"/>
          <w:sz w:val="22"/>
          <w:szCs w:val="22"/>
          <w:highlight w:val="white"/>
        </w:rPr>
      </w:pPr>
      <w:r w:rsidRPr="00B21F9B">
        <w:rPr>
          <w:rFonts w:ascii="Times New Roman" w:hAnsi="Times New Roman" w:cs="Times New Roman"/>
          <w:color w:val="222222"/>
          <w:sz w:val="22"/>
          <w:szCs w:val="22"/>
          <w:highlight w:val="white"/>
          <w:u w:val="single"/>
        </w:rPr>
        <w:t>Access to information and freedom of expression and thought</w:t>
      </w:r>
      <w:r w:rsidRPr="00B21F9B">
        <w:rPr>
          <w:rFonts w:ascii="Times New Roman" w:hAnsi="Times New Roman" w:cs="Times New Roman"/>
          <w:color w:val="222222"/>
          <w:sz w:val="22"/>
          <w:szCs w:val="22"/>
          <w:highlight w:val="white"/>
        </w:rPr>
        <w:t xml:space="preserve">: </w:t>
      </w:r>
      <w:r w:rsidRPr="00B21F9B">
        <w:rPr>
          <w:rFonts w:ascii="Times New Roman" w:eastAsia="Arial" w:hAnsi="Times New Roman" w:cs="Times New Roman"/>
          <w:color w:val="222222"/>
          <w:sz w:val="22"/>
          <w:szCs w:val="22"/>
          <w:highlight w:val="white"/>
        </w:rPr>
        <w:t>many girls don’t own phones or digital devices, or they are denied online activity as parents/ care-givers/ communities worry about their online safety, and or place less confidence in girls’ abilities to navigate the online world. In addition, girls face a range of social restrictions (or stricter oversight from adults), based on gender norms, when using digital devices and accessing online information. Content creation and self-expression is often driven by gender norms of feminine and masculine ideals; determines (or limits) platform choices; and online engagement can have gendered consequences (</w:t>
      </w:r>
      <w:r w:rsidR="00DF6ADD" w:rsidRPr="00B21F9B">
        <w:rPr>
          <w:rFonts w:ascii="Times New Roman" w:eastAsia="Arial" w:hAnsi="Times New Roman" w:cs="Times New Roman"/>
          <w:color w:val="222222"/>
          <w:sz w:val="22"/>
          <w:szCs w:val="22"/>
          <w:highlight w:val="white"/>
        </w:rPr>
        <w:t>e.g.</w:t>
      </w:r>
      <w:r w:rsidRPr="00B21F9B">
        <w:rPr>
          <w:rFonts w:ascii="Times New Roman" w:eastAsia="Arial" w:hAnsi="Times New Roman" w:cs="Times New Roman"/>
          <w:color w:val="222222"/>
          <w:sz w:val="22"/>
          <w:szCs w:val="22"/>
          <w:highlight w:val="white"/>
        </w:rPr>
        <w:t xml:space="preserve"> trolling, cyber-bullying) and experienced differently by girls and boys and gender divers</w:t>
      </w:r>
      <w:r w:rsidR="00DF6ADD">
        <w:rPr>
          <w:rFonts w:ascii="Times New Roman" w:eastAsia="Arial" w:hAnsi="Times New Roman" w:cs="Times New Roman"/>
          <w:color w:val="222222"/>
          <w:sz w:val="22"/>
          <w:szCs w:val="22"/>
          <w:highlight w:val="white"/>
        </w:rPr>
        <w:t>e</w:t>
      </w:r>
      <w:r w:rsidRPr="00B21F9B">
        <w:rPr>
          <w:rFonts w:ascii="Times New Roman" w:eastAsia="Arial" w:hAnsi="Times New Roman" w:cs="Times New Roman"/>
          <w:color w:val="222222"/>
          <w:sz w:val="22"/>
          <w:szCs w:val="22"/>
          <w:highlight w:val="white"/>
        </w:rPr>
        <w:t xml:space="preserve"> children. </w:t>
      </w:r>
    </w:p>
    <w:p w14:paraId="6497C64A" w14:textId="1B2FBABC" w:rsidR="00E569FE" w:rsidRPr="00B21F9B" w:rsidRDefault="00E569FE" w:rsidP="00B21F9B">
      <w:pPr>
        <w:pStyle w:val="ListParagraph"/>
        <w:numPr>
          <w:ilvl w:val="0"/>
          <w:numId w:val="7"/>
        </w:numPr>
        <w:autoSpaceDE w:val="0"/>
        <w:autoSpaceDN w:val="0"/>
        <w:adjustRightInd w:val="0"/>
        <w:spacing w:after="120" w:line="360" w:lineRule="auto"/>
        <w:contextualSpacing w:val="0"/>
        <w:jc w:val="both"/>
        <w:rPr>
          <w:rFonts w:ascii="Times New Roman" w:hAnsi="Times New Roman"/>
          <w:color w:val="222222"/>
          <w:sz w:val="22"/>
          <w:szCs w:val="22"/>
          <w:highlight w:val="white"/>
        </w:rPr>
      </w:pPr>
      <w:r w:rsidRPr="00B21F9B">
        <w:rPr>
          <w:rFonts w:ascii="Times New Roman" w:eastAsia="Arial" w:hAnsi="Times New Roman"/>
          <w:color w:val="222222"/>
          <w:sz w:val="22"/>
          <w:szCs w:val="22"/>
          <w:highlight w:val="white"/>
          <w:u w:val="single"/>
        </w:rPr>
        <w:t>Right to education and digital literacy</w:t>
      </w:r>
      <w:r w:rsidRPr="00B21F9B">
        <w:rPr>
          <w:rFonts w:ascii="Times New Roman" w:eastAsia="Arial" w:hAnsi="Times New Roman"/>
          <w:color w:val="222222"/>
          <w:sz w:val="22"/>
          <w:szCs w:val="22"/>
          <w:highlight w:val="white"/>
        </w:rPr>
        <w:t xml:space="preserve">: the most compelling evidence of the impact of gender stereotypes around technology is the ‘self-efficacy’ gender gap, or the difference between girls’ and boys’ confidence and belief in their abilities. Girls have more barriers related to access and use of (digital) technology than boys, which is often because of lower levels of education and due to social and gender norms. Without equal access and use, girls can’t develop digital literacy in the same way as boys, </w:t>
      </w:r>
      <w:r w:rsidR="00DF6ADD" w:rsidRPr="00B21F9B">
        <w:rPr>
          <w:rFonts w:ascii="Times New Roman" w:eastAsia="Arial" w:hAnsi="Times New Roman"/>
          <w:color w:val="222222"/>
          <w:sz w:val="22"/>
          <w:szCs w:val="22"/>
          <w:highlight w:val="white"/>
        </w:rPr>
        <w:t>i.e.</w:t>
      </w:r>
      <w:r w:rsidRPr="00B21F9B">
        <w:rPr>
          <w:rFonts w:ascii="Times New Roman" w:eastAsia="Arial" w:hAnsi="Times New Roman"/>
          <w:color w:val="222222"/>
          <w:sz w:val="22"/>
          <w:szCs w:val="22"/>
          <w:highlight w:val="white"/>
        </w:rPr>
        <w:t xml:space="preserve"> by familiarising themselves with technology, developing same levels of skills and confidence to explore and benefit from the digital environment.</w:t>
      </w:r>
    </w:p>
    <w:p w14:paraId="2D9EE7B7" w14:textId="130C6A1E" w:rsidR="00E569FE" w:rsidRPr="00B21F9B" w:rsidRDefault="00E569FE" w:rsidP="00B21F9B">
      <w:pPr>
        <w:pStyle w:val="ListParagraph"/>
        <w:numPr>
          <w:ilvl w:val="0"/>
          <w:numId w:val="7"/>
        </w:numPr>
        <w:autoSpaceDE w:val="0"/>
        <w:autoSpaceDN w:val="0"/>
        <w:adjustRightInd w:val="0"/>
        <w:spacing w:after="120" w:line="360" w:lineRule="auto"/>
        <w:contextualSpacing w:val="0"/>
        <w:jc w:val="both"/>
        <w:rPr>
          <w:rFonts w:ascii="Times New Roman" w:hAnsi="Times New Roman"/>
          <w:color w:val="222222"/>
          <w:sz w:val="22"/>
          <w:szCs w:val="22"/>
          <w:highlight w:val="white"/>
        </w:rPr>
      </w:pPr>
      <w:r w:rsidRPr="00B21F9B">
        <w:rPr>
          <w:rFonts w:ascii="Times New Roman" w:eastAsia="Arial" w:hAnsi="Times New Roman"/>
          <w:color w:val="222222"/>
          <w:sz w:val="22"/>
          <w:szCs w:val="22"/>
          <w:highlight w:val="white"/>
          <w:u w:val="single"/>
        </w:rPr>
        <w:t>Protection of privacy</w:t>
      </w:r>
      <w:r w:rsidRPr="00B21F9B">
        <w:rPr>
          <w:rFonts w:ascii="Times New Roman" w:eastAsia="Arial" w:hAnsi="Times New Roman"/>
          <w:color w:val="222222"/>
          <w:sz w:val="22"/>
          <w:szCs w:val="22"/>
          <w:highlight w:val="white"/>
        </w:rPr>
        <w:t xml:space="preserve">: girls and boys manage their privacy settings differently; girls have more concerns about their personal information online being exposed to risky situations; they are </w:t>
      </w:r>
      <w:r w:rsidRPr="00B21F9B">
        <w:rPr>
          <w:rFonts w:ascii="Times New Roman" w:eastAsia="Arial" w:hAnsi="Times New Roman"/>
          <w:color w:val="222222"/>
          <w:sz w:val="22"/>
          <w:szCs w:val="22"/>
          <w:highlight w:val="white"/>
        </w:rPr>
        <w:lastRenderedPageBreak/>
        <w:t>also more likely to suffer negative consequences from this than boys (</w:t>
      </w:r>
      <w:r w:rsidR="00DF6ADD" w:rsidRPr="00B21F9B">
        <w:rPr>
          <w:rFonts w:ascii="Times New Roman" w:eastAsia="Arial" w:hAnsi="Times New Roman"/>
          <w:color w:val="222222"/>
          <w:sz w:val="22"/>
          <w:szCs w:val="22"/>
          <w:highlight w:val="white"/>
        </w:rPr>
        <w:t>e.g.</w:t>
      </w:r>
      <w:r w:rsidRPr="00B21F9B">
        <w:rPr>
          <w:rFonts w:ascii="Times New Roman" w:eastAsia="Arial" w:hAnsi="Times New Roman"/>
          <w:color w:val="222222"/>
          <w:sz w:val="22"/>
          <w:szCs w:val="22"/>
          <w:highlight w:val="white"/>
        </w:rPr>
        <w:t xml:space="preserve"> non-consensual disclosure of nude photos appears to be a common practice that affects youths’ lives, and this is gender-based).</w:t>
      </w:r>
    </w:p>
    <w:p w14:paraId="442C215C" w14:textId="77777777" w:rsidR="00E569FE" w:rsidRPr="00B21F9B" w:rsidRDefault="00E569FE" w:rsidP="00B21F9B">
      <w:pPr>
        <w:numPr>
          <w:ilvl w:val="0"/>
          <w:numId w:val="6"/>
        </w:numPr>
        <w:spacing w:after="120" w:line="360" w:lineRule="auto"/>
        <w:jc w:val="both"/>
        <w:rPr>
          <w:rFonts w:ascii="Times New Roman" w:eastAsia="Arial" w:hAnsi="Times New Roman" w:cs="Times New Roman"/>
          <w:color w:val="222222"/>
          <w:sz w:val="22"/>
          <w:szCs w:val="22"/>
          <w:highlight w:val="white"/>
        </w:rPr>
      </w:pPr>
      <w:r w:rsidRPr="00B21F9B">
        <w:rPr>
          <w:rFonts w:ascii="Times New Roman" w:eastAsia="Arial" w:hAnsi="Times New Roman" w:cs="Times New Roman"/>
          <w:color w:val="222222"/>
          <w:sz w:val="22"/>
          <w:szCs w:val="22"/>
          <w:highlight w:val="white"/>
          <w:u w:val="single"/>
        </w:rPr>
        <w:t>Protection from violence, sexual exploitation and other harm</w:t>
      </w:r>
      <w:r w:rsidRPr="00B21F9B">
        <w:rPr>
          <w:rFonts w:ascii="Times New Roman" w:eastAsia="Arial" w:hAnsi="Times New Roman" w:cs="Times New Roman"/>
          <w:color w:val="222222"/>
          <w:sz w:val="22"/>
          <w:szCs w:val="22"/>
          <w:highlight w:val="white"/>
        </w:rPr>
        <w:t>: while this concerns both boys and girls, it is often more of a risk and a concern for girls; girls also experience a range of social restrictions which can mean that they are more likely to internalise ideas that phones can be unsafe or girls cannot be trusted with the phone, thereby further reducing their exposure to and benefit from the digital environment.</w:t>
      </w:r>
    </w:p>
    <w:p w14:paraId="6C08A401" w14:textId="77777777" w:rsidR="00E569FE" w:rsidRPr="00B21F9B" w:rsidRDefault="00E569FE" w:rsidP="00B21F9B">
      <w:pPr>
        <w:spacing w:line="360" w:lineRule="auto"/>
        <w:jc w:val="both"/>
        <w:rPr>
          <w:rFonts w:ascii="Times New Roman" w:eastAsia="Arial" w:hAnsi="Times New Roman" w:cs="Times New Roman"/>
          <w:color w:val="222222"/>
          <w:sz w:val="22"/>
          <w:szCs w:val="22"/>
          <w:highlight w:val="white"/>
        </w:rPr>
      </w:pPr>
    </w:p>
    <w:p w14:paraId="2288B58C" w14:textId="77777777" w:rsidR="00E569FE" w:rsidRPr="00B21F9B" w:rsidRDefault="00E569FE" w:rsidP="00B21F9B">
      <w:pPr>
        <w:spacing w:line="360" w:lineRule="auto"/>
        <w:jc w:val="both"/>
        <w:rPr>
          <w:rFonts w:ascii="Times New Roman" w:eastAsia="Arial" w:hAnsi="Times New Roman" w:cs="Times New Roman"/>
          <w:color w:val="222222"/>
          <w:sz w:val="22"/>
          <w:szCs w:val="22"/>
          <w:highlight w:val="white"/>
        </w:rPr>
      </w:pPr>
      <w:r w:rsidRPr="00B21F9B">
        <w:rPr>
          <w:rFonts w:ascii="Times New Roman" w:eastAsia="Arial" w:hAnsi="Times New Roman" w:cs="Times New Roman"/>
          <w:color w:val="222222"/>
          <w:sz w:val="22"/>
          <w:szCs w:val="22"/>
          <w:highlight w:val="white"/>
        </w:rPr>
        <w:t>These gendered experiences also relate to how discrimination (originating offline or online) needs to be addressed, to ensure all children have their rights realised in a digital world. We recommend an input on how stakeholders can work to ensure that girls, boys and gender divers children have equal access to and use of technology, and that they are safe and secure when online.</w:t>
      </w:r>
    </w:p>
    <w:p w14:paraId="71A98702" w14:textId="77777777" w:rsidR="00E569FE" w:rsidRPr="00B21F9B" w:rsidRDefault="00E569FE" w:rsidP="00B21F9B">
      <w:pPr>
        <w:spacing w:line="360" w:lineRule="auto"/>
        <w:jc w:val="both"/>
        <w:rPr>
          <w:rFonts w:ascii="Times New Roman" w:eastAsia="Arial" w:hAnsi="Times New Roman" w:cs="Times New Roman"/>
          <w:color w:val="222222"/>
          <w:sz w:val="22"/>
          <w:szCs w:val="22"/>
          <w:highlight w:val="white"/>
        </w:rPr>
      </w:pPr>
    </w:p>
    <w:p w14:paraId="0FAD5F0D" w14:textId="77777777" w:rsidR="00E569FE" w:rsidRPr="00B21F9B" w:rsidRDefault="00E569FE" w:rsidP="00B21F9B">
      <w:pPr>
        <w:spacing w:line="360" w:lineRule="auto"/>
        <w:rPr>
          <w:rFonts w:ascii="Times New Roman" w:eastAsia="Arial" w:hAnsi="Times New Roman" w:cs="Times New Roman"/>
          <w:b/>
          <w:color w:val="222222"/>
          <w:sz w:val="22"/>
          <w:szCs w:val="22"/>
          <w:highlight w:val="white"/>
        </w:rPr>
      </w:pPr>
      <w:r w:rsidRPr="00B21F9B">
        <w:rPr>
          <w:rFonts w:ascii="Times New Roman" w:eastAsia="Arial" w:hAnsi="Times New Roman" w:cs="Times New Roman"/>
          <w:b/>
          <w:color w:val="222222"/>
          <w:sz w:val="22"/>
          <w:szCs w:val="22"/>
          <w:highlight w:val="white"/>
        </w:rPr>
        <w:br w:type="page"/>
      </w:r>
    </w:p>
    <w:p w14:paraId="09242B00" w14:textId="77777777" w:rsidR="00E569FE" w:rsidRPr="00B21F9B" w:rsidRDefault="00E569FE" w:rsidP="00B21F9B">
      <w:pPr>
        <w:spacing w:line="360" w:lineRule="auto"/>
        <w:jc w:val="both"/>
        <w:rPr>
          <w:rFonts w:ascii="Times New Roman" w:eastAsia="Arial" w:hAnsi="Times New Roman" w:cs="Times New Roman"/>
          <w:b/>
          <w:color w:val="222222"/>
          <w:sz w:val="22"/>
          <w:szCs w:val="22"/>
          <w:highlight w:val="white"/>
        </w:rPr>
      </w:pPr>
      <w:r w:rsidRPr="00B21F9B">
        <w:rPr>
          <w:rFonts w:ascii="Times New Roman" w:eastAsia="Arial" w:hAnsi="Times New Roman" w:cs="Times New Roman"/>
          <w:b/>
          <w:color w:val="222222"/>
          <w:sz w:val="22"/>
          <w:szCs w:val="22"/>
          <w:highlight w:val="white"/>
        </w:rPr>
        <w:lastRenderedPageBreak/>
        <w:t>Recommended resources</w:t>
      </w:r>
    </w:p>
    <w:p w14:paraId="6C426676" w14:textId="56348EDE" w:rsidR="00E569FE" w:rsidRPr="00B21F9B" w:rsidRDefault="00E569FE" w:rsidP="00B21F9B">
      <w:pPr>
        <w:spacing w:line="360" w:lineRule="auto"/>
        <w:jc w:val="both"/>
        <w:rPr>
          <w:rFonts w:ascii="Times New Roman" w:eastAsia="Arial" w:hAnsi="Times New Roman" w:cs="Times New Roman"/>
          <w:color w:val="222222"/>
          <w:sz w:val="22"/>
          <w:szCs w:val="22"/>
          <w:highlight w:val="white"/>
        </w:rPr>
      </w:pPr>
    </w:p>
    <w:p w14:paraId="0DE29E6A" w14:textId="77777777" w:rsidR="0042482C" w:rsidRPr="0042482C" w:rsidRDefault="0042482C" w:rsidP="0042482C">
      <w:pPr>
        <w:pStyle w:val="ListParagraph"/>
        <w:numPr>
          <w:ilvl w:val="0"/>
          <w:numId w:val="8"/>
        </w:numPr>
        <w:autoSpaceDE w:val="0"/>
        <w:autoSpaceDN w:val="0"/>
        <w:adjustRightInd w:val="0"/>
        <w:rPr>
          <w:rFonts w:ascii="Times New Roman" w:eastAsia="Arial" w:hAnsi="Times New Roman"/>
          <w:sz w:val="22"/>
          <w:szCs w:val="22"/>
          <w:highlight w:val="white"/>
        </w:rPr>
      </w:pPr>
      <w:r w:rsidRPr="0042482C">
        <w:rPr>
          <w:rFonts w:ascii="Times New Roman" w:eastAsia="Arial" w:hAnsi="Times New Roman"/>
          <w:sz w:val="22"/>
          <w:szCs w:val="22"/>
          <w:highlight w:val="white"/>
        </w:rPr>
        <w:t xml:space="preserve">Child Protection in the Digital Age, National Responses to online child sexual abuse and exploitation in ASEAN Member States, UNICEF East Asia and the Pacific, 2016. </w:t>
      </w:r>
    </w:p>
    <w:p w14:paraId="4A2165E6" w14:textId="77777777" w:rsidR="0042482C" w:rsidRPr="0042482C" w:rsidRDefault="0042482C" w:rsidP="0042482C">
      <w:pPr>
        <w:autoSpaceDE w:val="0"/>
        <w:autoSpaceDN w:val="0"/>
        <w:adjustRightInd w:val="0"/>
        <w:rPr>
          <w:rFonts w:ascii="Times New Roman" w:eastAsia="Arial" w:hAnsi="Times New Roman" w:cs="Times New Roman"/>
          <w:sz w:val="22"/>
          <w:szCs w:val="22"/>
          <w:highlight w:val="white"/>
        </w:rPr>
      </w:pPr>
    </w:p>
    <w:p w14:paraId="4A61A731" w14:textId="4D435329" w:rsidR="00E569FE" w:rsidRPr="0042482C" w:rsidRDefault="00E569FE" w:rsidP="0042482C">
      <w:pPr>
        <w:pStyle w:val="ListParagraph"/>
        <w:numPr>
          <w:ilvl w:val="0"/>
          <w:numId w:val="8"/>
        </w:numPr>
        <w:autoSpaceDE w:val="0"/>
        <w:autoSpaceDN w:val="0"/>
        <w:adjustRightInd w:val="0"/>
        <w:rPr>
          <w:rFonts w:ascii="Times New Roman" w:eastAsia="Arial" w:hAnsi="Times New Roman"/>
          <w:color w:val="0070C0"/>
          <w:sz w:val="22"/>
          <w:szCs w:val="22"/>
          <w:highlight w:val="white"/>
        </w:rPr>
      </w:pPr>
      <w:r w:rsidRPr="0042482C">
        <w:rPr>
          <w:rFonts w:ascii="Times New Roman" w:eastAsia="Arial" w:hAnsi="Times New Roman"/>
          <w:color w:val="222222"/>
          <w:sz w:val="22"/>
          <w:szCs w:val="22"/>
          <w:highlight w:val="white"/>
        </w:rPr>
        <w:t>Girl Effect and Vodafone Foundation (2018). Real girls, real lives, connected. Available at</w:t>
      </w:r>
      <w:hyperlink r:id="rId15">
        <w:r w:rsidRPr="0042482C">
          <w:rPr>
            <w:rFonts w:ascii="Times New Roman" w:eastAsia="Arial" w:hAnsi="Times New Roman"/>
            <w:color w:val="222222"/>
            <w:sz w:val="22"/>
            <w:szCs w:val="22"/>
            <w:highlight w:val="white"/>
          </w:rPr>
          <w:t xml:space="preserve"> </w:t>
        </w:r>
      </w:hyperlink>
      <w:hyperlink r:id="rId16">
        <w:r w:rsidRPr="0042482C">
          <w:rPr>
            <w:rFonts w:ascii="Times New Roman" w:eastAsia="Arial" w:hAnsi="Times New Roman"/>
            <w:color w:val="0070C0"/>
            <w:sz w:val="22"/>
            <w:szCs w:val="22"/>
            <w:highlight w:val="white"/>
            <w:u w:val="single"/>
          </w:rPr>
          <w:t>https://www.girlsandmobile.org/</w:t>
        </w:r>
      </w:hyperlink>
    </w:p>
    <w:p w14:paraId="2ADA2F53" w14:textId="7E8D7F62" w:rsidR="0042482C" w:rsidRPr="0042482C" w:rsidRDefault="0042482C" w:rsidP="0042482C">
      <w:pPr>
        <w:autoSpaceDE w:val="0"/>
        <w:autoSpaceDN w:val="0"/>
        <w:adjustRightInd w:val="0"/>
        <w:rPr>
          <w:rFonts w:ascii="Times New Roman" w:eastAsia="Arial" w:hAnsi="Times New Roman"/>
          <w:color w:val="0070C0"/>
          <w:sz w:val="22"/>
          <w:szCs w:val="22"/>
          <w:highlight w:val="white"/>
        </w:rPr>
      </w:pPr>
    </w:p>
    <w:p w14:paraId="1F57D30D" w14:textId="77777777" w:rsidR="00E569FE" w:rsidRPr="00B21F9B" w:rsidRDefault="00E569FE" w:rsidP="00B21F9B">
      <w:pPr>
        <w:numPr>
          <w:ilvl w:val="0"/>
          <w:numId w:val="5"/>
        </w:numPr>
        <w:spacing w:after="120" w:line="360" w:lineRule="auto"/>
        <w:rPr>
          <w:rFonts w:ascii="Times New Roman" w:eastAsia="Arial" w:hAnsi="Times New Roman" w:cs="Times New Roman"/>
          <w:color w:val="0070C0"/>
          <w:sz w:val="22"/>
          <w:szCs w:val="22"/>
          <w:highlight w:val="white"/>
        </w:rPr>
      </w:pPr>
      <w:r w:rsidRPr="00B21F9B">
        <w:rPr>
          <w:rFonts w:ascii="Times New Roman" w:hAnsi="Times New Roman" w:cs="Times New Roman"/>
          <w:sz w:val="22"/>
          <w:szCs w:val="22"/>
        </w:rPr>
        <w:t xml:space="preserve">Sey, A. &amp; Hafkin, N, (EQUALS 2019): Taking Stock: Data and Evidence on Gender Equality in Digital Access, Skills, and Leadership. </w:t>
      </w:r>
      <w:hyperlink r:id="rId17" w:history="1">
        <w:r w:rsidRPr="00B21F9B">
          <w:rPr>
            <w:rStyle w:val="Hyperlink"/>
            <w:rFonts w:ascii="Times New Roman" w:eastAsia="Arial" w:hAnsi="Times New Roman" w:cs="Times New Roman"/>
            <w:color w:val="0070C0"/>
            <w:sz w:val="22"/>
            <w:szCs w:val="22"/>
          </w:rPr>
          <w:t>https://www.itu.int/en/action/gender-</w:t>
        </w:r>
        <w:bookmarkStart w:id="0" w:name="_GoBack"/>
        <w:bookmarkEnd w:id="0"/>
        <w:r w:rsidRPr="00B21F9B">
          <w:rPr>
            <w:rStyle w:val="Hyperlink"/>
            <w:rFonts w:ascii="Times New Roman" w:eastAsia="Arial" w:hAnsi="Times New Roman" w:cs="Times New Roman"/>
            <w:color w:val="0070C0"/>
            <w:sz w:val="22"/>
            <w:szCs w:val="22"/>
          </w:rPr>
          <w:t>quality/Documents/EQUALS%20Research%20Report%202019.pdf</w:t>
        </w:r>
      </w:hyperlink>
    </w:p>
    <w:p w14:paraId="074861CF" w14:textId="77777777" w:rsidR="00E569FE" w:rsidRPr="00B21F9B" w:rsidRDefault="00E569FE" w:rsidP="00B21F9B">
      <w:pPr>
        <w:pStyle w:val="ListParagraph"/>
        <w:numPr>
          <w:ilvl w:val="0"/>
          <w:numId w:val="5"/>
        </w:numPr>
        <w:spacing w:after="160" w:line="360" w:lineRule="auto"/>
        <w:contextualSpacing w:val="0"/>
        <w:rPr>
          <w:rFonts w:ascii="Times New Roman" w:hAnsi="Times New Roman"/>
          <w:color w:val="0070C0"/>
          <w:sz w:val="22"/>
          <w:szCs w:val="22"/>
        </w:rPr>
      </w:pPr>
      <w:r w:rsidRPr="00B21F9B">
        <w:rPr>
          <w:rFonts w:ascii="Times New Roman" w:hAnsi="Times New Roman"/>
          <w:sz w:val="22"/>
          <w:szCs w:val="22"/>
        </w:rPr>
        <w:t xml:space="preserve">GSMA Connected Women, 2018. A Toolkit for Researching Women’s Internet Access and Use. Available at </w:t>
      </w:r>
      <w:hyperlink r:id="rId18">
        <w:r w:rsidRPr="00B21F9B">
          <w:rPr>
            <w:rFonts w:ascii="Times New Roman" w:hAnsi="Times New Roman"/>
            <w:color w:val="0070C0"/>
            <w:sz w:val="22"/>
            <w:szCs w:val="22"/>
            <w:u w:val="single"/>
          </w:rPr>
          <w:t>https://www.gsma.com/mobilefordevelopment/resources/a-toolkit-for-researching-womens-internet-access-and-use/</w:t>
        </w:r>
      </w:hyperlink>
    </w:p>
    <w:p w14:paraId="7EDCEBA2" w14:textId="77777777" w:rsidR="00E569FE" w:rsidRPr="00B21F9B" w:rsidRDefault="00E569FE" w:rsidP="00B21F9B">
      <w:pPr>
        <w:pStyle w:val="ListParagraph"/>
        <w:numPr>
          <w:ilvl w:val="0"/>
          <w:numId w:val="5"/>
        </w:numPr>
        <w:spacing w:after="160" w:line="360" w:lineRule="auto"/>
        <w:contextualSpacing w:val="0"/>
        <w:rPr>
          <w:rFonts w:ascii="Times New Roman" w:hAnsi="Times New Roman"/>
          <w:color w:val="0070C0"/>
          <w:sz w:val="22"/>
          <w:szCs w:val="22"/>
        </w:rPr>
      </w:pPr>
      <w:r w:rsidRPr="00B21F9B">
        <w:rPr>
          <w:rFonts w:ascii="Times New Roman" w:hAnsi="Times New Roman"/>
          <w:sz w:val="22"/>
          <w:szCs w:val="22"/>
        </w:rPr>
        <w:t xml:space="preserve">GSMA Connected Women, 2019. The Mobile Gender Gap Report 2019. Available at </w:t>
      </w:r>
      <w:hyperlink r:id="rId19">
        <w:r w:rsidRPr="00B21F9B">
          <w:rPr>
            <w:rFonts w:ascii="Times New Roman" w:hAnsi="Times New Roman"/>
            <w:color w:val="0070C0"/>
            <w:sz w:val="22"/>
            <w:szCs w:val="22"/>
            <w:u w:val="single"/>
          </w:rPr>
          <w:t>https://www.gsma.com/mobilefordevelopment/resources/mobile-gender-gap-report-2019/</w:t>
        </w:r>
      </w:hyperlink>
    </w:p>
    <w:p w14:paraId="7C4890D9" w14:textId="77777777" w:rsidR="00E569FE" w:rsidRPr="00B21F9B" w:rsidRDefault="00E569FE" w:rsidP="00B21F9B">
      <w:pPr>
        <w:numPr>
          <w:ilvl w:val="0"/>
          <w:numId w:val="5"/>
        </w:numPr>
        <w:spacing w:after="120" w:line="360" w:lineRule="auto"/>
        <w:rPr>
          <w:rFonts w:ascii="Times New Roman" w:eastAsia="Arial" w:hAnsi="Times New Roman" w:cs="Times New Roman"/>
          <w:color w:val="0070C0"/>
          <w:sz w:val="22"/>
          <w:szCs w:val="22"/>
          <w:highlight w:val="white"/>
        </w:rPr>
      </w:pPr>
      <w:r w:rsidRPr="00B21F9B">
        <w:rPr>
          <w:rFonts w:ascii="Times New Roman" w:eastAsia="Arial" w:hAnsi="Times New Roman" w:cs="Times New Roman"/>
          <w:color w:val="222222"/>
          <w:sz w:val="22"/>
          <w:szCs w:val="22"/>
          <w:highlight w:val="white"/>
        </w:rPr>
        <w:t xml:space="preserve">UNESCO Policy Brief – I would blush if I could (2019). Rationales and Recommendations for Gender Equal Digital Skills Education. </w:t>
      </w:r>
      <w:hyperlink r:id="rId20" w:history="1">
        <w:r w:rsidRPr="00B21F9B">
          <w:rPr>
            <w:rStyle w:val="Hyperlink"/>
            <w:rFonts w:ascii="Times New Roman" w:eastAsia="Arial" w:hAnsi="Times New Roman" w:cs="Times New Roman"/>
            <w:color w:val="0070C0"/>
            <w:sz w:val="22"/>
            <w:szCs w:val="22"/>
          </w:rPr>
          <w:t>https://en.unesco.org/events/id-blush-if-i-couldclosing-gender-divides-digital-skills-through-education</w:t>
        </w:r>
      </w:hyperlink>
    </w:p>
    <w:p w14:paraId="06E9BD5C" w14:textId="77777777" w:rsidR="00E569FE" w:rsidRPr="00B21F9B" w:rsidRDefault="00E569FE" w:rsidP="00B21F9B">
      <w:pPr>
        <w:spacing w:after="120" w:line="360" w:lineRule="auto"/>
        <w:ind w:left="720"/>
        <w:rPr>
          <w:rFonts w:ascii="Times New Roman" w:eastAsia="Arial" w:hAnsi="Times New Roman" w:cs="Times New Roman"/>
          <w:color w:val="222222"/>
          <w:sz w:val="22"/>
          <w:szCs w:val="22"/>
          <w:highlight w:val="white"/>
        </w:rPr>
      </w:pPr>
      <w:r w:rsidRPr="00B21F9B">
        <w:rPr>
          <w:rFonts w:ascii="Times New Roman" w:eastAsia="Arial" w:hAnsi="Times New Roman" w:cs="Times New Roman"/>
          <w:color w:val="222222"/>
          <w:sz w:val="22"/>
          <w:szCs w:val="22"/>
          <w:highlight w:val="white"/>
        </w:rPr>
        <w:t>Including: UNESCO Think Piece 1 (2019). The ICT Gender Equality Paradox, and UNESCO Think Piece 2 (2019). The rise of gendered AI and its troubling repercussions</w:t>
      </w:r>
    </w:p>
    <w:p w14:paraId="501234E2" w14:textId="77777777" w:rsidR="00E569FE" w:rsidRPr="00B21F9B" w:rsidRDefault="00E569FE" w:rsidP="00B21F9B">
      <w:pPr>
        <w:spacing w:after="120" w:line="360" w:lineRule="auto"/>
        <w:rPr>
          <w:rFonts w:ascii="Times New Roman" w:eastAsia="Arial" w:hAnsi="Times New Roman" w:cs="Times New Roman"/>
          <w:sz w:val="22"/>
          <w:szCs w:val="22"/>
          <w:highlight w:val="white"/>
        </w:rPr>
      </w:pPr>
    </w:p>
    <w:p w14:paraId="6583A05C" w14:textId="77777777" w:rsidR="00E569FE" w:rsidRPr="00B21F9B" w:rsidRDefault="00E569FE" w:rsidP="00B21F9B">
      <w:pPr>
        <w:spacing w:after="120" w:line="360" w:lineRule="auto"/>
        <w:ind w:left="360"/>
        <w:rPr>
          <w:rFonts w:ascii="Times New Roman" w:eastAsia="Arial" w:hAnsi="Times New Roman" w:cs="Times New Roman"/>
          <w:color w:val="222222"/>
          <w:sz w:val="22"/>
          <w:szCs w:val="22"/>
          <w:highlight w:val="white"/>
        </w:rPr>
      </w:pPr>
    </w:p>
    <w:p w14:paraId="05ABD699" w14:textId="77777777" w:rsidR="00E569FE" w:rsidRPr="00B21F9B" w:rsidRDefault="00E569FE" w:rsidP="00B21F9B">
      <w:pPr>
        <w:spacing w:after="120" w:line="360" w:lineRule="auto"/>
        <w:jc w:val="both"/>
        <w:rPr>
          <w:rFonts w:ascii="Times New Roman" w:eastAsia="Arial" w:hAnsi="Times New Roman" w:cs="Times New Roman"/>
          <w:color w:val="222222"/>
          <w:sz w:val="22"/>
          <w:szCs w:val="22"/>
          <w:highlight w:val="white"/>
        </w:rPr>
      </w:pPr>
    </w:p>
    <w:p w14:paraId="2C5451A6" w14:textId="77777777" w:rsidR="00E569FE" w:rsidRPr="00B21F9B" w:rsidRDefault="00E569FE" w:rsidP="00B21F9B">
      <w:pPr>
        <w:spacing w:line="360" w:lineRule="auto"/>
        <w:jc w:val="both"/>
        <w:rPr>
          <w:rFonts w:ascii="Times New Roman" w:eastAsia="Arial" w:hAnsi="Times New Roman" w:cs="Times New Roman"/>
          <w:sz w:val="22"/>
          <w:szCs w:val="22"/>
        </w:rPr>
      </w:pPr>
    </w:p>
    <w:p w14:paraId="20C000E3" w14:textId="2B897096" w:rsidR="00D01D2C" w:rsidRPr="00B21F9B" w:rsidRDefault="00D01D2C" w:rsidP="00B21F9B">
      <w:pPr>
        <w:spacing w:line="360" w:lineRule="auto"/>
        <w:rPr>
          <w:rFonts w:ascii="Times New Roman" w:hAnsi="Times New Roman" w:cs="Times New Roman"/>
          <w:sz w:val="22"/>
          <w:szCs w:val="22"/>
        </w:rPr>
      </w:pPr>
    </w:p>
    <w:sectPr w:rsidR="00D01D2C" w:rsidRPr="00B21F9B" w:rsidSect="00495D7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751EC"/>
    <w:multiLevelType w:val="hybridMultilevel"/>
    <w:tmpl w:val="FC7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C245B"/>
    <w:multiLevelType w:val="multilevel"/>
    <w:tmpl w:val="C680BA5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3A5E12"/>
    <w:multiLevelType w:val="hybridMultilevel"/>
    <w:tmpl w:val="393AD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65055"/>
    <w:multiLevelType w:val="hybridMultilevel"/>
    <w:tmpl w:val="266C8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283CA4"/>
    <w:multiLevelType w:val="hybridMultilevel"/>
    <w:tmpl w:val="8CD44352"/>
    <w:lvl w:ilvl="0" w:tplc="D17E6364">
      <w:start w:val="1"/>
      <w:numFmt w:val="bullet"/>
      <w:lvlText w:val="-"/>
      <w:lvlJc w:val="left"/>
      <w:pPr>
        <w:ind w:left="1080" w:hanging="360"/>
      </w:pPr>
      <w:rPr>
        <w:rFonts w:ascii="Helvetica" w:eastAsia="Times New Roman" w:hAnsi="Helvetic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CE67CE"/>
    <w:multiLevelType w:val="hybridMultilevel"/>
    <w:tmpl w:val="D1B81B0C"/>
    <w:lvl w:ilvl="0" w:tplc="D9AA0E82">
      <w:start w:val="1"/>
      <w:numFmt w:val="bullet"/>
      <w:lvlText w:val="-"/>
      <w:lvlJc w:val="left"/>
      <w:pPr>
        <w:ind w:left="1080" w:hanging="360"/>
      </w:pPr>
      <w:rPr>
        <w:rFonts w:ascii="Helvetica" w:eastAsia="Times New Roman" w:hAnsi="Helvetic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173825"/>
    <w:multiLevelType w:val="multilevel"/>
    <w:tmpl w:val="3D08B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B032DBC"/>
    <w:multiLevelType w:val="hybridMultilevel"/>
    <w:tmpl w:val="A0D6D50C"/>
    <w:lvl w:ilvl="0" w:tplc="AE441546">
      <w:start w:val="3"/>
      <w:numFmt w:val="bullet"/>
      <w:lvlText w:val="-"/>
      <w:lvlJc w:val="left"/>
      <w:pPr>
        <w:ind w:left="1080" w:hanging="360"/>
      </w:pPr>
      <w:rPr>
        <w:rFonts w:ascii="Helvetica" w:eastAsia="Times New Roman" w:hAnsi="Helvetic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4"/>
  </w:num>
  <w:num w:numId="4">
    <w:abstractNumId w:val="7"/>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D2C"/>
    <w:rsid w:val="00070CF8"/>
    <w:rsid w:val="001006DC"/>
    <w:rsid w:val="0017725D"/>
    <w:rsid w:val="001C29F4"/>
    <w:rsid w:val="001E5F40"/>
    <w:rsid w:val="002038C9"/>
    <w:rsid w:val="002E0F41"/>
    <w:rsid w:val="00380A39"/>
    <w:rsid w:val="0042482C"/>
    <w:rsid w:val="0046476B"/>
    <w:rsid w:val="00495D74"/>
    <w:rsid w:val="00567E80"/>
    <w:rsid w:val="00630E95"/>
    <w:rsid w:val="006507F4"/>
    <w:rsid w:val="00725730"/>
    <w:rsid w:val="00731784"/>
    <w:rsid w:val="00746A60"/>
    <w:rsid w:val="00802D33"/>
    <w:rsid w:val="008835E7"/>
    <w:rsid w:val="008C7420"/>
    <w:rsid w:val="009C719A"/>
    <w:rsid w:val="00AC11B4"/>
    <w:rsid w:val="00AE4CD6"/>
    <w:rsid w:val="00B17BC9"/>
    <w:rsid w:val="00B21F9B"/>
    <w:rsid w:val="00C10191"/>
    <w:rsid w:val="00C5459A"/>
    <w:rsid w:val="00C5751F"/>
    <w:rsid w:val="00CC57DD"/>
    <w:rsid w:val="00D01D2C"/>
    <w:rsid w:val="00D6233A"/>
    <w:rsid w:val="00D65658"/>
    <w:rsid w:val="00D77399"/>
    <w:rsid w:val="00D86B1F"/>
    <w:rsid w:val="00DB4052"/>
    <w:rsid w:val="00DF6ADD"/>
    <w:rsid w:val="00E213A5"/>
    <w:rsid w:val="00E42BDE"/>
    <w:rsid w:val="00E569FE"/>
    <w:rsid w:val="00EB007C"/>
    <w:rsid w:val="00F90FEC"/>
    <w:rsid w:val="00F94713"/>
    <w:rsid w:val="00FA3D17"/>
    <w:rsid w:val="00FD7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4061"/>
  <w14:defaultImageDpi w14:val="32767"/>
  <w15:chartTrackingRefBased/>
  <w15:docId w15:val="{E2A450CB-7473-E14D-A0DC-26D82135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713"/>
    <w:rPr>
      <w:color w:val="0563C1" w:themeColor="hyperlink"/>
      <w:u w:val="single"/>
    </w:rPr>
  </w:style>
  <w:style w:type="character" w:styleId="UnresolvedMention">
    <w:name w:val="Unresolved Mention"/>
    <w:basedOn w:val="DefaultParagraphFont"/>
    <w:uiPriority w:val="99"/>
    <w:rsid w:val="00F94713"/>
    <w:rPr>
      <w:color w:val="605E5C"/>
      <w:shd w:val="clear" w:color="auto" w:fill="E1DFDD"/>
    </w:rPr>
  </w:style>
  <w:style w:type="paragraph" w:styleId="ListParagraph">
    <w:name w:val="List Paragraph"/>
    <w:basedOn w:val="Normal"/>
    <w:link w:val="ListParagraphChar"/>
    <w:uiPriority w:val="34"/>
    <w:qFormat/>
    <w:rsid w:val="00D86B1F"/>
    <w:pPr>
      <w:ind w:left="720"/>
      <w:contextualSpacing/>
    </w:pPr>
    <w:rPr>
      <w:rFonts w:ascii="Cambria" w:eastAsia="Times New Roman" w:hAnsi="Cambria" w:cs="Times New Roman"/>
      <w:lang w:eastAsia="ja-JP"/>
    </w:rPr>
  </w:style>
  <w:style w:type="character" w:customStyle="1" w:styleId="ListParagraphChar">
    <w:name w:val="List Paragraph Char"/>
    <w:basedOn w:val="DefaultParagraphFont"/>
    <w:link w:val="ListParagraph"/>
    <w:uiPriority w:val="34"/>
    <w:locked/>
    <w:rsid w:val="00D86B1F"/>
    <w:rPr>
      <w:rFonts w:ascii="Cambria" w:eastAsia="Times New Roman" w:hAnsi="Cambria"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commissioner.gov.uk/wp-content/uploads/2018/11/who-knows-what-about-me.pdf" TargetMode="External"/><Relationship Id="rId13" Type="http://schemas.openxmlformats.org/officeDocument/2006/relationships/hyperlink" Target="https://www.icmec.org/child-pornography-model-legislation-report/" TargetMode="External"/><Relationship Id="rId18" Type="http://schemas.openxmlformats.org/officeDocument/2006/relationships/hyperlink" Target="https://www.gsma.com/mobilefordevelopment/resources/a-toolkit-for-researching-womens-internet-access-and-us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angkok.unesco.org/content/32bn-people-living-countries-where-civic-space-under-threat" TargetMode="External"/><Relationship Id="rId12" Type="http://schemas.openxmlformats.org/officeDocument/2006/relationships/hyperlink" Target="https://www.nspcc.org.uk/globalassets/documents/news/taming-the-wild-west-web-regulate-social-networks.pdf" TargetMode="External"/><Relationship Id="rId17" Type="http://schemas.openxmlformats.org/officeDocument/2006/relationships/hyperlink" Target="https://www.itu.int/en/action/gender-quality/Documents/EQUALS%20Research%20Report%202019.pdf"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girlsandmobile.org/" TargetMode="External"/><Relationship Id="rId20" Type="http://schemas.openxmlformats.org/officeDocument/2006/relationships/hyperlink" Target="https://en.unesco.org/events/id-blush-if-i-couldclosing-gender-divides-digital-skills-through-education" TargetMode="External"/><Relationship Id="rId1" Type="http://schemas.openxmlformats.org/officeDocument/2006/relationships/numbering" Target="numbering.xml"/><Relationship Id="rId6" Type="http://schemas.openxmlformats.org/officeDocument/2006/relationships/hyperlink" Target="https://www.ohchr.org/EN/Issues/FreedomOpinion/Pages/SR2017ReporttoHRC.aspx" TargetMode="External"/><Relationship Id="rId11" Type="http://schemas.openxmlformats.org/officeDocument/2006/relationships/hyperlink" Target="https://www.bbc.com/news/uk-47069865" TargetMode="External"/><Relationship Id="rId24" Type="http://schemas.openxmlformats.org/officeDocument/2006/relationships/customXml" Target="../customXml/item2.xml"/><Relationship Id="rId5" Type="http://schemas.openxmlformats.org/officeDocument/2006/relationships/hyperlink" Target="https://www.ohchr.org/en/issues/pages/whatarehumanrights.aspx" TargetMode="External"/><Relationship Id="rId15" Type="http://schemas.openxmlformats.org/officeDocument/2006/relationships/hyperlink" Target="https://www.girlsandmobile.org/" TargetMode="External"/><Relationship Id="rId23" Type="http://schemas.openxmlformats.org/officeDocument/2006/relationships/customXml" Target="../customXml/item1.xml"/><Relationship Id="rId10" Type="http://schemas.openxmlformats.org/officeDocument/2006/relationships/hyperlink" Target="https://techcrunch.com/2019/01/30/googles-also-peddling-a-data-collector-through-apples-back-door/" TargetMode="External"/><Relationship Id="rId19" Type="http://schemas.openxmlformats.org/officeDocument/2006/relationships/hyperlink" Target="https://www.gsma.com/mobilefordevelopment/resources/mobile-gender-gap-report-2019/" TargetMode="External"/><Relationship Id="rId4" Type="http://schemas.openxmlformats.org/officeDocument/2006/relationships/webSettings" Target="webSettings.xml"/><Relationship Id="rId9" Type="http://schemas.openxmlformats.org/officeDocument/2006/relationships/hyperlink" Target="https://www.theengineroom.org/wp-content/uploads/2018/03/Engine-Room-Oxfam-Biometrics-Review.pdf" TargetMode="External"/><Relationship Id="rId14" Type="http://schemas.openxmlformats.org/officeDocument/2006/relationships/hyperlink" Target="https://www.interpol.int/Crimes/Crimes-against-children/Blocking-and-categorizing-cont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2062B0-4C14-4DEE-8C6A-CFE1B1E3B206}"/>
</file>

<file path=customXml/itemProps2.xml><?xml version="1.0" encoding="utf-8"?>
<ds:datastoreItem xmlns:ds="http://schemas.openxmlformats.org/officeDocument/2006/customXml" ds:itemID="{B4ECB348-6BDE-41AF-AA35-9D873ED66DCB}"/>
</file>

<file path=customXml/itemProps3.xml><?xml version="1.0" encoding="utf-8"?>
<ds:datastoreItem xmlns:ds="http://schemas.openxmlformats.org/officeDocument/2006/customXml" ds:itemID="{DD308270-85EE-4AD4-BE2D-FBCA56F5B014}"/>
</file>

<file path=docProps/app.xml><?xml version="1.0" encoding="utf-8"?>
<Properties xmlns="http://schemas.openxmlformats.org/officeDocument/2006/extended-properties" xmlns:vt="http://schemas.openxmlformats.org/officeDocument/2006/docPropsVTypes">
  <Template>Normal.dotm</Template>
  <TotalTime>38</TotalTime>
  <Pages>6</Pages>
  <Words>2124</Words>
  <Characters>12110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Day</dc:creator>
  <cp:keywords/>
  <dc:description/>
  <cp:lastModifiedBy>Grace Agcaoili</cp:lastModifiedBy>
  <cp:revision>11</cp:revision>
  <dcterms:created xsi:type="dcterms:W3CDTF">2019-05-13T09:00:00Z</dcterms:created>
  <dcterms:modified xsi:type="dcterms:W3CDTF">2019-05-13T09:48:00Z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