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D46" w:rsidRDefault="00217D46" w:rsidP="00DE47B6">
      <w:pPr>
        <w:jc w:val="right"/>
      </w:pPr>
    </w:p>
    <w:p w:rsidR="00217D46" w:rsidRDefault="00217D46" w:rsidP="00217D46">
      <w:pPr>
        <w:jc w:val="center"/>
      </w:pPr>
    </w:p>
    <w:p w:rsidR="00217D46" w:rsidRPr="00217D46" w:rsidRDefault="00217D46" w:rsidP="00217D46">
      <w:pPr>
        <w:jc w:val="center"/>
        <w:rPr>
          <w:b/>
        </w:rPr>
      </w:pPr>
      <w:r w:rsidRPr="00217D46">
        <w:rPr>
          <w:b/>
        </w:rPr>
        <w:t xml:space="preserve">Comments provided by Romania </w:t>
      </w:r>
    </w:p>
    <w:p w:rsidR="00273F6A" w:rsidRPr="00217D46" w:rsidRDefault="00217D46" w:rsidP="00217D46">
      <w:pPr>
        <w:jc w:val="center"/>
        <w:rPr>
          <w:b/>
        </w:rPr>
      </w:pPr>
      <w:proofErr w:type="gramStart"/>
      <w:r w:rsidRPr="00217D46">
        <w:rPr>
          <w:b/>
        </w:rPr>
        <w:t>regarding</w:t>
      </w:r>
      <w:proofErr w:type="gramEnd"/>
      <w:r w:rsidRPr="00217D46">
        <w:rPr>
          <w:b/>
        </w:rPr>
        <w:t xml:space="preserve"> the concept note of the General Comment on children’s rights in relation to the digital environment</w:t>
      </w:r>
    </w:p>
    <w:p w:rsidR="00217D46" w:rsidRPr="00217D46" w:rsidRDefault="00217D46" w:rsidP="00DE47B6"/>
    <w:p w:rsidR="00217D46" w:rsidRDefault="00217D46" w:rsidP="00DE47B6"/>
    <w:p w:rsidR="0015749D" w:rsidRPr="00217D46" w:rsidRDefault="00DE47B6" w:rsidP="00DE47B6">
      <w:r w:rsidRPr="00217D46">
        <w:t>The National Authority for the Protection of Children Rights and Adoption (NAPCRA) is the Romanian central authority within the field of children rights.</w:t>
      </w:r>
    </w:p>
    <w:p w:rsidR="00DE47B6" w:rsidRPr="00217D46" w:rsidRDefault="00DE47B6" w:rsidP="00DE47B6">
      <w:r w:rsidRPr="00217D46">
        <w:t>As central authority NAPCRA ensures the following and application of the national legislation within the field of children rights, at national level and coordinates the activities developed by public or private bodies in the same field.</w:t>
      </w:r>
    </w:p>
    <w:p w:rsidR="00DE47B6" w:rsidRPr="00217D46" w:rsidRDefault="00DE47B6" w:rsidP="00DE47B6">
      <w:r w:rsidRPr="00217D46">
        <w:t xml:space="preserve">The Authority provides representation of Romania abroad, while taking necessary measure to provide the transposition of international legislation into the national one. NAPCRA monitors and control the way children rights are respected at national level and provides </w:t>
      </w:r>
      <w:r w:rsidR="00D5775F" w:rsidRPr="00217D46">
        <w:t>recommendations</w:t>
      </w:r>
      <w:r w:rsidRPr="00217D46">
        <w:t xml:space="preserve"> to central or local </w:t>
      </w:r>
      <w:r w:rsidR="00D5775F" w:rsidRPr="00217D46">
        <w:t>authorities in respect to the measures to be adopted in this respect.</w:t>
      </w:r>
    </w:p>
    <w:p w:rsidR="0015749D" w:rsidRPr="00217D46" w:rsidRDefault="0015749D" w:rsidP="00DE47B6">
      <w:pPr>
        <w:jc w:val="right"/>
      </w:pPr>
    </w:p>
    <w:p w:rsidR="0015749D" w:rsidRPr="00217D46" w:rsidRDefault="0015749D" w:rsidP="00DE47B6">
      <w:pPr>
        <w:pStyle w:val="ListParagraph"/>
        <w:spacing w:after="120" w:line="276" w:lineRule="auto"/>
        <w:ind w:left="1701"/>
        <w:contextualSpacing/>
        <w:jc w:val="both"/>
        <w:rPr>
          <w:rFonts w:ascii="Trebuchet MS" w:hAnsi="Trebuchet MS"/>
          <w:b/>
          <w:i/>
          <w:color w:val="000000" w:themeColor="text1"/>
          <w:lang w:val="en-US"/>
        </w:rPr>
      </w:pPr>
      <w:r w:rsidRPr="00217D46">
        <w:rPr>
          <w:rFonts w:ascii="Trebuchet MS" w:hAnsi="Trebuchet MS"/>
          <w:b/>
          <w:i/>
          <w:color w:val="000000" w:themeColor="text1"/>
          <w:lang w:val="en-US"/>
        </w:rPr>
        <w:t>How can children’s views and experiences be expressed and taken into account when formulating policies and practices which affect their access to, and use of, digital technologies?</w:t>
      </w:r>
    </w:p>
    <w:p w:rsidR="0015749D" w:rsidRPr="00217D46" w:rsidRDefault="0015749D" w:rsidP="00DE47B6">
      <w:r w:rsidRPr="00217D46">
        <w:rPr>
          <w:lang w:val="ro-RO"/>
        </w:rPr>
        <w:t>Children</w:t>
      </w:r>
      <w:r w:rsidRPr="00217D46">
        <w:t>’s right to express their own opinions and views in all matters that impact on their life is essential, and the state authorities have the obligation to support and strengthen this fundamental right.</w:t>
      </w:r>
    </w:p>
    <w:p w:rsidR="00DE47B6" w:rsidRPr="00217D46" w:rsidRDefault="00DE47B6" w:rsidP="00DE47B6">
      <w:pPr>
        <w:rPr>
          <w:rFonts w:eastAsia="Times New Roman" w:cs="Helvetica"/>
          <w:color w:val="000000"/>
          <w:lang w:eastAsia="ja-JP"/>
        </w:rPr>
      </w:pPr>
      <w:r w:rsidRPr="00217D46">
        <w:rPr>
          <w:rFonts w:eastAsia="Times New Roman" w:cs="Helvetica"/>
          <w:color w:val="000000"/>
          <w:lang w:eastAsia="ja-JP"/>
        </w:rPr>
        <w:t xml:space="preserve">States should introduce and strengthen legal frameworks and mechanism that facilitate child participation &amp; consultation. Children should have access to information about law or policies in a manner which they understand and should be involved in child-friendly consultations done by professionals. The child’s right to be heard in matters which affect them should be promoted among public representatives. </w:t>
      </w:r>
    </w:p>
    <w:p w:rsidR="0015749D" w:rsidRPr="00217D46" w:rsidRDefault="0015749D" w:rsidP="00DE47B6">
      <w:r w:rsidRPr="00217D46">
        <w:t>While access to digital technologies is a natural way of children expressing their opinions, getting informed and exchanging views with other from their groups, these forms of communication should be used at their full potential in order to support their voices.</w:t>
      </w:r>
    </w:p>
    <w:p w:rsidR="00D171D4" w:rsidRPr="00217D46" w:rsidRDefault="00D171D4" w:rsidP="00DE47B6">
      <w:pPr>
        <w:rPr>
          <w:rFonts w:cstheme="minorHAnsi"/>
        </w:rPr>
      </w:pPr>
      <w:r w:rsidRPr="00217D46">
        <w:rPr>
          <w:rFonts w:eastAsia="Calibri" w:cstheme="minorHAnsi"/>
        </w:rPr>
        <w:t>States should enable and encourage the involvement of children in decision-making after t</w:t>
      </w:r>
      <w:r w:rsidRPr="00217D46">
        <w:rPr>
          <w:rFonts w:cstheme="minorHAnsi"/>
        </w:rPr>
        <w:t xml:space="preserve">hirty years since the Convention on the Rights of the Child was adopted by all EU countries.  Under Article 12, it stipulates the right of all children to be heard and have their views given due weight in accordance with their age and maturity. </w:t>
      </w:r>
    </w:p>
    <w:p w:rsidR="00D171D4" w:rsidRPr="00217D46" w:rsidRDefault="00D171D4" w:rsidP="00DE47B6">
      <w:pPr>
        <w:rPr>
          <w:rFonts w:cstheme="minorHAnsi"/>
        </w:rPr>
      </w:pPr>
      <w:r w:rsidRPr="00217D46">
        <w:rPr>
          <w:rFonts w:cstheme="minorHAnsi"/>
        </w:rPr>
        <w:t>In the same time, article 24 in the Charter of Fundamental Rights of the European Union</w:t>
      </w:r>
      <w:r w:rsidRPr="00217D46">
        <w:rPr>
          <w:rStyle w:val="FootnoteReference"/>
          <w:rFonts w:cstheme="minorHAnsi"/>
        </w:rPr>
        <w:footnoteReference w:id="1"/>
      </w:r>
      <w:r w:rsidRPr="00217D46">
        <w:rPr>
          <w:rFonts w:cstheme="minorHAnsi"/>
        </w:rPr>
        <w:t xml:space="preserve"> recognizes the child's right to be heard and the European Commission’s Recommendation on Investing in Children </w:t>
      </w:r>
      <w:r w:rsidRPr="00217D46">
        <w:rPr>
          <w:rStyle w:val="FootnoteReference"/>
          <w:rFonts w:cstheme="minorHAnsi"/>
        </w:rPr>
        <w:footnoteReference w:id="2"/>
      </w:r>
      <w:r w:rsidRPr="00217D46">
        <w:rPr>
          <w:rFonts w:cstheme="minorHAnsi"/>
        </w:rPr>
        <w:t xml:space="preserve"> asks for a mechanism that promotes children’s participation in decision-making that affects their lives to be put in place.</w:t>
      </w:r>
    </w:p>
    <w:p w:rsidR="00D171D4" w:rsidRPr="00217D46" w:rsidRDefault="00D171D4" w:rsidP="00DE47B6">
      <w:pPr>
        <w:rPr>
          <w:rFonts w:cstheme="minorHAnsi"/>
        </w:rPr>
      </w:pPr>
      <w:r w:rsidRPr="00217D46">
        <w:rPr>
          <w:rFonts w:cstheme="minorHAnsi"/>
        </w:rPr>
        <w:t xml:space="preserve">During the Romanian Presidency of the Council of the European Union , children from all over the European Union have gathered in Bucharest to present their commitment and to </w:t>
      </w:r>
      <w:r w:rsidRPr="00217D46">
        <w:rPr>
          <w:rFonts w:cstheme="minorHAnsi"/>
        </w:rPr>
        <w:lastRenderedPageBreak/>
        <w:t xml:space="preserve">call on the leaders of EU Member States and of the European Union to make child participation a priority and a reality. </w:t>
      </w:r>
    </w:p>
    <w:p w:rsidR="00D171D4" w:rsidRPr="00217D46" w:rsidRDefault="00D171D4" w:rsidP="00DE47B6">
      <w:pPr>
        <w:rPr>
          <w:rFonts w:cstheme="minorHAnsi"/>
        </w:rPr>
      </w:pPr>
      <w:r w:rsidRPr="00217D46">
        <w:rPr>
          <w:rFonts w:cstheme="minorHAnsi"/>
        </w:rPr>
        <w:t>The Bucharest EU Children Declaration stands for the right of children to be heard and their voices to be listened by the decision making factors, parents, communities, etc.</w:t>
      </w:r>
    </w:p>
    <w:p w:rsidR="00D171D4" w:rsidRPr="00217D46" w:rsidRDefault="00D171D4" w:rsidP="00DE47B6">
      <w:pPr>
        <w:rPr>
          <w:rFonts w:cstheme="minorHAnsi"/>
        </w:rPr>
      </w:pPr>
      <w:r w:rsidRPr="00217D46">
        <w:rPr>
          <w:rFonts w:cstheme="minorHAnsi"/>
        </w:rPr>
        <w:t xml:space="preserve">Children should all have the right to participate, regardless of age, gender, origin, ethnicity, and ability. </w:t>
      </w:r>
      <w:r w:rsidR="006C2E4E" w:rsidRPr="00217D46">
        <w:rPr>
          <w:rFonts w:cstheme="minorHAnsi"/>
        </w:rPr>
        <w:t>They</w:t>
      </w:r>
      <w:r w:rsidRPr="00217D46">
        <w:rPr>
          <w:rFonts w:cstheme="minorHAnsi"/>
        </w:rPr>
        <w:t xml:space="preserve"> should be learning how to be inclusive and support each other in an environment that is prepared to listen to all children. Opportunities should be created to support and encourage the participation of the most vulnerable children, whose voices are most often never heard. </w:t>
      </w:r>
    </w:p>
    <w:p w:rsidR="006C2E4E" w:rsidRPr="00217D46" w:rsidRDefault="006C2E4E" w:rsidP="00DE47B6">
      <w:pPr>
        <w:rPr>
          <w:rFonts w:cstheme="minorHAnsi"/>
        </w:rPr>
      </w:pPr>
      <w:r w:rsidRPr="00217D46">
        <w:rPr>
          <w:rFonts w:cstheme="minorHAnsi"/>
        </w:rPr>
        <w:t xml:space="preserve">Several good practices from different EU countries show, that participation is possible and sustainable, while the development of digital technologies and children’s increased access to them can be used to facilitate and stimulate participation. </w:t>
      </w:r>
    </w:p>
    <w:p w:rsidR="006C2E4E" w:rsidRPr="00217D46" w:rsidRDefault="006C2E4E" w:rsidP="00DE47B6">
      <w:pPr>
        <w:rPr>
          <w:rFonts w:eastAsia="Calibri" w:cstheme="minorHAnsi"/>
        </w:rPr>
      </w:pPr>
      <w:r w:rsidRPr="00217D46">
        <w:t xml:space="preserve">In this respect, </w:t>
      </w:r>
      <w:r w:rsidRPr="00217D46">
        <w:rPr>
          <w:rFonts w:cstheme="minorHAnsi"/>
        </w:rPr>
        <w:t xml:space="preserve">support for child participation platforms and forums should be established at national and international level to </w:t>
      </w:r>
      <w:r w:rsidRPr="00217D46">
        <w:rPr>
          <w:rFonts w:eastAsia="Calibri" w:cstheme="minorHAnsi"/>
        </w:rPr>
        <w:t xml:space="preserve">inform children on political decisions and measures implemented by various national and international programs and projects, but also as a mechanism of scrutinizing children’s opinions on various issues. </w:t>
      </w:r>
    </w:p>
    <w:p w:rsidR="009378D0" w:rsidRPr="00217D46" w:rsidRDefault="009378D0" w:rsidP="00DE47B6">
      <w:pPr>
        <w:rPr>
          <w:rFonts w:cstheme="minorHAnsi"/>
          <w:color w:val="000000" w:themeColor="text1"/>
          <w:lang w:val="en-GB"/>
        </w:rPr>
      </w:pPr>
      <w:r w:rsidRPr="00217D46">
        <w:rPr>
          <w:rFonts w:eastAsia="Calibri" w:cstheme="minorHAnsi"/>
        </w:rPr>
        <w:t xml:space="preserve">Increasing the scope and resources dedicated to various bodies and structure dedicated to children rights within the international organizations in this field might represent a way of supporting more </w:t>
      </w:r>
      <w:r w:rsidRPr="00217D46">
        <w:rPr>
          <w:rFonts w:cstheme="minorHAnsi"/>
          <w:color w:val="000000" w:themeColor="text1"/>
          <w:lang w:val="en-GB"/>
        </w:rPr>
        <w:t xml:space="preserve">comprehensive consultations with children on legislative proposals. </w:t>
      </w:r>
    </w:p>
    <w:p w:rsidR="009378D0" w:rsidRPr="00217D46" w:rsidRDefault="009378D0" w:rsidP="00DE47B6">
      <w:pPr>
        <w:rPr>
          <w:rFonts w:cstheme="minorHAnsi"/>
          <w:color w:val="000000" w:themeColor="text1"/>
          <w:lang w:val="en-GB"/>
        </w:rPr>
      </w:pPr>
      <w:r w:rsidRPr="00217D46">
        <w:rPr>
          <w:rFonts w:cstheme="minorHAnsi"/>
          <w:color w:val="000000" w:themeColor="text1"/>
          <w:lang w:val="en-GB"/>
        </w:rPr>
        <w:t xml:space="preserve">Information on the proposals will have to be produced in child-friendly formats and consultation methods should include the use of social media and digital platforms as well as face-to-face opportunities with the aim of being inclusive and reaching diverse groups of children not just the elite.  </w:t>
      </w:r>
    </w:p>
    <w:p w:rsidR="009378D0" w:rsidRPr="00217D46" w:rsidRDefault="009378D0" w:rsidP="00DE47B6">
      <w:pPr>
        <w:rPr>
          <w:rFonts w:eastAsia="Times New Roman" w:cstheme="minorHAnsi"/>
          <w:color w:val="000000" w:themeColor="text1"/>
          <w:lang w:val="en-GB"/>
        </w:rPr>
      </w:pPr>
      <w:r w:rsidRPr="00217D46">
        <w:rPr>
          <w:rFonts w:eastAsia="Calibri" w:cstheme="minorHAnsi"/>
          <w:lang w:val="en-GB"/>
        </w:rPr>
        <w:t xml:space="preserve">Consulting children on their priorities and legislative proposals at international level could be done through a </w:t>
      </w:r>
      <w:r w:rsidRPr="00217D46">
        <w:rPr>
          <w:rFonts w:cstheme="minorHAnsi"/>
          <w:lang w:val="en-GB"/>
        </w:rPr>
        <w:t xml:space="preserve">variety of offline and online means including through local representatives in national structures and onwards to institutions through children’s platforms. </w:t>
      </w:r>
      <w:r w:rsidRPr="00217D46">
        <w:rPr>
          <w:rFonts w:cstheme="minorHAnsi"/>
          <w:color w:val="000000" w:themeColor="text1"/>
          <w:lang w:val="en-GB"/>
        </w:rPr>
        <w:t>Such platforms should enable children to debate and draft resolutions on issues of concern as well as provide comments on draft national or international legislation.</w:t>
      </w:r>
    </w:p>
    <w:p w:rsidR="00217D46" w:rsidRPr="00217D46" w:rsidRDefault="00217D46" w:rsidP="00217D46">
      <w:pPr>
        <w:rPr>
          <w:rFonts w:eastAsia="Times New Roman" w:cs="Helvetica"/>
          <w:b/>
          <w:color w:val="000000"/>
          <w:lang w:eastAsia="ja-JP"/>
        </w:rPr>
      </w:pPr>
    </w:p>
    <w:p w:rsidR="00DE47B6" w:rsidRPr="00217D46" w:rsidRDefault="00DE47B6" w:rsidP="00217D46">
      <w:pPr>
        <w:rPr>
          <w:rFonts w:eastAsia="Times New Roman" w:cs="Helvetica"/>
          <w:b/>
          <w:i/>
          <w:color w:val="000000"/>
          <w:lang w:eastAsia="ja-JP"/>
        </w:rPr>
      </w:pPr>
      <w:r w:rsidRPr="00217D46">
        <w:rPr>
          <w:rFonts w:eastAsia="Times New Roman" w:cs="Helvetica"/>
          <w:b/>
          <w:i/>
          <w:color w:val="000000"/>
          <w:lang w:eastAsia="ja-JP"/>
        </w:rPr>
        <w:t xml:space="preserve">How can discrimination (originating offline or online) be effectively addressed, to ensure all children have their rights </w:t>
      </w:r>
      <w:r w:rsidR="00D5775F" w:rsidRPr="00217D46">
        <w:rPr>
          <w:rFonts w:eastAsia="Times New Roman" w:cs="Helvetica"/>
          <w:b/>
          <w:i/>
          <w:color w:val="000000"/>
          <w:lang w:eastAsia="ja-JP"/>
        </w:rPr>
        <w:t>realized</w:t>
      </w:r>
      <w:r w:rsidRPr="00217D46">
        <w:rPr>
          <w:rFonts w:eastAsia="Times New Roman" w:cs="Helvetica"/>
          <w:b/>
          <w:i/>
          <w:color w:val="000000"/>
          <w:lang w:eastAsia="ja-JP"/>
        </w:rPr>
        <w:t xml:space="preserve"> in a digital world?</w:t>
      </w:r>
    </w:p>
    <w:p w:rsidR="00DE47B6" w:rsidRPr="00217D46" w:rsidRDefault="00DE47B6" w:rsidP="00DE47B6">
      <w:pPr>
        <w:rPr>
          <w:rFonts w:eastAsia="Times New Roman" w:cs="Helvetica"/>
          <w:color w:val="000000"/>
          <w:lang w:eastAsia="ja-JP"/>
        </w:rPr>
      </w:pPr>
      <w:r w:rsidRPr="00217D46">
        <w:rPr>
          <w:rFonts w:eastAsia="Times New Roman" w:cs="Helvetica"/>
          <w:color w:val="000000"/>
          <w:lang w:eastAsia="ja-JP"/>
        </w:rPr>
        <w:t xml:space="preserve">Challenges that children face may be often transferred, extended or amplified in the online environment. In order to mitigate these risks, a number of aspects should be taken into consideration: </w:t>
      </w:r>
    </w:p>
    <w:p w:rsidR="00DE47B6" w:rsidRPr="00217D46" w:rsidRDefault="00DE47B6" w:rsidP="00DE47B6">
      <w:pPr>
        <w:rPr>
          <w:rFonts w:eastAsia="Times New Roman" w:cs="Helvetica"/>
          <w:color w:val="000000"/>
          <w:lang w:eastAsia="ja-JP"/>
        </w:rPr>
      </w:pPr>
      <w:r w:rsidRPr="00217D46">
        <w:rPr>
          <w:rFonts w:eastAsia="Times New Roman" w:cs="Helvetica"/>
          <w:color w:val="000000"/>
          <w:lang w:eastAsia="ja-JP"/>
        </w:rPr>
        <w:t xml:space="preserve">a) Access to the digital environment – Children should have affordable, where possible free, and secure access to the digital environment. </w:t>
      </w:r>
    </w:p>
    <w:p w:rsidR="00DE47B6" w:rsidRPr="00217D46" w:rsidRDefault="00DE47B6" w:rsidP="00DE47B6">
      <w:pPr>
        <w:rPr>
          <w:rFonts w:eastAsia="Times New Roman" w:cs="Helvetica"/>
          <w:color w:val="000000"/>
          <w:lang w:eastAsia="ja-JP"/>
        </w:rPr>
      </w:pPr>
      <w:r w:rsidRPr="00217D46">
        <w:rPr>
          <w:rFonts w:eastAsia="Times New Roman" w:cs="Helvetica"/>
          <w:color w:val="000000"/>
          <w:lang w:eastAsia="ja-JP"/>
        </w:rPr>
        <w:t xml:space="preserve">b) Digital literacy – Children should be given the digital literacy and competencies needed to thrive in the digital environment. States should consider the development of children’s digital literacy, social and civic competencies and critical thinking priorities in education. </w:t>
      </w:r>
    </w:p>
    <w:p w:rsidR="00DE47B6" w:rsidRPr="00217D46" w:rsidRDefault="00DE47B6" w:rsidP="00DE47B6">
      <w:pPr>
        <w:rPr>
          <w:rFonts w:eastAsia="Times New Roman" w:cs="Helvetica"/>
          <w:color w:val="000000"/>
          <w:lang w:eastAsia="ja-JP"/>
        </w:rPr>
      </w:pPr>
      <w:r w:rsidRPr="00217D46">
        <w:rPr>
          <w:rFonts w:eastAsia="Times New Roman" w:cs="Helvetica"/>
          <w:color w:val="000000"/>
          <w:lang w:eastAsia="ja-JP"/>
        </w:rPr>
        <w:t xml:space="preserve">c) Protection and Well-being – Child protection and online safety policies should be implemented in educational and other care settings and capacity building should be made for law enforcement and professionals. </w:t>
      </w:r>
    </w:p>
    <w:p w:rsidR="00217D46" w:rsidRPr="00217D46" w:rsidRDefault="00217D46" w:rsidP="00DE47B6">
      <w:pPr>
        <w:rPr>
          <w:b/>
          <w:i/>
          <w:color w:val="000000" w:themeColor="text1"/>
        </w:rPr>
      </w:pPr>
    </w:p>
    <w:p w:rsidR="006C2E4E" w:rsidRPr="00217D46" w:rsidRDefault="006C2E4E" w:rsidP="00DE47B6">
      <w:pPr>
        <w:rPr>
          <w:b/>
          <w:i/>
          <w:color w:val="000000" w:themeColor="text1"/>
        </w:rPr>
      </w:pPr>
      <w:r w:rsidRPr="00217D46">
        <w:rPr>
          <w:b/>
          <w:i/>
          <w:color w:val="000000" w:themeColor="text1"/>
        </w:rPr>
        <w:t>How should the General Comment treat the role of parents and other caregivers?</w:t>
      </w:r>
    </w:p>
    <w:p w:rsidR="00F12825" w:rsidRPr="00217D46" w:rsidRDefault="00F12825" w:rsidP="00DE47B6">
      <w:pPr>
        <w:pStyle w:val="ListParagraph"/>
        <w:autoSpaceDE w:val="0"/>
        <w:autoSpaceDN w:val="0"/>
        <w:adjustRightInd w:val="0"/>
        <w:spacing w:after="120" w:line="276" w:lineRule="auto"/>
        <w:ind w:left="1701"/>
        <w:jc w:val="both"/>
        <w:rPr>
          <w:rFonts w:ascii="Trebuchet MS" w:hAnsi="Trebuchet MS" w:cstheme="minorHAnsi"/>
          <w:lang w:val="en-US"/>
        </w:rPr>
      </w:pPr>
      <w:r w:rsidRPr="00217D46">
        <w:rPr>
          <w:rFonts w:ascii="Trebuchet MS" w:hAnsi="Trebuchet MS" w:cstheme="minorHAnsi"/>
          <w:lang w:val="en-US"/>
        </w:rPr>
        <w:t xml:space="preserve">Participation starts in the family from the earliest age. Parents and guardians should be able to help children building self-trust and independence along with helping them understand the consequences of their actions. </w:t>
      </w:r>
    </w:p>
    <w:p w:rsidR="00F12825" w:rsidRPr="00217D46" w:rsidRDefault="00F12825" w:rsidP="00DE47B6">
      <w:pPr>
        <w:pStyle w:val="ListParagraph"/>
        <w:autoSpaceDE w:val="0"/>
        <w:autoSpaceDN w:val="0"/>
        <w:adjustRightInd w:val="0"/>
        <w:spacing w:after="120" w:line="276" w:lineRule="auto"/>
        <w:ind w:left="1701"/>
        <w:jc w:val="both"/>
        <w:rPr>
          <w:rFonts w:ascii="Trebuchet MS" w:hAnsi="Trebuchet MS" w:cstheme="minorHAnsi"/>
          <w:lang w:val="en-US"/>
        </w:rPr>
      </w:pPr>
      <w:r w:rsidRPr="00217D46">
        <w:rPr>
          <w:rFonts w:ascii="Trebuchet MS" w:hAnsi="Trebuchet MS" w:cstheme="minorHAnsi"/>
          <w:lang w:val="en-US"/>
        </w:rPr>
        <w:lastRenderedPageBreak/>
        <w:t xml:space="preserve">Parents and guardians should be able to encourage children to engage in their community and ask for their opinions to be listened to, valued, and used. </w:t>
      </w:r>
    </w:p>
    <w:p w:rsidR="006C2E4E" w:rsidRPr="00217D46" w:rsidRDefault="000410DA" w:rsidP="00DE47B6">
      <w:pPr>
        <w:rPr>
          <w:rFonts w:cstheme="minorHAnsi"/>
        </w:rPr>
      </w:pPr>
      <w:r w:rsidRPr="00217D46">
        <w:rPr>
          <w:rFonts w:cstheme="minorHAnsi"/>
        </w:rPr>
        <w:t>Since admitting that children are the future is a common truth, acknowledged by both parents, adults, decision makers and others, in order to be that future children must be involved in the present as early as possible and they must be looked upon as a resource, not only as an investment.</w:t>
      </w:r>
    </w:p>
    <w:p w:rsidR="000410DA" w:rsidRPr="00217D46" w:rsidRDefault="000410DA" w:rsidP="00DE47B6">
      <w:pPr>
        <w:rPr>
          <w:rFonts w:cstheme="minorHAnsi"/>
        </w:rPr>
      </w:pPr>
      <w:r w:rsidRPr="00217D46">
        <w:rPr>
          <w:rFonts w:cstheme="minorHAnsi"/>
        </w:rPr>
        <w:t>Digital environment might be a tool that could allow children to express their voice freely, with easy to use technologies which are in fact part of their everyday life, in a serious and adequate manner.</w:t>
      </w:r>
    </w:p>
    <w:p w:rsidR="00DE47B6" w:rsidRPr="00217D46" w:rsidRDefault="00DE47B6" w:rsidP="00DE47B6">
      <w:pPr>
        <w:rPr>
          <w:rFonts w:eastAsia="Times New Roman" w:cs="Helvetica"/>
          <w:color w:val="000000"/>
          <w:lang w:eastAsia="ja-JP"/>
        </w:rPr>
      </w:pPr>
      <w:r w:rsidRPr="00217D46">
        <w:rPr>
          <w:rFonts w:eastAsia="Times New Roman" w:cs="Helvetica"/>
          <w:color w:val="000000"/>
          <w:lang w:eastAsia="ja-JP"/>
        </w:rPr>
        <w:t>Parents and other caregivers should receive appropriate guidance and training in order to ensure their digital literacy and improve their digital skills. States should promote policies and programs directed to parents and caregivers, including teachers, to promote their digital literacy, development of digital skills and training on how to face risks and violence in the use of digital technology.</w:t>
      </w:r>
    </w:p>
    <w:p w:rsidR="00217D46" w:rsidRPr="00217D46" w:rsidRDefault="00217D46" w:rsidP="00217D46">
      <w:pPr>
        <w:rPr>
          <w:rFonts w:eastAsia="Times New Roman" w:cs="Helvetica"/>
          <w:b/>
          <w:color w:val="000000"/>
          <w:lang w:eastAsia="ja-JP"/>
        </w:rPr>
      </w:pPr>
    </w:p>
    <w:p w:rsidR="00DE47B6" w:rsidRPr="00217D46" w:rsidRDefault="00DE47B6" w:rsidP="00217D46">
      <w:pPr>
        <w:rPr>
          <w:rFonts w:eastAsia="Times New Roman" w:cs="Helvetica"/>
          <w:b/>
          <w:i/>
          <w:color w:val="000000"/>
          <w:lang w:eastAsia="ja-JP"/>
        </w:rPr>
      </w:pPr>
      <w:r w:rsidRPr="00217D46">
        <w:rPr>
          <w:rFonts w:eastAsia="Times New Roman" w:cs="Helvetica"/>
          <w:b/>
          <w:i/>
          <w:color w:val="000000"/>
          <w:lang w:eastAsia="ja-JP"/>
        </w:rPr>
        <w:t xml:space="preserve">How should the practices of businesses operating in the digital environment support the </w:t>
      </w:r>
      <w:proofErr w:type="spellStart"/>
      <w:r w:rsidRPr="00217D46">
        <w:rPr>
          <w:rFonts w:eastAsia="Times New Roman" w:cs="Helvetica"/>
          <w:b/>
          <w:i/>
          <w:color w:val="000000"/>
          <w:lang w:eastAsia="ja-JP"/>
        </w:rPr>
        <w:t>realisation</w:t>
      </w:r>
      <w:proofErr w:type="spellEnd"/>
      <w:r w:rsidRPr="00217D46">
        <w:rPr>
          <w:rFonts w:eastAsia="Times New Roman" w:cs="Helvetica"/>
          <w:b/>
          <w:i/>
          <w:color w:val="000000"/>
          <w:lang w:eastAsia="ja-JP"/>
        </w:rPr>
        <w:t xml:space="preserve"> of children's rights?</w:t>
      </w:r>
    </w:p>
    <w:p w:rsidR="00DE47B6" w:rsidRPr="00217D46" w:rsidRDefault="00DE47B6" w:rsidP="00DE47B6">
      <w:pPr>
        <w:rPr>
          <w:rFonts w:eastAsia="Times New Roman" w:cs="Helvetica"/>
          <w:color w:val="000000"/>
          <w:lang w:eastAsia="ja-JP"/>
        </w:rPr>
      </w:pPr>
      <w:r w:rsidRPr="00217D46">
        <w:rPr>
          <w:rFonts w:eastAsia="Times New Roman" w:cs="Helvetica"/>
          <w:color w:val="000000"/>
          <w:lang w:eastAsia="ja-JP"/>
        </w:rPr>
        <w:t>There are several ways that industry could contribute to support the realization of children´s rights in the digital environment:</w:t>
      </w:r>
    </w:p>
    <w:p w:rsidR="00DE47B6" w:rsidRPr="00217D46" w:rsidRDefault="00DE47B6" w:rsidP="00DE47B6">
      <w:pPr>
        <w:rPr>
          <w:rFonts w:eastAsia="Times New Roman" w:cs="Helvetica"/>
          <w:color w:val="000000"/>
          <w:lang w:eastAsia="ja-JP"/>
        </w:rPr>
      </w:pPr>
      <w:r w:rsidRPr="00217D46">
        <w:rPr>
          <w:rFonts w:eastAsia="Times New Roman" w:cs="Helvetica"/>
          <w:color w:val="000000"/>
          <w:lang w:eastAsia="ja-JP"/>
        </w:rPr>
        <w:t xml:space="preserve">a) Promotion of child participation: It is important to highlight that children and adolescents should be consulted about new products or services related to digital technologies that are created by ICT companies. </w:t>
      </w:r>
    </w:p>
    <w:p w:rsidR="00DE47B6" w:rsidRPr="00217D46" w:rsidRDefault="00DE47B6" w:rsidP="00DE47B6">
      <w:pPr>
        <w:rPr>
          <w:rFonts w:eastAsia="Times New Roman" w:cs="Helvetica"/>
          <w:color w:val="000000"/>
          <w:lang w:eastAsia="ja-JP"/>
        </w:rPr>
      </w:pPr>
      <w:r w:rsidRPr="00217D46">
        <w:rPr>
          <w:rFonts w:eastAsia="Times New Roman" w:cs="Helvetica"/>
          <w:color w:val="000000"/>
          <w:lang w:eastAsia="ja-JP"/>
        </w:rPr>
        <w:t>b) Creation of safer online environments</w:t>
      </w:r>
    </w:p>
    <w:p w:rsidR="00DE47B6" w:rsidRPr="00217D46" w:rsidRDefault="00DE47B6" w:rsidP="00DE47B6">
      <w:pPr>
        <w:rPr>
          <w:rFonts w:eastAsia="Times New Roman" w:cs="Helvetica"/>
          <w:color w:val="000000"/>
          <w:lang w:eastAsia="ja-JP"/>
        </w:rPr>
      </w:pPr>
      <w:r w:rsidRPr="00217D46">
        <w:rPr>
          <w:rFonts w:eastAsia="Times New Roman" w:cs="Helvetica"/>
          <w:color w:val="000000"/>
          <w:lang w:eastAsia="ja-JP"/>
        </w:rPr>
        <w:t xml:space="preserve">c) Collaboration with law enforcement authorities </w:t>
      </w:r>
    </w:p>
    <w:p w:rsidR="00DE47B6" w:rsidRPr="00217D46" w:rsidRDefault="00DE47B6" w:rsidP="00DE47B6">
      <w:pPr>
        <w:rPr>
          <w:rFonts w:eastAsia="Times New Roman" w:cs="Helvetica"/>
          <w:color w:val="000000"/>
          <w:lang w:eastAsia="ja-JP"/>
        </w:rPr>
      </w:pPr>
      <w:r w:rsidRPr="00217D46">
        <w:rPr>
          <w:rFonts w:eastAsia="Times New Roman" w:cs="Helvetica"/>
          <w:color w:val="000000"/>
          <w:lang w:eastAsia="ja-JP"/>
        </w:rPr>
        <w:t>d) Develop programs to promote digital skills of children and adults</w:t>
      </w:r>
    </w:p>
    <w:p w:rsidR="00DE47B6" w:rsidRPr="00217D46" w:rsidRDefault="00DE47B6" w:rsidP="00DE47B6">
      <w:pPr>
        <w:rPr>
          <w:rFonts w:eastAsia="Times New Roman" w:cs="Helvetica"/>
          <w:color w:val="000000"/>
          <w:lang w:eastAsia="ja-JP"/>
        </w:rPr>
      </w:pPr>
      <w:r w:rsidRPr="00217D46">
        <w:rPr>
          <w:rFonts w:eastAsia="Times New Roman" w:cs="Helvetica"/>
          <w:color w:val="000000"/>
          <w:lang w:eastAsia="ja-JP"/>
        </w:rPr>
        <w:t xml:space="preserve">e) Participate in the efforts of Governments and civil society </w:t>
      </w:r>
    </w:p>
    <w:p w:rsidR="00DE47B6" w:rsidRPr="00217D46" w:rsidRDefault="00DE47B6" w:rsidP="00DE47B6">
      <w:pPr>
        <w:rPr>
          <w:rFonts w:eastAsia="Times New Roman" w:cs="Helvetica"/>
          <w:color w:val="000000"/>
          <w:lang w:eastAsia="ja-JP"/>
        </w:rPr>
      </w:pPr>
      <w:r w:rsidRPr="00217D46">
        <w:rPr>
          <w:rFonts w:eastAsia="Times New Roman" w:cs="Helvetica"/>
          <w:color w:val="000000"/>
          <w:lang w:eastAsia="ja-JP"/>
        </w:rPr>
        <w:t>f) Provide information and raise awareness about online security</w:t>
      </w:r>
    </w:p>
    <w:p w:rsidR="00DE47B6" w:rsidRPr="00217D46" w:rsidRDefault="00DE47B6" w:rsidP="00DE47B6">
      <w:pPr>
        <w:rPr>
          <w:rFonts w:eastAsia="Times New Roman" w:cs="Helvetica"/>
          <w:color w:val="000000"/>
          <w:lang w:eastAsia="ja-JP"/>
        </w:rPr>
      </w:pPr>
      <w:r w:rsidRPr="00217D46">
        <w:rPr>
          <w:rFonts w:eastAsia="Times New Roman" w:cs="Helvetica"/>
          <w:color w:val="000000"/>
          <w:lang w:eastAsia="ja-JP"/>
        </w:rPr>
        <w:t xml:space="preserve"> </w:t>
      </w:r>
    </w:p>
    <w:p w:rsidR="00DE47B6" w:rsidRPr="00217D46" w:rsidRDefault="00DE47B6" w:rsidP="00217D46">
      <w:pPr>
        <w:rPr>
          <w:rFonts w:eastAsia="Times New Roman" w:cs="Helvetica"/>
          <w:b/>
          <w:i/>
          <w:lang w:eastAsia="ja-JP"/>
        </w:rPr>
      </w:pPr>
      <w:r w:rsidRPr="00217D46">
        <w:rPr>
          <w:rFonts w:eastAsia="Times New Roman" w:cs="Helvetica"/>
          <w:b/>
          <w:i/>
          <w:color w:val="000000"/>
          <w:lang w:eastAsia="ja-JP"/>
        </w:rPr>
        <w:t xml:space="preserve">How can States better </w:t>
      </w:r>
      <w:r w:rsidR="00D5775F" w:rsidRPr="00217D46">
        <w:rPr>
          <w:rFonts w:eastAsia="Times New Roman" w:cs="Helvetica"/>
          <w:b/>
          <w:i/>
          <w:color w:val="000000"/>
          <w:lang w:eastAsia="ja-JP"/>
        </w:rPr>
        <w:t>realize</w:t>
      </w:r>
      <w:r w:rsidRPr="00217D46">
        <w:rPr>
          <w:rFonts w:eastAsia="Times New Roman" w:cs="Helvetica"/>
          <w:b/>
          <w:i/>
          <w:color w:val="000000"/>
          <w:lang w:eastAsia="ja-JP"/>
        </w:rPr>
        <w:t xml:space="preserve"> their obligations to children's rights in relation to the digital environment?</w:t>
      </w:r>
    </w:p>
    <w:p w:rsidR="00DE47B6" w:rsidRPr="00217D46" w:rsidRDefault="00DE47B6" w:rsidP="00DE47B6">
      <w:pPr>
        <w:rPr>
          <w:rFonts w:eastAsia="Times New Roman" w:cs="Helvetica"/>
          <w:lang w:eastAsia="ja-JP"/>
        </w:rPr>
      </w:pPr>
      <w:r w:rsidRPr="00217D46">
        <w:rPr>
          <w:rFonts w:eastAsia="Times New Roman" w:cs="Helvetica"/>
          <w:lang w:eastAsia="ja-JP"/>
        </w:rPr>
        <w:t xml:space="preserve">1. Access to the digital environment: States should ensure access to the digital environment for children.  </w:t>
      </w:r>
    </w:p>
    <w:p w:rsidR="00DE47B6" w:rsidRPr="00217D46" w:rsidRDefault="00DE47B6" w:rsidP="00DE47B6">
      <w:pPr>
        <w:rPr>
          <w:rFonts w:eastAsia="Times New Roman" w:cs="Helvetica"/>
          <w:lang w:eastAsia="ja-JP"/>
        </w:rPr>
      </w:pPr>
      <w:r w:rsidRPr="00217D46">
        <w:rPr>
          <w:rFonts w:eastAsia="Times New Roman" w:cs="Helvetica"/>
          <w:lang w:eastAsia="ja-JP"/>
        </w:rPr>
        <w:t xml:space="preserve">2. Education: States should implement strategies to include teaching digital literacy and critical thinking in school curricula. This should be done for children of all ages, while taking into account their evolving capacities and particular needs. </w:t>
      </w:r>
    </w:p>
    <w:p w:rsidR="00DE47B6" w:rsidRPr="00217D46" w:rsidRDefault="00DE47B6" w:rsidP="00DE47B6">
      <w:pPr>
        <w:rPr>
          <w:rFonts w:eastAsia="Times New Roman" w:cs="Helvetica"/>
          <w:lang w:eastAsia="ja-JP"/>
        </w:rPr>
      </w:pPr>
      <w:r w:rsidRPr="00217D46">
        <w:rPr>
          <w:rFonts w:eastAsia="Times New Roman" w:cs="Helvetica"/>
          <w:lang w:eastAsia="ja-JP"/>
        </w:rPr>
        <w:t xml:space="preserve">3. Protection: States should include in national strategic documents that address children’s rights, well-being and protection provisions for prevention and intervention in risk situations that children might encounter online (e.g. cyberbullying, child sexual abuse images, grooming, excessive use, data protection and online privacy, misleading advertising and marketing). </w:t>
      </w:r>
    </w:p>
    <w:p w:rsidR="00DE47B6" w:rsidRPr="00217D46" w:rsidRDefault="00DE47B6" w:rsidP="00DE47B6">
      <w:pPr>
        <w:rPr>
          <w:rFonts w:eastAsia="Times New Roman" w:cs="Helvetica"/>
          <w:lang w:eastAsia="ja-JP"/>
        </w:rPr>
      </w:pPr>
      <w:r w:rsidRPr="00217D46">
        <w:rPr>
          <w:rFonts w:eastAsia="Times New Roman" w:cs="Helvetica"/>
          <w:lang w:eastAsia="ja-JP"/>
        </w:rPr>
        <w:t>4. Awareness: States should develop awareness raising campaigns and support civil society and industry who develop such campaigns.</w:t>
      </w:r>
    </w:p>
    <w:p w:rsidR="00DE47B6" w:rsidRPr="00217D46" w:rsidRDefault="00DE47B6" w:rsidP="00DE47B6">
      <w:pPr>
        <w:rPr>
          <w:rFonts w:eastAsia="Times New Roman" w:cs="Helvetica"/>
          <w:lang w:eastAsia="ja-JP"/>
        </w:rPr>
      </w:pPr>
      <w:r w:rsidRPr="00217D46">
        <w:rPr>
          <w:rFonts w:eastAsia="Times New Roman" w:cs="Helvetica"/>
          <w:lang w:eastAsia="ja-JP"/>
        </w:rPr>
        <w:t xml:space="preserve">5. Building capacity of law enforcement: States should build the capacity of law enforcement and increase resources of law enforcement bodies that deal with child sexual abuse materials online. </w:t>
      </w:r>
    </w:p>
    <w:p w:rsidR="00DE47B6" w:rsidRPr="00217D46" w:rsidRDefault="00DE47B6" w:rsidP="00DE47B6">
      <w:pPr>
        <w:rPr>
          <w:rFonts w:eastAsia="Times New Roman" w:cs="Helvetica"/>
          <w:lang w:eastAsia="ja-JP"/>
        </w:rPr>
      </w:pPr>
      <w:r w:rsidRPr="00217D46">
        <w:rPr>
          <w:rFonts w:eastAsia="Times New Roman" w:cs="Helvetica"/>
          <w:lang w:eastAsia="ja-JP"/>
        </w:rPr>
        <w:lastRenderedPageBreak/>
        <w:t xml:space="preserve">6. Industry: States should encourage the adoption of self-regulatory measures by industry in order to fulfil and protect children’s rights in the digital environment and monitor the implementation. If industry fails to deliver, States should consider regulatory measures.    </w:t>
      </w:r>
    </w:p>
    <w:p w:rsidR="00217D46" w:rsidRPr="00217D46" w:rsidRDefault="00217D46" w:rsidP="00217D46">
      <w:pPr>
        <w:rPr>
          <w:rFonts w:eastAsia="Times New Roman" w:cs="Helvetica"/>
          <w:b/>
          <w:color w:val="000000"/>
          <w:lang w:eastAsia="ja-JP"/>
        </w:rPr>
      </w:pPr>
    </w:p>
    <w:p w:rsidR="00DE47B6" w:rsidRPr="00217D46" w:rsidRDefault="00DE47B6" w:rsidP="00217D46">
      <w:pPr>
        <w:rPr>
          <w:rFonts w:eastAsia="Times New Roman" w:cs="Helvetica"/>
          <w:b/>
          <w:i/>
          <w:lang w:eastAsia="ja-JP"/>
        </w:rPr>
      </w:pPr>
      <w:r w:rsidRPr="00217D46">
        <w:rPr>
          <w:rFonts w:eastAsia="Times New Roman" w:cs="Helvetica"/>
          <w:b/>
          <w:i/>
          <w:color w:val="000000"/>
          <w:lang w:eastAsia="ja-JP"/>
        </w:rPr>
        <w:t xml:space="preserve">Is the </w:t>
      </w:r>
      <w:r w:rsidR="00D5775F" w:rsidRPr="00217D46">
        <w:rPr>
          <w:rFonts w:eastAsia="Times New Roman" w:cs="Helvetica"/>
          <w:b/>
          <w:i/>
          <w:color w:val="000000"/>
          <w:lang w:eastAsia="ja-JP"/>
        </w:rPr>
        <w:t>realization</w:t>
      </w:r>
      <w:r w:rsidRPr="00217D46">
        <w:rPr>
          <w:rFonts w:eastAsia="Times New Roman" w:cs="Helvetica"/>
          <w:b/>
          <w:i/>
          <w:color w:val="000000"/>
          <w:lang w:eastAsia="ja-JP"/>
        </w:rPr>
        <w:t xml:space="preserve"> of children’s rights in the digital environment necessary to </w:t>
      </w:r>
      <w:r w:rsidR="00D5775F" w:rsidRPr="00217D46">
        <w:rPr>
          <w:rFonts w:eastAsia="Times New Roman" w:cs="Helvetica"/>
          <w:b/>
          <w:i/>
          <w:color w:val="000000"/>
          <w:lang w:eastAsia="ja-JP"/>
        </w:rPr>
        <w:t>realize</w:t>
      </w:r>
      <w:r w:rsidRPr="00217D46">
        <w:rPr>
          <w:rFonts w:eastAsia="Times New Roman" w:cs="Helvetica"/>
          <w:b/>
          <w:i/>
          <w:color w:val="000000"/>
          <w:lang w:eastAsia="ja-JP"/>
        </w:rPr>
        <w:t xml:space="preserve"> children’s rights in other environments?</w:t>
      </w:r>
    </w:p>
    <w:p w:rsidR="00DE47B6" w:rsidRPr="00217D46" w:rsidRDefault="00DE47B6" w:rsidP="00DE47B6">
      <w:pPr>
        <w:rPr>
          <w:rFonts w:eastAsia="Times New Roman"/>
          <w:lang w:eastAsia="en-GB"/>
        </w:rPr>
      </w:pPr>
      <w:r w:rsidRPr="00217D46">
        <w:rPr>
          <w:rFonts w:eastAsiaTheme="minorHAnsi" w:cs="Helvetica"/>
        </w:rPr>
        <w:t xml:space="preserve">With the </w:t>
      </w:r>
      <w:r w:rsidR="00D5775F" w:rsidRPr="00217D46">
        <w:rPr>
          <w:rFonts w:eastAsiaTheme="minorHAnsi" w:cs="Helvetica"/>
        </w:rPr>
        <w:t>digitalization</w:t>
      </w:r>
      <w:r w:rsidRPr="00217D46">
        <w:rPr>
          <w:rFonts w:eastAsiaTheme="minorHAnsi" w:cs="Helvetica"/>
        </w:rPr>
        <w:t xml:space="preserve"> of both public and private services, lack of access to digital environment or lack of digital knowledge and competencies might limit or hamper the realization of children’s rights. </w:t>
      </w:r>
    </w:p>
    <w:p w:rsidR="00DE47B6" w:rsidRPr="00217D46" w:rsidRDefault="00DE47B6" w:rsidP="00DE47B6">
      <w:pPr>
        <w:rPr>
          <w:rFonts w:eastAsia="Calibri" w:cstheme="minorHAnsi"/>
        </w:rPr>
      </w:pPr>
    </w:p>
    <w:sectPr w:rsidR="00DE47B6" w:rsidRPr="00217D46" w:rsidSect="005D530E">
      <w:headerReference w:type="first" r:id="rId8"/>
      <w:footerReference w:type="first" r:id="rId9"/>
      <w:pgSz w:w="11900" w:h="16840" w:code="9"/>
      <w:pgMar w:top="567" w:right="567" w:bottom="567" w:left="567" w:header="284" w:footer="32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1BF" w:rsidRDefault="00AB11BF" w:rsidP="00CD5B3B">
      <w:r>
        <w:separator/>
      </w:r>
    </w:p>
  </w:endnote>
  <w:endnote w:type="continuationSeparator" w:id="0">
    <w:p w:rsidR="00AB11BF" w:rsidRDefault="00AB11BF"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vantGardEFNormal">
    <w:panose1 w:val="00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30E" w:rsidRPr="00C312A6" w:rsidRDefault="005D530E" w:rsidP="004E0425">
    <w:pPr>
      <w:pStyle w:val="Footer"/>
      <w:spacing w:after="0" w:line="240" w:lineRule="auto"/>
      <w:jc w:val="center"/>
      <w:rPr>
        <w:rFonts w:ascii="AvantGardEFNormal" w:hAnsi="AvantGardEFNormal"/>
        <w:sz w:val="10"/>
        <w:szCs w:val="10"/>
      </w:rPr>
    </w:pPr>
    <w:r w:rsidRPr="00C312A6">
      <w:rPr>
        <w:noProof/>
        <w:sz w:val="10"/>
        <w:szCs w:val="10"/>
        <w:lang w:val="en-US" w:eastAsia="en-US"/>
      </w:rPr>
      <mc:AlternateContent>
        <mc:Choice Requires="wps">
          <w:drawing>
            <wp:anchor distT="0" distB="0" distL="114300" distR="114300" simplePos="0" relativeHeight="251661312" behindDoc="0" locked="0" layoutInCell="1" allowOverlap="1">
              <wp:simplePos x="0" y="0"/>
              <wp:positionH relativeFrom="column">
                <wp:posOffset>1106805</wp:posOffset>
              </wp:positionH>
              <wp:positionV relativeFrom="paragraph">
                <wp:posOffset>-8255</wp:posOffset>
              </wp:positionV>
              <wp:extent cx="5724525" cy="635"/>
              <wp:effectExtent l="11430" t="10795" r="7620" b="762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9F2E33" id="_x0000_t32" coordsize="21600,21600" o:spt="32" o:oned="t" path="m,l21600,21600e" filled="f">
              <v:path arrowok="t" fillok="f" o:connecttype="none"/>
              <o:lock v:ext="edit" shapetype="t"/>
            </v:shapetype>
            <v:shape id="Straight Arrow Connector 15" o:spid="_x0000_s1026" type="#_x0000_t32" style="position:absolute;margin-left:87.15pt;margin-top:-.65pt;width:450.7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" strokecolor="#a5a5a5"/>
          </w:pict>
        </mc:Fallback>
      </mc:AlternateContent>
    </w:r>
  </w:p>
  <w:p w:rsidR="005D530E" w:rsidRPr="00144FDD" w:rsidRDefault="005D530E" w:rsidP="004E0425">
    <w:pPr>
      <w:pStyle w:val="Footer"/>
      <w:spacing w:after="0" w:line="240" w:lineRule="auto"/>
      <w:rPr>
        <w:rFonts w:ascii="AvantGardEFNormal" w:hAnsi="AvantGardEFNormal"/>
        <w:sz w:val="16"/>
        <w:szCs w:val="16"/>
        <w:lang w:val="it-I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1BF" w:rsidRDefault="00AB11BF" w:rsidP="00CD5B3B">
      <w:r>
        <w:separator/>
      </w:r>
    </w:p>
  </w:footnote>
  <w:footnote w:type="continuationSeparator" w:id="0">
    <w:p w:rsidR="00AB11BF" w:rsidRDefault="00AB11BF" w:rsidP="00CD5B3B">
      <w:r>
        <w:continuationSeparator/>
      </w:r>
    </w:p>
  </w:footnote>
  <w:footnote w:id="1">
    <w:p w:rsidR="00D171D4" w:rsidRDefault="00D171D4" w:rsidP="00A24B93">
      <w:pPr>
        <w:pStyle w:val="FootnoteText"/>
        <w:ind w:left="1800"/>
      </w:pPr>
      <w:r>
        <w:rPr>
          <w:rStyle w:val="FootnoteReference"/>
        </w:rPr>
        <w:footnoteRef/>
      </w:r>
      <w:r>
        <w:t xml:space="preserve"> </w:t>
      </w:r>
      <w:hyperlink r:id="rId1" w:history="1">
        <w:r>
          <w:rPr>
            <w:rStyle w:val="Hyperlink"/>
          </w:rPr>
          <w:t>https://eur-lex.europa.eu/legal-content/EN/TXT/PDF/?uri=CELEX:12012P/TXT&amp;from=EN</w:t>
        </w:r>
      </w:hyperlink>
    </w:p>
  </w:footnote>
  <w:footnote w:id="2">
    <w:p w:rsidR="00D171D4" w:rsidRDefault="00D171D4" w:rsidP="00A24B93">
      <w:pPr>
        <w:pStyle w:val="FootnoteText"/>
        <w:ind w:left="1800"/>
      </w:pPr>
      <w:r>
        <w:rPr>
          <w:rStyle w:val="FootnoteReference"/>
        </w:rPr>
        <w:footnoteRef/>
      </w:r>
      <w:r>
        <w:t xml:space="preserve"> </w:t>
      </w:r>
      <w:hyperlink r:id="rId2" w:history="1">
        <w:r>
          <w:rPr>
            <w:rStyle w:val="Hyperlink"/>
          </w:rPr>
          <w:t>https://eur-lex.europa.eu/legal-content/EN/TXT/PDF/?uri=CELEX:32013H0112&amp;from=EN</w:t>
        </w:r>
      </w:hyperlink>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199" w:type="dxa"/>
      <w:tblInd w:w="-284" w:type="dxa"/>
      <w:tblCellMar>
        <w:left w:w="0" w:type="dxa"/>
        <w:right w:w="0" w:type="dxa"/>
      </w:tblCellMar>
      <w:tblLook w:val="00A0" w:firstRow="1" w:lastRow="0" w:firstColumn="1" w:lastColumn="0" w:noHBand="0" w:noVBand="0"/>
    </w:tblPr>
    <w:tblGrid>
      <w:gridCol w:w="7092"/>
      <w:gridCol w:w="4107"/>
    </w:tblGrid>
    <w:tr w:rsidR="00687139" w:rsidTr="00BF258D">
      <w:tc>
        <w:tcPr>
          <w:tcW w:w="7092" w:type="dxa"/>
        </w:tcPr>
        <w:p w:rsidR="00687139" w:rsidRPr="00CD5B3B" w:rsidRDefault="00687139" w:rsidP="00B62D7A">
          <w:pPr>
            <w:pStyle w:val="MediumGrid21"/>
            <w:ind w:left="41"/>
          </w:pPr>
        </w:p>
      </w:tc>
      <w:tc>
        <w:tcPr>
          <w:tcW w:w="4107" w:type="dxa"/>
          <w:vAlign w:val="center"/>
        </w:tcPr>
        <w:p w:rsidR="00687139" w:rsidRDefault="00687139" w:rsidP="00E562FC">
          <w:pPr>
            <w:pStyle w:val="MediumGrid21"/>
            <w:jc w:val="right"/>
          </w:pPr>
        </w:p>
      </w:tc>
    </w:tr>
  </w:tbl>
  <w:p w:rsidR="00687139" w:rsidRPr="00B62D7A" w:rsidRDefault="00687139" w:rsidP="00CB0F9E">
    <w:pPr>
      <w:pStyle w:val="Header"/>
      <w:ind w:left="0"/>
      <w:rPr>
        <w:sz w:val="2"/>
        <w:szCs w:val="2"/>
        <w:lang w:val="ro-R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BE6F2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59054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FCB6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590A8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D68B5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3A2D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8021F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FCD5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14BF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8848E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94582"/>
    <w:multiLevelType w:val="hybridMultilevel"/>
    <w:tmpl w:val="C1DE0F58"/>
    <w:lvl w:ilvl="0" w:tplc="6E9CE0DA">
      <w:start w:val="1"/>
      <w:numFmt w:val="decimal"/>
      <w:lvlText w:val="%1."/>
      <w:lvlJc w:val="left"/>
      <w:pPr>
        <w:tabs>
          <w:tab w:val="num" w:pos="2061"/>
        </w:tabs>
        <w:ind w:left="2061" w:hanging="360"/>
      </w:pPr>
      <w:rPr>
        <w:rFonts w:cs="Times New Roman" w:hint="default"/>
      </w:rPr>
    </w:lvl>
    <w:lvl w:ilvl="1" w:tplc="04090019" w:tentative="1">
      <w:start w:val="1"/>
      <w:numFmt w:val="lowerLetter"/>
      <w:lvlText w:val="%2."/>
      <w:lvlJc w:val="left"/>
      <w:pPr>
        <w:tabs>
          <w:tab w:val="num" w:pos="2781"/>
        </w:tabs>
        <w:ind w:left="2781" w:hanging="360"/>
      </w:pPr>
      <w:rPr>
        <w:rFonts w:cs="Times New Roman"/>
      </w:rPr>
    </w:lvl>
    <w:lvl w:ilvl="2" w:tplc="0409001B" w:tentative="1">
      <w:start w:val="1"/>
      <w:numFmt w:val="lowerRoman"/>
      <w:lvlText w:val="%3."/>
      <w:lvlJc w:val="right"/>
      <w:pPr>
        <w:tabs>
          <w:tab w:val="num" w:pos="3501"/>
        </w:tabs>
        <w:ind w:left="3501" w:hanging="180"/>
      </w:pPr>
      <w:rPr>
        <w:rFonts w:cs="Times New Roman"/>
      </w:rPr>
    </w:lvl>
    <w:lvl w:ilvl="3" w:tplc="0409000F" w:tentative="1">
      <w:start w:val="1"/>
      <w:numFmt w:val="decimal"/>
      <w:lvlText w:val="%4."/>
      <w:lvlJc w:val="left"/>
      <w:pPr>
        <w:tabs>
          <w:tab w:val="num" w:pos="4221"/>
        </w:tabs>
        <w:ind w:left="4221" w:hanging="360"/>
      </w:pPr>
      <w:rPr>
        <w:rFonts w:cs="Times New Roman"/>
      </w:rPr>
    </w:lvl>
    <w:lvl w:ilvl="4" w:tplc="04090019" w:tentative="1">
      <w:start w:val="1"/>
      <w:numFmt w:val="lowerLetter"/>
      <w:lvlText w:val="%5."/>
      <w:lvlJc w:val="left"/>
      <w:pPr>
        <w:tabs>
          <w:tab w:val="num" w:pos="4941"/>
        </w:tabs>
        <w:ind w:left="4941" w:hanging="360"/>
      </w:pPr>
      <w:rPr>
        <w:rFonts w:cs="Times New Roman"/>
      </w:rPr>
    </w:lvl>
    <w:lvl w:ilvl="5" w:tplc="0409001B" w:tentative="1">
      <w:start w:val="1"/>
      <w:numFmt w:val="lowerRoman"/>
      <w:lvlText w:val="%6."/>
      <w:lvlJc w:val="right"/>
      <w:pPr>
        <w:tabs>
          <w:tab w:val="num" w:pos="5661"/>
        </w:tabs>
        <w:ind w:left="5661" w:hanging="180"/>
      </w:pPr>
      <w:rPr>
        <w:rFonts w:cs="Times New Roman"/>
      </w:rPr>
    </w:lvl>
    <w:lvl w:ilvl="6" w:tplc="0409000F" w:tentative="1">
      <w:start w:val="1"/>
      <w:numFmt w:val="decimal"/>
      <w:lvlText w:val="%7."/>
      <w:lvlJc w:val="left"/>
      <w:pPr>
        <w:tabs>
          <w:tab w:val="num" w:pos="6381"/>
        </w:tabs>
        <w:ind w:left="6381" w:hanging="360"/>
      </w:pPr>
      <w:rPr>
        <w:rFonts w:cs="Times New Roman"/>
      </w:rPr>
    </w:lvl>
    <w:lvl w:ilvl="7" w:tplc="04090019" w:tentative="1">
      <w:start w:val="1"/>
      <w:numFmt w:val="lowerLetter"/>
      <w:lvlText w:val="%8."/>
      <w:lvlJc w:val="left"/>
      <w:pPr>
        <w:tabs>
          <w:tab w:val="num" w:pos="7101"/>
        </w:tabs>
        <w:ind w:left="7101" w:hanging="360"/>
      </w:pPr>
      <w:rPr>
        <w:rFonts w:cs="Times New Roman"/>
      </w:rPr>
    </w:lvl>
    <w:lvl w:ilvl="8" w:tplc="0409001B" w:tentative="1">
      <w:start w:val="1"/>
      <w:numFmt w:val="lowerRoman"/>
      <w:lvlText w:val="%9."/>
      <w:lvlJc w:val="right"/>
      <w:pPr>
        <w:tabs>
          <w:tab w:val="num" w:pos="7821"/>
        </w:tabs>
        <w:ind w:left="7821" w:hanging="180"/>
      </w:pPr>
      <w:rPr>
        <w:rFonts w:cs="Times New Roman"/>
      </w:rPr>
    </w:lvl>
  </w:abstractNum>
  <w:abstractNum w:abstractNumId="11" w15:restartNumberingAfterBreak="0">
    <w:nsid w:val="073A62F2"/>
    <w:multiLevelType w:val="hybridMultilevel"/>
    <w:tmpl w:val="A2E0E4D8"/>
    <w:lvl w:ilvl="0" w:tplc="574A1232">
      <w:start w:val="3"/>
      <w:numFmt w:val="decimal"/>
      <w:lvlText w:val="%1."/>
      <w:lvlJc w:val="left"/>
      <w:pPr>
        <w:tabs>
          <w:tab w:val="num" w:pos="2061"/>
        </w:tabs>
        <w:ind w:left="2061" w:hanging="360"/>
      </w:pPr>
      <w:rPr>
        <w:rFonts w:hint="default"/>
      </w:rPr>
    </w:lvl>
    <w:lvl w:ilvl="1" w:tplc="04090019" w:tentative="1">
      <w:start w:val="1"/>
      <w:numFmt w:val="lowerLetter"/>
      <w:lvlText w:val="%2."/>
      <w:lvlJc w:val="left"/>
      <w:pPr>
        <w:tabs>
          <w:tab w:val="num" w:pos="2781"/>
        </w:tabs>
        <w:ind w:left="2781" w:hanging="360"/>
      </w:pPr>
    </w:lvl>
    <w:lvl w:ilvl="2" w:tplc="0409001B" w:tentative="1">
      <w:start w:val="1"/>
      <w:numFmt w:val="lowerRoman"/>
      <w:lvlText w:val="%3."/>
      <w:lvlJc w:val="right"/>
      <w:pPr>
        <w:tabs>
          <w:tab w:val="num" w:pos="3501"/>
        </w:tabs>
        <w:ind w:left="3501" w:hanging="180"/>
      </w:pPr>
    </w:lvl>
    <w:lvl w:ilvl="3" w:tplc="0409000F" w:tentative="1">
      <w:start w:val="1"/>
      <w:numFmt w:val="decimal"/>
      <w:lvlText w:val="%4."/>
      <w:lvlJc w:val="left"/>
      <w:pPr>
        <w:tabs>
          <w:tab w:val="num" w:pos="4221"/>
        </w:tabs>
        <w:ind w:left="4221" w:hanging="360"/>
      </w:pPr>
    </w:lvl>
    <w:lvl w:ilvl="4" w:tplc="04090019" w:tentative="1">
      <w:start w:val="1"/>
      <w:numFmt w:val="lowerLetter"/>
      <w:lvlText w:val="%5."/>
      <w:lvlJc w:val="left"/>
      <w:pPr>
        <w:tabs>
          <w:tab w:val="num" w:pos="4941"/>
        </w:tabs>
        <w:ind w:left="4941" w:hanging="360"/>
      </w:pPr>
    </w:lvl>
    <w:lvl w:ilvl="5" w:tplc="0409001B" w:tentative="1">
      <w:start w:val="1"/>
      <w:numFmt w:val="lowerRoman"/>
      <w:lvlText w:val="%6."/>
      <w:lvlJc w:val="right"/>
      <w:pPr>
        <w:tabs>
          <w:tab w:val="num" w:pos="5661"/>
        </w:tabs>
        <w:ind w:left="5661" w:hanging="180"/>
      </w:pPr>
    </w:lvl>
    <w:lvl w:ilvl="6" w:tplc="0409000F" w:tentative="1">
      <w:start w:val="1"/>
      <w:numFmt w:val="decimal"/>
      <w:lvlText w:val="%7."/>
      <w:lvlJc w:val="left"/>
      <w:pPr>
        <w:tabs>
          <w:tab w:val="num" w:pos="6381"/>
        </w:tabs>
        <w:ind w:left="6381" w:hanging="360"/>
      </w:pPr>
    </w:lvl>
    <w:lvl w:ilvl="7" w:tplc="04090019" w:tentative="1">
      <w:start w:val="1"/>
      <w:numFmt w:val="lowerLetter"/>
      <w:lvlText w:val="%8."/>
      <w:lvlJc w:val="left"/>
      <w:pPr>
        <w:tabs>
          <w:tab w:val="num" w:pos="7101"/>
        </w:tabs>
        <w:ind w:left="7101" w:hanging="360"/>
      </w:pPr>
    </w:lvl>
    <w:lvl w:ilvl="8" w:tplc="0409001B" w:tentative="1">
      <w:start w:val="1"/>
      <w:numFmt w:val="lowerRoman"/>
      <w:lvlText w:val="%9."/>
      <w:lvlJc w:val="right"/>
      <w:pPr>
        <w:tabs>
          <w:tab w:val="num" w:pos="7821"/>
        </w:tabs>
        <w:ind w:left="7821" w:hanging="180"/>
      </w:pPr>
    </w:lvl>
  </w:abstractNum>
  <w:abstractNum w:abstractNumId="12" w15:restartNumberingAfterBreak="0">
    <w:nsid w:val="0817140F"/>
    <w:multiLevelType w:val="hybridMultilevel"/>
    <w:tmpl w:val="62BE8C42"/>
    <w:lvl w:ilvl="0" w:tplc="DA7A2960">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0DA22125"/>
    <w:multiLevelType w:val="hybridMultilevel"/>
    <w:tmpl w:val="9FB68A1E"/>
    <w:lvl w:ilvl="0" w:tplc="04090001">
      <w:start w:val="1"/>
      <w:numFmt w:val="bullet"/>
      <w:lvlText w:val=""/>
      <w:lvlJc w:val="left"/>
      <w:pPr>
        <w:tabs>
          <w:tab w:val="num" w:pos="2421"/>
        </w:tabs>
        <w:ind w:left="2421" w:hanging="360"/>
      </w:pPr>
      <w:rPr>
        <w:rFonts w:ascii="Symbol" w:hAnsi="Symbol" w:hint="default"/>
      </w:rPr>
    </w:lvl>
    <w:lvl w:ilvl="1" w:tplc="04090003" w:tentative="1">
      <w:start w:val="1"/>
      <w:numFmt w:val="bullet"/>
      <w:lvlText w:val="o"/>
      <w:lvlJc w:val="left"/>
      <w:pPr>
        <w:tabs>
          <w:tab w:val="num" w:pos="3141"/>
        </w:tabs>
        <w:ind w:left="3141" w:hanging="360"/>
      </w:pPr>
      <w:rPr>
        <w:rFonts w:ascii="Courier New" w:hAnsi="Courier New" w:cs="Courier New" w:hint="default"/>
      </w:rPr>
    </w:lvl>
    <w:lvl w:ilvl="2" w:tplc="04090005" w:tentative="1">
      <w:start w:val="1"/>
      <w:numFmt w:val="bullet"/>
      <w:lvlText w:val=""/>
      <w:lvlJc w:val="left"/>
      <w:pPr>
        <w:tabs>
          <w:tab w:val="num" w:pos="3861"/>
        </w:tabs>
        <w:ind w:left="3861" w:hanging="360"/>
      </w:pPr>
      <w:rPr>
        <w:rFonts w:ascii="Wingdings" w:hAnsi="Wingdings" w:hint="default"/>
      </w:rPr>
    </w:lvl>
    <w:lvl w:ilvl="3" w:tplc="04090001" w:tentative="1">
      <w:start w:val="1"/>
      <w:numFmt w:val="bullet"/>
      <w:lvlText w:val=""/>
      <w:lvlJc w:val="left"/>
      <w:pPr>
        <w:tabs>
          <w:tab w:val="num" w:pos="4581"/>
        </w:tabs>
        <w:ind w:left="4581" w:hanging="360"/>
      </w:pPr>
      <w:rPr>
        <w:rFonts w:ascii="Symbol" w:hAnsi="Symbol" w:hint="default"/>
      </w:rPr>
    </w:lvl>
    <w:lvl w:ilvl="4" w:tplc="04090003" w:tentative="1">
      <w:start w:val="1"/>
      <w:numFmt w:val="bullet"/>
      <w:lvlText w:val="o"/>
      <w:lvlJc w:val="left"/>
      <w:pPr>
        <w:tabs>
          <w:tab w:val="num" w:pos="5301"/>
        </w:tabs>
        <w:ind w:left="5301" w:hanging="360"/>
      </w:pPr>
      <w:rPr>
        <w:rFonts w:ascii="Courier New" w:hAnsi="Courier New" w:cs="Courier New" w:hint="default"/>
      </w:rPr>
    </w:lvl>
    <w:lvl w:ilvl="5" w:tplc="04090005" w:tentative="1">
      <w:start w:val="1"/>
      <w:numFmt w:val="bullet"/>
      <w:lvlText w:val=""/>
      <w:lvlJc w:val="left"/>
      <w:pPr>
        <w:tabs>
          <w:tab w:val="num" w:pos="6021"/>
        </w:tabs>
        <w:ind w:left="6021" w:hanging="360"/>
      </w:pPr>
      <w:rPr>
        <w:rFonts w:ascii="Wingdings" w:hAnsi="Wingdings" w:hint="default"/>
      </w:rPr>
    </w:lvl>
    <w:lvl w:ilvl="6" w:tplc="04090001" w:tentative="1">
      <w:start w:val="1"/>
      <w:numFmt w:val="bullet"/>
      <w:lvlText w:val=""/>
      <w:lvlJc w:val="left"/>
      <w:pPr>
        <w:tabs>
          <w:tab w:val="num" w:pos="6741"/>
        </w:tabs>
        <w:ind w:left="6741" w:hanging="360"/>
      </w:pPr>
      <w:rPr>
        <w:rFonts w:ascii="Symbol" w:hAnsi="Symbol" w:hint="default"/>
      </w:rPr>
    </w:lvl>
    <w:lvl w:ilvl="7" w:tplc="04090003" w:tentative="1">
      <w:start w:val="1"/>
      <w:numFmt w:val="bullet"/>
      <w:lvlText w:val="o"/>
      <w:lvlJc w:val="left"/>
      <w:pPr>
        <w:tabs>
          <w:tab w:val="num" w:pos="7461"/>
        </w:tabs>
        <w:ind w:left="7461" w:hanging="360"/>
      </w:pPr>
      <w:rPr>
        <w:rFonts w:ascii="Courier New" w:hAnsi="Courier New" w:cs="Courier New" w:hint="default"/>
      </w:rPr>
    </w:lvl>
    <w:lvl w:ilvl="8" w:tplc="04090005" w:tentative="1">
      <w:start w:val="1"/>
      <w:numFmt w:val="bullet"/>
      <w:lvlText w:val=""/>
      <w:lvlJc w:val="left"/>
      <w:pPr>
        <w:tabs>
          <w:tab w:val="num" w:pos="8181"/>
        </w:tabs>
        <w:ind w:left="8181" w:hanging="360"/>
      </w:pPr>
      <w:rPr>
        <w:rFonts w:ascii="Wingdings" w:hAnsi="Wingdings" w:hint="default"/>
      </w:rPr>
    </w:lvl>
  </w:abstractNum>
  <w:abstractNum w:abstractNumId="14" w15:restartNumberingAfterBreak="0">
    <w:nsid w:val="1D3A5E12"/>
    <w:multiLevelType w:val="hybridMultilevel"/>
    <w:tmpl w:val="5F98B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2E5708"/>
    <w:multiLevelType w:val="hybridMultilevel"/>
    <w:tmpl w:val="8058583A"/>
    <w:lvl w:ilvl="0" w:tplc="67FE1C8C">
      <w:start w:val="1"/>
      <w:numFmt w:val="decimal"/>
      <w:lvlText w:val="%1."/>
      <w:lvlJc w:val="left"/>
      <w:pPr>
        <w:ind w:left="2061" w:hanging="360"/>
      </w:pPr>
      <w:rPr>
        <w:rFonts w:hint="default"/>
      </w:rPr>
    </w:lvl>
    <w:lvl w:ilvl="1" w:tplc="04180019" w:tentative="1">
      <w:start w:val="1"/>
      <w:numFmt w:val="lowerLetter"/>
      <w:lvlText w:val="%2."/>
      <w:lvlJc w:val="left"/>
      <w:pPr>
        <w:ind w:left="2781" w:hanging="360"/>
      </w:pPr>
    </w:lvl>
    <w:lvl w:ilvl="2" w:tplc="0418001B" w:tentative="1">
      <w:start w:val="1"/>
      <w:numFmt w:val="lowerRoman"/>
      <w:lvlText w:val="%3."/>
      <w:lvlJc w:val="right"/>
      <w:pPr>
        <w:ind w:left="3501" w:hanging="180"/>
      </w:pPr>
    </w:lvl>
    <w:lvl w:ilvl="3" w:tplc="0418000F" w:tentative="1">
      <w:start w:val="1"/>
      <w:numFmt w:val="decimal"/>
      <w:lvlText w:val="%4."/>
      <w:lvlJc w:val="left"/>
      <w:pPr>
        <w:ind w:left="4221" w:hanging="360"/>
      </w:pPr>
    </w:lvl>
    <w:lvl w:ilvl="4" w:tplc="04180019" w:tentative="1">
      <w:start w:val="1"/>
      <w:numFmt w:val="lowerLetter"/>
      <w:lvlText w:val="%5."/>
      <w:lvlJc w:val="left"/>
      <w:pPr>
        <w:ind w:left="4941" w:hanging="360"/>
      </w:pPr>
    </w:lvl>
    <w:lvl w:ilvl="5" w:tplc="0418001B" w:tentative="1">
      <w:start w:val="1"/>
      <w:numFmt w:val="lowerRoman"/>
      <w:lvlText w:val="%6."/>
      <w:lvlJc w:val="right"/>
      <w:pPr>
        <w:ind w:left="5661" w:hanging="180"/>
      </w:pPr>
    </w:lvl>
    <w:lvl w:ilvl="6" w:tplc="0418000F" w:tentative="1">
      <w:start w:val="1"/>
      <w:numFmt w:val="decimal"/>
      <w:lvlText w:val="%7."/>
      <w:lvlJc w:val="left"/>
      <w:pPr>
        <w:ind w:left="6381" w:hanging="360"/>
      </w:pPr>
    </w:lvl>
    <w:lvl w:ilvl="7" w:tplc="04180019" w:tentative="1">
      <w:start w:val="1"/>
      <w:numFmt w:val="lowerLetter"/>
      <w:lvlText w:val="%8."/>
      <w:lvlJc w:val="left"/>
      <w:pPr>
        <w:ind w:left="7101" w:hanging="360"/>
      </w:pPr>
    </w:lvl>
    <w:lvl w:ilvl="8" w:tplc="0418001B" w:tentative="1">
      <w:start w:val="1"/>
      <w:numFmt w:val="lowerRoman"/>
      <w:lvlText w:val="%9."/>
      <w:lvlJc w:val="right"/>
      <w:pPr>
        <w:ind w:left="7821" w:hanging="180"/>
      </w:pPr>
    </w:lvl>
  </w:abstractNum>
  <w:abstractNum w:abstractNumId="16" w15:restartNumberingAfterBreak="0">
    <w:nsid w:val="27F1156B"/>
    <w:multiLevelType w:val="hybridMultilevel"/>
    <w:tmpl w:val="ACBE87E8"/>
    <w:lvl w:ilvl="0" w:tplc="0418000B">
      <w:start w:val="1"/>
      <w:numFmt w:val="bullet"/>
      <w:lvlText w:val=""/>
      <w:lvlJc w:val="left"/>
      <w:pPr>
        <w:ind w:left="2880" w:hanging="360"/>
      </w:pPr>
      <w:rPr>
        <w:rFonts w:ascii="Wingdings" w:hAnsi="Wingdings" w:hint="default"/>
      </w:rPr>
    </w:lvl>
    <w:lvl w:ilvl="1" w:tplc="04180003" w:tentative="1">
      <w:start w:val="1"/>
      <w:numFmt w:val="bullet"/>
      <w:lvlText w:val="o"/>
      <w:lvlJc w:val="left"/>
      <w:pPr>
        <w:ind w:left="3600" w:hanging="360"/>
      </w:pPr>
      <w:rPr>
        <w:rFonts w:ascii="Courier New" w:hAnsi="Courier New" w:cs="Courier New" w:hint="default"/>
      </w:rPr>
    </w:lvl>
    <w:lvl w:ilvl="2" w:tplc="04180005" w:tentative="1">
      <w:start w:val="1"/>
      <w:numFmt w:val="bullet"/>
      <w:lvlText w:val=""/>
      <w:lvlJc w:val="left"/>
      <w:pPr>
        <w:ind w:left="4320" w:hanging="360"/>
      </w:pPr>
      <w:rPr>
        <w:rFonts w:ascii="Wingdings" w:hAnsi="Wingdings" w:hint="default"/>
      </w:rPr>
    </w:lvl>
    <w:lvl w:ilvl="3" w:tplc="04180001" w:tentative="1">
      <w:start w:val="1"/>
      <w:numFmt w:val="bullet"/>
      <w:lvlText w:val=""/>
      <w:lvlJc w:val="left"/>
      <w:pPr>
        <w:ind w:left="5040" w:hanging="360"/>
      </w:pPr>
      <w:rPr>
        <w:rFonts w:ascii="Symbol" w:hAnsi="Symbol" w:hint="default"/>
      </w:rPr>
    </w:lvl>
    <w:lvl w:ilvl="4" w:tplc="04180003" w:tentative="1">
      <w:start w:val="1"/>
      <w:numFmt w:val="bullet"/>
      <w:lvlText w:val="o"/>
      <w:lvlJc w:val="left"/>
      <w:pPr>
        <w:ind w:left="5760" w:hanging="360"/>
      </w:pPr>
      <w:rPr>
        <w:rFonts w:ascii="Courier New" w:hAnsi="Courier New" w:cs="Courier New" w:hint="default"/>
      </w:rPr>
    </w:lvl>
    <w:lvl w:ilvl="5" w:tplc="04180005" w:tentative="1">
      <w:start w:val="1"/>
      <w:numFmt w:val="bullet"/>
      <w:lvlText w:val=""/>
      <w:lvlJc w:val="left"/>
      <w:pPr>
        <w:ind w:left="6480" w:hanging="360"/>
      </w:pPr>
      <w:rPr>
        <w:rFonts w:ascii="Wingdings" w:hAnsi="Wingdings" w:hint="default"/>
      </w:rPr>
    </w:lvl>
    <w:lvl w:ilvl="6" w:tplc="04180001" w:tentative="1">
      <w:start w:val="1"/>
      <w:numFmt w:val="bullet"/>
      <w:lvlText w:val=""/>
      <w:lvlJc w:val="left"/>
      <w:pPr>
        <w:ind w:left="7200" w:hanging="360"/>
      </w:pPr>
      <w:rPr>
        <w:rFonts w:ascii="Symbol" w:hAnsi="Symbol" w:hint="default"/>
      </w:rPr>
    </w:lvl>
    <w:lvl w:ilvl="7" w:tplc="04180003" w:tentative="1">
      <w:start w:val="1"/>
      <w:numFmt w:val="bullet"/>
      <w:lvlText w:val="o"/>
      <w:lvlJc w:val="left"/>
      <w:pPr>
        <w:ind w:left="7920" w:hanging="360"/>
      </w:pPr>
      <w:rPr>
        <w:rFonts w:ascii="Courier New" w:hAnsi="Courier New" w:cs="Courier New" w:hint="default"/>
      </w:rPr>
    </w:lvl>
    <w:lvl w:ilvl="8" w:tplc="04180005" w:tentative="1">
      <w:start w:val="1"/>
      <w:numFmt w:val="bullet"/>
      <w:lvlText w:val=""/>
      <w:lvlJc w:val="left"/>
      <w:pPr>
        <w:ind w:left="8640" w:hanging="360"/>
      </w:pPr>
      <w:rPr>
        <w:rFonts w:ascii="Wingdings" w:hAnsi="Wingdings" w:hint="default"/>
      </w:rPr>
    </w:lvl>
  </w:abstractNum>
  <w:abstractNum w:abstractNumId="17" w15:restartNumberingAfterBreak="0">
    <w:nsid w:val="28556E09"/>
    <w:multiLevelType w:val="hybridMultilevel"/>
    <w:tmpl w:val="304C5EA0"/>
    <w:lvl w:ilvl="0" w:tplc="04090001">
      <w:start w:val="1"/>
      <w:numFmt w:val="bullet"/>
      <w:lvlText w:val=""/>
      <w:lvlJc w:val="left"/>
      <w:pPr>
        <w:tabs>
          <w:tab w:val="num" w:pos="2421"/>
        </w:tabs>
        <w:ind w:left="2421" w:hanging="360"/>
      </w:pPr>
      <w:rPr>
        <w:rFonts w:ascii="Symbol" w:hAnsi="Symbol" w:hint="default"/>
      </w:rPr>
    </w:lvl>
    <w:lvl w:ilvl="1" w:tplc="04090003" w:tentative="1">
      <w:start w:val="1"/>
      <w:numFmt w:val="bullet"/>
      <w:lvlText w:val="o"/>
      <w:lvlJc w:val="left"/>
      <w:pPr>
        <w:tabs>
          <w:tab w:val="num" w:pos="3141"/>
        </w:tabs>
        <w:ind w:left="3141" w:hanging="360"/>
      </w:pPr>
      <w:rPr>
        <w:rFonts w:ascii="Courier New" w:hAnsi="Courier New" w:cs="Courier New" w:hint="default"/>
      </w:rPr>
    </w:lvl>
    <w:lvl w:ilvl="2" w:tplc="04090005" w:tentative="1">
      <w:start w:val="1"/>
      <w:numFmt w:val="bullet"/>
      <w:lvlText w:val=""/>
      <w:lvlJc w:val="left"/>
      <w:pPr>
        <w:tabs>
          <w:tab w:val="num" w:pos="3861"/>
        </w:tabs>
        <w:ind w:left="3861" w:hanging="360"/>
      </w:pPr>
      <w:rPr>
        <w:rFonts w:ascii="Wingdings" w:hAnsi="Wingdings" w:hint="default"/>
      </w:rPr>
    </w:lvl>
    <w:lvl w:ilvl="3" w:tplc="04090001" w:tentative="1">
      <w:start w:val="1"/>
      <w:numFmt w:val="bullet"/>
      <w:lvlText w:val=""/>
      <w:lvlJc w:val="left"/>
      <w:pPr>
        <w:tabs>
          <w:tab w:val="num" w:pos="4581"/>
        </w:tabs>
        <w:ind w:left="4581" w:hanging="360"/>
      </w:pPr>
      <w:rPr>
        <w:rFonts w:ascii="Symbol" w:hAnsi="Symbol" w:hint="default"/>
      </w:rPr>
    </w:lvl>
    <w:lvl w:ilvl="4" w:tplc="04090003" w:tentative="1">
      <w:start w:val="1"/>
      <w:numFmt w:val="bullet"/>
      <w:lvlText w:val="o"/>
      <w:lvlJc w:val="left"/>
      <w:pPr>
        <w:tabs>
          <w:tab w:val="num" w:pos="5301"/>
        </w:tabs>
        <w:ind w:left="5301" w:hanging="360"/>
      </w:pPr>
      <w:rPr>
        <w:rFonts w:ascii="Courier New" w:hAnsi="Courier New" w:cs="Courier New" w:hint="default"/>
      </w:rPr>
    </w:lvl>
    <w:lvl w:ilvl="5" w:tplc="04090005" w:tentative="1">
      <w:start w:val="1"/>
      <w:numFmt w:val="bullet"/>
      <w:lvlText w:val=""/>
      <w:lvlJc w:val="left"/>
      <w:pPr>
        <w:tabs>
          <w:tab w:val="num" w:pos="6021"/>
        </w:tabs>
        <w:ind w:left="6021" w:hanging="360"/>
      </w:pPr>
      <w:rPr>
        <w:rFonts w:ascii="Wingdings" w:hAnsi="Wingdings" w:hint="default"/>
      </w:rPr>
    </w:lvl>
    <w:lvl w:ilvl="6" w:tplc="04090001" w:tentative="1">
      <w:start w:val="1"/>
      <w:numFmt w:val="bullet"/>
      <w:lvlText w:val=""/>
      <w:lvlJc w:val="left"/>
      <w:pPr>
        <w:tabs>
          <w:tab w:val="num" w:pos="6741"/>
        </w:tabs>
        <w:ind w:left="6741" w:hanging="360"/>
      </w:pPr>
      <w:rPr>
        <w:rFonts w:ascii="Symbol" w:hAnsi="Symbol" w:hint="default"/>
      </w:rPr>
    </w:lvl>
    <w:lvl w:ilvl="7" w:tplc="04090003" w:tentative="1">
      <w:start w:val="1"/>
      <w:numFmt w:val="bullet"/>
      <w:lvlText w:val="o"/>
      <w:lvlJc w:val="left"/>
      <w:pPr>
        <w:tabs>
          <w:tab w:val="num" w:pos="7461"/>
        </w:tabs>
        <w:ind w:left="7461" w:hanging="360"/>
      </w:pPr>
      <w:rPr>
        <w:rFonts w:ascii="Courier New" w:hAnsi="Courier New" w:cs="Courier New" w:hint="default"/>
      </w:rPr>
    </w:lvl>
    <w:lvl w:ilvl="8" w:tplc="04090005" w:tentative="1">
      <w:start w:val="1"/>
      <w:numFmt w:val="bullet"/>
      <w:lvlText w:val=""/>
      <w:lvlJc w:val="left"/>
      <w:pPr>
        <w:tabs>
          <w:tab w:val="num" w:pos="8181"/>
        </w:tabs>
        <w:ind w:left="8181" w:hanging="360"/>
      </w:pPr>
      <w:rPr>
        <w:rFonts w:ascii="Wingdings" w:hAnsi="Wingdings" w:hint="default"/>
      </w:rPr>
    </w:lvl>
  </w:abstractNum>
  <w:abstractNum w:abstractNumId="18" w15:restartNumberingAfterBreak="0">
    <w:nsid w:val="2CF02E92"/>
    <w:multiLevelType w:val="hybridMultilevel"/>
    <w:tmpl w:val="A29EF890"/>
    <w:lvl w:ilvl="0" w:tplc="04090001">
      <w:start w:val="1"/>
      <w:numFmt w:val="bullet"/>
      <w:lvlText w:val=""/>
      <w:lvlJc w:val="left"/>
      <w:pPr>
        <w:tabs>
          <w:tab w:val="num" w:pos="2421"/>
        </w:tabs>
        <w:ind w:left="2421" w:hanging="360"/>
      </w:pPr>
      <w:rPr>
        <w:rFonts w:ascii="Symbol" w:hAnsi="Symbol" w:hint="default"/>
      </w:rPr>
    </w:lvl>
    <w:lvl w:ilvl="1" w:tplc="04090003">
      <w:start w:val="1"/>
      <w:numFmt w:val="bullet"/>
      <w:lvlText w:val="o"/>
      <w:lvlJc w:val="left"/>
      <w:pPr>
        <w:tabs>
          <w:tab w:val="num" w:pos="3141"/>
        </w:tabs>
        <w:ind w:left="3141" w:hanging="360"/>
      </w:pPr>
      <w:rPr>
        <w:rFonts w:ascii="Courier New" w:hAnsi="Courier New" w:cs="Courier New" w:hint="default"/>
      </w:rPr>
    </w:lvl>
    <w:lvl w:ilvl="2" w:tplc="04090005" w:tentative="1">
      <w:start w:val="1"/>
      <w:numFmt w:val="bullet"/>
      <w:lvlText w:val=""/>
      <w:lvlJc w:val="left"/>
      <w:pPr>
        <w:tabs>
          <w:tab w:val="num" w:pos="3861"/>
        </w:tabs>
        <w:ind w:left="3861" w:hanging="360"/>
      </w:pPr>
      <w:rPr>
        <w:rFonts w:ascii="Wingdings" w:hAnsi="Wingdings" w:hint="default"/>
      </w:rPr>
    </w:lvl>
    <w:lvl w:ilvl="3" w:tplc="04090001" w:tentative="1">
      <w:start w:val="1"/>
      <w:numFmt w:val="bullet"/>
      <w:lvlText w:val=""/>
      <w:lvlJc w:val="left"/>
      <w:pPr>
        <w:tabs>
          <w:tab w:val="num" w:pos="4581"/>
        </w:tabs>
        <w:ind w:left="4581" w:hanging="360"/>
      </w:pPr>
      <w:rPr>
        <w:rFonts w:ascii="Symbol" w:hAnsi="Symbol" w:hint="default"/>
      </w:rPr>
    </w:lvl>
    <w:lvl w:ilvl="4" w:tplc="04090003" w:tentative="1">
      <w:start w:val="1"/>
      <w:numFmt w:val="bullet"/>
      <w:lvlText w:val="o"/>
      <w:lvlJc w:val="left"/>
      <w:pPr>
        <w:tabs>
          <w:tab w:val="num" w:pos="5301"/>
        </w:tabs>
        <w:ind w:left="5301" w:hanging="360"/>
      </w:pPr>
      <w:rPr>
        <w:rFonts w:ascii="Courier New" w:hAnsi="Courier New" w:cs="Courier New" w:hint="default"/>
      </w:rPr>
    </w:lvl>
    <w:lvl w:ilvl="5" w:tplc="04090005" w:tentative="1">
      <w:start w:val="1"/>
      <w:numFmt w:val="bullet"/>
      <w:lvlText w:val=""/>
      <w:lvlJc w:val="left"/>
      <w:pPr>
        <w:tabs>
          <w:tab w:val="num" w:pos="6021"/>
        </w:tabs>
        <w:ind w:left="6021" w:hanging="360"/>
      </w:pPr>
      <w:rPr>
        <w:rFonts w:ascii="Wingdings" w:hAnsi="Wingdings" w:hint="default"/>
      </w:rPr>
    </w:lvl>
    <w:lvl w:ilvl="6" w:tplc="04090001" w:tentative="1">
      <w:start w:val="1"/>
      <w:numFmt w:val="bullet"/>
      <w:lvlText w:val=""/>
      <w:lvlJc w:val="left"/>
      <w:pPr>
        <w:tabs>
          <w:tab w:val="num" w:pos="6741"/>
        </w:tabs>
        <w:ind w:left="6741" w:hanging="360"/>
      </w:pPr>
      <w:rPr>
        <w:rFonts w:ascii="Symbol" w:hAnsi="Symbol" w:hint="default"/>
      </w:rPr>
    </w:lvl>
    <w:lvl w:ilvl="7" w:tplc="04090003" w:tentative="1">
      <w:start w:val="1"/>
      <w:numFmt w:val="bullet"/>
      <w:lvlText w:val="o"/>
      <w:lvlJc w:val="left"/>
      <w:pPr>
        <w:tabs>
          <w:tab w:val="num" w:pos="7461"/>
        </w:tabs>
        <w:ind w:left="7461" w:hanging="360"/>
      </w:pPr>
      <w:rPr>
        <w:rFonts w:ascii="Courier New" w:hAnsi="Courier New" w:cs="Courier New" w:hint="default"/>
      </w:rPr>
    </w:lvl>
    <w:lvl w:ilvl="8" w:tplc="04090005" w:tentative="1">
      <w:start w:val="1"/>
      <w:numFmt w:val="bullet"/>
      <w:lvlText w:val=""/>
      <w:lvlJc w:val="left"/>
      <w:pPr>
        <w:tabs>
          <w:tab w:val="num" w:pos="8181"/>
        </w:tabs>
        <w:ind w:left="8181" w:hanging="360"/>
      </w:pPr>
      <w:rPr>
        <w:rFonts w:ascii="Wingdings" w:hAnsi="Wingdings" w:hint="default"/>
      </w:rPr>
    </w:lvl>
  </w:abstractNum>
  <w:abstractNum w:abstractNumId="19" w15:restartNumberingAfterBreak="0">
    <w:nsid w:val="2EE37BBC"/>
    <w:multiLevelType w:val="hybridMultilevel"/>
    <w:tmpl w:val="0396D2F8"/>
    <w:lvl w:ilvl="0" w:tplc="574A1232">
      <w:start w:val="3"/>
      <w:numFmt w:val="decimal"/>
      <w:lvlText w:val="%1."/>
      <w:lvlJc w:val="left"/>
      <w:pPr>
        <w:tabs>
          <w:tab w:val="num" w:pos="2061"/>
        </w:tabs>
        <w:ind w:left="2061" w:hanging="360"/>
      </w:pPr>
      <w:rPr>
        <w:rFonts w:hint="default"/>
      </w:rPr>
    </w:lvl>
    <w:lvl w:ilvl="1" w:tplc="04090019" w:tentative="1">
      <w:start w:val="1"/>
      <w:numFmt w:val="lowerLetter"/>
      <w:lvlText w:val="%2."/>
      <w:lvlJc w:val="left"/>
      <w:pPr>
        <w:tabs>
          <w:tab w:val="num" w:pos="2781"/>
        </w:tabs>
        <w:ind w:left="2781" w:hanging="360"/>
      </w:pPr>
    </w:lvl>
    <w:lvl w:ilvl="2" w:tplc="0409001B" w:tentative="1">
      <w:start w:val="1"/>
      <w:numFmt w:val="lowerRoman"/>
      <w:lvlText w:val="%3."/>
      <w:lvlJc w:val="right"/>
      <w:pPr>
        <w:tabs>
          <w:tab w:val="num" w:pos="3501"/>
        </w:tabs>
        <w:ind w:left="3501" w:hanging="180"/>
      </w:pPr>
    </w:lvl>
    <w:lvl w:ilvl="3" w:tplc="0409000F" w:tentative="1">
      <w:start w:val="1"/>
      <w:numFmt w:val="decimal"/>
      <w:lvlText w:val="%4."/>
      <w:lvlJc w:val="left"/>
      <w:pPr>
        <w:tabs>
          <w:tab w:val="num" w:pos="4221"/>
        </w:tabs>
        <w:ind w:left="4221" w:hanging="360"/>
      </w:pPr>
    </w:lvl>
    <w:lvl w:ilvl="4" w:tplc="04090019" w:tentative="1">
      <w:start w:val="1"/>
      <w:numFmt w:val="lowerLetter"/>
      <w:lvlText w:val="%5."/>
      <w:lvlJc w:val="left"/>
      <w:pPr>
        <w:tabs>
          <w:tab w:val="num" w:pos="4941"/>
        </w:tabs>
        <w:ind w:left="4941" w:hanging="360"/>
      </w:pPr>
    </w:lvl>
    <w:lvl w:ilvl="5" w:tplc="0409001B" w:tentative="1">
      <w:start w:val="1"/>
      <w:numFmt w:val="lowerRoman"/>
      <w:lvlText w:val="%6."/>
      <w:lvlJc w:val="right"/>
      <w:pPr>
        <w:tabs>
          <w:tab w:val="num" w:pos="5661"/>
        </w:tabs>
        <w:ind w:left="5661" w:hanging="180"/>
      </w:pPr>
    </w:lvl>
    <w:lvl w:ilvl="6" w:tplc="0409000F" w:tentative="1">
      <w:start w:val="1"/>
      <w:numFmt w:val="decimal"/>
      <w:lvlText w:val="%7."/>
      <w:lvlJc w:val="left"/>
      <w:pPr>
        <w:tabs>
          <w:tab w:val="num" w:pos="6381"/>
        </w:tabs>
        <w:ind w:left="6381" w:hanging="360"/>
      </w:pPr>
    </w:lvl>
    <w:lvl w:ilvl="7" w:tplc="04090019" w:tentative="1">
      <w:start w:val="1"/>
      <w:numFmt w:val="lowerLetter"/>
      <w:lvlText w:val="%8."/>
      <w:lvlJc w:val="left"/>
      <w:pPr>
        <w:tabs>
          <w:tab w:val="num" w:pos="7101"/>
        </w:tabs>
        <w:ind w:left="7101" w:hanging="360"/>
      </w:pPr>
    </w:lvl>
    <w:lvl w:ilvl="8" w:tplc="0409001B" w:tentative="1">
      <w:start w:val="1"/>
      <w:numFmt w:val="lowerRoman"/>
      <w:lvlText w:val="%9."/>
      <w:lvlJc w:val="right"/>
      <w:pPr>
        <w:tabs>
          <w:tab w:val="num" w:pos="7821"/>
        </w:tabs>
        <w:ind w:left="7821" w:hanging="180"/>
      </w:pPr>
    </w:lvl>
  </w:abstractNum>
  <w:abstractNum w:abstractNumId="20" w15:restartNumberingAfterBreak="0">
    <w:nsid w:val="2FD67270"/>
    <w:multiLevelType w:val="hybridMultilevel"/>
    <w:tmpl w:val="F62A587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3EB6B78"/>
    <w:multiLevelType w:val="hybridMultilevel"/>
    <w:tmpl w:val="B9D222AA"/>
    <w:lvl w:ilvl="0" w:tplc="3D2C4BF8">
      <w:numFmt w:val="bullet"/>
      <w:lvlText w:val="-"/>
      <w:lvlJc w:val="left"/>
      <w:pPr>
        <w:ind w:left="2061" w:hanging="360"/>
      </w:pPr>
      <w:rPr>
        <w:rFonts w:ascii="Trebuchet MS" w:eastAsia="MS Mincho" w:hAnsi="Trebuchet MS" w:cs="Times New Roman" w:hint="default"/>
      </w:rPr>
    </w:lvl>
    <w:lvl w:ilvl="1" w:tplc="04180003" w:tentative="1">
      <w:start w:val="1"/>
      <w:numFmt w:val="bullet"/>
      <w:lvlText w:val="o"/>
      <w:lvlJc w:val="left"/>
      <w:pPr>
        <w:ind w:left="2781" w:hanging="360"/>
      </w:pPr>
      <w:rPr>
        <w:rFonts w:ascii="Courier New" w:hAnsi="Courier New" w:cs="Courier New" w:hint="default"/>
      </w:rPr>
    </w:lvl>
    <w:lvl w:ilvl="2" w:tplc="04180005" w:tentative="1">
      <w:start w:val="1"/>
      <w:numFmt w:val="bullet"/>
      <w:lvlText w:val=""/>
      <w:lvlJc w:val="left"/>
      <w:pPr>
        <w:ind w:left="3501" w:hanging="360"/>
      </w:pPr>
      <w:rPr>
        <w:rFonts w:ascii="Wingdings" w:hAnsi="Wingdings" w:hint="default"/>
      </w:rPr>
    </w:lvl>
    <w:lvl w:ilvl="3" w:tplc="04180001" w:tentative="1">
      <w:start w:val="1"/>
      <w:numFmt w:val="bullet"/>
      <w:lvlText w:val=""/>
      <w:lvlJc w:val="left"/>
      <w:pPr>
        <w:ind w:left="4221" w:hanging="360"/>
      </w:pPr>
      <w:rPr>
        <w:rFonts w:ascii="Symbol" w:hAnsi="Symbol" w:hint="default"/>
      </w:rPr>
    </w:lvl>
    <w:lvl w:ilvl="4" w:tplc="04180003" w:tentative="1">
      <w:start w:val="1"/>
      <w:numFmt w:val="bullet"/>
      <w:lvlText w:val="o"/>
      <w:lvlJc w:val="left"/>
      <w:pPr>
        <w:ind w:left="4941" w:hanging="360"/>
      </w:pPr>
      <w:rPr>
        <w:rFonts w:ascii="Courier New" w:hAnsi="Courier New" w:cs="Courier New" w:hint="default"/>
      </w:rPr>
    </w:lvl>
    <w:lvl w:ilvl="5" w:tplc="04180005" w:tentative="1">
      <w:start w:val="1"/>
      <w:numFmt w:val="bullet"/>
      <w:lvlText w:val=""/>
      <w:lvlJc w:val="left"/>
      <w:pPr>
        <w:ind w:left="5661" w:hanging="360"/>
      </w:pPr>
      <w:rPr>
        <w:rFonts w:ascii="Wingdings" w:hAnsi="Wingdings" w:hint="default"/>
      </w:rPr>
    </w:lvl>
    <w:lvl w:ilvl="6" w:tplc="04180001" w:tentative="1">
      <w:start w:val="1"/>
      <w:numFmt w:val="bullet"/>
      <w:lvlText w:val=""/>
      <w:lvlJc w:val="left"/>
      <w:pPr>
        <w:ind w:left="6381" w:hanging="360"/>
      </w:pPr>
      <w:rPr>
        <w:rFonts w:ascii="Symbol" w:hAnsi="Symbol" w:hint="default"/>
      </w:rPr>
    </w:lvl>
    <w:lvl w:ilvl="7" w:tplc="04180003" w:tentative="1">
      <w:start w:val="1"/>
      <w:numFmt w:val="bullet"/>
      <w:lvlText w:val="o"/>
      <w:lvlJc w:val="left"/>
      <w:pPr>
        <w:ind w:left="7101" w:hanging="360"/>
      </w:pPr>
      <w:rPr>
        <w:rFonts w:ascii="Courier New" w:hAnsi="Courier New" w:cs="Courier New" w:hint="default"/>
      </w:rPr>
    </w:lvl>
    <w:lvl w:ilvl="8" w:tplc="04180005" w:tentative="1">
      <w:start w:val="1"/>
      <w:numFmt w:val="bullet"/>
      <w:lvlText w:val=""/>
      <w:lvlJc w:val="left"/>
      <w:pPr>
        <w:ind w:left="7821" w:hanging="360"/>
      </w:pPr>
      <w:rPr>
        <w:rFonts w:ascii="Wingdings" w:hAnsi="Wingdings" w:hint="default"/>
      </w:rPr>
    </w:lvl>
  </w:abstractNum>
  <w:abstractNum w:abstractNumId="22" w15:restartNumberingAfterBreak="0">
    <w:nsid w:val="382473D2"/>
    <w:multiLevelType w:val="hybridMultilevel"/>
    <w:tmpl w:val="E5E04C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AED53B2"/>
    <w:multiLevelType w:val="hybridMultilevel"/>
    <w:tmpl w:val="8F4841A2"/>
    <w:lvl w:ilvl="0" w:tplc="A60A3B68">
      <w:start w:val="1"/>
      <w:numFmt w:val="decimal"/>
      <w:lvlText w:val="(%1)"/>
      <w:lvlJc w:val="left"/>
      <w:pPr>
        <w:tabs>
          <w:tab w:val="num" w:pos="690"/>
        </w:tabs>
        <w:ind w:left="690" w:hanging="39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4" w15:restartNumberingAfterBreak="0">
    <w:nsid w:val="3DB80ECF"/>
    <w:multiLevelType w:val="hybridMultilevel"/>
    <w:tmpl w:val="DD803596"/>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5" w15:restartNumberingAfterBreak="0">
    <w:nsid w:val="48D434F9"/>
    <w:multiLevelType w:val="hybridMultilevel"/>
    <w:tmpl w:val="036C8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DA74C9"/>
    <w:multiLevelType w:val="hybridMultilevel"/>
    <w:tmpl w:val="2430B1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845F3F"/>
    <w:multiLevelType w:val="hybridMultilevel"/>
    <w:tmpl w:val="937A1C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59370B"/>
    <w:multiLevelType w:val="hybridMultilevel"/>
    <w:tmpl w:val="D2E64684"/>
    <w:lvl w:ilvl="0" w:tplc="26A84906">
      <w:start w:val="3"/>
      <w:numFmt w:val="bullet"/>
      <w:lvlText w:val="-"/>
      <w:lvlJc w:val="left"/>
      <w:pPr>
        <w:ind w:left="2061" w:hanging="360"/>
      </w:pPr>
      <w:rPr>
        <w:rFonts w:ascii="Trebuchet MS" w:eastAsia="MS Mincho" w:hAnsi="Trebuchet MS" w:cs="Times New Roman" w:hint="default"/>
      </w:rPr>
    </w:lvl>
    <w:lvl w:ilvl="1" w:tplc="04180003" w:tentative="1">
      <w:start w:val="1"/>
      <w:numFmt w:val="bullet"/>
      <w:lvlText w:val="o"/>
      <w:lvlJc w:val="left"/>
      <w:pPr>
        <w:ind w:left="2781" w:hanging="360"/>
      </w:pPr>
      <w:rPr>
        <w:rFonts w:ascii="Courier New" w:hAnsi="Courier New" w:cs="Courier New" w:hint="default"/>
      </w:rPr>
    </w:lvl>
    <w:lvl w:ilvl="2" w:tplc="04180005" w:tentative="1">
      <w:start w:val="1"/>
      <w:numFmt w:val="bullet"/>
      <w:lvlText w:val=""/>
      <w:lvlJc w:val="left"/>
      <w:pPr>
        <w:ind w:left="3501" w:hanging="360"/>
      </w:pPr>
      <w:rPr>
        <w:rFonts w:ascii="Wingdings" w:hAnsi="Wingdings" w:hint="default"/>
      </w:rPr>
    </w:lvl>
    <w:lvl w:ilvl="3" w:tplc="04180001" w:tentative="1">
      <w:start w:val="1"/>
      <w:numFmt w:val="bullet"/>
      <w:lvlText w:val=""/>
      <w:lvlJc w:val="left"/>
      <w:pPr>
        <w:ind w:left="4221" w:hanging="360"/>
      </w:pPr>
      <w:rPr>
        <w:rFonts w:ascii="Symbol" w:hAnsi="Symbol" w:hint="default"/>
      </w:rPr>
    </w:lvl>
    <w:lvl w:ilvl="4" w:tplc="04180003" w:tentative="1">
      <w:start w:val="1"/>
      <w:numFmt w:val="bullet"/>
      <w:lvlText w:val="o"/>
      <w:lvlJc w:val="left"/>
      <w:pPr>
        <w:ind w:left="4941" w:hanging="360"/>
      </w:pPr>
      <w:rPr>
        <w:rFonts w:ascii="Courier New" w:hAnsi="Courier New" w:cs="Courier New" w:hint="default"/>
      </w:rPr>
    </w:lvl>
    <w:lvl w:ilvl="5" w:tplc="04180005" w:tentative="1">
      <w:start w:val="1"/>
      <w:numFmt w:val="bullet"/>
      <w:lvlText w:val=""/>
      <w:lvlJc w:val="left"/>
      <w:pPr>
        <w:ind w:left="5661" w:hanging="360"/>
      </w:pPr>
      <w:rPr>
        <w:rFonts w:ascii="Wingdings" w:hAnsi="Wingdings" w:hint="default"/>
      </w:rPr>
    </w:lvl>
    <w:lvl w:ilvl="6" w:tplc="04180001" w:tentative="1">
      <w:start w:val="1"/>
      <w:numFmt w:val="bullet"/>
      <w:lvlText w:val=""/>
      <w:lvlJc w:val="left"/>
      <w:pPr>
        <w:ind w:left="6381" w:hanging="360"/>
      </w:pPr>
      <w:rPr>
        <w:rFonts w:ascii="Symbol" w:hAnsi="Symbol" w:hint="default"/>
      </w:rPr>
    </w:lvl>
    <w:lvl w:ilvl="7" w:tplc="04180003" w:tentative="1">
      <w:start w:val="1"/>
      <w:numFmt w:val="bullet"/>
      <w:lvlText w:val="o"/>
      <w:lvlJc w:val="left"/>
      <w:pPr>
        <w:ind w:left="7101" w:hanging="360"/>
      </w:pPr>
      <w:rPr>
        <w:rFonts w:ascii="Courier New" w:hAnsi="Courier New" w:cs="Courier New" w:hint="default"/>
      </w:rPr>
    </w:lvl>
    <w:lvl w:ilvl="8" w:tplc="04180005" w:tentative="1">
      <w:start w:val="1"/>
      <w:numFmt w:val="bullet"/>
      <w:lvlText w:val=""/>
      <w:lvlJc w:val="left"/>
      <w:pPr>
        <w:ind w:left="7821" w:hanging="360"/>
      </w:pPr>
      <w:rPr>
        <w:rFonts w:ascii="Wingdings" w:hAnsi="Wingdings" w:hint="default"/>
      </w:rPr>
    </w:lvl>
  </w:abstractNum>
  <w:abstractNum w:abstractNumId="29" w15:restartNumberingAfterBreak="0">
    <w:nsid w:val="5F8E096A"/>
    <w:multiLevelType w:val="hybridMultilevel"/>
    <w:tmpl w:val="2990D468"/>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237CBD2A">
      <w:start w:val="1"/>
      <w:numFmt w:val="lowerLetter"/>
      <w:lvlText w:val="%3)"/>
      <w:lvlJc w:val="left"/>
      <w:pPr>
        <w:tabs>
          <w:tab w:val="num" w:pos="2970"/>
        </w:tabs>
        <w:ind w:left="2970" w:hanging="9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FBA3852"/>
    <w:multiLevelType w:val="hybridMultilevel"/>
    <w:tmpl w:val="EBF26638"/>
    <w:lvl w:ilvl="0" w:tplc="04090001">
      <w:start w:val="1"/>
      <w:numFmt w:val="bullet"/>
      <w:lvlText w:val=""/>
      <w:lvlJc w:val="left"/>
      <w:pPr>
        <w:tabs>
          <w:tab w:val="num" w:pos="2421"/>
        </w:tabs>
        <w:ind w:left="2421" w:hanging="360"/>
      </w:pPr>
      <w:rPr>
        <w:rFonts w:ascii="Symbol" w:hAnsi="Symbol" w:hint="default"/>
      </w:rPr>
    </w:lvl>
    <w:lvl w:ilvl="1" w:tplc="04090003">
      <w:start w:val="1"/>
      <w:numFmt w:val="bullet"/>
      <w:lvlText w:val="o"/>
      <w:lvlJc w:val="left"/>
      <w:pPr>
        <w:tabs>
          <w:tab w:val="num" w:pos="3141"/>
        </w:tabs>
        <w:ind w:left="3141" w:hanging="360"/>
      </w:pPr>
      <w:rPr>
        <w:rFonts w:ascii="Courier New" w:hAnsi="Courier New" w:cs="Courier New" w:hint="default"/>
      </w:rPr>
    </w:lvl>
    <w:lvl w:ilvl="2" w:tplc="04090005" w:tentative="1">
      <w:start w:val="1"/>
      <w:numFmt w:val="bullet"/>
      <w:lvlText w:val=""/>
      <w:lvlJc w:val="left"/>
      <w:pPr>
        <w:tabs>
          <w:tab w:val="num" w:pos="3861"/>
        </w:tabs>
        <w:ind w:left="3861" w:hanging="360"/>
      </w:pPr>
      <w:rPr>
        <w:rFonts w:ascii="Wingdings" w:hAnsi="Wingdings" w:hint="default"/>
      </w:rPr>
    </w:lvl>
    <w:lvl w:ilvl="3" w:tplc="04090001" w:tentative="1">
      <w:start w:val="1"/>
      <w:numFmt w:val="bullet"/>
      <w:lvlText w:val=""/>
      <w:lvlJc w:val="left"/>
      <w:pPr>
        <w:tabs>
          <w:tab w:val="num" w:pos="4581"/>
        </w:tabs>
        <w:ind w:left="4581" w:hanging="360"/>
      </w:pPr>
      <w:rPr>
        <w:rFonts w:ascii="Symbol" w:hAnsi="Symbol" w:hint="default"/>
      </w:rPr>
    </w:lvl>
    <w:lvl w:ilvl="4" w:tplc="04090003" w:tentative="1">
      <w:start w:val="1"/>
      <w:numFmt w:val="bullet"/>
      <w:lvlText w:val="o"/>
      <w:lvlJc w:val="left"/>
      <w:pPr>
        <w:tabs>
          <w:tab w:val="num" w:pos="5301"/>
        </w:tabs>
        <w:ind w:left="5301" w:hanging="360"/>
      </w:pPr>
      <w:rPr>
        <w:rFonts w:ascii="Courier New" w:hAnsi="Courier New" w:cs="Courier New" w:hint="default"/>
      </w:rPr>
    </w:lvl>
    <w:lvl w:ilvl="5" w:tplc="04090005" w:tentative="1">
      <w:start w:val="1"/>
      <w:numFmt w:val="bullet"/>
      <w:lvlText w:val=""/>
      <w:lvlJc w:val="left"/>
      <w:pPr>
        <w:tabs>
          <w:tab w:val="num" w:pos="6021"/>
        </w:tabs>
        <w:ind w:left="6021" w:hanging="360"/>
      </w:pPr>
      <w:rPr>
        <w:rFonts w:ascii="Wingdings" w:hAnsi="Wingdings" w:hint="default"/>
      </w:rPr>
    </w:lvl>
    <w:lvl w:ilvl="6" w:tplc="04090001" w:tentative="1">
      <w:start w:val="1"/>
      <w:numFmt w:val="bullet"/>
      <w:lvlText w:val=""/>
      <w:lvlJc w:val="left"/>
      <w:pPr>
        <w:tabs>
          <w:tab w:val="num" w:pos="6741"/>
        </w:tabs>
        <w:ind w:left="6741" w:hanging="360"/>
      </w:pPr>
      <w:rPr>
        <w:rFonts w:ascii="Symbol" w:hAnsi="Symbol" w:hint="default"/>
      </w:rPr>
    </w:lvl>
    <w:lvl w:ilvl="7" w:tplc="04090003" w:tentative="1">
      <w:start w:val="1"/>
      <w:numFmt w:val="bullet"/>
      <w:lvlText w:val="o"/>
      <w:lvlJc w:val="left"/>
      <w:pPr>
        <w:tabs>
          <w:tab w:val="num" w:pos="7461"/>
        </w:tabs>
        <w:ind w:left="7461" w:hanging="360"/>
      </w:pPr>
      <w:rPr>
        <w:rFonts w:ascii="Courier New" w:hAnsi="Courier New" w:cs="Courier New" w:hint="default"/>
      </w:rPr>
    </w:lvl>
    <w:lvl w:ilvl="8" w:tplc="04090005" w:tentative="1">
      <w:start w:val="1"/>
      <w:numFmt w:val="bullet"/>
      <w:lvlText w:val=""/>
      <w:lvlJc w:val="left"/>
      <w:pPr>
        <w:tabs>
          <w:tab w:val="num" w:pos="8181"/>
        </w:tabs>
        <w:ind w:left="8181" w:hanging="360"/>
      </w:pPr>
      <w:rPr>
        <w:rFonts w:ascii="Wingdings" w:hAnsi="Wingdings" w:hint="default"/>
      </w:rPr>
    </w:lvl>
  </w:abstractNum>
  <w:abstractNum w:abstractNumId="31" w15:restartNumberingAfterBreak="0">
    <w:nsid w:val="645C757D"/>
    <w:multiLevelType w:val="hybridMultilevel"/>
    <w:tmpl w:val="52E4842C"/>
    <w:lvl w:ilvl="0" w:tplc="FE6647F0">
      <w:start w:val="1"/>
      <w:numFmt w:val="decimal"/>
      <w:lvlText w:val="%1."/>
      <w:lvlJc w:val="left"/>
      <w:pPr>
        <w:ind w:left="2061" w:hanging="360"/>
      </w:pPr>
      <w:rPr>
        <w:rFonts w:hint="default"/>
      </w:rPr>
    </w:lvl>
    <w:lvl w:ilvl="1" w:tplc="04180019" w:tentative="1">
      <w:start w:val="1"/>
      <w:numFmt w:val="lowerLetter"/>
      <w:lvlText w:val="%2."/>
      <w:lvlJc w:val="left"/>
      <w:pPr>
        <w:ind w:left="2781" w:hanging="360"/>
      </w:pPr>
    </w:lvl>
    <w:lvl w:ilvl="2" w:tplc="0418001B" w:tentative="1">
      <w:start w:val="1"/>
      <w:numFmt w:val="lowerRoman"/>
      <w:lvlText w:val="%3."/>
      <w:lvlJc w:val="right"/>
      <w:pPr>
        <w:ind w:left="3501" w:hanging="180"/>
      </w:pPr>
    </w:lvl>
    <w:lvl w:ilvl="3" w:tplc="0418000F" w:tentative="1">
      <w:start w:val="1"/>
      <w:numFmt w:val="decimal"/>
      <w:lvlText w:val="%4."/>
      <w:lvlJc w:val="left"/>
      <w:pPr>
        <w:ind w:left="4221" w:hanging="360"/>
      </w:pPr>
    </w:lvl>
    <w:lvl w:ilvl="4" w:tplc="04180019" w:tentative="1">
      <w:start w:val="1"/>
      <w:numFmt w:val="lowerLetter"/>
      <w:lvlText w:val="%5."/>
      <w:lvlJc w:val="left"/>
      <w:pPr>
        <w:ind w:left="4941" w:hanging="360"/>
      </w:pPr>
    </w:lvl>
    <w:lvl w:ilvl="5" w:tplc="0418001B" w:tentative="1">
      <w:start w:val="1"/>
      <w:numFmt w:val="lowerRoman"/>
      <w:lvlText w:val="%6."/>
      <w:lvlJc w:val="right"/>
      <w:pPr>
        <w:ind w:left="5661" w:hanging="180"/>
      </w:pPr>
    </w:lvl>
    <w:lvl w:ilvl="6" w:tplc="0418000F" w:tentative="1">
      <w:start w:val="1"/>
      <w:numFmt w:val="decimal"/>
      <w:lvlText w:val="%7."/>
      <w:lvlJc w:val="left"/>
      <w:pPr>
        <w:ind w:left="6381" w:hanging="360"/>
      </w:pPr>
    </w:lvl>
    <w:lvl w:ilvl="7" w:tplc="04180019" w:tentative="1">
      <w:start w:val="1"/>
      <w:numFmt w:val="lowerLetter"/>
      <w:lvlText w:val="%8."/>
      <w:lvlJc w:val="left"/>
      <w:pPr>
        <w:ind w:left="7101" w:hanging="360"/>
      </w:pPr>
    </w:lvl>
    <w:lvl w:ilvl="8" w:tplc="0418001B" w:tentative="1">
      <w:start w:val="1"/>
      <w:numFmt w:val="lowerRoman"/>
      <w:lvlText w:val="%9."/>
      <w:lvlJc w:val="right"/>
      <w:pPr>
        <w:ind w:left="7821" w:hanging="180"/>
      </w:pPr>
    </w:lvl>
  </w:abstractNum>
  <w:abstractNum w:abstractNumId="32" w15:restartNumberingAfterBreak="0">
    <w:nsid w:val="72591922"/>
    <w:multiLevelType w:val="hybridMultilevel"/>
    <w:tmpl w:val="44B2F2CA"/>
    <w:lvl w:ilvl="0" w:tplc="980460BA">
      <w:start w:val="1"/>
      <w:numFmt w:val="decimal"/>
      <w:lvlText w:val="%1."/>
      <w:lvlJc w:val="left"/>
      <w:pPr>
        <w:ind w:left="2061" w:hanging="360"/>
      </w:pPr>
      <w:rPr>
        <w:rFonts w:hint="default"/>
      </w:rPr>
    </w:lvl>
    <w:lvl w:ilvl="1" w:tplc="04180019" w:tentative="1">
      <w:start w:val="1"/>
      <w:numFmt w:val="lowerLetter"/>
      <w:lvlText w:val="%2."/>
      <w:lvlJc w:val="left"/>
      <w:pPr>
        <w:ind w:left="2781" w:hanging="360"/>
      </w:pPr>
    </w:lvl>
    <w:lvl w:ilvl="2" w:tplc="0418001B" w:tentative="1">
      <w:start w:val="1"/>
      <w:numFmt w:val="lowerRoman"/>
      <w:lvlText w:val="%3."/>
      <w:lvlJc w:val="right"/>
      <w:pPr>
        <w:ind w:left="3501" w:hanging="180"/>
      </w:pPr>
    </w:lvl>
    <w:lvl w:ilvl="3" w:tplc="0418000F" w:tentative="1">
      <w:start w:val="1"/>
      <w:numFmt w:val="decimal"/>
      <w:lvlText w:val="%4."/>
      <w:lvlJc w:val="left"/>
      <w:pPr>
        <w:ind w:left="4221" w:hanging="360"/>
      </w:pPr>
    </w:lvl>
    <w:lvl w:ilvl="4" w:tplc="04180019" w:tentative="1">
      <w:start w:val="1"/>
      <w:numFmt w:val="lowerLetter"/>
      <w:lvlText w:val="%5."/>
      <w:lvlJc w:val="left"/>
      <w:pPr>
        <w:ind w:left="4941" w:hanging="360"/>
      </w:pPr>
    </w:lvl>
    <w:lvl w:ilvl="5" w:tplc="0418001B" w:tentative="1">
      <w:start w:val="1"/>
      <w:numFmt w:val="lowerRoman"/>
      <w:lvlText w:val="%6."/>
      <w:lvlJc w:val="right"/>
      <w:pPr>
        <w:ind w:left="5661" w:hanging="180"/>
      </w:pPr>
    </w:lvl>
    <w:lvl w:ilvl="6" w:tplc="0418000F" w:tentative="1">
      <w:start w:val="1"/>
      <w:numFmt w:val="decimal"/>
      <w:lvlText w:val="%7."/>
      <w:lvlJc w:val="left"/>
      <w:pPr>
        <w:ind w:left="6381" w:hanging="360"/>
      </w:pPr>
    </w:lvl>
    <w:lvl w:ilvl="7" w:tplc="04180019" w:tentative="1">
      <w:start w:val="1"/>
      <w:numFmt w:val="lowerLetter"/>
      <w:lvlText w:val="%8."/>
      <w:lvlJc w:val="left"/>
      <w:pPr>
        <w:ind w:left="7101" w:hanging="360"/>
      </w:pPr>
    </w:lvl>
    <w:lvl w:ilvl="8" w:tplc="0418001B" w:tentative="1">
      <w:start w:val="1"/>
      <w:numFmt w:val="lowerRoman"/>
      <w:lvlText w:val="%9."/>
      <w:lvlJc w:val="right"/>
      <w:pPr>
        <w:ind w:left="7821" w:hanging="180"/>
      </w:pPr>
    </w:lvl>
  </w:abstractNum>
  <w:abstractNum w:abstractNumId="33" w15:restartNumberingAfterBreak="0">
    <w:nsid w:val="77460A79"/>
    <w:multiLevelType w:val="hybridMultilevel"/>
    <w:tmpl w:val="42D42EC0"/>
    <w:lvl w:ilvl="0" w:tplc="8BF8346A">
      <w:start w:val="1"/>
      <w:numFmt w:val="decimal"/>
      <w:lvlText w:val="%1."/>
      <w:lvlJc w:val="left"/>
      <w:pPr>
        <w:ind w:left="2061" w:hanging="360"/>
      </w:pPr>
      <w:rPr>
        <w:rFonts w:hint="default"/>
      </w:rPr>
    </w:lvl>
    <w:lvl w:ilvl="1" w:tplc="04180019" w:tentative="1">
      <w:start w:val="1"/>
      <w:numFmt w:val="lowerLetter"/>
      <w:lvlText w:val="%2."/>
      <w:lvlJc w:val="left"/>
      <w:pPr>
        <w:ind w:left="2781" w:hanging="360"/>
      </w:pPr>
    </w:lvl>
    <w:lvl w:ilvl="2" w:tplc="0418001B" w:tentative="1">
      <w:start w:val="1"/>
      <w:numFmt w:val="lowerRoman"/>
      <w:lvlText w:val="%3."/>
      <w:lvlJc w:val="right"/>
      <w:pPr>
        <w:ind w:left="3501" w:hanging="180"/>
      </w:pPr>
    </w:lvl>
    <w:lvl w:ilvl="3" w:tplc="0418000F" w:tentative="1">
      <w:start w:val="1"/>
      <w:numFmt w:val="decimal"/>
      <w:lvlText w:val="%4."/>
      <w:lvlJc w:val="left"/>
      <w:pPr>
        <w:ind w:left="4221" w:hanging="360"/>
      </w:pPr>
    </w:lvl>
    <w:lvl w:ilvl="4" w:tplc="04180019" w:tentative="1">
      <w:start w:val="1"/>
      <w:numFmt w:val="lowerLetter"/>
      <w:lvlText w:val="%5."/>
      <w:lvlJc w:val="left"/>
      <w:pPr>
        <w:ind w:left="4941" w:hanging="360"/>
      </w:pPr>
    </w:lvl>
    <w:lvl w:ilvl="5" w:tplc="0418001B" w:tentative="1">
      <w:start w:val="1"/>
      <w:numFmt w:val="lowerRoman"/>
      <w:lvlText w:val="%6."/>
      <w:lvlJc w:val="right"/>
      <w:pPr>
        <w:ind w:left="5661" w:hanging="180"/>
      </w:pPr>
    </w:lvl>
    <w:lvl w:ilvl="6" w:tplc="0418000F" w:tentative="1">
      <w:start w:val="1"/>
      <w:numFmt w:val="decimal"/>
      <w:lvlText w:val="%7."/>
      <w:lvlJc w:val="left"/>
      <w:pPr>
        <w:ind w:left="6381" w:hanging="360"/>
      </w:pPr>
    </w:lvl>
    <w:lvl w:ilvl="7" w:tplc="04180019" w:tentative="1">
      <w:start w:val="1"/>
      <w:numFmt w:val="lowerLetter"/>
      <w:lvlText w:val="%8."/>
      <w:lvlJc w:val="left"/>
      <w:pPr>
        <w:ind w:left="7101" w:hanging="360"/>
      </w:pPr>
    </w:lvl>
    <w:lvl w:ilvl="8" w:tplc="0418001B" w:tentative="1">
      <w:start w:val="1"/>
      <w:numFmt w:val="lowerRoman"/>
      <w:lvlText w:val="%9."/>
      <w:lvlJc w:val="right"/>
      <w:pPr>
        <w:ind w:left="7821" w:hanging="180"/>
      </w:pPr>
    </w:lvl>
  </w:abstractNum>
  <w:num w:numId="1">
    <w:abstractNumId w:val="30"/>
  </w:num>
  <w:num w:numId="2">
    <w:abstractNumId w:val="10"/>
  </w:num>
  <w:num w:numId="3">
    <w:abstractNumId w:val="20"/>
  </w:num>
  <w:num w:numId="4">
    <w:abstractNumId w:val="25"/>
  </w:num>
  <w:num w:numId="5">
    <w:abstractNumId w:val="29"/>
  </w:num>
  <w:num w:numId="6">
    <w:abstractNumId w:val="27"/>
  </w:num>
  <w:num w:numId="7">
    <w:abstractNumId w:val="24"/>
  </w:num>
  <w:num w:numId="8">
    <w:abstractNumId w:val="16"/>
  </w:num>
  <w:num w:numId="9">
    <w:abstractNumId w:val="26"/>
  </w:num>
  <w:num w:numId="10">
    <w:abstractNumId w:val="17"/>
  </w:num>
  <w:num w:numId="11">
    <w:abstractNumId w:val="13"/>
  </w:num>
  <w:num w:numId="12">
    <w:abstractNumId w:val="18"/>
  </w:num>
  <w:num w:numId="13">
    <w:abstractNumId w:val="23"/>
  </w:num>
  <w:num w:numId="14">
    <w:abstractNumId w:val="31"/>
  </w:num>
  <w:num w:numId="15">
    <w:abstractNumId w:val="19"/>
  </w:num>
  <w:num w:numId="16">
    <w:abstractNumId w:val="11"/>
  </w:num>
  <w:num w:numId="17">
    <w:abstractNumId w:val="33"/>
  </w:num>
  <w:num w:numId="18">
    <w:abstractNumId w:val="7"/>
  </w:num>
  <w:num w:numId="19">
    <w:abstractNumId w:val="6"/>
  </w:num>
  <w:num w:numId="20">
    <w:abstractNumId w:val="5"/>
  </w:num>
  <w:num w:numId="21">
    <w:abstractNumId w:val="4"/>
  </w:num>
  <w:num w:numId="22">
    <w:abstractNumId w:val="3"/>
  </w:num>
  <w:num w:numId="23">
    <w:abstractNumId w:val="2"/>
  </w:num>
  <w:num w:numId="24">
    <w:abstractNumId w:val="1"/>
  </w:num>
  <w:num w:numId="25">
    <w:abstractNumId w:val="0"/>
  </w:num>
  <w:num w:numId="26">
    <w:abstractNumId w:val="9"/>
  </w:num>
  <w:num w:numId="27">
    <w:abstractNumId w:val="8"/>
  </w:num>
  <w:num w:numId="28">
    <w:abstractNumId w:val="15"/>
  </w:num>
  <w:num w:numId="29">
    <w:abstractNumId w:val="28"/>
  </w:num>
  <w:num w:numId="30">
    <w:abstractNumId w:val="21"/>
  </w:num>
  <w:num w:numId="31">
    <w:abstractNumId w:val="32"/>
  </w:num>
  <w:num w:numId="32">
    <w:abstractNumId w:val="14"/>
  </w:num>
  <w:num w:numId="33">
    <w:abstractNumId w:val="22"/>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30E"/>
    <w:rsid w:val="0001696F"/>
    <w:rsid w:val="00031782"/>
    <w:rsid w:val="000410DA"/>
    <w:rsid w:val="00044ACD"/>
    <w:rsid w:val="00077A2F"/>
    <w:rsid w:val="00077DF5"/>
    <w:rsid w:val="00081164"/>
    <w:rsid w:val="00085CF0"/>
    <w:rsid w:val="00096772"/>
    <w:rsid w:val="000C6AD4"/>
    <w:rsid w:val="000D418D"/>
    <w:rsid w:val="000E219E"/>
    <w:rsid w:val="000E2F0B"/>
    <w:rsid w:val="00100F36"/>
    <w:rsid w:val="001216D3"/>
    <w:rsid w:val="00122182"/>
    <w:rsid w:val="00146012"/>
    <w:rsid w:val="0015749D"/>
    <w:rsid w:val="00170177"/>
    <w:rsid w:val="001704A6"/>
    <w:rsid w:val="00170CB8"/>
    <w:rsid w:val="0017171B"/>
    <w:rsid w:val="00173ED5"/>
    <w:rsid w:val="00175A74"/>
    <w:rsid w:val="00175FF2"/>
    <w:rsid w:val="00187791"/>
    <w:rsid w:val="001962A2"/>
    <w:rsid w:val="001A5A9F"/>
    <w:rsid w:val="001D566B"/>
    <w:rsid w:val="001D6799"/>
    <w:rsid w:val="001D70D3"/>
    <w:rsid w:val="001E0D61"/>
    <w:rsid w:val="001E1F5D"/>
    <w:rsid w:val="001E3D67"/>
    <w:rsid w:val="002055E6"/>
    <w:rsid w:val="00217D46"/>
    <w:rsid w:val="002313EF"/>
    <w:rsid w:val="002455DB"/>
    <w:rsid w:val="00246E90"/>
    <w:rsid w:val="00261B80"/>
    <w:rsid w:val="0026267C"/>
    <w:rsid w:val="00273F6A"/>
    <w:rsid w:val="002A40C8"/>
    <w:rsid w:val="002A5742"/>
    <w:rsid w:val="002B4311"/>
    <w:rsid w:val="002C0335"/>
    <w:rsid w:val="002E53DB"/>
    <w:rsid w:val="003032C1"/>
    <w:rsid w:val="003070E3"/>
    <w:rsid w:val="00316112"/>
    <w:rsid w:val="00323EDA"/>
    <w:rsid w:val="00345D39"/>
    <w:rsid w:val="00371047"/>
    <w:rsid w:val="00375DFB"/>
    <w:rsid w:val="0038610B"/>
    <w:rsid w:val="00397456"/>
    <w:rsid w:val="003E0A57"/>
    <w:rsid w:val="003E5E48"/>
    <w:rsid w:val="00400457"/>
    <w:rsid w:val="004038A8"/>
    <w:rsid w:val="00416075"/>
    <w:rsid w:val="004257DA"/>
    <w:rsid w:val="0043553E"/>
    <w:rsid w:val="0044128A"/>
    <w:rsid w:val="00445DFD"/>
    <w:rsid w:val="00455B70"/>
    <w:rsid w:val="0045621B"/>
    <w:rsid w:val="00471383"/>
    <w:rsid w:val="00482EFA"/>
    <w:rsid w:val="00485798"/>
    <w:rsid w:val="00493AD5"/>
    <w:rsid w:val="004A0A2B"/>
    <w:rsid w:val="004A6F0E"/>
    <w:rsid w:val="004B32F8"/>
    <w:rsid w:val="004B5C46"/>
    <w:rsid w:val="004C6968"/>
    <w:rsid w:val="004C7167"/>
    <w:rsid w:val="004D2602"/>
    <w:rsid w:val="004D6B52"/>
    <w:rsid w:val="004E0425"/>
    <w:rsid w:val="004E1D5F"/>
    <w:rsid w:val="004E407B"/>
    <w:rsid w:val="004F35D9"/>
    <w:rsid w:val="005029CD"/>
    <w:rsid w:val="00512396"/>
    <w:rsid w:val="00516411"/>
    <w:rsid w:val="00517C85"/>
    <w:rsid w:val="005331FA"/>
    <w:rsid w:val="0054223F"/>
    <w:rsid w:val="005476F5"/>
    <w:rsid w:val="005524D8"/>
    <w:rsid w:val="00555788"/>
    <w:rsid w:val="00560BC7"/>
    <w:rsid w:val="00561E8D"/>
    <w:rsid w:val="005639B5"/>
    <w:rsid w:val="005671F5"/>
    <w:rsid w:val="00573CD8"/>
    <w:rsid w:val="005756B3"/>
    <w:rsid w:val="00576E0F"/>
    <w:rsid w:val="00590D15"/>
    <w:rsid w:val="005B74C6"/>
    <w:rsid w:val="005C604F"/>
    <w:rsid w:val="005C7B21"/>
    <w:rsid w:val="005D18B8"/>
    <w:rsid w:val="005D266E"/>
    <w:rsid w:val="005D4148"/>
    <w:rsid w:val="005D530E"/>
    <w:rsid w:val="005D6D39"/>
    <w:rsid w:val="005E2B3C"/>
    <w:rsid w:val="005E553A"/>
    <w:rsid w:val="005E6FFA"/>
    <w:rsid w:val="006010EA"/>
    <w:rsid w:val="006347F7"/>
    <w:rsid w:val="00643A4F"/>
    <w:rsid w:val="006538C0"/>
    <w:rsid w:val="00654CFE"/>
    <w:rsid w:val="00672CF7"/>
    <w:rsid w:val="00684830"/>
    <w:rsid w:val="00687139"/>
    <w:rsid w:val="006A263E"/>
    <w:rsid w:val="006A3F32"/>
    <w:rsid w:val="006B3F2B"/>
    <w:rsid w:val="006B528B"/>
    <w:rsid w:val="006C2E4E"/>
    <w:rsid w:val="006C7B6E"/>
    <w:rsid w:val="006C7BE9"/>
    <w:rsid w:val="006D021F"/>
    <w:rsid w:val="006D16D9"/>
    <w:rsid w:val="006D69CA"/>
    <w:rsid w:val="006F0A1C"/>
    <w:rsid w:val="00721B30"/>
    <w:rsid w:val="00722BEC"/>
    <w:rsid w:val="0074739B"/>
    <w:rsid w:val="00754310"/>
    <w:rsid w:val="00761D88"/>
    <w:rsid w:val="00766E0E"/>
    <w:rsid w:val="00771198"/>
    <w:rsid w:val="00774536"/>
    <w:rsid w:val="007D2E52"/>
    <w:rsid w:val="007E30AF"/>
    <w:rsid w:val="007E4D40"/>
    <w:rsid w:val="007F6015"/>
    <w:rsid w:val="00811CF9"/>
    <w:rsid w:val="0083694D"/>
    <w:rsid w:val="00841290"/>
    <w:rsid w:val="00850B17"/>
    <w:rsid w:val="00861552"/>
    <w:rsid w:val="008641F8"/>
    <w:rsid w:val="00866231"/>
    <w:rsid w:val="0088177F"/>
    <w:rsid w:val="00890DDA"/>
    <w:rsid w:val="008A2AC0"/>
    <w:rsid w:val="008A6AB5"/>
    <w:rsid w:val="008E5F61"/>
    <w:rsid w:val="008F06C8"/>
    <w:rsid w:val="008F5703"/>
    <w:rsid w:val="0090353A"/>
    <w:rsid w:val="00905BA3"/>
    <w:rsid w:val="00915096"/>
    <w:rsid w:val="00916D7D"/>
    <w:rsid w:val="0093333F"/>
    <w:rsid w:val="009378D0"/>
    <w:rsid w:val="00942DE4"/>
    <w:rsid w:val="00976F35"/>
    <w:rsid w:val="009A67D1"/>
    <w:rsid w:val="009C5ABE"/>
    <w:rsid w:val="009C6A37"/>
    <w:rsid w:val="009D6EAC"/>
    <w:rsid w:val="009E7D00"/>
    <w:rsid w:val="009F42C2"/>
    <w:rsid w:val="009F7295"/>
    <w:rsid w:val="00A0406B"/>
    <w:rsid w:val="00A24AE1"/>
    <w:rsid w:val="00A24B93"/>
    <w:rsid w:val="00A25BF5"/>
    <w:rsid w:val="00A33205"/>
    <w:rsid w:val="00A51527"/>
    <w:rsid w:val="00A66C18"/>
    <w:rsid w:val="00A67CBF"/>
    <w:rsid w:val="00A80601"/>
    <w:rsid w:val="00A82804"/>
    <w:rsid w:val="00A9101C"/>
    <w:rsid w:val="00A92B6E"/>
    <w:rsid w:val="00AA3776"/>
    <w:rsid w:val="00AA7B63"/>
    <w:rsid w:val="00AB0909"/>
    <w:rsid w:val="00AB11BF"/>
    <w:rsid w:val="00AC0DD1"/>
    <w:rsid w:val="00AE26B4"/>
    <w:rsid w:val="00B117E5"/>
    <w:rsid w:val="00B12F21"/>
    <w:rsid w:val="00B13BB4"/>
    <w:rsid w:val="00B2411A"/>
    <w:rsid w:val="00B4604F"/>
    <w:rsid w:val="00B53825"/>
    <w:rsid w:val="00B56FA5"/>
    <w:rsid w:val="00B62D7A"/>
    <w:rsid w:val="00B74BDF"/>
    <w:rsid w:val="00B7763E"/>
    <w:rsid w:val="00B843E5"/>
    <w:rsid w:val="00B95A01"/>
    <w:rsid w:val="00BC47F7"/>
    <w:rsid w:val="00BD11AA"/>
    <w:rsid w:val="00BD25E6"/>
    <w:rsid w:val="00BD6E0A"/>
    <w:rsid w:val="00BE39E4"/>
    <w:rsid w:val="00BF258D"/>
    <w:rsid w:val="00BF3AE0"/>
    <w:rsid w:val="00BF6844"/>
    <w:rsid w:val="00C05F49"/>
    <w:rsid w:val="00C20EF1"/>
    <w:rsid w:val="00C23CD4"/>
    <w:rsid w:val="00C312A6"/>
    <w:rsid w:val="00C34502"/>
    <w:rsid w:val="00C3536D"/>
    <w:rsid w:val="00C43BAB"/>
    <w:rsid w:val="00C46B4A"/>
    <w:rsid w:val="00C57335"/>
    <w:rsid w:val="00C64EA6"/>
    <w:rsid w:val="00C718E2"/>
    <w:rsid w:val="00C9059F"/>
    <w:rsid w:val="00C9114B"/>
    <w:rsid w:val="00CB0C04"/>
    <w:rsid w:val="00CB0F9E"/>
    <w:rsid w:val="00CC5E0D"/>
    <w:rsid w:val="00CD0C6C"/>
    <w:rsid w:val="00CD0F06"/>
    <w:rsid w:val="00CD38F6"/>
    <w:rsid w:val="00CD5B3B"/>
    <w:rsid w:val="00CF1DA4"/>
    <w:rsid w:val="00CF64F5"/>
    <w:rsid w:val="00D06E9C"/>
    <w:rsid w:val="00D171D4"/>
    <w:rsid w:val="00D20383"/>
    <w:rsid w:val="00D22404"/>
    <w:rsid w:val="00D33384"/>
    <w:rsid w:val="00D34B0D"/>
    <w:rsid w:val="00D5775F"/>
    <w:rsid w:val="00D65645"/>
    <w:rsid w:val="00D82607"/>
    <w:rsid w:val="00D86F1D"/>
    <w:rsid w:val="00D96415"/>
    <w:rsid w:val="00DA4F27"/>
    <w:rsid w:val="00DA5389"/>
    <w:rsid w:val="00DB2F45"/>
    <w:rsid w:val="00DB6246"/>
    <w:rsid w:val="00DD4C75"/>
    <w:rsid w:val="00DD6C55"/>
    <w:rsid w:val="00DE47B6"/>
    <w:rsid w:val="00DF2C8E"/>
    <w:rsid w:val="00DF5B94"/>
    <w:rsid w:val="00E14ECC"/>
    <w:rsid w:val="00E33240"/>
    <w:rsid w:val="00E562FC"/>
    <w:rsid w:val="00E61BBC"/>
    <w:rsid w:val="00E84AD5"/>
    <w:rsid w:val="00EA0F6C"/>
    <w:rsid w:val="00EA3249"/>
    <w:rsid w:val="00F12825"/>
    <w:rsid w:val="00F140B6"/>
    <w:rsid w:val="00F279A8"/>
    <w:rsid w:val="00F31368"/>
    <w:rsid w:val="00F31EE8"/>
    <w:rsid w:val="00F3211D"/>
    <w:rsid w:val="00F36D0D"/>
    <w:rsid w:val="00F50422"/>
    <w:rsid w:val="00F64C04"/>
    <w:rsid w:val="00F659E6"/>
    <w:rsid w:val="00F67D20"/>
    <w:rsid w:val="00F72AEA"/>
    <w:rsid w:val="00F823A5"/>
    <w:rsid w:val="00FA041E"/>
    <w:rsid w:val="00FA6331"/>
    <w:rsid w:val="00FB0862"/>
    <w:rsid w:val="00FB5C43"/>
    <w:rsid w:val="00FB6D27"/>
    <w:rsid w:val="00FC0AF2"/>
    <w:rsid w:val="00FC4284"/>
    <w:rsid w:val="00FC5EBF"/>
    <w:rsid w:val="00FD10F6"/>
    <w:rsid w:val="00FE2F2C"/>
    <w:rsid w:val="00FF7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BF9810D-6506-4949-B4E2-90F6451F6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uiPriority="99"/>
    <w:lsdException w:name="footer" w:uiPriority="99"/>
    <w:lsdException w:name="caption" w:locked="1" w:semiHidden="1" w:unhideWhenUsed="1" w:qFormat="1"/>
    <w:lsdException w:name="footnote reference" w:uiPriority="99"/>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2D7A"/>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qFormat/>
    <w:rsid w:val="00CD5B3B"/>
    <w:pPr>
      <w:keepNext/>
      <w:spacing w:before="240" w:after="60"/>
      <w:outlineLvl w:val="0"/>
    </w:pPr>
    <w:rPr>
      <w:rFonts w:ascii="Calibri" w:eastAsia="MS Gothic" w:hAnsi="Calibri"/>
      <w:b/>
      <w:kern w:val="32"/>
      <w:sz w:val="32"/>
      <w:szCs w:val="20"/>
      <w:lang w:val="x-none" w:eastAsia="x-none"/>
    </w:rPr>
  </w:style>
  <w:style w:type="paragraph" w:styleId="Heading2">
    <w:name w:val="heading 2"/>
    <w:basedOn w:val="Normal"/>
    <w:next w:val="Normal"/>
    <w:link w:val="Heading2Char"/>
    <w:qFormat/>
    <w:rsid w:val="00100F36"/>
    <w:pPr>
      <w:keepNext/>
      <w:spacing w:before="240" w:after="60"/>
      <w:outlineLvl w:val="1"/>
    </w:pPr>
    <w:rPr>
      <w:rFonts w:ascii="Calibri" w:eastAsia="MS Gothic" w:hAnsi="Calibri"/>
      <w:b/>
      <w:i/>
      <w:sz w:val="28"/>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CD5B3B"/>
    <w:rPr>
      <w:rFonts w:ascii="Calibri" w:eastAsia="MS Gothic" w:hAnsi="Calibri" w:cs="Times New Roman"/>
      <w:b/>
      <w:kern w:val="32"/>
      <w:sz w:val="32"/>
    </w:rPr>
  </w:style>
  <w:style w:type="character" w:customStyle="1" w:styleId="Heading2Char">
    <w:name w:val="Heading 2 Char"/>
    <w:link w:val="Heading2"/>
    <w:locked/>
    <w:rsid w:val="00100F36"/>
    <w:rPr>
      <w:rFonts w:ascii="Calibri" w:eastAsia="MS Gothic" w:hAnsi="Calibri" w:cs="Times New Roman"/>
      <w:b/>
      <w:i/>
      <w:sz w:val="28"/>
    </w:rPr>
  </w:style>
  <w:style w:type="paragraph" w:styleId="Header">
    <w:name w:val="header"/>
    <w:basedOn w:val="Normal"/>
    <w:link w:val="HeaderChar"/>
    <w:rsid w:val="00CD5B3B"/>
    <w:pPr>
      <w:tabs>
        <w:tab w:val="center" w:pos="4320"/>
        <w:tab w:val="right" w:pos="8640"/>
      </w:tabs>
    </w:pPr>
    <w:rPr>
      <w:rFonts w:ascii="Cambria" w:hAnsi="Cambria"/>
      <w:sz w:val="24"/>
      <w:szCs w:val="20"/>
      <w:lang w:val="x-none" w:eastAsia="x-none"/>
    </w:rPr>
  </w:style>
  <w:style w:type="character" w:customStyle="1" w:styleId="HeaderChar">
    <w:name w:val="Header Char"/>
    <w:link w:val="Header"/>
    <w:locked/>
    <w:rsid w:val="00CD5B3B"/>
    <w:rPr>
      <w:rFonts w:cs="Times New Roman"/>
      <w:sz w:val="24"/>
    </w:rPr>
  </w:style>
  <w:style w:type="paragraph" w:styleId="Footer">
    <w:name w:val="footer"/>
    <w:basedOn w:val="Normal"/>
    <w:link w:val="FooterChar"/>
    <w:uiPriority w:val="99"/>
    <w:rsid w:val="00CD5B3B"/>
    <w:pPr>
      <w:tabs>
        <w:tab w:val="center" w:pos="4320"/>
        <w:tab w:val="right" w:pos="8640"/>
      </w:tabs>
    </w:pPr>
    <w:rPr>
      <w:rFonts w:ascii="Cambria" w:hAnsi="Cambria"/>
      <w:sz w:val="24"/>
      <w:szCs w:val="20"/>
      <w:lang w:val="x-none" w:eastAsia="x-none"/>
    </w:rPr>
  </w:style>
  <w:style w:type="character" w:customStyle="1" w:styleId="FooterChar">
    <w:name w:val="Footer Char"/>
    <w:link w:val="Footer"/>
    <w:uiPriority w:val="99"/>
    <w:locked/>
    <w:rsid w:val="00CD5B3B"/>
    <w:rPr>
      <w:rFonts w:cs="Times New Roman"/>
      <w:sz w:val="24"/>
    </w:rPr>
  </w:style>
  <w:style w:type="table" w:styleId="TableGrid">
    <w:name w:val="Table Grid"/>
    <w:basedOn w:val="TableNormal"/>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rsid w:val="00CD5B3B"/>
    <w:rPr>
      <w:rFonts w:ascii="Trebuchet MS" w:hAnsi="Trebuchet MS"/>
      <w:sz w:val="18"/>
      <w:szCs w:val="18"/>
    </w:rPr>
  </w:style>
  <w:style w:type="character" w:customStyle="1" w:styleId="SubtleEmphasis1">
    <w:name w:val="Subtle Emphasis1"/>
    <w:rsid w:val="00AE26B4"/>
    <w:rPr>
      <w:color w:val="808080"/>
    </w:rPr>
  </w:style>
  <w:style w:type="character" w:styleId="Emphasis">
    <w:name w:val="Emphasis"/>
    <w:qFormat/>
    <w:rsid w:val="00AE26B4"/>
    <w:rPr>
      <w:rFonts w:cs="Times New Roman"/>
      <w:i/>
    </w:rPr>
  </w:style>
  <w:style w:type="character" w:customStyle="1" w:styleId="IntenseEmphasis1">
    <w:name w:val="Intense Emphasis1"/>
    <w:rsid w:val="00AE26B4"/>
    <w:rPr>
      <w:b/>
      <w:i/>
      <w:color w:val="4F81BD"/>
    </w:rPr>
  </w:style>
  <w:style w:type="character" w:styleId="Strong">
    <w:name w:val="Strong"/>
    <w:qFormat/>
    <w:rsid w:val="00AE26B4"/>
    <w:rPr>
      <w:rFonts w:cs="Times New Roman"/>
      <w:b/>
    </w:rPr>
  </w:style>
  <w:style w:type="paragraph" w:customStyle="1" w:styleId="ColorfulGrid-Accent11">
    <w:name w:val="Colorful Grid - Accent 11"/>
    <w:basedOn w:val="Normal"/>
    <w:next w:val="Normal"/>
    <w:link w:val="ColorfulGrid-Accent1Char"/>
    <w:rsid w:val="00AE26B4"/>
    <w:rPr>
      <w:i/>
      <w:color w:val="000000"/>
      <w:szCs w:val="20"/>
      <w:lang w:val="x-none" w:eastAsia="x-none"/>
    </w:rPr>
  </w:style>
  <w:style w:type="character" w:customStyle="1" w:styleId="ColorfulGrid-Accent1Char">
    <w:name w:val="Colorful Grid - Accent 1 Char"/>
    <w:link w:val="ColorfulGrid-Accent11"/>
    <w:locked/>
    <w:rsid w:val="00AE26B4"/>
    <w:rPr>
      <w:rFonts w:ascii="Trebuchet MS" w:hAnsi="Trebuchet MS"/>
      <w:i/>
      <w:color w:val="000000"/>
      <w:sz w:val="22"/>
    </w:rPr>
  </w:style>
  <w:style w:type="paragraph" w:styleId="Title">
    <w:name w:val="Title"/>
    <w:basedOn w:val="Normal"/>
    <w:next w:val="Normal"/>
    <w:link w:val="TitleChar"/>
    <w:qFormat/>
    <w:rsid w:val="00E562FC"/>
    <w:pPr>
      <w:spacing w:before="240" w:after="60"/>
      <w:jc w:val="left"/>
      <w:outlineLvl w:val="0"/>
    </w:pPr>
    <w:rPr>
      <w:rFonts w:ascii="Calibri" w:eastAsia="MS Gothic" w:hAnsi="Calibri"/>
      <w:b/>
      <w:kern w:val="28"/>
      <w:sz w:val="32"/>
      <w:szCs w:val="20"/>
      <w:lang w:val="x-none" w:eastAsia="x-none"/>
    </w:rPr>
  </w:style>
  <w:style w:type="character" w:customStyle="1" w:styleId="TitleChar">
    <w:name w:val="Title Char"/>
    <w:link w:val="Title"/>
    <w:locked/>
    <w:rsid w:val="00E562FC"/>
    <w:rPr>
      <w:rFonts w:ascii="Calibri" w:eastAsia="MS Gothic" w:hAnsi="Calibri" w:cs="Times New Roman"/>
      <w:b/>
      <w:kern w:val="28"/>
      <w:sz w:val="32"/>
    </w:rPr>
  </w:style>
  <w:style w:type="paragraph" w:styleId="BalloonText">
    <w:name w:val="Balloon Text"/>
    <w:basedOn w:val="Normal"/>
    <w:link w:val="BalloonTextChar"/>
    <w:semiHidden/>
    <w:rsid w:val="00C05F49"/>
    <w:pPr>
      <w:spacing w:after="0" w:line="240" w:lineRule="auto"/>
    </w:pPr>
    <w:rPr>
      <w:rFonts w:ascii="Tahoma" w:hAnsi="Tahoma"/>
      <w:sz w:val="16"/>
      <w:szCs w:val="16"/>
      <w:lang w:val="x-none" w:eastAsia="x-none"/>
    </w:rPr>
  </w:style>
  <w:style w:type="character" w:customStyle="1" w:styleId="BalloonTextChar">
    <w:name w:val="Balloon Text Char"/>
    <w:link w:val="BalloonText"/>
    <w:semiHidden/>
    <w:locked/>
    <w:rsid w:val="00C05F49"/>
    <w:rPr>
      <w:rFonts w:ascii="Tahoma" w:hAnsi="Tahoma" w:cs="Tahoma"/>
      <w:sz w:val="16"/>
      <w:szCs w:val="16"/>
    </w:rPr>
  </w:style>
  <w:style w:type="character" w:customStyle="1" w:styleId="CaracterCaracter2">
    <w:name w:val="Caracter Caracter2"/>
    <w:rsid w:val="00C34502"/>
    <w:rPr>
      <w:rFonts w:ascii="Cambria" w:eastAsia="MS Mincho" w:hAnsi="Cambria"/>
      <w:sz w:val="24"/>
    </w:rPr>
  </w:style>
  <w:style w:type="character" w:styleId="Hyperlink">
    <w:name w:val="Hyperlink"/>
    <w:uiPriority w:val="99"/>
    <w:rsid w:val="00C34502"/>
    <w:rPr>
      <w:rFonts w:cs="Times New Roman"/>
      <w:color w:val="0000FF"/>
      <w:u w:val="single"/>
    </w:rPr>
  </w:style>
  <w:style w:type="paragraph" w:styleId="ListParagraph">
    <w:name w:val="List Paragraph"/>
    <w:basedOn w:val="Normal"/>
    <w:link w:val="ListParagraphChar"/>
    <w:uiPriority w:val="34"/>
    <w:qFormat/>
    <w:rsid w:val="00146012"/>
    <w:pPr>
      <w:spacing w:after="0" w:line="240" w:lineRule="auto"/>
      <w:ind w:left="720"/>
      <w:jc w:val="left"/>
    </w:pPr>
    <w:rPr>
      <w:rFonts w:ascii="Calibri" w:eastAsia="Calibri" w:hAnsi="Calibri"/>
      <w:lang w:val="ro-RO"/>
    </w:rPr>
  </w:style>
  <w:style w:type="character" w:customStyle="1" w:styleId="CaracterCaracter8">
    <w:name w:val="Caracter Caracter8"/>
    <w:rsid w:val="00771198"/>
    <w:rPr>
      <w:b/>
      <w:sz w:val="28"/>
    </w:rPr>
  </w:style>
  <w:style w:type="paragraph" w:styleId="HTMLPreformatted">
    <w:name w:val="HTML Preformatted"/>
    <w:basedOn w:val="Normal"/>
    <w:link w:val="HTMLPreformattedChar"/>
    <w:semiHidden/>
    <w:rsid w:val="00B53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left"/>
    </w:pPr>
    <w:rPr>
      <w:rFonts w:ascii="Courier New" w:eastAsia="Calibri" w:hAnsi="Courier New" w:cs="Courier New"/>
      <w:sz w:val="20"/>
      <w:szCs w:val="20"/>
      <w:lang w:val="ro-RO" w:eastAsia="ro-RO"/>
    </w:rPr>
  </w:style>
  <w:style w:type="character" w:customStyle="1" w:styleId="HTMLPreformattedChar">
    <w:name w:val="HTML Preformatted Char"/>
    <w:link w:val="HTMLPreformatted"/>
    <w:semiHidden/>
    <w:locked/>
    <w:rsid w:val="00B53825"/>
    <w:rPr>
      <w:rFonts w:ascii="Courier New" w:eastAsia="Calibri" w:hAnsi="Courier New" w:cs="Courier New"/>
      <w:lang w:val="ro-RO" w:eastAsia="ro-RO" w:bidi="ar-SA"/>
    </w:rPr>
  </w:style>
  <w:style w:type="paragraph" w:styleId="BodyText2">
    <w:name w:val="Body Text 2"/>
    <w:basedOn w:val="Normal"/>
    <w:rsid w:val="00F279A8"/>
    <w:pPr>
      <w:overflowPunct w:val="0"/>
      <w:autoSpaceDE w:val="0"/>
      <w:autoSpaceDN w:val="0"/>
      <w:adjustRightInd w:val="0"/>
      <w:spacing w:after="0" w:line="240" w:lineRule="auto"/>
      <w:ind w:left="0"/>
    </w:pPr>
    <w:rPr>
      <w:rFonts w:ascii="Times New Roman" w:eastAsia="Times New Roman" w:hAnsi="Times New Roman"/>
      <w:sz w:val="28"/>
      <w:szCs w:val="20"/>
      <w:lang w:val="ro-RO" w:eastAsia="ro-RO"/>
    </w:rPr>
  </w:style>
  <w:style w:type="character" w:customStyle="1" w:styleId="ListParagraphChar">
    <w:name w:val="List Paragraph Char"/>
    <w:basedOn w:val="DefaultParagraphFont"/>
    <w:link w:val="ListParagraph"/>
    <w:uiPriority w:val="34"/>
    <w:locked/>
    <w:rsid w:val="0015749D"/>
    <w:rPr>
      <w:rFonts w:ascii="Calibri" w:eastAsia="Calibri" w:hAnsi="Calibri"/>
      <w:sz w:val="22"/>
      <w:szCs w:val="22"/>
      <w:lang w:val="ro-RO"/>
    </w:rPr>
  </w:style>
  <w:style w:type="paragraph" w:styleId="FootnoteText">
    <w:name w:val="footnote text"/>
    <w:basedOn w:val="Normal"/>
    <w:link w:val="FootnoteTextChar"/>
    <w:uiPriority w:val="99"/>
    <w:unhideWhenUsed/>
    <w:rsid w:val="00D171D4"/>
    <w:pPr>
      <w:spacing w:after="0" w:line="240" w:lineRule="auto"/>
      <w:ind w:left="0"/>
      <w:jc w:val="left"/>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D171D4"/>
    <w:rPr>
      <w:rFonts w:asciiTheme="minorHAnsi" w:eastAsiaTheme="minorHAnsi" w:hAnsiTheme="minorHAnsi" w:cstheme="minorBidi"/>
    </w:rPr>
  </w:style>
  <w:style w:type="character" w:styleId="FootnoteReference">
    <w:name w:val="footnote reference"/>
    <w:basedOn w:val="DefaultParagraphFont"/>
    <w:uiPriority w:val="99"/>
    <w:unhideWhenUsed/>
    <w:rsid w:val="00D171D4"/>
    <w:rPr>
      <w:vertAlign w:val="superscript"/>
    </w:rPr>
  </w:style>
  <w:style w:type="paragraph" w:styleId="CommentText">
    <w:name w:val="annotation text"/>
    <w:basedOn w:val="Normal"/>
    <w:link w:val="CommentTextChar"/>
    <w:uiPriority w:val="99"/>
    <w:unhideWhenUsed/>
    <w:rsid w:val="009378D0"/>
    <w:pPr>
      <w:spacing w:after="160" w:line="240" w:lineRule="auto"/>
      <w:ind w:left="0"/>
      <w:jc w:val="left"/>
    </w:pPr>
    <w:rPr>
      <w:rFonts w:asciiTheme="minorHAnsi" w:eastAsiaTheme="minorHAnsi" w:hAnsiTheme="minorHAnsi" w:cstheme="minorBidi"/>
      <w:color w:val="00205B"/>
      <w:sz w:val="20"/>
      <w:szCs w:val="20"/>
    </w:rPr>
  </w:style>
  <w:style w:type="character" w:customStyle="1" w:styleId="CommentTextChar">
    <w:name w:val="Comment Text Char"/>
    <w:basedOn w:val="DefaultParagraphFont"/>
    <w:link w:val="CommentText"/>
    <w:uiPriority w:val="99"/>
    <w:rsid w:val="009378D0"/>
    <w:rPr>
      <w:rFonts w:asciiTheme="minorHAnsi" w:eastAsiaTheme="minorHAnsi" w:hAnsiTheme="minorHAnsi" w:cstheme="minorBidi"/>
      <w:color w:val="00205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80732">
      <w:bodyDiv w:val="1"/>
      <w:marLeft w:val="0"/>
      <w:marRight w:val="0"/>
      <w:marTop w:val="0"/>
      <w:marBottom w:val="0"/>
      <w:divBdr>
        <w:top w:val="none" w:sz="0" w:space="0" w:color="auto"/>
        <w:left w:val="none" w:sz="0" w:space="0" w:color="auto"/>
        <w:bottom w:val="none" w:sz="0" w:space="0" w:color="auto"/>
        <w:right w:val="none" w:sz="0" w:space="0" w:color="auto"/>
      </w:divBdr>
    </w:div>
    <w:div w:id="215556176">
      <w:bodyDiv w:val="1"/>
      <w:marLeft w:val="0"/>
      <w:marRight w:val="0"/>
      <w:marTop w:val="0"/>
      <w:marBottom w:val="0"/>
      <w:divBdr>
        <w:top w:val="none" w:sz="0" w:space="0" w:color="auto"/>
        <w:left w:val="none" w:sz="0" w:space="0" w:color="auto"/>
        <w:bottom w:val="none" w:sz="0" w:space="0" w:color="auto"/>
        <w:right w:val="none" w:sz="0" w:space="0" w:color="auto"/>
      </w:divBdr>
    </w:div>
    <w:div w:id="522523985">
      <w:bodyDiv w:val="1"/>
      <w:marLeft w:val="0"/>
      <w:marRight w:val="0"/>
      <w:marTop w:val="0"/>
      <w:marBottom w:val="0"/>
      <w:divBdr>
        <w:top w:val="none" w:sz="0" w:space="0" w:color="auto"/>
        <w:left w:val="none" w:sz="0" w:space="0" w:color="auto"/>
        <w:bottom w:val="none" w:sz="0" w:space="0" w:color="auto"/>
        <w:right w:val="none" w:sz="0" w:space="0" w:color="auto"/>
      </w:divBdr>
    </w:div>
    <w:div w:id="652412737">
      <w:bodyDiv w:val="1"/>
      <w:marLeft w:val="0"/>
      <w:marRight w:val="0"/>
      <w:marTop w:val="0"/>
      <w:marBottom w:val="0"/>
      <w:divBdr>
        <w:top w:val="none" w:sz="0" w:space="0" w:color="auto"/>
        <w:left w:val="none" w:sz="0" w:space="0" w:color="auto"/>
        <w:bottom w:val="none" w:sz="0" w:space="0" w:color="auto"/>
        <w:right w:val="none" w:sz="0" w:space="0" w:color="auto"/>
      </w:divBdr>
    </w:div>
    <w:div w:id="715811443">
      <w:bodyDiv w:val="1"/>
      <w:marLeft w:val="0"/>
      <w:marRight w:val="0"/>
      <w:marTop w:val="0"/>
      <w:marBottom w:val="0"/>
      <w:divBdr>
        <w:top w:val="none" w:sz="0" w:space="0" w:color="auto"/>
        <w:left w:val="none" w:sz="0" w:space="0" w:color="auto"/>
        <w:bottom w:val="none" w:sz="0" w:space="0" w:color="auto"/>
        <w:right w:val="none" w:sz="0" w:space="0" w:color="auto"/>
      </w:divBdr>
    </w:div>
    <w:div w:id="743187149">
      <w:bodyDiv w:val="1"/>
      <w:marLeft w:val="0"/>
      <w:marRight w:val="0"/>
      <w:marTop w:val="0"/>
      <w:marBottom w:val="0"/>
      <w:divBdr>
        <w:top w:val="none" w:sz="0" w:space="0" w:color="auto"/>
        <w:left w:val="none" w:sz="0" w:space="0" w:color="auto"/>
        <w:bottom w:val="none" w:sz="0" w:space="0" w:color="auto"/>
        <w:right w:val="none" w:sz="0" w:space="0" w:color="auto"/>
      </w:divBdr>
    </w:div>
    <w:div w:id="946155968">
      <w:bodyDiv w:val="1"/>
      <w:marLeft w:val="0"/>
      <w:marRight w:val="0"/>
      <w:marTop w:val="0"/>
      <w:marBottom w:val="0"/>
      <w:divBdr>
        <w:top w:val="none" w:sz="0" w:space="0" w:color="auto"/>
        <w:left w:val="none" w:sz="0" w:space="0" w:color="auto"/>
        <w:bottom w:val="none" w:sz="0" w:space="0" w:color="auto"/>
        <w:right w:val="none" w:sz="0" w:space="0" w:color="auto"/>
      </w:divBdr>
    </w:div>
    <w:div w:id="1027440216">
      <w:bodyDiv w:val="1"/>
      <w:marLeft w:val="0"/>
      <w:marRight w:val="0"/>
      <w:marTop w:val="0"/>
      <w:marBottom w:val="0"/>
      <w:divBdr>
        <w:top w:val="none" w:sz="0" w:space="0" w:color="auto"/>
        <w:left w:val="none" w:sz="0" w:space="0" w:color="auto"/>
        <w:bottom w:val="none" w:sz="0" w:space="0" w:color="auto"/>
        <w:right w:val="none" w:sz="0" w:space="0" w:color="auto"/>
      </w:divBdr>
    </w:div>
    <w:div w:id="1232689674">
      <w:bodyDiv w:val="1"/>
      <w:marLeft w:val="0"/>
      <w:marRight w:val="0"/>
      <w:marTop w:val="0"/>
      <w:marBottom w:val="0"/>
      <w:divBdr>
        <w:top w:val="none" w:sz="0" w:space="0" w:color="auto"/>
        <w:left w:val="none" w:sz="0" w:space="0" w:color="auto"/>
        <w:bottom w:val="none" w:sz="0" w:space="0" w:color="auto"/>
        <w:right w:val="none" w:sz="0" w:space="0" w:color="auto"/>
      </w:divBdr>
    </w:div>
    <w:div w:id="1248996595">
      <w:bodyDiv w:val="1"/>
      <w:marLeft w:val="0"/>
      <w:marRight w:val="0"/>
      <w:marTop w:val="0"/>
      <w:marBottom w:val="0"/>
      <w:divBdr>
        <w:top w:val="none" w:sz="0" w:space="0" w:color="auto"/>
        <w:left w:val="none" w:sz="0" w:space="0" w:color="auto"/>
        <w:bottom w:val="none" w:sz="0" w:space="0" w:color="auto"/>
        <w:right w:val="none" w:sz="0" w:space="0" w:color="auto"/>
      </w:divBdr>
    </w:div>
    <w:div w:id="1513759665">
      <w:bodyDiv w:val="1"/>
      <w:marLeft w:val="0"/>
      <w:marRight w:val="0"/>
      <w:marTop w:val="0"/>
      <w:marBottom w:val="0"/>
      <w:divBdr>
        <w:top w:val="none" w:sz="0" w:space="0" w:color="auto"/>
        <w:left w:val="none" w:sz="0" w:space="0" w:color="auto"/>
        <w:bottom w:val="none" w:sz="0" w:space="0" w:color="auto"/>
        <w:right w:val="none" w:sz="0" w:space="0" w:color="auto"/>
      </w:divBdr>
      <w:divsChild>
        <w:div w:id="224493135">
          <w:marLeft w:val="0"/>
          <w:marRight w:val="0"/>
          <w:marTop w:val="0"/>
          <w:marBottom w:val="0"/>
          <w:divBdr>
            <w:top w:val="none" w:sz="0" w:space="0" w:color="auto"/>
            <w:left w:val="none" w:sz="0" w:space="0" w:color="auto"/>
            <w:bottom w:val="none" w:sz="0" w:space="0" w:color="auto"/>
            <w:right w:val="none" w:sz="0" w:space="0" w:color="auto"/>
          </w:divBdr>
        </w:div>
        <w:div w:id="585655115">
          <w:marLeft w:val="0"/>
          <w:marRight w:val="0"/>
          <w:marTop w:val="0"/>
          <w:marBottom w:val="0"/>
          <w:divBdr>
            <w:top w:val="none" w:sz="0" w:space="0" w:color="auto"/>
            <w:left w:val="none" w:sz="0" w:space="0" w:color="auto"/>
            <w:bottom w:val="none" w:sz="0" w:space="0" w:color="auto"/>
            <w:right w:val="none" w:sz="0" w:space="0" w:color="auto"/>
          </w:divBdr>
        </w:div>
        <w:div w:id="1243642729">
          <w:marLeft w:val="0"/>
          <w:marRight w:val="0"/>
          <w:marTop w:val="0"/>
          <w:marBottom w:val="0"/>
          <w:divBdr>
            <w:top w:val="none" w:sz="0" w:space="0" w:color="auto"/>
            <w:left w:val="none" w:sz="0" w:space="0" w:color="auto"/>
            <w:bottom w:val="none" w:sz="0" w:space="0" w:color="auto"/>
            <w:right w:val="none" w:sz="0" w:space="0" w:color="auto"/>
          </w:divBdr>
        </w:div>
      </w:divsChild>
    </w:div>
    <w:div w:id="154050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EN/TXT/PDF/?uri=CELEX:32013H0112&amp;from=EN" TargetMode="External"/><Relationship Id="rId1" Type="http://schemas.openxmlformats.org/officeDocument/2006/relationships/hyperlink" Target="https://eur-lex.europa.eu/legal-content/EN/TXT/PDF/?uri=CELEX:12012P/TXT&amp;from=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ona%20Oproiu\Documents\Custom%20Office%20Templates\Antet%202018%20no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C722AE1-7C50-46E0-B8F6-9E40DBA2BD2F}">
  <ds:schemaRefs>
    <ds:schemaRef ds:uri="http://schemas.openxmlformats.org/officeDocument/2006/bibliography"/>
  </ds:schemaRefs>
</ds:datastoreItem>
</file>

<file path=customXml/itemProps2.xml><?xml version="1.0" encoding="utf-8"?>
<ds:datastoreItem xmlns:ds="http://schemas.openxmlformats.org/officeDocument/2006/customXml" ds:itemID="{184F0716-E64C-487F-8AE7-DADC64D64CDC}"/>
</file>

<file path=customXml/itemProps3.xml><?xml version="1.0" encoding="utf-8"?>
<ds:datastoreItem xmlns:ds="http://schemas.openxmlformats.org/officeDocument/2006/customXml" ds:itemID="{8684B87B-6ACF-4A18-B762-F905086E9CFD}"/>
</file>

<file path=customXml/itemProps4.xml><?xml version="1.0" encoding="utf-8"?>
<ds:datastoreItem xmlns:ds="http://schemas.openxmlformats.org/officeDocument/2006/customXml" ds:itemID="{14937EA8-ECB0-439C-B561-6831D12590F9}"/>
</file>

<file path=docProps/app.xml><?xml version="1.0" encoding="utf-8"?>
<Properties xmlns="http://schemas.openxmlformats.org/officeDocument/2006/extended-properties" xmlns:vt="http://schemas.openxmlformats.org/officeDocument/2006/docPropsVTypes">
  <Template>Antet 2018 nou</Template>
  <TotalTime>5</TotalTime>
  <Pages>4</Pages>
  <Words>1484</Words>
  <Characters>8459</Characters>
  <Application>Microsoft Office Word</Application>
  <DocSecurity>0</DocSecurity>
  <Lines>70</Lines>
  <Paragraphs>19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Către:</vt:lpstr>
      <vt:lpstr>Către:</vt:lpstr>
    </vt:vector>
  </TitlesOfParts>
  <Company>Hewlett-Packard Company</Company>
  <LinksUpToDate>false</LinksUpToDate>
  <CharactersWithSpaces>9924</CharactersWithSpaces>
  <SharedDoc>false</SharedDoc>
  <HLinks>
    <vt:vector size="6" baseType="variant">
      <vt:variant>
        <vt:i4>786455</vt:i4>
      </vt:variant>
      <vt:variant>
        <vt:i4>3</vt:i4>
      </vt:variant>
      <vt:variant>
        <vt:i4>0</vt:i4>
      </vt:variant>
      <vt:variant>
        <vt:i4>5</vt:i4>
      </vt:variant>
      <vt:variant>
        <vt:lpwstr>http://www.copii.ro/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Către:</dc:title>
  <dc:subject/>
  <dc:creator>Simona Oproiu</dc:creator>
  <cp:keywords/>
  <cp:lastModifiedBy>Andrada Trusca</cp:lastModifiedBy>
  <cp:revision>2</cp:revision>
  <cp:lastPrinted>2019-05-09T11:49:00Z</cp:lastPrinted>
  <dcterms:created xsi:type="dcterms:W3CDTF">2019-05-10T06:41:00Z</dcterms:created>
  <dcterms:modified xsi:type="dcterms:W3CDTF">2019-05-10T06:41:00Z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