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B6D0" w14:textId="2A7B8758" w:rsidR="00F94128" w:rsidRDefault="00324ECE" w:rsidP="00125A50">
      <w:pPr>
        <w:jc w:val="center"/>
        <w:rPr>
          <w:rFonts w:ascii="Arial Rounded MT Bold" w:hAnsi="Arial Rounded MT Bold" w:cstheme="majorHAnsi"/>
          <w:smallCaps/>
          <w:color w:val="2E74B5" w:themeColor="accent1" w:themeShade="BF"/>
          <w:sz w:val="28"/>
          <w:szCs w:val="28"/>
        </w:rPr>
      </w:pPr>
      <w:r w:rsidRPr="00693C76">
        <w:rPr>
          <w:rFonts w:ascii="Arial Rounded MT Bold" w:hAnsi="Arial Rounded MT Bold" w:cstheme="majorHAnsi"/>
          <w:bCs/>
          <w:smallCaps/>
          <w:color w:val="2E74B5" w:themeColor="accent1" w:themeShade="BF"/>
          <w:sz w:val="28"/>
          <w:szCs w:val="28"/>
        </w:rPr>
        <w:t xml:space="preserve">recent developments in the </w:t>
      </w:r>
      <w:r w:rsidR="00125A50" w:rsidRPr="00693C76">
        <w:rPr>
          <w:rFonts w:ascii="Arial Rounded MT Bold" w:hAnsi="Arial Rounded MT Bold" w:cstheme="majorHAnsi"/>
          <w:bCs/>
          <w:smallCaps/>
          <w:color w:val="2E74B5" w:themeColor="accent1" w:themeShade="BF"/>
          <w:sz w:val="28"/>
          <w:szCs w:val="28"/>
        </w:rPr>
        <w:t>Individual communications received under the Optional Protocol to the Convention on the Rights of the Child on a communications procedure</w:t>
      </w:r>
      <w:r w:rsidR="00125A50" w:rsidRPr="00693C76">
        <w:rPr>
          <w:rFonts w:ascii="Arial Rounded MT Bold" w:hAnsi="Arial Rounded MT Bold" w:cstheme="majorHAnsi"/>
          <w:b/>
          <w:bCs/>
          <w:smallCaps/>
          <w:color w:val="2E74B5" w:themeColor="accent1" w:themeShade="BF"/>
          <w:sz w:val="28"/>
          <w:szCs w:val="28"/>
        </w:rPr>
        <w:t xml:space="preserve"> </w:t>
      </w:r>
      <w:r w:rsidR="00F94128" w:rsidRPr="00693C76">
        <w:rPr>
          <w:rFonts w:ascii="Arial Rounded MT Bold" w:hAnsi="Arial Rounded MT Bold" w:cstheme="majorHAnsi"/>
          <w:smallCaps/>
          <w:color w:val="2E74B5" w:themeColor="accent1" w:themeShade="BF"/>
          <w:sz w:val="28"/>
          <w:szCs w:val="28"/>
        </w:rPr>
        <w:t>(</w:t>
      </w:r>
      <w:r w:rsidR="00762F6D" w:rsidRPr="00693C76">
        <w:rPr>
          <w:rFonts w:ascii="Arial Rounded MT Bold" w:hAnsi="Arial Rounded MT Bold" w:cstheme="majorHAnsi"/>
          <w:smallCaps/>
          <w:color w:val="2E74B5" w:themeColor="accent1" w:themeShade="BF"/>
          <w:sz w:val="28"/>
          <w:szCs w:val="28"/>
        </w:rPr>
        <w:t>‘</w:t>
      </w:r>
      <w:r w:rsidR="00F94128" w:rsidRPr="00693C76">
        <w:rPr>
          <w:rFonts w:ascii="Arial Rounded MT Bold" w:hAnsi="Arial Rounded MT Bold" w:cstheme="majorHAnsi"/>
          <w:smallCaps/>
          <w:color w:val="2E74B5" w:themeColor="accent1" w:themeShade="BF"/>
          <w:sz w:val="28"/>
          <w:szCs w:val="28"/>
        </w:rPr>
        <w:t>OPIC-CRC</w:t>
      </w:r>
      <w:r w:rsidR="00762F6D" w:rsidRPr="00693C76">
        <w:rPr>
          <w:rFonts w:ascii="Arial Rounded MT Bold" w:hAnsi="Arial Rounded MT Bold" w:cstheme="majorHAnsi"/>
          <w:smallCaps/>
          <w:color w:val="2E74B5" w:themeColor="accent1" w:themeShade="BF"/>
          <w:sz w:val="28"/>
          <w:szCs w:val="28"/>
        </w:rPr>
        <w:t>’</w:t>
      </w:r>
      <w:r w:rsidR="00F94128" w:rsidRPr="00693C76">
        <w:rPr>
          <w:rFonts w:ascii="Arial Rounded MT Bold" w:hAnsi="Arial Rounded MT Bold" w:cstheme="majorHAnsi"/>
          <w:smallCaps/>
          <w:color w:val="2E74B5" w:themeColor="accent1" w:themeShade="BF"/>
          <w:sz w:val="28"/>
          <w:szCs w:val="28"/>
        </w:rPr>
        <w:t>)</w:t>
      </w:r>
    </w:p>
    <w:p w14:paraId="600409F1" w14:textId="3E5EB780" w:rsidR="00693C76" w:rsidRPr="00693C76" w:rsidRDefault="00693C76" w:rsidP="00125A50">
      <w:pPr>
        <w:jc w:val="center"/>
        <w:rPr>
          <w:rFonts w:ascii="Arial Rounded MT Bold" w:hAnsi="Arial Rounded MT Bold" w:cstheme="majorHAnsi"/>
          <w:b/>
          <w:bCs/>
          <w:smallCaps/>
          <w:color w:val="2E74B5" w:themeColor="accent1" w:themeShade="BF"/>
          <w:sz w:val="28"/>
          <w:szCs w:val="28"/>
        </w:rPr>
      </w:pPr>
      <w:r>
        <w:rPr>
          <w:rFonts w:ascii="Arial Rounded MT Bold" w:hAnsi="Arial Rounded MT Bold" w:cstheme="majorHAnsi"/>
          <w:smallCaps/>
          <w:color w:val="2E74B5" w:themeColor="accent1" w:themeShade="BF"/>
          <w:sz w:val="28"/>
          <w:szCs w:val="28"/>
        </w:rPr>
        <w:t>_______________________</w:t>
      </w:r>
    </w:p>
    <w:p w14:paraId="53E94D22" w14:textId="14141FFC" w:rsidR="00693C76" w:rsidRDefault="00591785" w:rsidP="00693C76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ajorHAnsi" w:hAnsiTheme="majorHAnsi" w:cstheme="majorHAnsi"/>
          <w:b/>
          <w:color w:val="1F4E79" w:themeColor="accent1" w:themeShade="80"/>
        </w:rPr>
      </w:pPr>
      <w:r>
        <w:rPr>
          <w:rFonts w:asciiTheme="majorHAnsi" w:hAnsiTheme="majorHAnsi" w:cstheme="majorHAnsi"/>
          <w:b/>
          <w:color w:val="1F4E79" w:themeColor="accent1" w:themeShade="80"/>
        </w:rPr>
        <w:t xml:space="preserve">Overview of </w:t>
      </w:r>
      <w:r w:rsidR="000E4D8C">
        <w:rPr>
          <w:rFonts w:asciiTheme="majorHAnsi" w:hAnsiTheme="majorHAnsi" w:cstheme="majorHAnsi"/>
          <w:b/>
          <w:color w:val="1F4E79" w:themeColor="accent1" w:themeShade="80"/>
        </w:rPr>
        <w:t xml:space="preserve">the ratification status and the </w:t>
      </w:r>
      <w:r w:rsidR="00693C76">
        <w:rPr>
          <w:rFonts w:asciiTheme="majorHAnsi" w:hAnsiTheme="majorHAnsi" w:cstheme="majorHAnsi"/>
          <w:b/>
          <w:color w:val="1F4E79" w:themeColor="accent1" w:themeShade="80"/>
        </w:rPr>
        <w:t>cases</w:t>
      </w:r>
      <w:r>
        <w:rPr>
          <w:rFonts w:asciiTheme="majorHAnsi" w:hAnsiTheme="majorHAnsi" w:cstheme="majorHAnsi"/>
          <w:b/>
          <w:color w:val="1F4E79" w:themeColor="accent1" w:themeShade="80"/>
        </w:rPr>
        <w:t xml:space="preserve"> received under the OPIC-CRC</w:t>
      </w:r>
    </w:p>
    <w:p w14:paraId="6EA68DA8" w14:textId="1D202658" w:rsidR="00591785" w:rsidRDefault="006A7E7C" w:rsidP="00BC5CD5">
      <w:pPr>
        <w:pStyle w:val="ListParagraph"/>
        <w:rPr>
          <w:rFonts w:asciiTheme="majorHAnsi" w:hAnsiTheme="majorHAnsi" w:cstheme="majorHAnsi"/>
          <w:color w:val="1F4E79" w:themeColor="accent1" w:themeShade="80"/>
        </w:rPr>
      </w:pPr>
      <w:r>
        <w:rPr>
          <w:rFonts w:asciiTheme="majorHAnsi" w:hAnsiTheme="majorHAnsi" w:cstheme="majorHAnsi"/>
          <w:color w:val="1F4E79" w:themeColor="accent1" w:themeShade="80"/>
        </w:rPr>
        <w:t>Since its entry into force on 14 April 20</w:t>
      </w:r>
      <w:r w:rsidR="007A210E">
        <w:rPr>
          <w:rFonts w:asciiTheme="majorHAnsi" w:hAnsiTheme="majorHAnsi" w:cstheme="majorHAnsi"/>
          <w:color w:val="1F4E79" w:themeColor="accent1" w:themeShade="80"/>
        </w:rPr>
        <w:t>14, the OPIC-CRC has received 46</w:t>
      </w:r>
      <w:r>
        <w:rPr>
          <w:rFonts w:asciiTheme="majorHAnsi" w:hAnsiTheme="majorHAnsi" w:cstheme="majorHAnsi"/>
          <w:color w:val="1F4E79" w:themeColor="accent1" w:themeShade="80"/>
        </w:rPr>
        <w:t xml:space="preserve"> ratifications/ accessions</w:t>
      </w:r>
      <w:r w:rsidR="00D74949">
        <w:rPr>
          <w:rFonts w:asciiTheme="majorHAnsi" w:hAnsiTheme="majorHAnsi" w:cstheme="majorHAnsi"/>
          <w:color w:val="1F4E79" w:themeColor="accent1" w:themeShade="80"/>
        </w:rPr>
        <w:t xml:space="preserve"> and 52 signatures</w:t>
      </w:r>
      <w:r>
        <w:rPr>
          <w:rFonts w:asciiTheme="majorHAnsi" w:hAnsiTheme="majorHAnsi" w:cstheme="majorHAnsi"/>
          <w:color w:val="1F4E79" w:themeColor="accent1" w:themeShade="80"/>
        </w:rPr>
        <w:t xml:space="preserve">. Despite being the </w:t>
      </w:r>
      <w:r w:rsidR="00E7285D">
        <w:rPr>
          <w:rFonts w:asciiTheme="majorHAnsi" w:hAnsiTheme="majorHAnsi" w:cstheme="majorHAnsi"/>
          <w:color w:val="1F4E79" w:themeColor="accent1" w:themeShade="80"/>
        </w:rPr>
        <w:t>eighth</w:t>
      </w:r>
      <w:r>
        <w:rPr>
          <w:rFonts w:asciiTheme="majorHAnsi" w:hAnsiTheme="majorHAnsi" w:cstheme="majorHAnsi"/>
          <w:color w:val="1F4E79" w:themeColor="accent1" w:themeShade="80"/>
        </w:rPr>
        <w:t xml:space="preserve"> individual complaints mechanism to enter into force, it</w:t>
      </w:r>
      <w:r w:rsidR="000E4D8C">
        <w:rPr>
          <w:rFonts w:asciiTheme="majorHAnsi" w:hAnsiTheme="majorHAnsi" w:cstheme="majorHAnsi"/>
          <w:color w:val="1F4E79" w:themeColor="accent1" w:themeShade="80"/>
        </w:rPr>
        <w:t xml:space="preserve"> is currently</w:t>
      </w:r>
      <w:r>
        <w:rPr>
          <w:rFonts w:asciiTheme="majorHAnsi" w:hAnsiTheme="majorHAnsi" w:cstheme="majorHAnsi"/>
          <w:color w:val="1F4E79" w:themeColor="accent1" w:themeShade="80"/>
        </w:rPr>
        <w:t xml:space="preserve"> </w:t>
      </w:r>
      <w:r w:rsidR="007A210E">
        <w:rPr>
          <w:rFonts w:asciiTheme="majorHAnsi" w:hAnsiTheme="majorHAnsi" w:cstheme="majorHAnsi"/>
          <w:color w:val="1F4E79" w:themeColor="accent1" w:themeShade="80"/>
        </w:rPr>
        <w:t>the third in terms of the</w:t>
      </w:r>
      <w:bookmarkStart w:id="0" w:name="_GoBack"/>
      <w:bookmarkEnd w:id="0"/>
      <w:r w:rsidR="007A210E">
        <w:rPr>
          <w:rFonts w:asciiTheme="majorHAnsi" w:hAnsiTheme="majorHAnsi" w:cstheme="majorHAnsi"/>
          <w:color w:val="1F4E79" w:themeColor="accent1" w:themeShade="80"/>
        </w:rPr>
        <w:t xml:space="preserve"> number of cases adopted per year (after CCPR and CAT)</w:t>
      </w:r>
      <w:r w:rsidR="00D74949">
        <w:rPr>
          <w:rFonts w:asciiTheme="majorHAnsi" w:hAnsiTheme="majorHAnsi" w:cstheme="majorHAnsi"/>
          <w:color w:val="1F4E79" w:themeColor="accent1" w:themeShade="80"/>
        </w:rPr>
        <w:t>, the fifth both in terms of the number of communications registered (after CCPR, CAT, CEDAW and CESCR), and</w:t>
      </w:r>
      <w:r w:rsidR="00D74949" w:rsidRPr="00D74949">
        <w:rPr>
          <w:rFonts w:asciiTheme="majorHAnsi" w:hAnsiTheme="majorHAnsi" w:cstheme="majorHAnsi"/>
          <w:color w:val="1F4E79" w:themeColor="accent1" w:themeShade="80"/>
        </w:rPr>
        <w:t xml:space="preserve"> </w:t>
      </w:r>
      <w:r w:rsidR="00D74949">
        <w:rPr>
          <w:rFonts w:asciiTheme="majorHAnsi" w:hAnsiTheme="majorHAnsi" w:cstheme="majorHAnsi"/>
          <w:color w:val="1F4E79" w:themeColor="accent1" w:themeShade="80"/>
        </w:rPr>
        <w:t>the number of States parties (after CCPR, CEDAW, CAT and CRPD)</w:t>
      </w:r>
      <w:r>
        <w:rPr>
          <w:rFonts w:asciiTheme="majorHAnsi" w:hAnsiTheme="majorHAnsi" w:cstheme="majorHAnsi"/>
          <w:color w:val="1F4E79" w:themeColor="accent1" w:themeShade="80"/>
        </w:rPr>
        <w:t xml:space="preserve">. </w:t>
      </w:r>
      <w:r w:rsidR="00693C76">
        <w:rPr>
          <w:rFonts w:asciiTheme="majorHAnsi" w:hAnsiTheme="majorHAnsi" w:cstheme="majorHAnsi"/>
          <w:color w:val="1F4E79" w:themeColor="accent1" w:themeShade="80"/>
        </w:rPr>
        <w:t xml:space="preserve">To date, the Committee has received over </w:t>
      </w:r>
      <w:r w:rsidR="00393357">
        <w:rPr>
          <w:rFonts w:asciiTheme="majorHAnsi" w:hAnsiTheme="majorHAnsi" w:cstheme="majorHAnsi"/>
          <w:color w:val="1F4E79" w:themeColor="accent1" w:themeShade="80"/>
        </w:rPr>
        <w:t>3</w:t>
      </w:r>
      <w:r w:rsidR="00693C76">
        <w:rPr>
          <w:rFonts w:asciiTheme="majorHAnsi" w:hAnsiTheme="majorHAnsi" w:cstheme="majorHAnsi"/>
          <w:color w:val="1F4E79" w:themeColor="accent1" w:themeShade="80"/>
        </w:rPr>
        <w:t>00 individual communications under t</w:t>
      </w:r>
      <w:r w:rsidR="007A210E">
        <w:rPr>
          <w:rFonts w:asciiTheme="majorHAnsi" w:hAnsiTheme="majorHAnsi" w:cstheme="majorHAnsi"/>
          <w:color w:val="1F4E79" w:themeColor="accent1" w:themeShade="80"/>
        </w:rPr>
        <w:t>he OPIC-CRC and has registered 1</w:t>
      </w:r>
      <w:r w:rsidR="00D74949">
        <w:rPr>
          <w:rFonts w:asciiTheme="majorHAnsi" w:hAnsiTheme="majorHAnsi" w:cstheme="majorHAnsi"/>
          <w:color w:val="1F4E79" w:themeColor="accent1" w:themeShade="80"/>
        </w:rPr>
        <w:t>16</w:t>
      </w:r>
      <w:r w:rsidR="00693C76">
        <w:rPr>
          <w:rFonts w:asciiTheme="majorHAnsi" w:hAnsiTheme="majorHAnsi" w:cstheme="majorHAnsi"/>
          <w:color w:val="1F4E79" w:themeColor="accent1" w:themeShade="80"/>
        </w:rPr>
        <w:t xml:space="preserve"> of those cases. T</w:t>
      </w:r>
      <w:r w:rsidR="00693C76" w:rsidRPr="00C1395C">
        <w:rPr>
          <w:rFonts w:asciiTheme="majorHAnsi" w:hAnsiTheme="majorHAnsi" w:cstheme="majorHAnsi"/>
          <w:color w:val="1F4E79" w:themeColor="accent1" w:themeShade="80"/>
        </w:rPr>
        <w:t>he Committee</w:t>
      </w:r>
      <w:r w:rsidR="007A210E">
        <w:rPr>
          <w:rFonts w:asciiTheme="majorHAnsi" w:hAnsiTheme="majorHAnsi" w:cstheme="majorHAnsi"/>
          <w:color w:val="1F4E79" w:themeColor="accent1" w:themeShade="80"/>
        </w:rPr>
        <w:t xml:space="preserve"> has adopted decisions on </w:t>
      </w:r>
      <w:r w:rsidR="00693C76">
        <w:rPr>
          <w:rFonts w:asciiTheme="majorHAnsi" w:hAnsiTheme="majorHAnsi" w:cstheme="majorHAnsi"/>
          <w:color w:val="1F4E79" w:themeColor="accent1" w:themeShade="80"/>
        </w:rPr>
        <w:t>3</w:t>
      </w:r>
      <w:r w:rsidR="00393357">
        <w:rPr>
          <w:rFonts w:asciiTheme="majorHAnsi" w:hAnsiTheme="majorHAnsi" w:cstheme="majorHAnsi"/>
          <w:color w:val="1F4E79" w:themeColor="accent1" w:themeShade="80"/>
        </w:rPr>
        <w:t>9</w:t>
      </w:r>
      <w:r w:rsidR="00693C76">
        <w:rPr>
          <w:rFonts w:asciiTheme="majorHAnsi" w:hAnsiTheme="majorHAnsi" w:cstheme="majorHAnsi"/>
          <w:color w:val="1F4E79" w:themeColor="accent1" w:themeShade="80"/>
        </w:rPr>
        <w:t xml:space="preserve"> registered cases. Of these, the Committee found v</w:t>
      </w:r>
      <w:r w:rsidR="007A210E">
        <w:rPr>
          <w:rFonts w:asciiTheme="majorHAnsi" w:hAnsiTheme="majorHAnsi" w:cstheme="majorHAnsi"/>
          <w:color w:val="1F4E79" w:themeColor="accent1" w:themeShade="80"/>
        </w:rPr>
        <w:t xml:space="preserve">iolations of the Convention in </w:t>
      </w:r>
      <w:r w:rsidR="00D74949">
        <w:rPr>
          <w:rFonts w:asciiTheme="majorHAnsi" w:hAnsiTheme="majorHAnsi" w:cstheme="majorHAnsi"/>
          <w:color w:val="1F4E79" w:themeColor="accent1" w:themeShade="80"/>
        </w:rPr>
        <w:t>12</w:t>
      </w:r>
      <w:r w:rsidR="007A210E">
        <w:rPr>
          <w:rFonts w:asciiTheme="majorHAnsi" w:hAnsiTheme="majorHAnsi" w:cstheme="majorHAnsi"/>
          <w:color w:val="1F4E79" w:themeColor="accent1" w:themeShade="80"/>
        </w:rPr>
        <w:t xml:space="preserve"> cases, declared 1</w:t>
      </w:r>
      <w:r w:rsidR="00D74949">
        <w:rPr>
          <w:rFonts w:asciiTheme="majorHAnsi" w:hAnsiTheme="majorHAnsi" w:cstheme="majorHAnsi"/>
          <w:color w:val="1F4E79" w:themeColor="accent1" w:themeShade="80"/>
        </w:rPr>
        <w:t>7</w:t>
      </w:r>
      <w:r w:rsidR="00693C76">
        <w:rPr>
          <w:rFonts w:asciiTheme="majorHAnsi" w:hAnsiTheme="majorHAnsi" w:cstheme="majorHAnsi"/>
          <w:color w:val="1F4E79" w:themeColor="accent1" w:themeShade="80"/>
        </w:rPr>
        <w:t xml:space="preserve"> cases </w:t>
      </w:r>
      <w:r w:rsidR="007A210E">
        <w:rPr>
          <w:rFonts w:asciiTheme="majorHAnsi" w:hAnsiTheme="majorHAnsi" w:cstheme="majorHAnsi"/>
          <w:color w:val="1F4E79" w:themeColor="accent1" w:themeShade="80"/>
        </w:rPr>
        <w:t xml:space="preserve">inadmissible, and discontinued </w:t>
      </w:r>
      <w:r w:rsidR="00393357">
        <w:rPr>
          <w:rFonts w:asciiTheme="majorHAnsi" w:hAnsiTheme="majorHAnsi" w:cstheme="majorHAnsi"/>
          <w:color w:val="1F4E79" w:themeColor="accent1" w:themeShade="80"/>
        </w:rPr>
        <w:t>10</w:t>
      </w:r>
      <w:r w:rsidR="00693C76">
        <w:rPr>
          <w:rFonts w:asciiTheme="majorHAnsi" w:hAnsiTheme="majorHAnsi" w:cstheme="majorHAnsi"/>
          <w:color w:val="1F4E79" w:themeColor="accent1" w:themeShade="80"/>
        </w:rPr>
        <w:t xml:space="preserve"> cases. There are currently 7</w:t>
      </w:r>
      <w:r w:rsidR="00393357">
        <w:rPr>
          <w:rFonts w:asciiTheme="majorHAnsi" w:hAnsiTheme="majorHAnsi" w:cstheme="majorHAnsi"/>
          <w:color w:val="1F4E79" w:themeColor="accent1" w:themeShade="80"/>
        </w:rPr>
        <w:t>7</w:t>
      </w:r>
      <w:r w:rsidR="00693C76">
        <w:rPr>
          <w:rFonts w:asciiTheme="majorHAnsi" w:hAnsiTheme="majorHAnsi" w:cstheme="majorHAnsi"/>
          <w:color w:val="1F4E79" w:themeColor="accent1" w:themeShade="80"/>
        </w:rPr>
        <w:t xml:space="preserve"> cases pending consideration.</w:t>
      </w:r>
    </w:p>
    <w:p w14:paraId="7A8763D4" w14:textId="77777777" w:rsidR="00BC5CD5" w:rsidRPr="00BC5CD5" w:rsidRDefault="00BC5CD5" w:rsidP="00BC5CD5">
      <w:pPr>
        <w:pStyle w:val="ListParagraph"/>
        <w:rPr>
          <w:rFonts w:asciiTheme="majorHAnsi" w:hAnsiTheme="majorHAnsi" w:cstheme="majorHAnsi"/>
          <w:color w:val="1F4E79" w:themeColor="accent1" w:themeShade="80"/>
        </w:rPr>
      </w:pPr>
    </w:p>
    <w:p w14:paraId="428724AE" w14:textId="6F06F81A" w:rsidR="00591785" w:rsidRDefault="00121FEA" w:rsidP="00591785">
      <w:pPr>
        <w:pStyle w:val="ListParagraph"/>
        <w:rPr>
          <w:rFonts w:asciiTheme="majorHAnsi" w:hAnsiTheme="majorHAnsi" w:cstheme="majorHAnsi"/>
          <w:color w:val="1F4E79" w:themeColor="accent1" w:themeShade="80"/>
        </w:rPr>
      </w:pPr>
      <w:r>
        <w:rPr>
          <w:rFonts w:asciiTheme="majorHAnsi" w:hAnsiTheme="majorHAnsi" w:cstheme="majorHAnsi"/>
          <w:color w:val="1F4E79" w:themeColor="accent1" w:themeShade="80"/>
        </w:rPr>
        <w:t xml:space="preserve">Those individual communications that were received but clearly did not meet the basic prima facie admissibility requirements were not registered. This included mainly communications against non-State parties to the OPIC-CRC, where the alleged violations occurred prior to the entry into force of the OPIC-CRC for the State concerned, where domestic remedies were clearly not exhausted or those that were manifestly unfounded. </w:t>
      </w:r>
    </w:p>
    <w:p w14:paraId="6B0347E8" w14:textId="77777777" w:rsidR="00BC5CD5" w:rsidRDefault="00BC5CD5" w:rsidP="00BC5CD5">
      <w:pPr>
        <w:pStyle w:val="ListParagraph"/>
        <w:rPr>
          <w:rFonts w:asciiTheme="majorHAnsi" w:hAnsiTheme="majorHAnsi" w:cstheme="majorHAnsi"/>
          <w:color w:val="1F4E79" w:themeColor="accent1" w:themeShade="80"/>
        </w:rPr>
      </w:pPr>
    </w:p>
    <w:p w14:paraId="6E31A8C0" w14:textId="6AB6B302" w:rsidR="00BC5CD5" w:rsidRDefault="00BC5CD5" w:rsidP="00BC5CD5">
      <w:pPr>
        <w:pStyle w:val="ListParagraph"/>
        <w:rPr>
          <w:rFonts w:asciiTheme="majorHAnsi" w:hAnsiTheme="majorHAnsi" w:cstheme="majorHAnsi"/>
          <w:color w:val="1F4E79" w:themeColor="accent1" w:themeShade="80"/>
        </w:rPr>
      </w:pPr>
      <w:r>
        <w:rPr>
          <w:rFonts w:asciiTheme="majorHAnsi" w:hAnsiTheme="majorHAnsi" w:cstheme="majorHAnsi"/>
          <w:color w:val="1F4E79" w:themeColor="accent1" w:themeShade="80"/>
        </w:rPr>
        <w:t xml:space="preserve">The issues raised in the registered cases involved migration-related issues (including non </w:t>
      </w:r>
      <w:proofErr w:type="spellStart"/>
      <w:r>
        <w:rPr>
          <w:rFonts w:asciiTheme="majorHAnsi" w:hAnsiTheme="majorHAnsi" w:cstheme="majorHAnsi"/>
          <w:color w:val="1F4E79" w:themeColor="accent1" w:themeShade="80"/>
        </w:rPr>
        <w:t>refoulement</w:t>
      </w:r>
      <w:proofErr w:type="spellEnd"/>
      <w:r>
        <w:rPr>
          <w:rFonts w:asciiTheme="majorHAnsi" w:hAnsiTheme="majorHAnsi" w:cstheme="majorHAnsi"/>
          <w:color w:val="1F4E79" w:themeColor="accent1" w:themeShade="80"/>
        </w:rPr>
        <w:t xml:space="preserve">, age determination, administrative detention of migrant children, separation of children from parents, family reunification, and access to asylum proceedings), child abduction, custody and visiting rights, </w:t>
      </w:r>
      <w:r w:rsidR="00933F8D">
        <w:rPr>
          <w:rFonts w:asciiTheme="majorHAnsi" w:hAnsiTheme="majorHAnsi" w:cstheme="majorHAnsi"/>
          <w:color w:val="1F4E79" w:themeColor="accent1" w:themeShade="80"/>
        </w:rPr>
        <w:t xml:space="preserve">surrogacy, </w:t>
      </w:r>
      <w:r>
        <w:rPr>
          <w:rFonts w:asciiTheme="majorHAnsi" w:hAnsiTheme="majorHAnsi" w:cstheme="majorHAnsi"/>
          <w:color w:val="1F4E79" w:themeColor="accent1" w:themeShade="80"/>
        </w:rPr>
        <w:t>juvenile justice, corporal punishment, male circumcision</w:t>
      </w:r>
      <w:r w:rsidR="00393357">
        <w:rPr>
          <w:rFonts w:asciiTheme="majorHAnsi" w:hAnsiTheme="majorHAnsi" w:cstheme="majorHAnsi"/>
          <w:color w:val="1F4E79" w:themeColor="accent1" w:themeShade="80"/>
        </w:rPr>
        <w:t>, right to education, and climate change</w:t>
      </w:r>
      <w:r>
        <w:rPr>
          <w:rFonts w:asciiTheme="majorHAnsi" w:hAnsiTheme="majorHAnsi" w:cstheme="majorHAnsi"/>
          <w:color w:val="1F4E79" w:themeColor="accent1" w:themeShade="80"/>
        </w:rPr>
        <w:t>.</w:t>
      </w:r>
    </w:p>
    <w:p w14:paraId="7968FC72" w14:textId="3F5E9437" w:rsidR="00BC5CD5" w:rsidRDefault="00BC5CD5" w:rsidP="00591785">
      <w:pPr>
        <w:pStyle w:val="ListParagraph"/>
        <w:rPr>
          <w:rFonts w:asciiTheme="majorHAnsi" w:hAnsiTheme="majorHAnsi" w:cstheme="majorHAnsi"/>
          <w:color w:val="1F4E79" w:themeColor="accent1" w:themeShade="80"/>
        </w:rPr>
      </w:pPr>
    </w:p>
    <w:p w14:paraId="2A68DDFE" w14:textId="5AAB9D24" w:rsidR="00BC5CD5" w:rsidRPr="00393357" w:rsidRDefault="00BC5CD5" w:rsidP="00591785">
      <w:pPr>
        <w:pStyle w:val="ListParagraph"/>
        <w:rPr>
          <w:rFonts w:asciiTheme="majorHAnsi" w:hAnsiTheme="majorHAnsi" w:cstheme="majorHAnsi"/>
          <w:color w:val="1F4E79" w:themeColor="accent1" w:themeShade="80"/>
          <w:lang w:val="es-ES"/>
        </w:rPr>
      </w:pPr>
      <w:r>
        <w:rPr>
          <w:rFonts w:asciiTheme="majorHAnsi" w:hAnsiTheme="majorHAnsi" w:cstheme="majorHAnsi"/>
          <w:color w:val="1F4E79" w:themeColor="accent1" w:themeShade="80"/>
        </w:rPr>
        <w:t xml:space="preserve">The countries concerned by registered communications have been mainly European countries: Spain, Denmark, Switzerland, Finland, Belgium, Germany, France, Ireland, Slovakia and Georgia. </w:t>
      </w:r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>Non-</w:t>
      </w:r>
      <w:proofErr w:type="spellStart"/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>European</w:t>
      </w:r>
      <w:proofErr w:type="spellEnd"/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 xml:space="preserve"> </w:t>
      </w:r>
      <w:proofErr w:type="spellStart"/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>countries</w:t>
      </w:r>
      <w:proofErr w:type="spellEnd"/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 xml:space="preserve"> </w:t>
      </w:r>
      <w:proofErr w:type="spellStart"/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>included</w:t>
      </w:r>
      <w:proofErr w:type="spellEnd"/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 xml:space="preserve"> Argentina, </w:t>
      </w:r>
      <w:proofErr w:type="spellStart"/>
      <w:r w:rsidR="00393357" w:rsidRPr="00393357">
        <w:rPr>
          <w:rFonts w:asciiTheme="majorHAnsi" w:hAnsiTheme="majorHAnsi" w:cstheme="majorHAnsi"/>
          <w:color w:val="1F4E79" w:themeColor="accent1" w:themeShade="80"/>
          <w:lang w:val="es-ES"/>
        </w:rPr>
        <w:t>Brazil</w:t>
      </w:r>
      <w:proofErr w:type="spellEnd"/>
      <w:r w:rsidR="00393357" w:rsidRPr="00393357">
        <w:rPr>
          <w:rFonts w:asciiTheme="majorHAnsi" w:hAnsiTheme="majorHAnsi" w:cstheme="majorHAnsi"/>
          <w:color w:val="1F4E79" w:themeColor="accent1" w:themeShade="80"/>
          <w:lang w:val="es-ES"/>
        </w:rPr>
        <w:t xml:space="preserve">, </w:t>
      </w:r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 xml:space="preserve">Chile, Costa Rica, </w:t>
      </w:r>
      <w:proofErr w:type="spellStart"/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>Panama</w:t>
      </w:r>
      <w:proofErr w:type="spellEnd"/>
      <w:r w:rsidR="00393357" w:rsidRPr="00393357">
        <w:rPr>
          <w:rFonts w:asciiTheme="majorHAnsi" w:hAnsiTheme="majorHAnsi" w:cstheme="majorHAnsi"/>
          <w:color w:val="1F4E79" w:themeColor="accent1" w:themeShade="80"/>
          <w:lang w:val="es-ES"/>
        </w:rPr>
        <w:t>,</w:t>
      </w:r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 xml:space="preserve"> Paraguay</w:t>
      </w:r>
      <w:r w:rsidR="00393357">
        <w:rPr>
          <w:rFonts w:asciiTheme="majorHAnsi" w:hAnsiTheme="majorHAnsi" w:cstheme="majorHAnsi"/>
          <w:color w:val="1F4E79" w:themeColor="accent1" w:themeShade="80"/>
          <w:lang w:val="es-ES"/>
        </w:rPr>
        <w:t xml:space="preserve"> and </w:t>
      </w:r>
      <w:proofErr w:type="spellStart"/>
      <w:r w:rsidR="00393357">
        <w:rPr>
          <w:rFonts w:asciiTheme="majorHAnsi" w:hAnsiTheme="majorHAnsi" w:cstheme="majorHAnsi"/>
          <w:color w:val="1F4E79" w:themeColor="accent1" w:themeShade="80"/>
          <w:lang w:val="es-ES"/>
        </w:rPr>
        <w:t>Turkey</w:t>
      </w:r>
      <w:proofErr w:type="spellEnd"/>
      <w:r w:rsidRPr="00393357">
        <w:rPr>
          <w:rFonts w:asciiTheme="majorHAnsi" w:hAnsiTheme="majorHAnsi" w:cstheme="majorHAnsi"/>
          <w:color w:val="1F4E79" w:themeColor="accent1" w:themeShade="80"/>
          <w:lang w:val="es-ES"/>
        </w:rPr>
        <w:t>.</w:t>
      </w:r>
    </w:p>
    <w:p w14:paraId="0980A481" w14:textId="77777777" w:rsidR="00693C76" w:rsidRPr="00393357" w:rsidRDefault="00693C76" w:rsidP="00693C76">
      <w:pPr>
        <w:pStyle w:val="ListParagraph"/>
        <w:rPr>
          <w:rFonts w:asciiTheme="majorHAnsi" w:hAnsiTheme="majorHAnsi" w:cstheme="majorHAnsi"/>
          <w:color w:val="1F4E79" w:themeColor="accent1" w:themeShade="80"/>
          <w:lang w:val="es-ES"/>
        </w:rPr>
      </w:pPr>
    </w:p>
    <w:p w14:paraId="616B6632" w14:textId="3F9BB7DC" w:rsidR="00B26563" w:rsidRPr="00C1395C" w:rsidRDefault="00B26563" w:rsidP="00693C76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ajorHAnsi" w:hAnsiTheme="majorHAnsi" w:cstheme="majorHAnsi"/>
          <w:b/>
          <w:color w:val="1F4E79" w:themeColor="accent1" w:themeShade="80"/>
        </w:rPr>
      </w:pPr>
      <w:r w:rsidRPr="000E1F0A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Jurisprudential trends</w:t>
      </w:r>
    </w:p>
    <w:p w14:paraId="516EEEF3" w14:textId="0F6D6F41" w:rsidR="00C1395C" w:rsidRPr="00C1395C" w:rsidRDefault="00CF2793" w:rsidP="00693C76">
      <w:pPr>
        <w:pStyle w:val="ListParagraph"/>
        <w:contextualSpacing w:val="0"/>
        <w:rPr>
          <w:rFonts w:asciiTheme="majorHAnsi" w:hAnsiTheme="majorHAnsi" w:cstheme="majorHAnsi"/>
          <w:color w:val="1F4E79" w:themeColor="accent1" w:themeShade="80"/>
        </w:rPr>
      </w:pPr>
      <w:r>
        <w:rPr>
          <w:rFonts w:asciiTheme="majorHAnsi" w:hAnsiTheme="majorHAnsi" w:cstheme="majorHAnsi"/>
          <w:color w:val="1F4E79" w:themeColor="accent1" w:themeShade="80"/>
        </w:rPr>
        <w:t xml:space="preserve">The Committee’s </w:t>
      </w:r>
      <w:r w:rsidR="00C1395C" w:rsidRPr="00C1395C">
        <w:rPr>
          <w:rFonts w:asciiTheme="majorHAnsi" w:hAnsiTheme="majorHAnsi" w:cstheme="majorHAnsi"/>
          <w:color w:val="1F4E79" w:themeColor="accent1" w:themeShade="80"/>
        </w:rPr>
        <w:t>Views</w:t>
      </w:r>
      <w:r>
        <w:rPr>
          <w:rFonts w:asciiTheme="majorHAnsi" w:hAnsiTheme="majorHAnsi" w:cstheme="majorHAnsi"/>
          <w:color w:val="1F4E79" w:themeColor="accent1" w:themeShade="80"/>
        </w:rPr>
        <w:t xml:space="preserve"> (or decisions on the merits)</w:t>
      </w:r>
      <w:r w:rsidR="00C1395C" w:rsidRPr="00C1395C">
        <w:rPr>
          <w:rFonts w:asciiTheme="majorHAnsi" w:hAnsiTheme="majorHAnsi" w:cstheme="majorHAnsi"/>
          <w:color w:val="1F4E79" w:themeColor="accent1" w:themeShade="80"/>
        </w:rPr>
        <w:t xml:space="preserve"> have mainly </w:t>
      </w:r>
      <w:r w:rsidR="00E653DD" w:rsidRPr="00C1395C">
        <w:rPr>
          <w:rFonts w:asciiTheme="majorHAnsi" w:hAnsiTheme="majorHAnsi" w:cstheme="majorHAnsi"/>
          <w:color w:val="1F4E79" w:themeColor="accent1" w:themeShade="80"/>
        </w:rPr>
        <w:t>co</w:t>
      </w:r>
      <w:r w:rsidR="00E653DD">
        <w:rPr>
          <w:rFonts w:asciiTheme="majorHAnsi" w:hAnsiTheme="majorHAnsi" w:cstheme="majorHAnsi"/>
          <w:color w:val="1F4E79" w:themeColor="accent1" w:themeShade="80"/>
        </w:rPr>
        <w:t>ncerned</w:t>
      </w:r>
      <w:r w:rsidR="00E653DD" w:rsidRPr="00C1395C">
        <w:rPr>
          <w:rFonts w:asciiTheme="majorHAnsi" w:hAnsiTheme="majorHAnsi" w:cstheme="majorHAnsi"/>
          <w:color w:val="1F4E79" w:themeColor="accent1" w:themeShade="80"/>
        </w:rPr>
        <w:t xml:space="preserve"> </w:t>
      </w:r>
      <w:r w:rsidR="00E653DD">
        <w:rPr>
          <w:rFonts w:asciiTheme="majorHAnsi" w:hAnsiTheme="majorHAnsi" w:cstheme="majorHAnsi"/>
          <w:color w:val="1F4E79" w:themeColor="accent1" w:themeShade="80"/>
        </w:rPr>
        <w:t xml:space="preserve">migration </w:t>
      </w:r>
      <w:r w:rsidR="00C1395C" w:rsidRPr="00C1395C">
        <w:rPr>
          <w:rFonts w:asciiTheme="majorHAnsi" w:hAnsiTheme="majorHAnsi" w:cstheme="majorHAnsi"/>
          <w:color w:val="1F4E79" w:themeColor="accent1" w:themeShade="80"/>
        </w:rPr>
        <w:t>cases</w:t>
      </w:r>
      <w:r w:rsidR="00E653DD">
        <w:rPr>
          <w:rFonts w:asciiTheme="majorHAnsi" w:hAnsiTheme="majorHAnsi" w:cstheme="majorHAnsi"/>
          <w:color w:val="1F4E79" w:themeColor="accent1" w:themeShade="80"/>
        </w:rPr>
        <w:t>, including cases</w:t>
      </w:r>
      <w:r w:rsidR="00C1395C" w:rsidRPr="00C1395C">
        <w:rPr>
          <w:rFonts w:asciiTheme="majorHAnsi" w:hAnsiTheme="majorHAnsi" w:cstheme="majorHAnsi"/>
          <w:color w:val="1F4E79" w:themeColor="accent1" w:themeShade="80"/>
        </w:rPr>
        <w:t xml:space="preserve"> related to non-</w:t>
      </w:r>
      <w:proofErr w:type="spellStart"/>
      <w:r w:rsidR="00C1395C" w:rsidRPr="00C1395C">
        <w:rPr>
          <w:rFonts w:asciiTheme="majorHAnsi" w:hAnsiTheme="majorHAnsi" w:cstheme="majorHAnsi"/>
          <w:color w:val="1F4E79" w:themeColor="accent1" w:themeShade="80"/>
        </w:rPr>
        <w:t>refoulement</w:t>
      </w:r>
      <w:proofErr w:type="spellEnd"/>
      <w:r w:rsidR="00C1395C" w:rsidRPr="00C1395C">
        <w:rPr>
          <w:rFonts w:asciiTheme="majorHAnsi" w:hAnsiTheme="majorHAnsi" w:cstheme="majorHAnsi"/>
          <w:color w:val="1F4E79" w:themeColor="accent1" w:themeShade="80"/>
        </w:rPr>
        <w:t xml:space="preserve">, age determination of unaccompanied migrant children and family reunification matters. </w:t>
      </w:r>
    </w:p>
    <w:p w14:paraId="07BECF06" w14:textId="2D40D1C3" w:rsidR="00A2175C" w:rsidRDefault="00A2175C" w:rsidP="00693C76">
      <w:pPr>
        <w:pStyle w:val="ListParagraph"/>
        <w:contextualSpacing w:val="0"/>
        <w:rPr>
          <w:rFonts w:asciiTheme="majorHAnsi" w:hAnsiTheme="majorHAnsi" w:cstheme="majorHAnsi"/>
          <w:color w:val="1F4E79" w:themeColor="accent1" w:themeShade="80"/>
        </w:rPr>
      </w:pPr>
      <w:r>
        <w:rPr>
          <w:rFonts w:asciiTheme="majorHAnsi" w:hAnsiTheme="majorHAnsi" w:cstheme="majorHAnsi"/>
          <w:color w:val="1F4E79" w:themeColor="accent1" w:themeShade="80"/>
        </w:rPr>
        <w:t xml:space="preserve">For ease of reference, </w:t>
      </w:r>
      <w:r w:rsidR="00BB5B72">
        <w:rPr>
          <w:rFonts w:asciiTheme="majorHAnsi" w:hAnsiTheme="majorHAnsi" w:cstheme="majorHAnsi"/>
          <w:color w:val="1F4E79" w:themeColor="accent1" w:themeShade="80"/>
        </w:rPr>
        <w:t>a</w:t>
      </w:r>
      <w:r>
        <w:rPr>
          <w:rFonts w:asciiTheme="majorHAnsi" w:hAnsiTheme="majorHAnsi" w:cstheme="majorHAnsi"/>
          <w:color w:val="1F4E79" w:themeColor="accent1" w:themeShade="80"/>
        </w:rPr>
        <w:t xml:space="preserve"> </w:t>
      </w:r>
      <w:hyperlink r:id="rId11" w:history="1">
        <w:r w:rsidRPr="00A2175C">
          <w:rPr>
            <w:rStyle w:val="Hyperlink"/>
            <w:rFonts w:asciiTheme="majorHAnsi" w:hAnsiTheme="majorHAnsi" w:cstheme="majorHAnsi"/>
            <w:color w:val="023160" w:themeColor="hyperlink" w:themeShade="80"/>
          </w:rPr>
          <w:t>Table of Views adopted by the Committee on the Rights of the Child and Follow-up status</w:t>
        </w:r>
      </w:hyperlink>
      <w:r w:rsidR="00BB5B72">
        <w:rPr>
          <w:rFonts w:asciiTheme="majorHAnsi" w:hAnsiTheme="majorHAnsi" w:cstheme="majorHAnsi"/>
          <w:color w:val="1F4E79" w:themeColor="accent1" w:themeShade="80"/>
        </w:rPr>
        <w:t xml:space="preserve"> is available on the CRC website</w:t>
      </w:r>
      <w:r w:rsidR="00A14B1C">
        <w:rPr>
          <w:rFonts w:asciiTheme="majorHAnsi" w:hAnsiTheme="majorHAnsi" w:cstheme="majorHAnsi"/>
          <w:color w:val="1F4E79" w:themeColor="accent1" w:themeShade="80"/>
        </w:rPr>
        <w:t>, containing summaries of the Committee</w:t>
      </w:r>
      <w:r w:rsidR="00A379B0">
        <w:rPr>
          <w:rFonts w:asciiTheme="majorHAnsi" w:hAnsiTheme="majorHAnsi" w:cstheme="majorHAnsi"/>
          <w:color w:val="1F4E79" w:themeColor="accent1" w:themeShade="80"/>
          <w:lang w:val="en-US"/>
        </w:rPr>
        <w:t>’s merits decisions.</w:t>
      </w:r>
    </w:p>
    <w:p w14:paraId="120E03AA" w14:textId="358AA793" w:rsidR="00BB5B72" w:rsidRDefault="00BB5B72" w:rsidP="00693C76">
      <w:pPr>
        <w:pStyle w:val="ListParagraph"/>
        <w:contextualSpacing w:val="0"/>
        <w:rPr>
          <w:rFonts w:asciiTheme="majorHAnsi" w:hAnsiTheme="majorHAnsi" w:cstheme="majorHAnsi"/>
          <w:color w:val="1F4E79" w:themeColor="accent1" w:themeShade="80"/>
        </w:rPr>
      </w:pPr>
      <w:r>
        <w:rPr>
          <w:rFonts w:asciiTheme="majorHAnsi" w:hAnsiTheme="majorHAnsi" w:cstheme="majorHAnsi"/>
          <w:color w:val="1F4E79" w:themeColor="accent1" w:themeShade="80"/>
        </w:rPr>
        <w:t xml:space="preserve">Also, </w:t>
      </w:r>
      <w:r w:rsidRPr="00693C76">
        <w:rPr>
          <w:rFonts w:asciiTheme="majorHAnsi" w:hAnsiTheme="majorHAnsi" w:cstheme="majorHAnsi"/>
          <w:color w:val="2E74B5" w:themeColor="accent1" w:themeShade="BF"/>
        </w:rPr>
        <w:t xml:space="preserve">a </w:t>
      </w:r>
      <w:hyperlink r:id="rId12" w:history="1">
        <w:r w:rsidRPr="00693C76">
          <w:rPr>
            <w:rStyle w:val="Hyperlink"/>
            <w:rFonts w:asciiTheme="majorHAnsi" w:hAnsiTheme="majorHAnsi" w:cstheme="majorHAnsi"/>
            <w:color w:val="1F4E79" w:themeColor="accent1" w:themeShade="80"/>
          </w:rPr>
          <w:t xml:space="preserve">full list of </w:t>
        </w:r>
        <w:r w:rsidR="00A379B0" w:rsidRPr="00693C76">
          <w:rPr>
            <w:rStyle w:val="Hyperlink"/>
            <w:rFonts w:asciiTheme="majorHAnsi" w:hAnsiTheme="majorHAnsi" w:cstheme="majorHAnsi"/>
            <w:color w:val="1F4E79" w:themeColor="accent1" w:themeShade="80"/>
          </w:rPr>
          <w:t xml:space="preserve">all </w:t>
        </w:r>
        <w:r w:rsidRPr="00693C76">
          <w:rPr>
            <w:rStyle w:val="Hyperlink"/>
            <w:rFonts w:asciiTheme="majorHAnsi" w:hAnsiTheme="majorHAnsi" w:cstheme="majorHAnsi"/>
            <w:color w:val="1F4E79" w:themeColor="accent1" w:themeShade="80"/>
          </w:rPr>
          <w:t>decisions</w:t>
        </w:r>
        <w:r w:rsidR="00A379B0" w:rsidRPr="00693C76">
          <w:rPr>
            <w:rStyle w:val="Hyperlink"/>
            <w:rFonts w:asciiTheme="majorHAnsi" w:hAnsiTheme="majorHAnsi" w:cstheme="majorHAnsi"/>
            <w:color w:val="1F4E79" w:themeColor="accent1" w:themeShade="80"/>
          </w:rPr>
          <w:t xml:space="preserve"> adopted by the Committee</w:t>
        </w:r>
      </w:hyperlink>
      <w:r w:rsidRPr="00693C76">
        <w:rPr>
          <w:rFonts w:asciiTheme="majorHAnsi" w:hAnsiTheme="majorHAnsi" w:cstheme="majorHAnsi"/>
          <w:color w:val="1F4E79" w:themeColor="accent1" w:themeShade="80"/>
        </w:rPr>
        <w:t xml:space="preserve"> </w:t>
      </w:r>
      <w:r>
        <w:rPr>
          <w:rFonts w:asciiTheme="majorHAnsi" w:hAnsiTheme="majorHAnsi" w:cstheme="majorHAnsi"/>
          <w:color w:val="1F4E79" w:themeColor="accent1" w:themeShade="80"/>
        </w:rPr>
        <w:t>(including inadmissibil</w:t>
      </w:r>
      <w:r w:rsidR="006C3539">
        <w:rPr>
          <w:rFonts w:asciiTheme="majorHAnsi" w:hAnsiTheme="majorHAnsi" w:cstheme="majorHAnsi"/>
          <w:color w:val="1F4E79" w:themeColor="accent1" w:themeShade="80"/>
        </w:rPr>
        <w:t>ity and discontinuance decisions</w:t>
      </w:r>
      <w:r w:rsidR="005562B5">
        <w:rPr>
          <w:rFonts w:asciiTheme="majorHAnsi" w:hAnsiTheme="majorHAnsi" w:cstheme="majorHAnsi"/>
          <w:color w:val="1F4E79" w:themeColor="accent1" w:themeShade="80"/>
        </w:rPr>
        <w:t>) is available</w:t>
      </w:r>
      <w:r w:rsidR="00CF2793">
        <w:rPr>
          <w:rFonts w:asciiTheme="majorHAnsi" w:hAnsiTheme="majorHAnsi" w:cstheme="majorHAnsi"/>
          <w:color w:val="1F4E79" w:themeColor="accent1" w:themeShade="80"/>
        </w:rPr>
        <w:t xml:space="preserve"> on the Committee’s website</w:t>
      </w:r>
      <w:r w:rsidR="00A379B0">
        <w:rPr>
          <w:rFonts w:asciiTheme="majorHAnsi" w:hAnsiTheme="majorHAnsi" w:cstheme="majorHAnsi"/>
          <w:color w:val="1F4E79" w:themeColor="accent1" w:themeShade="80"/>
        </w:rPr>
        <w:t>.</w:t>
      </w:r>
    </w:p>
    <w:p w14:paraId="489B19C3" w14:textId="6A95DBF8" w:rsidR="00154049" w:rsidRDefault="00293F7E" w:rsidP="00FF7078">
      <w:pPr>
        <w:pStyle w:val="ListParagraph"/>
        <w:keepNext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</w:pPr>
      <w:r w:rsidRPr="00293F7E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lastRenderedPageBreak/>
        <w:t>Procedural d</w:t>
      </w:r>
      <w:r w:rsidR="00667D33" w:rsidRPr="00293F7E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 xml:space="preserve">evelopments </w:t>
      </w:r>
    </w:p>
    <w:p w14:paraId="606623E2" w14:textId="245243E3" w:rsidR="00667D33" w:rsidRDefault="00667D33" w:rsidP="00FF7078">
      <w:pPr>
        <w:pStyle w:val="ListParagraph"/>
        <w:keepNext/>
        <w:numPr>
          <w:ilvl w:val="1"/>
          <w:numId w:val="2"/>
        </w:numPr>
        <w:spacing w:after="80" w:line="240" w:lineRule="auto"/>
        <w:ind w:left="1434" w:hanging="357"/>
        <w:contextualSpacing w:val="0"/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Updated working methods under the OPIC</w:t>
      </w:r>
    </w:p>
    <w:p w14:paraId="632A9E25" w14:textId="43F12462" w:rsidR="00667D33" w:rsidRPr="00693C76" w:rsidRDefault="00BB7EBA" w:rsidP="00324ECE">
      <w:pPr>
        <w:pStyle w:val="ListParagraph"/>
        <w:ind w:left="1440"/>
        <w:contextualSpacing w:val="0"/>
        <w:rPr>
          <w:rFonts w:asciiTheme="majorHAnsi" w:hAnsiTheme="majorHAnsi" w:cstheme="majorHAnsi"/>
          <w:color w:val="1F4E79" w:themeColor="accent1" w:themeShade="80"/>
        </w:rPr>
      </w:pPr>
      <w:r w:rsidRPr="00693C76">
        <w:rPr>
          <w:rFonts w:asciiTheme="majorHAnsi" w:hAnsiTheme="majorHAnsi" w:cstheme="majorHAnsi"/>
          <w:color w:val="1F4E79" w:themeColor="accent1" w:themeShade="80"/>
        </w:rPr>
        <w:t xml:space="preserve">The Committee adopted its </w:t>
      </w:r>
      <w:hyperlink r:id="rId13" w:history="1">
        <w:r w:rsidR="008E1ABB" w:rsidRPr="00693C76">
          <w:rPr>
            <w:rStyle w:val="Hyperlink"/>
            <w:rFonts w:asciiTheme="majorHAnsi" w:hAnsiTheme="majorHAnsi" w:cstheme="majorHAnsi"/>
            <w:color w:val="1F4E79" w:themeColor="accent1" w:themeShade="80"/>
          </w:rPr>
          <w:t>W</w:t>
        </w:r>
        <w:r w:rsidRPr="00693C76">
          <w:rPr>
            <w:rStyle w:val="Hyperlink"/>
            <w:color w:val="1F4E79" w:themeColor="accent1" w:themeShade="80"/>
          </w:rPr>
          <w:t>orking methods to deal with communications received under the OPIC-CRC</w:t>
        </w:r>
      </w:hyperlink>
      <w:r w:rsidRPr="00693C76">
        <w:rPr>
          <w:rFonts w:asciiTheme="majorHAnsi" w:hAnsiTheme="majorHAnsi" w:cstheme="majorHAnsi"/>
          <w:color w:val="1F4E79" w:themeColor="accent1" w:themeShade="80"/>
        </w:rPr>
        <w:t xml:space="preserve"> in October 2015, and reviewed them in June 2017.</w:t>
      </w:r>
      <w:r w:rsidR="00393357">
        <w:rPr>
          <w:rFonts w:asciiTheme="majorHAnsi" w:hAnsiTheme="majorHAnsi" w:cstheme="majorHAnsi"/>
          <w:color w:val="1F4E79" w:themeColor="accent1" w:themeShade="80"/>
        </w:rPr>
        <w:t xml:space="preserve"> The third revision is expected to be adopted in October 2020.</w:t>
      </w:r>
    </w:p>
    <w:p w14:paraId="0C9761BE" w14:textId="5D084A66" w:rsidR="008E1ABB" w:rsidRPr="00693C76" w:rsidRDefault="008E1ABB" w:rsidP="00324ECE">
      <w:pPr>
        <w:pStyle w:val="ListParagraph"/>
        <w:numPr>
          <w:ilvl w:val="1"/>
          <w:numId w:val="2"/>
        </w:numPr>
        <w:spacing w:after="80"/>
        <w:ind w:left="1434" w:hanging="357"/>
        <w:contextualSpacing w:val="0"/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</w:pPr>
      <w:r w:rsidRPr="00693C76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Table of pending cases</w:t>
      </w:r>
    </w:p>
    <w:p w14:paraId="4B3E4E4C" w14:textId="035205B7" w:rsidR="009B3B50" w:rsidRPr="00693C76" w:rsidRDefault="006E6374" w:rsidP="00324ECE">
      <w:pPr>
        <w:pStyle w:val="ListParagraph"/>
        <w:ind w:left="1440"/>
        <w:contextualSpacing w:val="0"/>
        <w:rPr>
          <w:rFonts w:asciiTheme="majorHAnsi" w:hAnsiTheme="majorHAnsi" w:cstheme="majorHAnsi"/>
          <w:color w:val="1F4E79" w:themeColor="accent1" w:themeShade="80"/>
        </w:rPr>
      </w:pPr>
      <w:r w:rsidRPr="00693C76">
        <w:rPr>
          <w:rFonts w:asciiTheme="majorHAnsi" w:hAnsiTheme="majorHAnsi" w:cstheme="majorHAnsi"/>
          <w:color w:val="1F4E79" w:themeColor="accent1" w:themeShade="80"/>
        </w:rPr>
        <w:t>The Committee decided to publish a</w:t>
      </w:r>
      <w:r w:rsidR="009B3B50" w:rsidRPr="00693C76">
        <w:rPr>
          <w:rFonts w:asciiTheme="majorHAnsi" w:hAnsiTheme="majorHAnsi" w:cstheme="majorHAnsi"/>
          <w:color w:val="1F4E79" w:themeColor="accent1" w:themeShade="80"/>
        </w:rPr>
        <w:t xml:space="preserve"> </w:t>
      </w:r>
      <w:hyperlink r:id="rId14" w:history="1">
        <w:r w:rsidRPr="00FF7078">
          <w:rPr>
            <w:rStyle w:val="Hyperlink"/>
            <w:rFonts w:asciiTheme="majorHAnsi" w:hAnsiTheme="majorHAnsi" w:cstheme="majorHAnsi"/>
          </w:rPr>
          <w:t>T</w:t>
        </w:r>
        <w:r w:rsidR="009B3B50" w:rsidRPr="00FF7078">
          <w:rPr>
            <w:rStyle w:val="Hyperlink"/>
            <w:rFonts w:asciiTheme="majorHAnsi" w:hAnsiTheme="majorHAnsi" w:cstheme="majorHAnsi"/>
          </w:rPr>
          <w:t>able of all cases that are pending to be examine</w:t>
        </w:r>
        <w:r w:rsidRPr="00FF7078">
          <w:rPr>
            <w:rStyle w:val="Hyperlink"/>
            <w:rFonts w:asciiTheme="majorHAnsi" w:hAnsiTheme="majorHAnsi" w:cstheme="majorHAnsi"/>
          </w:rPr>
          <w:t>d</w:t>
        </w:r>
      </w:hyperlink>
      <w:r w:rsidRPr="00693C76">
        <w:rPr>
          <w:rFonts w:asciiTheme="majorHAnsi" w:hAnsiTheme="majorHAnsi" w:cstheme="majorHAnsi"/>
          <w:color w:val="1F4E79" w:themeColor="accent1" w:themeShade="80"/>
        </w:rPr>
        <w:t xml:space="preserve">. This table is regularly updated </w:t>
      </w:r>
      <w:r w:rsidR="009B3B50" w:rsidRPr="00693C76">
        <w:rPr>
          <w:rFonts w:asciiTheme="majorHAnsi" w:hAnsiTheme="majorHAnsi" w:cstheme="majorHAnsi"/>
          <w:color w:val="1F4E79" w:themeColor="accent1" w:themeShade="80"/>
        </w:rPr>
        <w:t>on the Committee’s website.</w:t>
      </w:r>
    </w:p>
    <w:p w14:paraId="6F411D1A" w14:textId="77777777" w:rsidR="008E4A1A" w:rsidRPr="009F6EDA" w:rsidRDefault="008E4A1A" w:rsidP="00324ECE">
      <w:pPr>
        <w:pStyle w:val="ListParagraph"/>
        <w:numPr>
          <w:ilvl w:val="1"/>
          <w:numId w:val="2"/>
        </w:numPr>
        <w:spacing w:after="80"/>
        <w:ind w:left="1434" w:hanging="357"/>
        <w:contextualSpacing w:val="0"/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</w:pPr>
      <w:r w:rsidRPr="009F6EDA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lang w:val="en-US"/>
        </w:rPr>
        <w:t xml:space="preserve">Guidelines for Interim Measures </w:t>
      </w:r>
    </w:p>
    <w:p w14:paraId="30064F1B" w14:textId="77777777" w:rsidR="008E4A1A" w:rsidRPr="009F6EDA" w:rsidRDefault="008E4A1A" w:rsidP="00324ECE">
      <w:pPr>
        <w:ind w:left="1440"/>
        <w:jc w:val="both"/>
        <w:rPr>
          <w:rFonts w:asciiTheme="majorHAnsi" w:hAnsiTheme="majorHAnsi" w:cstheme="majorHAnsi"/>
          <w:color w:val="1F4E79" w:themeColor="accent1" w:themeShade="80"/>
          <w:lang w:val="en-US"/>
        </w:rPr>
      </w:pPr>
      <w:r w:rsidRPr="009F6EDA">
        <w:rPr>
          <w:rFonts w:asciiTheme="majorHAnsi" w:hAnsiTheme="majorHAnsi" w:cstheme="majorHAnsi"/>
          <w:color w:val="1F4E79" w:themeColor="accent1" w:themeShade="80"/>
        </w:rPr>
        <w:t>At its 80</w:t>
      </w:r>
      <w:r w:rsidRPr="009F6EDA">
        <w:rPr>
          <w:rFonts w:asciiTheme="majorHAnsi" w:hAnsiTheme="majorHAnsi" w:cstheme="majorHAnsi"/>
          <w:color w:val="1F4E79" w:themeColor="accent1" w:themeShade="80"/>
          <w:vertAlign w:val="superscript"/>
        </w:rPr>
        <w:t>th</w:t>
      </w:r>
      <w:r w:rsidRPr="009F6EDA">
        <w:rPr>
          <w:rFonts w:asciiTheme="majorHAnsi" w:hAnsiTheme="majorHAnsi" w:cstheme="majorHAnsi"/>
          <w:color w:val="1F4E79" w:themeColor="accent1" w:themeShade="80"/>
        </w:rPr>
        <w:t xml:space="preserve"> session, the Committee adopted its </w:t>
      </w:r>
      <w:hyperlink r:id="rId15" w:history="1">
        <w:r w:rsidRPr="009F6EDA">
          <w:rPr>
            <w:rStyle w:val="Hyperlink"/>
            <w:rFonts w:asciiTheme="majorHAnsi" w:hAnsiTheme="majorHAnsi" w:cstheme="majorHAnsi"/>
            <w:color w:val="023160" w:themeColor="hyperlink" w:themeShade="80"/>
          </w:rPr>
          <w:t xml:space="preserve">Guidelines </w:t>
        </w:r>
        <w:r w:rsidRPr="009F6EDA">
          <w:rPr>
            <w:rStyle w:val="Hyperlink"/>
            <w:rFonts w:asciiTheme="majorHAnsi" w:hAnsiTheme="majorHAnsi" w:cstheme="majorHAnsi"/>
            <w:color w:val="023160" w:themeColor="hyperlink" w:themeShade="80"/>
            <w:lang w:val="en-US"/>
          </w:rPr>
          <w:t>for Interim Measures under the Optional Protocol to the Convention on the Rights of the Child on a communications procedure</w:t>
        </w:r>
      </w:hyperlink>
      <w:r w:rsidRPr="009F6EDA">
        <w:rPr>
          <w:rFonts w:asciiTheme="majorHAnsi" w:hAnsiTheme="majorHAnsi" w:cstheme="majorHAnsi"/>
          <w:color w:val="1F4E79" w:themeColor="accent1" w:themeShade="80"/>
          <w:lang w:val="en-US"/>
        </w:rPr>
        <w:t>.</w:t>
      </w:r>
    </w:p>
    <w:p w14:paraId="30C26A8A" w14:textId="0B8BC87F" w:rsidR="00B26563" w:rsidRPr="000015F7" w:rsidRDefault="00F869BC" w:rsidP="00121FEA">
      <w:pPr>
        <w:pStyle w:val="ListParagraph"/>
        <w:keepNext/>
        <w:numPr>
          <w:ilvl w:val="1"/>
          <w:numId w:val="2"/>
        </w:numPr>
        <w:spacing w:after="80"/>
        <w:ind w:left="1434" w:hanging="357"/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</w:pPr>
      <w:r w:rsidRPr="000015F7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Reasoned d</w:t>
      </w:r>
      <w:r w:rsidR="00F203BD" w:rsidRPr="000015F7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iscontinuance decisions</w:t>
      </w:r>
    </w:p>
    <w:p w14:paraId="4832D219" w14:textId="2244F9FD" w:rsidR="00F203BD" w:rsidRPr="00CA3D5E" w:rsidRDefault="000015F7" w:rsidP="00121FEA">
      <w:pPr>
        <w:keepNext/>
        <w:ind w:left="1440"/>
        <w:jc w:val="both"/>
        <w:rPr>
          <w:rFonts w:asciiTheme="majorHAnsi" w:hAnsiTheme="majorHAnsi" w:cstheme="majorHAnsi"/>
          <w:color w:val="1F4E79" w:themeColor="accent1" w:themeShade="80"/>
        </w:rPr>
      </w:pPr>
      <w:r w:rsidRPr="000015F7">
        <w:rPr>
          <w:rFonts w:asciiTheme="majorHAnsi" w:hAnsiTheme="majorHAnsi" w:cstheme="majorHAnsi"/>
          <w:color w:val="1F4E79" w:themeColor="accent1" w:themeShade="80"/>
        </w:rPr>
        <w:t xml:space="preserve">Since its </w:t>
      </w:r>
      <w:r w:rsidR="00D40262">
        <w:rPr>
          <w:rFonts w:asciiTheme="majorHAnsi" w:hAnsiTheme="majorHAnsi" w:cstheme="majorHAnsi"/>
          <w:color w:val="1F4E79" w:themeColor="accent1" w:themeShade="80"/>
        </w:rPr>
        <w:t>81</w:t>
      </w:r>
      <w:r w:rsidR="00D40262" w:rsidRPr="00324ECE">
        <w:rPr>
          <w:rFonts w:asciiTheme="majorHAnsi" w:hAnsiTheme="majorHAnsi" w:cstheme="majorHAnsi"/>
          <w:color w:val="1F4E79" w:themeColor="accent1" w:themeShade="80"/>
          <w:vertAlign w:val="superscript"/>
        </w:rPr>
        <w:t>st</w:t>
      </w:r>
      <w:r w:rsidR="00D40262">
        <w:rPr>
          <w:rFonts w:asciiTheme="majorHAnsi" w:hAnsiTheme="majorHAnsi" w:cstheme="majorHAnsi"/>
          <w:color w:val="1F4E79" w:themeColor="accent1" w:themeShade="80"/>
        </w:rPr>
        <w:t xml:space="preserve"> </w:t>
      </w:r>
      <w:r w:rsidRPr="000015F7">
        <w:rPr>
          <w:rFonts w:asciiTheme="majorHAnsi" w:hAnsiTheme="majorHAnsi" w:cstheme="majorHAnsi"/>
          <w:color w:val="1F4E79" w:themeColor="accent1" w:themeShade="80"/>
        </w:rPr>
        <w:t>session, the Committee decided to motivate its discontinuance decisions.</w:t>
      </w:r>
      <w:r>
        <w:rPr>
          <w:rFonts w:asciiTheme="majorHAnsi" w:hAnsiTheme="majorHAnsi" w:cstheme="majorHAnsi"/>
          <w:color w:val="1F4E79" w:themeColor="accent1" w:themeShade="80"/>
        </w:rPr>
        <w:t xml:space="preserve"> </w:t>
      </w:r>
      <w:r w:rsidR="00CA3D5E">
        <w:rPr>
          <w:rFonts w:asciiTheme="majorHAnsi" w:hAnsiTheme="majorHAnsi" w:cstheme="majorHAnsi"/>
          <w:color w:val="1F4E79" w:themeColor="accent1" w:themeShade="80"/>
        </w:rPr>
        <w:t xml:space="preserve">During this session, the Committee adopted its </w:t>
      </w:r>
      <w:r w:rsidR="00A14B1C">
        <w:rPr>
          <w:rFonts w:asciiTheme="majorHAnsi" w:hAnsiTheme="majorHAnsi" w:cstheme="majorHAnsi"/>
          <w:color w:val="1F4E79" w:themeColor="accent1" w:themeShade="80"/>
        </w:rPr>
        <w:t>two</w:t>
      </w:r>
      <w:r w:rsidR="00CA3D5E">
        <w:rPr>
          <w:rFonts w:asciiTheme="majorHAnsi" w:hAnsiTheme="majorHAnsi" w:cstheme="majorHAnsi"/>
          <w:color w:val="1F4E79" w:themeColor="accent1" w:themeShade="80"/>
        </w:rPr>
        <w:t xml:space="preserve"> first motivated discontinuance decisions for cases Nos. 47 and 61.</w:t>
      </w:r>
    </w:p>
    <w:p w14:paraId="049EEF8F" w14:textId="64A2D397" w:rsidR="00F203BD" w:rsidRPr="009D367F" w:rsidRDefault="00074615" w:rsidP="00324ECE">
      <w:pPr>
        <w:pStyle w:val="ListParagraph"/>
        <w:numPr>
          <w:ilvl w:val="1"/>
          <w:numId w:val="2"/>
        </w:numPr>
        <w:spacing w:after="80"/>
        <w:ind w:left="1434" w:hanging="357"/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 xml:space="preserve">First </w:t>
      </w:r>
      <w:r w:rsidRPr="000E4D8C">
        <w:rPr>
          <w:rFonts w:asciiTheme="majorHAnsi" w:hAnsiTheme="majorHAnsi" w:cstheme="majorHAnsi"/>
          <w:b/>
          <w:color w:val="2F5496" w:themeColor="accent5" w:themeShade="BF"/>
          <w:sz w:val="24"/>
          <w:szCs w:val="24"/>
        </w:rPr>
        <w:t>f</w:t>
      </w:r>
      <w:r w:rsidR="00F8702A" w:rsidRPr="000E4D8C">
        <w:rPr>
          <w:rFonts w:asciiTheme="majorHAnsi" w:hAnsiTheme="majorHAnsi" w:cstheme="majorHAnsi"/>
          <w:b/>
          <w:color w:val="2F5496" w:themeColor="accent5" w:themeShade="BF"/>
          <w:sz w:val="24"/>
          <w:szCs w:val="24"/>
        </w:rPr>
        <w:t>ollow</w:t>
      </w:r>
      <w:r w:rsidR="00F8702A" w:rsidRPr="009D367F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 xml:space="preserve">-up report </w:t>
      </w:r>
      <w:r w:rsidR="00A14EA7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on individual communications</w:t>
      </w:r>
    </w:p>
    <w:p w14:paraId="05514F92" w14:textId="1B1F101D" w:rsidR="00393357" w:rsidRDefault="00F8702A" w:rsidP="00393357">
      <w:pPr>
        <w:ind w:left="1440"/>
        <w:jc w:val="both"/>
      </w:pPr>
      <w:r w:rsidRPr="009D367F">
        <w:rPr>
          <w:rFonts w:asciiTheme="majorHAnsi" w:hAnsiTheme="majorHAnsi" w:cstheme="majorHAnsi"/>
          <w:color w:val="1F4E79" w:themeColor="accent1" w:themeShade="80"/>
        </w:rPr>
        <w:t xml:space="preserve">At </w:t>
      </w:r>
      <w:r w:rsidR="00AE6D83">
        <w:rPr>
          <w:rFonts w:asciiTheme="majorHAnsi" w:hAnsiTheme="majorHAnsi" w:cstheme="majorHAnsi"/>
          <w:color w:val="1F4E79" w:themeColor="accent1" w:themeShade="80"/>
        </w:rPr>
        <w:t>its</w:t>
      </w:r>
      <w:r w:rsidRPr="009D367F">
        <w:rPr>
          <w:rFonts w:asciiTheme="majorHAnsi" w:hAnsiTheme="majorHAnsi" w:cstheme="majorHAnsi"/>
          <w:color w:val="1F4E79" w:themeColor="accent1" w:themeShade="80"/>
        </w:rPr>
        <w:t xml:space="preserve"> 82</w:t>
      </w:r>
      <w:r w:rsidRPr="009D367F">
        <w:rPr>
          <w:rFonts w:asciiTheme="majorHAnsi" w:hAnsiTheme="majorHAnsi" w:cstheme="majorHAnsi"/>
          <w:color w:val="1F4E79" w:themeColor="accent1" w:themeShade="80"/>
          <w:vertAlign w:val="superscript"/>
        </w:rPr>
        <w:t>nd</w:t>
      </w:r>
      <w:r w:rsidRPr="009D367F">
        <w:rPr>
          <w:rFonts w:asciiTheme="majorHAnsi" w:hAnsiTheme="majorHAnsi" w:cstheme="majorHAnsi"/>
          <w:color w:val="1F4E79" w:themeColor="accent1" w:themeShade="80"/>
        </w:rPr>
        <w:t xml:space="preserve"> session, the Committee </w:t>
      </w:r>
      <w:r w:rsidR="00E60976">
        <w:rPr>
          <w:rFonts w:asciiTheme="majorHAnsi" w:hAnsiTheme="majorHAnsi" w:cstheme="majorHAnsi"/>
          <w:color w:val="1F4E79" w:themeColor="accent1" w:themeShade="80"/>
        </w:rPr>
        <w:t>adopted</w:t>
      </w:r>
      <w:r w:rsidRPr="009D367F">
        <w:rPr>
          <w:rFonts w:asciiTheme="majorHAnsi" w:hAnsiTheme="majorHAnsi" w:cstheme="majorHAnsi"/>
          <w:color w:val="1F4E79" w:themeColor="accent1" w:themeShade="80"/>
        </w:rPr>
        <w:t xml:space="preserve"> its first Report on Follow-up to Views. So far, </w:t>
      </w:r>
      <w:r w:rsidR="007E146D">
        <w:rPr>
          <w:rFonts w:asciiTheme="majorHAnsi" w:hAnsiTheme="majorHAnsi" w:cstheme="majorHAnsi"/>
          <w:color w:val="1F4E79" w:themeColor="accent1" w:themeShade="80"/>
        </w:rPr>
        <w:t xml:space="preserve">the report contains </w:t>
      </w:r>
      <w:r w:rsidRPr="009D367F">
        <w:rPr>
          <w:rFonts w:asciiTheme="majorHAnsi" w:hAnsiTheme="majorHAnsi" w:cstheme="majorHAnsi"/>
          <w:color w:val="1F4E79" w:themeColor="accent1" w:themeShade="80"/>
        </w:rPr>
        <w:t xml:space="preserve">follow-up </w:t>
      </w:r>
      <w:r w:rsidR="007E146D">
        <w:rPr>
          <w:rFonts w:asciiTheme="majorHAnsi" w:hAnsiTheme="majorHAnsi" w:cstheme="majorHAnsi"/>
          <w:color w:val="1F4E79" w:themeColor="accent1" w:themeShade="80"/>
        </w:rPr>
        <w:t>information o</w:t>
      </w:r>
      <w:r w:rsidRPr="009D367F">
        <w:rPr>
          <w:rFonts w:asciiTheme="majorHAnsi" w:hAnsiTheme="majorHAnsi" w:cstheme="majorHAnsi"/>
          <w:color w:val="1F4E79" w:themeColor="accent1" w:themeShade="80"/>
        </w:rPr>
        <w:t>n three cases: Nos. 3 (against Denmark), 11 (against Spain) and 12 (against Belgium).</w:t>
      </w:r>
      <w:r w:rsidR="00074615" w:rsidRPr="00393357">
        <w:rPr>
          <w:rFonts w:asciiTheme="majorHAnsi" w:hAnsiTheme="majorHAnsi" w:cstheme="majorHAnsi"/>
          <w:color w:val="1F4E79" w:themeColor="accent1" w:themeShade="80"/>
        </w:rPr>
        <w:t xml:space="preserve"> </w:t>
      </w:r>
      <w:r w:rsidR="00393357" w:rsidRPr="00393357">
        <w:rPr>
          <w:rFonts w:asciiTheme="majorHAnsi" w:hAnsiTheme="majorHAnsi" w:cstheme="majorHAnsi"/>
          <w:color w:val="1F4E79" w:themeColor="accent1" w:themeShade="80"/>
        </w:rPr>
        <w:t>A second Report is expected to be adopted in October 2020.</w:t>
      </w:r>
    </w:p>
    <w:p w14:paraId="08AC534C" w14:textId="2E4AC416" w:rsidR="003D0686" w:rsidRPr="00374F63" w:rsidRDefault="000E4D8C" w:rsidP="00393357">
      <w:pPr>
        <w:pStyle w:val="ListParagraph"/>
        <w:numPr>
          <w:ilvl w:val="1"/>
          <w:numId w:val="2"/>
        </w:numPr>
        <w:spacing w:after="80"/>
        <w:ind w:left="1434" w:hanging="357"/>
        <w:rPr>
          <w:rFonts w:asciiTheme="majorHAnsi" w:hAnsiTheme="majorHAnsi" w:cstheme="majorHAnsi"/>
          <w:b/>
          <w:color w:val="2F5496" w:themeColor="accent5" w:themeShade="BF"/>
          <w:sz w:val="24"/>
          <w:szCs w:val="24"/>
        </w:rPr>
      </w:pPr>
      <w:r w:rsidRPr="00374F63">
        <w:rPr>
          <w:rFonts w:asciiTheme="majorHAnsi" w:hAnsiTheme="majorHAnsi" w:cstheme="majorHAnsi"/>
          <w:b/>
          <w:color w:val="2F5496" w:themeColor="accent5" w:themeShade="BF"/>
          <w:sz w:val="24"/>
          <w:szCs w:val="24"/>
        </w:rPr>
        <w:t>Recent events</w:t>
      </w:r>
    </w:p>
    <w:p w14:paraId="2FE84535" w14:textId="488AF22E" w:rsidR="000E4D8C" w:rsidRPr="00393357" w:rsidRDefault="002D0A29" w:rsidP="004D0C35">
      <w:pPr>
        <w:pStyle w:val="ListParagraph"/>
        <w:spacing w:before="120" w:after="80"/>
        <w:ind w:left="1434"/>
        <w:contextualSpacing w:val="0"/>
        <w:jc w:val="both"/>
        <w:rPr>
          <w:rFonts w:asciiTheme="majorHAnsi" w:hAnsiTheme="majorHAnsi" w:cstheme="majorHAnsi"/>
          <w:color w:val="1F4E79" w:themeColor="accent1" w:themeShade="80"/>
        </w:rPr>
      </w:pPr>
      <w:r w:rsidRPr="00393357">
        <w:rPr>
          <w:rFonts w:asciiTheme="majorHAnsi" w:hAnsiTheme="majorHAnsi" w:cstheme="majorHAnsi"/>
          <w:color w:val="1F4E79" w:themeColor="accent1" w:themeShade="80"/>
        </w:rPr>
        <w:t>On 30 April 201</w:t>
      </w:r>
      <w:r w:rsidR="00374F63" w:rsidRPr="00393357">
        <w:rPr>
          <w:rFonts w:asciiTheme="majorHAnsi" w:hAnsiTheme="majorHAnsi" w:cstheme="majorHAnsi"/>
          <w:color w:val="1F4E79" w:themeColor="accent1" w:themeShade="80"/>
        </w:rPr>
        <w:t xml:space="preserve">9, CRC co-organized a Roundtable discussion to </w:t>
      </w:r>
      <w:r w:rsidR="00863336" w:rsidRPr="00393357">
        <w:rPr>
          <w:rFonts w:asciiTheme="majorHAnsi" w:hAnsiTheme="majorHAnsi" w:cstheme="majorHAnsi"/>
          <w:color w:val="1F4E79" w:themeColor="accent1" w:themeShade="80"/>
        </w:rPr>
        <w:t>share experiences regarding the ratification and implementation o</w:t>
      </w:r>
      <w:r w:rsidR="00374F63" w:rsidRPr="00393357">
        <w:rPr>
          <w:rFonts w:asciiTheme="majorHAnsi" w:hAnsiTheme="majorHAnsi" w:cstheme="majorHAnsi"/>
          <w:color w:val="1F4E79" w:themeColor="accent1" w:themeShade="80"/>
        </w:rPr>
        <w:t xml:space="preserve">f the OPIC-CRC and, on 6 June 2019, it co-organized an Informal meeting with Members States to promote a better understanding of the OPIC. </w:t>
      </w:r>
    </w:p>
    <w:sectPr w:rsidR="000E4D8C" w:rsidRPr="0039335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18F1" w14:textId="77777777" w:rsidR="00E53E72" w:rsidRDefault="00E53E72" w:rsidP="00786D09">
      <w:pPr>
        <w:spacing w:after="0" w:line="240" w:lineRule="auto"/>
      </w:pPr>
      <w:r>
        <w:separator/>
      </w:r>
    </w:p>
  </w:endnote>
  <w:endnote w:type="continuationSeparator" w:id="0">
    <w:p w14:paraId="4FA8112A" w14:textId="77777777" w:rsidR="00E53E72" w:rsidRDefault="00E53E72" w:rsidP="0078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518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C73B6" w14:textId="609324D9" w:rsidR="00786D09" w:rsidRDefault="00786D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3FFDF5" w14:textId="77777777" w:rsidR="00786D09" w:rsidRDefault="00786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B761" w14:textId="77777777" w:rsidR="00E53E72" w:rsidRDefault="00E53E72" w:rsidP="00786D09">
      <w:pPr>
        <w:spacing w:after="0" w:line="240" w:lineRule="auto"/>
      </w:pPr>
      <w:r>
        <w:separator/>
      </w:r>
    </w:p>
  </w:footnote>
  <w:footnote w:type="continuationSeparator" w:id="0">
    <w:p w14:paraId="7DBE73E3" w14:textId="77777777" w:rsidR="00E53E72" w:rsidRDefault="00E53E72" w:rsidP="0078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6A86" w14:textId="70CB9EAD" w:rsidR="000E1F0A" w:rsidRPr="00693C76" w:rsidRDefault="000E1F0A" w:rsidP="000E1F0A">
    <w:pPr>
      <w:pStyle w:val="Header"/>
      <w:jc w:val="right"/>
      <w:rPr>
        <w:color w:val="1F4E79" w:themeColor="accent1" w:themeShade="80"/>
        <w:sz w:val="18"/>
        <w:szCs w:val="18"/>
      </w:rPr>
    </w:pPr>
    <w:r w:rsidRPr="00693C76">
      <w:rPr>
        <w:color w:val="1F4E79" w:themeColor="accent1" w:themeShade="80"/>
        <w:sz w:val="18"/>
        <w:szCs w:val="18"/>
      </w:rPr>
      <w:t xml:space="preserve">Last updated: </w:t>
    </w:r>
    <w:r w:rsidR="00D74949">
      <w:rPr>
        <w:color w:val="1F4E79" w:themeColor="accent1" w:themeShade="80"/>
        <w:sz w:val="18"/>
        <w:szCs w:val="18"/>
      </w:rPr>
      <w:t>April 2020</w:t>
    </w:r>
  </w:p>
  <w:p w14:paraId="766AD9A8" w14:textId="77777777" w:rsidR="000E1F0A" w:rsidRDefault="000E1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866"/>
    <w:multiLevelType w:val="hybridMultilevel"/>
    <w:tmpl w:val="DA021656"/>
    <w:lvl w:ilvl="0" w:tplc="D48C8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B0FC9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8ACF5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29E4"/>
    <w:multiLevelType w:val="hybridMultilevel"/>
    <w:tmpl w:val="A67A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0570"/>
    <w:multiLevelType w:val="hybridMultilevel"/>
    <w:tmpl w:val="AB8ED25A"/>
    <w:lvl w:ilvl="0" w:tplc="B136026A">
      <w:start w:val="1"/>
      <w:numFmt w:val="upperLetter"/>
      <w:lvlText w:val="%1."/>
      <w:lvlJc w:val="left"/>
      <w:pPr>
        <w:ind w:left="720" w:hanging="360"/>
      </w:pPr>
      <w:rPr>
        <w:b/>
        <w:color w:val="1F4E79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3E"/>
    <w:rsid w:val="000015F7"/>
    <w:rsid w:val="000335C9"/>
    <w:rsid w:val="00074615"/>
    <w:rsid w:val="00084A7E"/>
    <w:rsid w:val="000B2ED9"/>
    <w:rsid w:val="000D3765"/>
    <w:rsid w:val="000E1F0A"/>
    <w:rsid w:val="000E4D8C"/>
    <w:rsid w:val="00121FEA"/>
    <w:rsid w:val="00125A50"/>
    <w:rsid w:val="001339F7"/>
    <w:rsid w:val="00154049"/>
    <w:rsid w:val="00183D25"/>
    <w:rsid w:val="002532D3"/>
    <w:rsid w:val="00254A90"/>
    <w:rsid w:val="00254D8F"/>
    <w:rsid w:val="00257E75"/>
    <w:rsid w:val="00293F7E"/>
    <w:rsid w:val="002D0A29"/>
    <w:rsid w:val="003227CB"/>
    <w:rsid w:val="00324ECE"/>
    <w:rsid w:val="00374F63"/>
    <w:rsid w:val="00393357"/>
    <w:rsid w:val="003F2EFD"/>
    <w:rsid w:val="004D0C35"/>
    <w:rsid w:val="005562B5"/>
    <w:rsid w:val="00591785"/>
    <w:rsid w:val="005A405F"/>
    <w:rsid w:val="005D656A"/>
    <w:rsid w:val="005E626A"/>
    <w:rsid w:val="00667D33"/>
    <w:rsid w:val="00693C76"/>
    <w:rsid w:val="006A24A4"/>
    <w:rsid w:val="006A52D0"/>
    <w:rsid w:val="006A7E7C"/>
    <w:rsid w:val="006C3539"/>
    <w:rsid w:val="006E6374"/>
    <w:rsid w:val="00762F6D"/>
    <w:rsid w:val="00786D09"/>
    <w:rsid w:val="007A210E"/>
    <w:rsid w:val="007E146D"/>
    <w:rsid w:val="007E5AF3"/>
    <w:rsid w:val="00863336"/>
    <w:rsid w:val="008A0E9E"/>
    <w:rsid w:val="008E1ABB"/>
    <w:rsid w:val="008E4A1A"/>
    <w:rsid w:val="00933F8D"/>
    <w:rsid w:val="00953295"/>
    <w:rsid w:val="00966015"/>
    <w:rsid w:val="009B3B50"/>
    <w:rsid w:val="009D367F"/>
    <w:rsid w:val="009D4B9F"/>
    <w:rsid w:val="009F6EDA"/>
    <w:rsid w:val="00A14B1C"/>
    <w:rsid w:val="00A14EA7"/>
    <w:rsid w:val="00A2175C"/>
    <w:rsid w:val="00A379B0"/>
    <w:rsid w:val="00A37F24"/>
    <w:rsid w:val="00AE6D83"/>
    <w:rsid w:val="00B15089"/>
    <w:rsid w:val="00B26563"/>
    <w:rsid w:val="00B26794"/>
    <w:rsid w:val="00BA4727"/>
    <w:rsid w:val="00BB5B72"/>
    <w:rsid w:val="00BB7EBA"/>
    <w:rsid w:val="00BC5CD5"/>
    <w:rsid w:val="00BE083E"/>
    <w:rsid w:val="00C1395C"/>
    <w:rsid w:val="00CA3D5E"/>
    <w:rsid w:val="00CE3C7C"/>
    <w:rsid w:val="00CF2793"/>
    <w:rsid w:val="00CF336F"/>
    <w:rsid w:val="00D13E39"/>
    <w:rsid w:val="00D40262"/>
    <w:rsid w:val="00D41888"/>
    <w:rsid w:val="00D74949"/>
    <w:rsid w:val="00D77F23"/>
    <w:rsid w:val="00DD6897"/>
    <w:rsid w:val="00E53E72"/>
    <w:rsid w:val="00E60976"/>
    <w:rsid w:val="00E653DD"/>
    <w:rsid w:val="00E7285D"/>
    <w:rsid w:val="00EF71A8"/>
    <w:rsid w:val="00F05735"/>
    <w:rsid w:val="00F203BD"/>
    <w:rsid w:val="00F2213B"/>
    <w:rsid w:val="00F869BC"/>
    <w:rsid w:val="00F86BD9"/>
    <w:rsid w:val="00F8702A"/>
    <w:rsid w:val="00F94128"/>
    <w:rsid w:val="00FB6AA0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343A"/>
  <w15:chartTrackingRefBased/>
  <w15:docId w15:val="{D9FE4B52-BF78-4ABA-AB1D-2830BF76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09"/>
  </w:style>
  <w:style w:type="paragraph" w:styleId="Footer">
    <w:name w:val="footer"/>
    <w:basedOn w:val="Normal"/>
    <w:link w:val="FooterChar"/>
    <w:uiPriority w:val="99"/>
    <w:unhideWhenUsed/>
    <w:rsid w:val="0078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09"/>
  </w:style>
  <w:style w:type="paragraph" w:styleId="EndnoteText">
    <w:name w:val="endnote text"/>
    <w:basedOn w:val="Normal"/>
    <w:link w:val="EndnoteTextChar"/>
    <w:uiPriority w:val="99"/>
    <w:semiHidden/>
    <w:unhideWhenUsed/>
    <w:rsid w:val="009660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60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6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265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6E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EA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2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5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Documents/HRBodies/CRC/WorkingMethodsOPIC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ris.ohchr.org/en/search/results?Bodies=5&amp;sortOrder=Dat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Documents/HRBodies/CRC/AdoptedCases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hchr.org/Documents/HRBodies/CRC/GuidelinesInterimMeasures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Documents/HRBodies/CRC/TablePendingCa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714B-6FE6-4A4D-8AE0-3D9AD2673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83C58-9EDD-4601-8E51-E78B7C50D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94A83-7AF1-4337-9493-1D834DBE17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326238-3848-4D4B-978D-F78606A4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759</Words>
  <Characters>4028</Characters>
  <Application>Microsoft Office Word</Application>
  <DocSecurity>0</DocSecurity>
  <Lines>59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OPIC-CRC-Trends</vt:lpstr>
    </vt:vector>
  </TitlesOfParts>
  <Company>OHCHR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OPIC-CRC-Trends</dc:title>
  <dc:subject/>
  <dc:creator>ERCOLE Maria Cecilia</dc:creator>
  <cp:keywords/>
  <dc:description/>
  <cp:lastModifiedBy>Anna Batalla Trilla</cp:lastModifiedBy>
  <cp:revision>4</cp:revision>
  <dcterms:created xsi:type="dcterms:W3CDTF">2020-04-15T20:27:00Z</dcterms:created>
  <dcterms:modified xsi:type="dcterms:W3CDTF">2020-04-15T20:48:00Z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