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D2A7F" w14:textId="1795BF93" w:rsidR="00D505D5" w:rsidRPr="005C7A90" w:rsidRDefault="008B0EE0" w:rsidP="00B4411D">
      <w:pPr>
        <w:pStyle w:val="Heading1"/>
      </w:pPr>
      <w:bookmarkStart w:id="0" w:name="_GoBack"/>
      <w:bookmarkEnd w:id="0"/>
      <w:r w:rsidRPr="005C7A90">
        <w:t>Comments on the</w:t>
      </w:r>
      <w:r w:rsidR="008F2C75" w:rsidRPr="005C7A90">
        <w:br/>
      </w:r>
      <w:r w:rsidR="00B60167" w:rsidRPr="005C7A90">
        <w:t>Committe</w:t>
      </w:r>
      <w:r w:rsidR="00C546B4" w:rsidRPr="005C7A90">
        <w:t xml:space="preserve">e on the Rights of Persons with </w:t>
      </w:r>
      <w:r w:rsidR="00B60167" w:rsidRPr="005C7A90">
        <w:t xml:space="preserve">Disabilities </w:t>
      </w:r>
      <w:r w:rsidR="00D875B0" w:rsidRPr="005C7A90">
        <w:br/>
      </w:r>
      <w:r w:rsidR="00B60167" w:rsidRPr="005C7A90">
        <w:t>D</w:t>
      </w:r>
      <w:r w:rsidRPr="005C7A90">
        <w:t>raft</w:t>
      </w:r>
      <w:r w:rsidR="00C546B4" w:rsidRPr="005C7A90">
        <w:t xml:space="preserve"> </w:t>
      </w:r>
      <w:r w:rsidRPr="005C7A90">
        <w:t>General Comment</w:t>
      </w:r>
      <w:r w:rsidR="00B60167" w:rsidRPr="005C7A90">
        <w:t xml:space="preserve"> No. 5 (2017)</w:t>
      </w:r>
      <w:r w:rsidR="00C546B4" w:rsidRPr="005C7A90">
        <w:t xml:space="preserve"> </w:t>
      </w:r>
      <w:r w:rsidR="00B60167" w:rsidRPr="005C7A90">
        <w:t>Article 19</w:t>
      </w:r>
      <w:r w:rsidR="002244F2" w:rsidRPr="005C7A90">
        <w:t xml:space="preserve"> CRPD</w:t>
      </w:r>
      <w:r w:rsidR="00C546B4" w:rsidRPr="005C7A90">
        <w:t>:</w:t>
      </w:r>
      <w:r w:rsidR="008F2C75" w:rsidRPr="005C7A90">
        <w:br/>
      </w:r>
      <w:r w:rsidRPr="005C7A90">
        <w:t>Liv</w:t>
      </w:r>
      <w:r w:rsidR="00B60167" w:rsidRPr="005C7A90">
        <w:t xml:space="preserve">ing </w:t>
      </w:r>
      <w:r w:rsidRPr="005C7A90">
        <w:t>Independently and be</w:t>
      </w:r>
      <w:r w:rsidR="002244F2" w:rsidRPr="005C7A90">
        <w:t>ing</w:t>
      </w:r>
      <w:r w:rsidR="00C546B4" w:rsidRPr="005C7A90">
        <w:t xml:space="preserve"> </w:t>
      </w:r>
      <w:r w:rsidRPr="005C7A90">
        <w:t>Included in the Community</w:t>
      </w:r>
    </w:p>
    <w:p w14:paraId="0ED43955" w14:textId="7730DA37" w:rsidR="008B0EE0" w:rsidRPr="00CD08DC" w:rsidRDefault="008B0EE0" w:rsidP="00B4411D">
      <w:pPr>
        <w:pStyle w:val="Heading1"/>
        <w:rPr>
          <w:sz w:val="28"/>
          <w:szCs w:val="28"/>
        </w:rPr>
      </w:pPr>
      <w:r w:rsidRPr="00CD08DC">
        <w:rPr>
          <w:sz w:val="28"/>
          <w:szCs w:val="28"/>
        </w:rPr>
        <w:t>Centre for Health and Social Care Law (CHSCL)</w:t>
      </w:r>
      <w:r w:rsidRPr="00CD08DC">
        <w:rPr>
          <w:sz w:val="28"/>
          <w:szCs w:val="28"/>
        </w:rPr>
        <w:br/>
        <w:t>Cardiff School of Law and Politics, Cardiff University</w:t>
      </w:r>
    </w:p>
    <w:p w14:paraId="532D9A47" w14:textId="77777777" w:rsidR="007B4CF2" w:rsidRDefault="007B4CF2" w:rsidP="00CE753B"/>
    <w:p w14:paraId="16DE4101" w14:textId="31FD0821" w:rsidR="0025065D" w:rsidRPr="005C7A90" w:rsidRDefault="0025065D" w:rsidP="00CE753B">
      <w:pPr>
        <w:pStyle w:val="Heading2"/>
        <w:numPr>
          <w:ilvl w:val="0"/>
          <w:numId w:val="0"/>
        </w:numPr>
        <w:spacing w:line="276" w:lineRule="auto"/>
        <w:ind w:left="360" w:hanging="360"/>
      </w:pPr>
      <w:r w:rsidRPr="005C7A90">
        <w:t>Preface</w:t>
      </w:r>
    </w:p>
    <w:p w14:paraId="496F3DE9" w14:textId="3B3D2CE0" w:rsidR="006E2833" w:rsidRPr="005C7A90" w:rsidRDefault="00A3584C" w:rsidP="00CE753B">
      <w:pPr>
        <w:spacing w:line="276" w:lineRule="auto"/>
      </w:pPr>
      <w:r w:rsidRPr="005C7A90">
        <w:t>This response has been prepared by academics at the Centre for Health and Social Care Law</w:t>
      </w:r>
      <w:r w:rsidR="00B629CE" w:rsidRPr="005C7A90">
        <w:t xml:space="preserve"> (</w:t>
      </w:r>
      <w:r w:rsidR="00C848C5" w:rsidRPr="005C7A90">
        <w:t xml:space="preserve">‘the </w:t>
      </w:r>
      <w:r w:rsidR="00B629CE" w:rsidRPr="005C7A90">
        <w:t>Centre</w:t>
      </w:r>
      <w:r w:rsidR="00C848C5" w:rsidRPr="005C7A90">
        <w:t>’</w:t>
      </w:r>
      <w:r w:rsidR="00B629CE" w:rsidRPr="005C7A90">
        <w:t>),</w:t>
      </w:r>
      <w:r w:rsidR="00A8767A" w:rsidRPr="005C7A90">
        <w:rPr>
          <w:rStyle w:val="FootnoteReference"/>
          <w:rFonts w:cs="Arial"/>
          <w:szCs w:val="24"/>
        </w:rPr>
        <w:footnoteReference w:id="1"/>
      </w:r>
      <w:r w:rsidR="00A8767A" w:rsidRPr="005C7A90">
        <w:t xml:space="preserve"> </w:t>
      </w:r>
      <w:r w:rsidR="006D1780" w:rsidRPr="005C7A90">
        <w:t xml:space="preserve">at the </w:t>
      </w:r>
      <w:r w:rsidRPr="005C7A90">
        <w:t>School of Law and Politics, Cardiff University</w:t>
      </w:r>
      <w:r w:rsidR="00B629CE" w:rsidRPr="005C7A90">
        <w:t>, UK</w:t>
      </w:r>
      <w:r w:rsidRPr="005C7A90">
        <w:t>.</w:t>
      </w:r>
      <w:r w:rsidR="00F01DFC">
        <w:t xml:space="preserve"> </w:t>
      </w:r>
      <w:r w:rsidRPr="005C7A90">
        <w:t>The Centre exists to promote research and its dissemination in the field of Health and Social Care Law.</w:t>
      </w:r>
      <w:r w:rsidR="00F01DFC">
        <w:t xml:space="preserve"> </w:t>
      </w:r>
      <w:r w:rsidRPr="005C7A90">
        <w:t>Th</w:t>
      </w:r>
      <w:r w:rsidR="00B60167" w:rsidRPr="005C7A90">
        <w:t>e</w:t>
      </w:r>
      <w:r w:rsidRPr="005C7A90">
        <w:t xml:space="preserve"> response to this consultation has been led by Dr Emily Kakoullis (Lecturer in Law)</w:t>
      </w:r>
      <w:r w:rsidR="005C7A90">
        <w:rPr>
          <w:rStyle w:val="FootnoteReference"/>
        </w:rPr>
        <w:footnoteReference w:id="2"/>
      </w:r>
      <w:r w:rsidRPr="005C7A90">
        <w:t xml:space="preserve"> with contributions from Dr Lucy Series (Research Fellow) and Alison Tarrant (</w:t>
      </w:r>
      <w:r w:rsidR="005B332D" w:rsidRPr="005C7A90">
        <w:t>D</w:t>
      </w:r>
      <w:r w:rsidRPr="005C7A90">
        <w:t xml:space="preserve">octoral </w:t>
      </w:r>
      <w:r w:rsidR="005B332D" w:rsidRPr="005C7A90">
        <w:t>R</w:t>
      </w:r>
      <w:r w:rsidRPr="005C7A90">
        <w:t>esearcher).</w:t>
      </w:r>
      <w:r w:rsidR="00AF371E" w:rsidRPr="005C7A90">
        <w:t xml:space="preserve"> </w:t>
      </w:r>
      <w:r w:rsidR="006E2833" w:rsidRPr="005C7A90">
        <w:t xml:space="preserve">We welcome the opportunity to comment on this important </w:t>
      </w:r>
      <w:r w:rsidR="00E966FC" w:rsidRPr="005C7A90">
        <w:t xml:space="preserve">Draft </w:t>
      </w:r>
      <w:r w:rsidR="006E2833" w:rsidRPr="005C7A90">
        <w:t xml:space="preserve">General Comment </w:t>
      </w:r>
      <w:r w:rsidR="00AB4AC6" w:rsidRPr="005C7A90">
        <w:t>on Article 19: L</w:t>
      </w:r>
      <w:r w:rsidR="006E2833" w:rsidRPr="005C7A90">
        <w:t>iving independently and being included in the community.</w:t>
      </w:r>
      <w:r w:rsidR="00F01DFC">
        <w:t xml:space="preserve"> </w:t>
      </w:r>
      <w:r w:rsidR="006E2833" w:rsidRPr="005C7A90">
        <w:t xml:space="preserve">Our contribution is based on our research carried out in the States of Cyprus and the United Kingdom (UK), </w:t>
      </w:r>
      <w:r w:rsidR="002959BA">
        <w:t>however</w:t>
      </w:r>
      <w:r w:rsidR="002959BA" w:rsidRPr="005C7A90">
        <w:t xml:space="preserve"> </w:t>
      </w:r>
      <w:r w:rsidR="006E2833" w:rsidRPr="005C7A90">
        <w:t>we recognise that the challenges of implementing Article 19 CRPD vary globally.</w:t>
      </w:r>
      <w:r w:rsidR="00F01DFC">
        <w:t xml:space="preserve"> </w:t>
      </w:r>
    </w:p>
    <w:p w14:paraId="6354C7B4" w14:textId="01E5DAC4" w:rsidR="0025065D" w:rsidRDefault="006E2833" w:rsidP="00CE753B">
      <w:pPr>
        <w:spacing w:line="276" w:lineRule="auto"/>
      </w:pPr>
      <w:r w:rsidRPr="005C7A90">
        <w:t xml:space="preserve">Our research indicates that one of the key problems with implementing Article 19, </w:t>
      </w:r>
      <w:r w:rsidR="005C7A90">
        <w:t>including</w:t>
      </w:r>
      <w:r w:rsidRPr="005C7A90">
        <w:t xml:space="preserve"> in a </w:t>
      </w:r>
      <w:r w:rsidR="004E246B" w:rsidRPr="005C7A90">
        <w:t>S</w:t>
      </w:r>
      <w:r w:rsidRPr="005C7A90">
        <w:t>tate like the UK</w:t>
      </w:r>
      <w:r w:rsidR="00D72917" w:rsidRPr="005C7A90">
        <w:t xml:space="preserve"> </w:t>
      </w:r>
      <w:r w:rsidR="006D1780" w:rsidRPr="005C7A90">
        <w:t xml:space="preserve">that </w:t>
      </w:r>
      <w:r w:rsidRPr="005C7A90">
        <w:t>has many</w:t>
      </w:r>
      <w:r w:rsidR="00141D13" w:rsidRPr="005C7A90">
        <w:t xml:space="preserve"> past and present</w:t>
      </w:r>
      <w:r w:rsidRPr="005C7A90">
        <w:t xml:space="preserve"> policies that </w:t>
      </w:r>
      <w:r w:rsidR="00AE0B00" w:rsidRPr="005C7A90">
        <w:t xml:space="preserve">indicate </w:t>
      </w:r>
      <w:r w:rsidRPr="005C7A90">
        <w:t>support for the concept of independent living</w:t>
      </w:r>
      <w:r w:rsidR="00582CC0">
        <w:t>,</w:t>
      </w:r>
      <w:r w:rsidR="00E12EB6" w:rsidRPr="005C7A90">
        <w:rPr>
          <w:rStyle w:val="FootnoteReference"/>
          <w:rFonts w:cs="Arial"/>
          <w:szCs w:val="24"/>
        </w:rPr>
        <w:footnoteReference w:id="3"/>
      </w:r>
      <w:r w:rsidRPr="005C7A90">
        <w:t xml:space="preserve"> is a lack of understanding of </w:t>
      </w:r>
      <w:r w:rsidR="006D701A" w:rsidRPr="005C7A90">
        <w:t>the Article’s</w:t>
      </w:r>
      <w:r w:rsidRPr="005C7A90">
        <w:t xml:space="preserve"> character</w:t>
      </w:r>
      <w:r w:rsidR="006D1780" w:rsidRPr="005C7A90">
        <w:t>.</w:t>
      </w:r>
      <w:r w:rsidR="00F01DFC">
        <w:t xml:space="preserve"> </w:t>
      </w:r>
      <w:r w:rsidR="00A3584C" w:rsidRPr="005C7A90">
        <w:t xml:space="preserve">Research by </w:t>
      </w:r>
      <w:r w:rsidR="006D4672" w:rsidRPr="005C7A90">
        <w:t xml:space="preserve">Dr </w:t>
      </w:r>
      <w:r w:rsidR="00A3584C" w:rsidRPr="005C7A90">
        <w:t>Emily Kakoullis</w:t>
      </w:r>
      <w:r w:rsidR="00D72917" w:rsidRPr="005C7A90">
        <w:t xml:space="preserve"> on the ratification process for the CRPD in Cyprus found that the </w:t>
      </w:r>
      <w:r w:rsidR="00E4312D" w:rsidRPr="005C7A90">
        <w:t xml:space="preserve">Greek </w:t>
      </w:r>
      <w:r w:rsidR="00D72917" w:rsidRPr="005C7A90">
        <w:t xml:space="preserve">conceptual language with which to discuss the content of the </w:t>
      </w:r>
      <w:r w:rsidR="00E4312D" w:rsidRPr="005C7A90">
        <w:t xml:space="preserve">English language </w:t>
      </w:r>
      <w:r w:rsidR="00D72917" w:rsidRPr="005C7A90">
        <w:t xml:space="preserve">CRPD’s provisions was not always available, and was a factor </w:t>
      </w:r>
      <w:r w:rsidR="00E4312D" w:rsidRPr="005C7A90">
        <w:t xml:space="preserve">in shaping the final content of the </w:t>
      </w:r>
      <w:r w:rsidR="00204E9C" w:rsidRPr="005C7A90">
        <w:t xml:space="preserve">translated </w:t>
      </w:r>
      <w:r w:rsidR="00E4312D" w:rsidRPr="005C7A90">
        <w:t>Greek language CRPD text in Cyprus</w:t>
      </w:r>
      <w:r w:rsidR="006D1780" w:rsidRPr="005C7A90">
        <w:t>.</w:t>
      </w:r>
      <w:r w:rsidR="006D1780" w:rsidRPr="005C7A90">
        <w:rPr>
          <w:rStyle w:val="FootnoteReference"/>
          <w:rFonts w:cs="Arial"/>
          <w:szCs w:val="24"/>
        </w:rPr>
        <w:footnoteReference w:id="4"/>
      </w:r>
      <w:r w:rsidR="00E4312D" w:rsidRPr="005C7A90">
        <w:t xml:space="preserve"> </w:t>
      </w:r>
      <w:r w:rsidRPr="005C7A90">
        <w:t xml:space="preserve">Research </w:t>
      </w:r>
      <w:r w:rsidR="00F12CC2">
        <w:t xml:space="preserve">on guardianship laws </w:t>
      </w:r>
      <w:r w:rsidRPr="005C7A90">
        <w:t>by</w:t>
      </w:r>
      <w:r w:rsidR="00A3584C" w:rsidRPr="005C7A90">
        <w:t xml:space="preserve"> Dr</w:t>
      </w:r>
      <w:r w:rsidRPr="005C7A90">
        <w:t xml:space="preserve"> Lucy Series indicates that </w:t>
      </w:r>
      <w:r w:rsidRPr="005C7A90">
        <w:lastRenderedPageBreak/>
        <w:t xml:space="preserve">promoting ‘independence’ or ‘independent living’ is </w:t>
      </w:r>
      <w:r w:rsidR="009E133F">
        <w:t>sometimes</w:t>
      </w:r>
      <w:r w:rsidR="00C848C5" w:rsidRPr="005C7A90">
        <w:t xml:space="preserve"> </w:t>
      </w:r>
      <w:r w:rsidRPr="005C7A90">
        <w:t xml:space="preserve">used by the domestic courts and health and social care services as a basis for coercive interventions that use detention and </w:t>
      </w:r>
      <w:r w:rsidR="00A3584C" w:rsidRPr="005C7A90">
        <w:t xml:space="preserve">substitute decision making powers </w:t>
      </w:r>
      <w:r w:rsidRPr="005C7A90">
        <w:t>to require a person to live in an ‘independent living’ service against their will</w:t>
      </w:r>
      <w:r w:rsidR="00507199" w:rsidRPr="005C7A90">
        <w:t>,</w:t>
      </w:r>
      <w:r w:rsidRPr="005C7A90">
        <w:rPr>
          <w:rStyle w:val="FootnoteReference"/>
          <w:rFonts w:cs="Arial"/>
          <w:szCs w:val="24"/>
        </w:rPr>
        <w:footnoteReference w:id="5"/>
      </w:r>
      <w:r w:rsidRPr="005C7A90">
        <w:t xml:space="preserve"> or to undergo coercive </w:t>
      </w:r>
      <w:r w:rsidR="00507199" w:rsidRPr="005C7A90">
        <w:t>treatments</w:t>
      </w:r>
      <w:r w:rsidRPr="005C7A90">
        <w:t xml:space="preserve"> (including </w:t>
      </w:r>
      <w:r w:rsidR="00A3584C" w:rsidRPr="005C7A90">
        <w:t xml:space="preserve">psychiatric </w:t>
      </w:r>
      <w:r w:rsidRPr="005C7A90">
        <w:t>detention</w:t>
      </w:r>
      <w:r w:rsidR="00507199" w:rsidRPr="005C7A90">
        <w:t>,</w:t>
      </w:r>
      <w:r w:rsidR="00A3584C" w:rsidRPr="005C7A90">
        <w:rPr>
          <w:rStyle w:val="FootnoteReference"/>
          <w:rFonts w:cs="Arial"/>
          <w:szCs w:val="24"/>
        </w:rPr>
        <w:footnoteReference w:id="6"/>
      </w:r>
      <w:r w:rsidRPr="005C7A90">
        <w:t xml:space="preserve"> and even sterilisation</w:t>
      </w:r>
      <w:r w:rsidR="006D1780" w:rsidRPr="005C7A90">
        <w:rPr>
          <w:rStyle w:val="FootnoteReference"/>
          <w:rFonts w:cs="Arial"/>
          <w:szCs w:val="24"/>
        </w:rPr>
        <w:footnoteReference w:id="7"/>
      </w:r>
      <w:r w:rsidR="00507199" w:rsidRPr="005C7A90">
        <w:t>),</w:t>
      </w:r>
      <w:r w:rsidRPr="005C7A90">
        <w:t xml:space="preserve"> </w:t>
      </w:r>
      <w:r w:rsidR="00F12CC2">
        <w:t>on the basis that these</w:t>
      </w:r>
      <w:r w:rsidR="006D1780" w:rsidRPr="005C7A90">
        <w:t xml:space="preserve"> will </w:t>
      </w:r>
      <w:r w:rsidRPr="005C7A90">
        <w:t>foster independence</w:t>
      </w:r>
      <w:r w:rsidR="00A3584C" w:rsidRPr="005C7A90">
        <w:t xml:space="preserve"> or independent living skills</w:t>
      </w:r>
      <w:r w:rsidRPr="005C7A90">
        <w:t>.</w:t>
      </w:r>
      <w:r w:rsidR="00F01DFC">
        <w:t xml:space="preserve"> </w:t>
      </w:r>
      <w:r w:rsidR="006D1780" w:rsidRPr="005C7A90">
        <w:t>Doctoral r</w:t>
      </w:r>
      <w:r w:rsidR="00A3584C" w:rsidRPr="005C7A90">
        <w:t>esearch by Alison Tarrant</w:t>
      </w:r>
      <w:r w:rsidR="00DF5318" w:rsidRPr="005C7A90">
        <w:t xml:space="preserve"> </w:t>
      </w:r>
      <w:r w:rsidR="00CA20E2" w:rsidRPr="005C7A90">
        <w:t>indicates that in the national policy and legislative contexts the concepts of ‘independence’ and ‘independent living’ are often conflated, causing confusion in what is meant by these terms and potentially merging ideas of autonomy with self-reliance</w:t>
      </w:r>
      <w:r w:rsidR="00DF5318" w:rsidRPr="005C7A90">
        <w:t>.</w:t>
      </w:r>
      <w:r w:rsidR="006D1780" w:rsidRPr="005C7A90">
        <w:rPr>
          <w:rStyle w:val="FootnoteReference"/>
          <w:rFonts w:cs="Arial"/>
          <w:szCs w:val="24"/>
        </w:rPr>
        <w:footnoteReference w:id="8"/>
      </w:r>
    </w:p>
    <w:p w14:paraId="6A0640EE" w14:textId="77777777" w:rsidR="001F00E0" w:rsidRPr="005C7A90" w:rsidRDefault="001F00E0" w:rsidP="00CE753B">
      <w:pPr>
        <w:spacing w:line="276" w:lineRule="auto"/>
      </w:pPr>
    </w:p>
    <w:p w14:paraId="467E2B91" w14:textId="7F15D9B8" w:rsidR="0025065D" w:rsidRDefault="0025065D" w:rsidP="00CE753B">
      <w:pPr>
        <w:pStyle w:val="Heading2"/>
        <w:numPr>
          <w:ilvl w:val="0"/>
          <w:numId w:val="0"/>
        </w:numPr>
        <w:spacing w:line="276" w:lineRule="auto"/>
        <w:ind w:left="360" w:hanging="360"/>
      </w:pPr>
      <w:r w:rsidRPr="005C7A90">
        <w:t>Comments</w:t>
      </w:r>
      <w:r w:rsidR="006103B6">
        <w:t xml:space="preserve"> and suggestions</w:t>
      </w:r>
    </w:p>
    <w:p w14:paraId="18F4EECC" w14:textId="3D3162B5" w:rsidR="00130A62" w:rsidRPr="00130A62" w:rsidRDefault="00130A62" w:rsidP="00CE753B">
      <w:pPr>
        <w:spacing w:line="276" w:lineRule="auto"/>
      </w:pPr>
      <w:r>
        <w:t xml:space="preserve">When proposing amendments to the Draft General Comment, we use </w:t>
      </w:r>
      <w:r>
        <w:rPr>
          <w:i/>
        </w:rPr>
        <w:t xml:space="preserve">italics </w:t>
      </w:r>
      <w:r>
        <w:t xml:space="preserve">to suggest an insertion into the text and </w:t>
      </w:r>
      <w:r w:rsidRPr="00130A62">
        <w:rPr>
          <w:strike/>
        </w:rPr>
        <w:t>strikethrough</w:t>
      </w:r>
      <w:r>
        <w:t xml:space="preserve"> to suggest a deletion.</w:t>
      </w:r>
    </w:p>
    <w:p w14:paraId="715A3815" w14:textId="77777777" w:rsidR="00A251FD" w:rsidRPr="005C7A90" w:rsidRDefault="00A251FD" w:rsidP="00CE753B">
      <w:pPr>
        <w:pStyle w:val="Heading3"/>
        <w:spacing w:line="276" w:lineRule="auto"/>
      </w:pPr>
      <w:r w:rsidRPr="00F12CC2">
        <w:t>Lan</w:t>
      </w:r>
      <w:r w:rsidR="00DD058C" w:rsidRPr="00F12CC2">
        <w:t>guage</w:t>
      </w:r>
      <w:r w:rsidR="00DD058C" w:rsidRPr="005C7A90">
        <w:t xml:space="preserve"> and Terminology employed T</w:t>
      </w:r>
      <w:r w:rsidRPr="005C7A90">
        <w:t>hroughout the draft General Comment</w:t>
      </w:r>
    </w:p>
    <w:p w14:paraId="5F4773CB" w14:textId="43F218ED" w:rsidR="00C30D9F" w:rsidRPr="005C7A90" w:rsidRDefault="00394B76" w:rsidP="00CE753B">
      <w:pPr>
        <w:spacing w:line="276" w:lineRule="auto"/>
      </w:pPr>
      <w:r w:rsidRPr="005C7A90">
        <w:t xml:space="preserve">We consider that the phrase ‘independent living’ </w:t>
      </w:r>
      <w:r w:rsidR="00CD7BD3" w:rsidRPr="005C7A90">
        <w:t xml:space="preserve">(preferred option), </w:t>
      </w:r>
      <w:r w:rsidR="006D1780" w:rsidRPr="005C7A90">
        <w:t xml:space="preserve">or </w:t>
      </w:r>
      <w:r w:rsidR="00CD7BD3" w:rsidRPr="005C7A90">
        <w:t xml:space="preserve">alternatively the phrase </w:t>
      </w:r>
      <w:r w:rsidRPr="005C7A90">
        <w:t>‘living independently’</w:t>
      </w:r>
      <w:r w:rsidR="00CD7BD3" w:rsidRPr="005C7A90">
        <w:t>,</w:t>
      </w:r>
      <w:r w:rsidRPr="005C7A90">
        <w:t xml:space="preserve"> should be used throughout the </w:t>
      </w:r>
      <w:r w:rsidR="00CD7BD3" w:rsidRPr="005C7A90">
        <w:t xml:space="preserve">draft </w:t>
      </w:r>
      <w:r w:rsidRPr="005C7A90">
        <w:t xml:space="preserve">General Comment in preference to the </w:t>
      </w:r>
      <w:r w:rsidR="00CD7BD3" w:rsidRPr="005C7A90">
        <w:t>term</w:t>
      </w:r>
      <w:r w:rsidRPr="005C7A90">
        <w:t>s ‘independent’ or ‘independence’.</w:t>
      </w:r>
      <w:r w:rsidR="00C30D9F" w:rsidRPr="005C7A90">
        <w:t xml:space="preserve"> This is because </w:t>
      </w:r>
      <w:r w:rsidR="006D1780" w:rsidRPr="005C7A90">
        <w:t xml:space="preserve">our </w:t>
      </w:r>
      <w:r w:rsidR="00C30D9F" w:rsidRPr="005C7A90">
        <w:t xml:space="preserve">empirical research on the use of language of independence and independent living in </w:t>
      </w:r>
      <w:r w:rsidR="006D1780" w:rsidRPr="005C7A90">
        <w:t xml:space="preserve">legal and </w:t>
      </w:r>
      <w:r w:rsidR="00C30D9F" w:rsidRPr="005C7A90">
        <w:t xml:space="preserve">policy documents in England and Wales suggests that ‘independence’ often carries connotations of self-reliance and managing without support, </w:t>
      </w:r>
      <w:r w:rsidR="006D1780" w:rsidRPr="005C7A90">
        <w:t xml:space="preserve">or being separated from close caregiving relationships with family members, </w:t>
      </w:r>
      <w:r w:rsidR="00C30D9F" w:rsidRPr="005C7A90">
        <w:t>rather than the understandings developed by the disabled people’s movement that are connected with having choice and control over one’s living arrangements and life.</w:t>
      </w:r>
    </w:p>
    <w:p w14:paraId="742D596A" w14:textId="77777777" w:rsidR="008B0EE0" w:rsidRPr="005C7A90" w:rsidRDefault="008B0EE0" w:rsidP="00CE753B">
      <w:pPr>
        <w:pStyle w:val="Heading3"/>
        <w:spacing w:line="276" w:lineRule="auto"/>
      </w:pPr>
      <w:r w:rsidRPr="005C7A90">
        <w:t xml:space="preserve">Paragraph </w:t>
      </w:r>
      <w:r w:rsidR="00C46944" w:rsidRPr="005C7A90">
        <w:t>7 (page 2):</w:t>
      </w:r>
    </w:p>
    <w:p w14:paraId="72C12703" w14:textId="77777777" w:rsidR="007861AA" w:rsidRDefault="006A5A33" w:rsidP="00CE753B">
      <w:pPr>
        <w:spacing w:line="276" w:lineRule="auto"/>
      </w:pPr>
      <w:r w:rsidRPr="005C7A90">
        <w:t>We suggest the insertion of</w:t>
      </w:r>
      <w:r w:rsidR="000D1699" w:rsidRPr="005C7A90">
        <w:t xml:space="preserve"> the term</w:t>
      </w:r>
      <w:r w:rsidRPr="005C7A90">
        <w:t xml:space="preserve"> ‘economic’</w:t>
      </w:r>
      <w:r w:rsidR="003F06A0" w:rsidRPr="005C7A90">
        <w:t xml:space="preserve"> in the first sentence</w:t>
      </w:r>
      <w:r w:rsidR="003D27BE" w:rsidRPr="005C7A90">
        <w:t xml:space="preserve"> of paragraph 7</w:t>
      </w:r>
      <w:r w:rsidRPr="005C7A90">
        <w:t>, s</w:t>
      </w:r>
      <w:r w:rsidR="007861AA">
        <w:t>o that the sentence would read:</w:t>
      </w:r>
    </w:p>
    <w:p w14:paraId="4F6B5213" w14:textId="5C5F9295" w:rsidR="00112182" w:rsidRPr="005C7A90" w:rsidRDefault="007861AA" w:rsidP="00CE753B">
      <w:pPr>
        <w:spacing w:line="276" w:lineRule="auto"/>
        <w:ind w:left="720"/>
      </w:pPr>
      <w:r>
        <w:t>‘</w:t>
      </w:r>
      <w:r w:rsidR="006A5A33" w:rsidRPr="005C7A90">
        <w:t xml:space="preserve">Article 19 entails civil and political as well as </w:t>
      </w:r>
      <w:r w:rsidR="006A5A33" w:rsidRPr="005C7A90">
        <w:rPr>
          <w:i/>
        </w:rPr>
        <w:t xml:space="preserve">economic, </w:t>
      </w:r>
      <w:r>
        <w:t>social and cultural rights’</w:t>
      </w:r>
    </w:p>
    <w:p w14:paraId="753E2BDE" w14:textId="77777777" w:rsidR="007861AA" w:rsidRDefault="007E27EE" w:rsidP="00CE753B">
      <w:pPr>
        <w:spacing w:line="276" w:lineRule="auto"/>
      </w:pPr>
      <w:r w:rsidRPr="005C7A90">
        <w:lastRenderedPageBreak/>
        <w:t>W</w:t>
      </w:r>
      <w:r w:rsidR="000D1699" w:rsidRPr="005C7A90">
        <w:t xml:space="preserve">e </w:t>
      </w:r>
      <w:r w:rsidRPr="005C7A90">
        <w:t xml:space="preserve">also </w:t>
      </w:r>
      <w:r w:rsidR="000D1699" w:rsidRPr="005C7A90">
        <w:t>suggest the insertion of the term ‘economic’</w:t>
      </w:r>
      <w:r w:rsidRPr="005C7A90">
        <w:t xml:space="preserve"> in the second </w:t>
      </w:r>
      <w:r w:rsidR="00715DC1" w:rsidRPr="005C7A90">
        <w:t>s</w:t>
      </w:r>
      <w:r w:rsidRPr="005C7A90">
        <w:t>entence</w:t>
      </w:r>
      <w:r w:rsidR="00715DC1" w:rsidRPr="005C7A90">
        <w:t xml:space="preserve"> of paragraph 7</w:t>
      </w:r>
      <w:r w:rsidR="000D1699" w:rsidRPr="005C7A90">
        <w:t>, s</w:t>
      </w:r>
      <w:r w:rsidR="00112182" w:rsidRPr="005C7A90">
        <w:t>o that the sentence would read:</w:t>
      </w:r>
    </w:p>
    <w:p w14:paraId="040E9A9C" w14:textId="7380C09C" w:rsidR="003E274F" w:rsidRPr="005C7A90" w:rsidRDefault="000D1699" w:rsidP="00CE753B">
      <w:pPr>
        <w:spacing w:line="276" w:lineRule="auto"/>
        <w:ind w:left="720"/>
        <w:rPr>
          <w:b/>
        </w:rPr>
      </w:pPr>
      <w:r w:rsidRPr="005C7A90">
        <w:t xml:space="preserve">The right to independent living ... </w:t>
      </w:r>
      <w:r w:rsidRPr="005C7A90">
        <w:rPr>
          <w:i/>
        </w:rPr>
        <w:t xml:space="preserve">economic, </w:t>
      </w:r>
      <w:r w:rsidRPr="005C7A90">
        <w:t>social and cultural rights enshrined</w:t>
      </w:r>
      <w:r w:rsidR="00E35EF0" w:rsidRPr="005C7A90">
        <w:t xml:space="preserve"> </w:t>
      </w:r>
      <w:r w:rsidR="007861AA">
        <w:t>in this norm are fulfilled’</w:t>
      </w:r>
    </w:p>
    <w:p w14:paraId="1FB67735" w14:textId="4AAA6753" w:rsidR="006B14E3" w:rsidRPr="005C7A90" w:rsidRDefault="006B14E3" w:rsidP="00CE753B">
      <w:pPr>
        <w:spacing w:line="276" w:lineRule="auto"/>
        <w:rPr>
          <w:b/>
        </w:rPr>
      </w:pPr>
      <w:r w:rsidRPr="005C7A90">
        <w:t>This is because Article 19 contains both civil and political</w:t>
      </w:r>
      <w:r w:rsidR="007861AA">
        <w:t>,</w:t>
      </w:r>
      <w:r w:rsidRPr="005C7A90">
        <w:t xml:space="preserve"> and </w:t>
      </w:r>
      <w:r w:rsidRPr="007861AA">
        <w:rPr>
          <w:b/>
        </w:rPr>
        <w:t>economic</w:t>
      </w:r>
      <w:r w:rsidRPr="005C7A90">
        <w:t xml:space="preserve">, social and cultural rights, which needs to be reflected in the General Comment. </w:t>
      </w:r>
      <w:r w:rsidR="007861AA">
        <w:t>P</w:t>
      </w:r>
      <w:r w:rsidRPr="005C7A90">
        <w:t>utting in place the supports, adjustments and services required to implement</w:t>
      </w:r>
      <w:r w:rsidR="00D824B7" w:rsidRPr="005C7A90">
        <w:t xml:space="preserve"> the right to </w:t>
      </w:r>
      <w:r w:rsidRPr="005C7A90">
        <w:t>independent living will sometimes incur economic costs, which the General Comment should acknowledge and reflect.</w:t>
      </w:r>
    </w:p>
    <w:p w14:paraId="7B47830E" w14:textId="40DC8AF9" w:rsidR="007E1372" w:rsidRPr="005C7A90" w:rsidRDefault="00F02DFA" w:rsidP="00CE753B">
      <w:pPr>
        <w:pStyle w:val="Heading3"/>
        <w:spacing w:line="276" w:lineRule="auto"/>
      </w:pPr>
      <w:r w:rsidRPr="005C7A90">
        <w:t>Paragraph 15(a</w:t>
      </w:r>
      <w:r w:rsidR="007E1372" w:rsidRPr="005C7A90">
        <w:t>) (page 4)</w:t>
      </w:r>
    </w:p>
    <w:p w14:paraId="0750DC95" w14:textId="11E3F2F4" w:rsidR="007861AA" w:rsidRDefault="007E1372" w:rsidP="00CE753B">
      <w:pPr>
        <w:spacing w:line="276" w:lineRule="auto"/>
      </w:pPr>
      <w:r w:rsidRPr="005C7A90">
        <w:t xml:space="preserve">We suggest the insertion of the term ‘choice’ in the first sentence in </w:t>
      </w:r>
      <w:r w:rsidR="00323EB8" w:rsidRPr="005C7A90">
        <w:t>p</w:t>
      </w:r>
      <w:r w:rsidRPr="005C7A90">
        <w:t>aragraph 15(a), s</w:t>
      </w:r>
      <w:r w:rsidR="0036783E">
        <w:t>o that the sentence would read:</w:t>
      </w:r>
    </w:p>
    <w:p w14:paraId="7EE7A042" w14:textId="1191CA41" w:rsidR="007861AA" w:rsidRDefault="008367E2" w:rsidP="00CE753B">
      <w:pPr>
        <w:spacing w:line="276" w:lineRule="auto"/>
        <w:ind w:left="720"/>
      </w:pPr>
      <w:r>
        <w:t>‘</w:t>
      </w:r>
      <w:r w:rsidR="007E1372" w:rsidRPr="005C7A90">
        <w:t xml:space="preserve">... are enabled to exercise </w:t>
      </w:r>
      <w:r w:rsidR="007E1372" w:rsidRPr="005C7A90">
        <w:rPr>
          <w:i/>
        </w:rPr>
        <w:t>choice and</w:t>
      </w:r>
      <w:r w:rsidR="007E1372" w:rsidRPr="005C7A90">
        <w:t xml:space="preserve"> control over their lives and make all decisions that concern their lives</w:t>
      </w:r>
      <w:r>
        <w:t>’</w:t>
      </w:r>
    </w:p>
    <w:p w14:paraId="24146715" w14:textId="43890D75" w:rsidR="00F52AB0" w:rsidRPr="005C7A90" w:rsidRDefault="00F52AB0" w:rsidP="00CE753B">
      <w:pPr>
        <w:spacing w:line="276" w:lineRule="auto"/>
      </w:pPr>
      <w:r w:rsidRPr="005C7A90">
        <w:t>This is because ‘control’ is not enough, ‘choice’ is also needed</w:t>
      </w:r>
      <w:r w:rsidR="006D1780" w:rsidRPr="005C7A90">
        <w:t>.</w:t>
      </w:r>
      <w:r w:rsidRPr="005C7A90">
        <w:t xml:space="preserve"> </w:t>
      </w:r>
      <w:r w:rsidR="006D1780" w:rsidRPr="005C7A90">
        <w:t>F</w:t>
      </w:r>
      <w:r w:rsidRPr="005C7A90">
        <w:t>urther, ‘choice’ is to be understood as ‘choices equal to others’. In the UK, ‘choice and control’ are seen as definitional elements of independent living</w:t>
      </w:r>
      <w:r w:rsidR="0029775C">
        <w:t>.</w:t>
      </w:r>
      <w:r w:rsidR="0029775C">
        <w:rPr>
          <w:rStyle w:val="FootnoteReference"/>
        </w:rPr>
        <w:footnoteReference w:id="9"/>
      </w:r>
    </w:p>
    <w:p w14:paraId="4FDF16CF" w14:textId="77777777" w:rsidR="007861AA" w:rsidRDefault="00A4064D" w:rsidP="00CE753B">
      <w:pPr>
        <w:spacing w:line="276" w:lineRule="auto"/>
      </w:pPr>
      <w:r w:rsidRPr="005C7A90">
        <w:t>We also suggest the replacement of the word ‘what’ with ‘who’</w:t>
      </w:r>
      <w:r w:rsidR="006D1780" w:rsidRPr="005C7A90">
        <w:t xml:space="preserve"> to emphasise that this is about the identity of </w:t>
      </w:r>
      <w:r w:rsidR="006D1780" w:rsidRPr="005C7A90">
        <w:rPr>
          <w:i/>
        </w:rPr>
        <w:t xml:space="preserve">persons </w:t>
      </w:r>
      <w:r w:rsidR="006D1780" w:rsidRPr="005C7A90">
        <w:t>not objects</w:t>
      </w:r>
      <w:r w:rsidRPr="005C7A90">
        <w:t>:</w:t>
      </w:r>
      <w:r w:rsidR="00F52AB0" w:rsidRPr="005C7A90">
        <w:t xml:space="preserve"> </w:t>
      </w:r>
    </w:p>
    <w:p w14:paraId="4197AE64" w14:textId="537622A7" w:rsidR="00FA6E96" w:rsidRPr="005C7A90" w:rsidRDefault="008367E2" w:rsidP="00CE753B">
      <w:pPr>
        <w:spacing w:line="276" w:lineRule="auto"/>
        <w:ind w:left="360"/>
      </w:pPr>
      <w:r>
        <w:t>‘</w:t>
      </w:r>
      <w:r w:rsidR="001E6767" w:rsidRPr="005C7A90">
        <w:t xml:space="preserve">These actions and decisions constitute </w:t>
      </w:r>
      <w:r w:rsidR="001E6767" w:rsidRPr="005C7A90">
        <w:rPr>
          <w:strike/>
        </w:rPr>
        <w:t>what</w:t>
      </w:r>
      <w:r w:rsidR="001E6767" w:rsidRPr="005C7A90">
        <w:t xml:space="preserve"> </w:t>
      </w:r>
      <w:r w:rsidR="001E6767" w:rsidRPr="005C7A90">
        <w:rPr>
          <w:i/>
        </w:rPr>
        <w:t>who</w:t>
      </w:r>
      <w:r w:rsidR="001E6767" w:rsidRPr="005C7A90">
        <w:t xml:space="preserve"> we are</w:t>
      </w:r>
      <w:r>
        <w:t>’</w:t>
      </w:r>
    </w:p>
    <w:p w14:paraId="1C42FCAD" w14:textId="62AC7E98" w:rsidR="00F02DFA" w:rsidRPr="005C7A90" w:rsidRDefault="00F02DFA" w:rsidP="00CE753B">
      <w:pPr>
        <w:pStyle w:val="Heading3"/>
        <w:spacing w:line="276" w:lineRule="auto"/>
      </w:pPr>
      <w:r w:rsidRPr="005C7A90">
        <w:t>Paragraph 15(c) (page 4)</w:t>
      </w:r>
    </w:p>
    <w:p w14:paraId="600CA8F7" w14:textId="77777777" w:rsidR="004F3722" w:rsidRDefault="00C318BB" w:rsidP="00CE753B">
      <w:pPr>
        <w:spacing w:line="276" w:lineRule="auto"/>
        <w:rPr>
          <w:rFonts w:cs="Arial"/>
          <w:szCs w:val="24"/>
        </w:rPr>
      </w:pPr>
      <w:r w:rsidRPr="005C7A90">
        <w:t>We suggest the insertion of the term ‘choice’ in the first sentence in paragraph 15(</w:t>
      </w:r>
      <w:r w:rsidR="00F02DFA" w:rsidRPr="005C7A90">
        <w:t>c</w:t>
      </w:r>
      <w:r w:rsidRPr="005C7A90">
        <w:t>), so that the sentence would read:</w:t>
      </w:r>
      <w:r w:rsidR="00E73B49">
        <w:t xml:space="preserve"> </w:t>
      </w:r>
    </w:p>
    <w:p w14:paraId="71B2F836" w14:textId="77777777" w:rsidR="004F3722" w:rsidRDefault="004F3722" w:rsidP="00CE753B">
      <w:pPr>
        <w:spacing w:line="276" w:lineRule="auto"/>
        <w:ind w:left="720"/>
        <w:rPr>
          <w:rFonts w:cs="Arial"/>
          <w:szCs w:val="24"/>
        </w:rPr>
      </w:pPr>
      <w:r>
        <w:rPr>
          <w:rFonts w:cs="Arial"/>
          <w:szCs w:val="24"/>
        </w:rPr>
        <w:t>‘</w:t>
      </w:r>
      <w:r w:rsidR="00C318BB" w:rsidRPr="005C7A90">
        <w:rPr>
          <w:rFonts w:cs="Arial"/>
          <w:szCs w:val="24"/>
        </w:rPr>
        <w:t xml:space="preserve">... </w:t>
      </w:r>
      <w:r w:rsidR="00F02DFA" w:rsidRPr="005C7A90">
        <w:rPr>
          <w:rFonts w:cs="Arial"/>
          <w:szCs w:val="24"/>
        </w:rPr>
        <w:t xml:space="preserve">it is first and foremost, about losing </w:t>
      </w:r>
      <w:r w:rsidR="00F02DFA" w:rsidRPr="005C7A90">
        <w:rPr>
          <w:rFonts w:cs="Arial"/>
          <w:i/>
          <w:szCs w:val="24"/>
        </w:rPr>
        <w:t>choice and</w:t>
      </w:r>
      <w:r w:rsidR="00F02DFA" w:rsidRPr="005C7A90">
        <w:rPr>
          <w:rFonts w:cs="Arial"/>
          <w:szCs w:val="24"/>
        </w:rPr>
        <w:t xml:space="preserve"> </w:t>
      </w:r>
      <w:r w:rsidR="00C318BB" w:rsidRPr="005C7A90">
        <w:rPr>
          <w:rFonts w:cs="Arial"/>
          <w:szCs w:val="24"/>
        </w:rPr>
        <w:t xml:space="preserve">control </w:t>
      </w:r>
      <w:r w:rsidR="00F02DFA" w:rsidRPr="005C7A90">
        <w:rPr>
          <w:rFonts w:cs="Arial"/>
          <w:szCs w:val="24"/>
        </w:rPr>
        <w:t xml:space="preserve">as a result of the imposition of a certain </w:t>
      </w:r>
      <w:r w:rsidR="00C318BB" w:rsidRPr="005C7A90">
        <w:rPr>
          <w:rFonts w:cs="Arial"/>
          <w:szCs w:val="24"/>
        </w:rPr>
        <w:t>liv</w:t>
      </w:r>
      <w:r w:rsidR="00F02DFA" w:rsidRPr="005C7A90">
        <w:rPr>
          <w:rFonts w:cs="Arial"/>
          <w:szCs w:val="24"/>
        </w:rPr>
        <w:t xml:space="preserve">ing </w:t>
      </w:r>
      <w:r w:rsidR="000A2F9F" w:rsidRPr="005C7A90">
        <w:rPr>
          <w:rFonts w:cs="Arial"/>
          <w:szCs w:val="24"/>
        </w:rPr>
        <w:t>arrangement</w:t>
      </w:r>
      <w:r>
        <w:rPr>
          <w:rFonts w:cs="Arial"/>
          <w:szCs w:val="24"/>
        </w:rPr>
        <w:t>’</w:t>
      </w:r>
    </w:p>
    <w:p w14:paraId="7527B4AD" w14:textId="586638B2" w:rsidR="006E44C0" w:rsidRPr="005C7A90" w:rsidRDefault="00F24515" w:rsidP="00CE753B">
      <w:pPr>
        <w:spacing w:line="276" w:lineRule="auto"/>
        <w:rPr>
          <w:rFonts w:cs="Arial"/>
          <w:szCs w:val="24"/>
        </w:rPr>
      </w:pPr>
      <w:r w:rsidRPr="005C7A90">
        <w:rPr>
          <w:rFonts w:cs="Arial"/>
          <w:szCs w:val="24"/>
        </w:rPr>
        <w:t>This is f</w:t>
      </w:r>
      <w:r w:rsidR="006E44C0" w:rsidRPr="005C7A90">
        <w:rPr>
          <w:rFonts w:cs="Arial"/>
          <w:szCs w:val="24"/>
        </w:rPr>
        <w:t xml:space="preserve">or the same reasons as </w:t>
      </w:r>
      <w:r w:rsidR="004F3722">
        <w:rPr>
          <w:rFonts w:cs="Arial"/>
          <w:szCs w:val="24"/>
        </w:rPr>
        <w:t xml:space="preserve">for paragraph 15(a), </w:t>
      </w:r>
      <w:r w:rsidR="006E44C0" w:rsidRPr="005C7A90">
        <w:rPr>
          <w:rFonts w:cs="Arial"/>
          <w:szCs w:val="24"/>
        </w:rPr>
        <w:t>above.</w:t>
      </w:r>
    </w:p>
    <w:p w14:paraId="477B8933" w14:textId="77777777" w:rsidR="004F3722" w:rsidRDefault="00BA49CC" w:rsidP="00CE753B">
      <w:pPr>
        <w:spacing w:line="276" w:lineRule="auto"/>
      </w:pPr>
      <w:r w:rsidRPr="005C7A90">
        <w:t xml:space="preserve">We </w:t>
      </w:r>
      <w:r w:rsidR="006E44C0" w:rsidRPr="005C7A90">
        <w:t xml:space="preserve">also </w:t>
      </w:r>
      <w:r w:rsidRPr="005C7A90">
        <w:t>suggest the following amendment:</w:t>
      </w:r>
      <w:r w:rsidR="00E73B49">
        <w:t xml:space="preserve"> </w:t>
      </w:r>
    </w:p>
    <w:p w14:paraId="264DDF61" w14:textId="61B57753" w:rsidR="00C64999" w:rsidRPr="005C7A90" w:rsidRDefault="004F3722" w:rsidP="00CE753B">
      <w:pPr>
        <w:spacing w:line="276" w:lineRule="auto"/>
        <w:ind w:left="720"/>
      </w:pPr>
      <w:r>
        <w:t>‘</w:t>
      </w:r>
      <w:r w:rsidR="00BA49CC" w:rsidRPr="005C7A90">
        <w:t>neither large scale institutions with more than a hundred residents</w:t>
      </w:r>
      <w:r w:rsidR="00AD3EDB" w:rsidRPr="005C7A90">
        <w:t>,</w:t>
      </w:r>
      <w:r w:rsidR="00BA49CC" w:rsidRPr="005C7A90">
        <w:t xml:space="preserve"> nor smaller group homes with five to eight individuals</w:t>
      </w:r>
      <w:r w:rsidR="00AD3EDB" w:rsidRPr="005C7A90">
        <w:t xml:space="preserve">, </w:t>
      </w:r>
      <w:r w:rsidR="00AD3EDB" w:rsidRPr="005C7A90">
        <w:rPr>
          <w:i/>
        </w:rPr>
        <w:t xml:space="preserve">nor even individual homes </w:t>
      </w:r>
      <w:r w:rsidR="00BA49CC" w:rsidRPr="005C7A90">
        <w:t>can be called independent living or community living arrangements</w:t>
      </w:r>
      <w:r w:rsidR="00AD3EDB" w:rsidRPr="005C7A90">
        <w:t xml:space="preserve"> </w:t>
      </w:r>
      <w:r w:rsidR="00AD3EDB" w:rsidRPr="005C7A90">
        <w:rPr>
          <w:i/>
        </w:rPr>
        <w:t>if the living arrangements have other de</w:t>
      </w:r>
      <w:r w:rsidR="009D2BF7">
        <w:rPr>
          <w:i/>
        </w:rPr>
        <w:t>fining elements of institutions</w:t>
      </w:r>
      <w:r w:rsidRPr="009D2BF7">
        <w:rPr>
          <w:i/>
        </w:rPr>
        <w:t>’</w:t>
      </w:r>
    </w:p>
    <w:p w14:paraId="61F4934E" w14:textId="7B138218" w:rsidR="00BA49CC" w:rsidRPr="005C7A90" w:rsidRDefault="00BA49CC" w:rsidP="00CE753B">
      <w:pPr>
        <w:spacing w:line="276" w:lineRule="auto"/>
      </w:pPr>
      <w:r w:rsidRPr="005C7A90">
        <w:t>This is because our experience in the UK is that some individuals may be moved into so-called independent living accommodation against their will, and although they may live alone or with one or two others</w:t>
      </w:r>
      <w:r w:rsidR="0035052C" w:rsidRPr="005C7A90">
        <w:t>,</w:t>
      </w:r>
      <w:r w:rsidRPr="005C7A90">
        <w:t xml:space="preserve"> their care arrangements may have many hallmarks of </w:t>
      </w:r>
      <w:r w:rsidR="0035052C" w:rsidRPr="005C7A90">
        <w:t>institutionalisation</w:t>
      </w:r>
      <w:r w:rsidR="00491D6F" w:rsidRPr="005C7A90">
        <w:t xml:space="preserve">. </w:t>
      </w:r>
      <w:r w:rsidR="00AD3EDB" w:rsidRPr="005C7A90">
        <w:t xml:space="preserve">For example, they may have little real choice over who provides their support, or the terms upon which that support is provided, they may be required to live according to rules imposed and enforced by care providers, or subject to other restrictions or forms of surveillance that would not ordinarily be imposed on non-disabled adults living in their own homes. </w:t>
      </w:r>
      <w:r w:rsidRPr="005C7A90">
        <w:t xml:space="preserve">There is a growing tendency of </w:t>
      </w:r>
      <w:r w:rsidR="00E73B49">
        <w:t xml:space="preserve">‘supported living’ </w:t>
      </w:r>
      <w:r w:rsidRPr="005C7A90">
        <w:t xml:space="preserve">providers to purchase or build blocks of flats intended for individual </w:t>
      </w:r>
      <w:r w:rsidR="0035052C" w:rsidRPr="005C7A90">
        <w:t>inhabitation</w:t>
      </w:r>
      <w:r w:rsidR="00F467F0" w:rsidRPr="005C7A90">
        <w:t xml:space="preserve">, which </w:t>
      </w:r>
      <w:r w:rsidRPr="005C7A90">
        <w:t xml:space="preserve">are marketed as for independent living, but because they are </w:t>
      </w:r>
      <w:r w:rsidRPr="005C7A90">
        <w:rPr>
          <w:i/>
        </w:rPr>
        <w:t xml:space="preserve">only </w:t>
      </w:r>
      <w:r w:rsidRPr="005C7A90">
        <w:t>for disabled users of care services they still have a segregative character.</w:t>
      </w:r>
      <w:r w:rsidR="006F731D" w:rsidRPr="005C7A90">
        <w:t xml:space="preserve"> </w:t>
      </w:r>
    </w:p>
    <w:p w14:paraId="307C1992" w14:textId="72D9E4CB" w:rsidR="00B91DC2" w:rsidRPr="005C7A90" w:rsidRDefault="001612C1" w:rsidP="00CE753B">
      <w:pPr>
        <w:pStyle w:val="Heading3"/>
        <w:spacing w:line="276" w:lineRule="auto"/>
      </w:pPr>
      <w:r w:rsidRPr="005C7A90">
        <w:t xml:space="preserve">Paragraphs 15(a) – 15(c) (pages </w:t>
      </w:r>
      <w:r w:rsidR="00300B47" w:rsidRPr="005C7A90">
        <w:t>4-5)</w:t>
      </w:r>
    </w:p>
    <w:p w14:paraId="3A272C60" w14:textId="3672BC12" w:rsidR="00D2425B" w:rsidRDefault="002B69AF" w:rsidP="00CE753B">
      <w:pPr>
        <w:spacing w:line="276" w:lineRule="auto"/>
      </w:pPr>
      <w:r w:rsidRPr="005C7A90">
        <w:t>We agree with the definition and explanation of</w:t>
      </w:r>
      <w:r w:rsidR="006907DD" w:rsidRPr="005C7A90">
        <w:t xml:space="preserve"> the concept of</w:t>
      </w:r>
      <w:r w:rsidRPr="005C7A90">
        <w:t xml:space="preserve"> </w:t>
      </w:r>
      <w:r w:rsidR="006907DD" w:rsidRPr="005C7A90">
        <w:t>‘</w:t>
      </w:r>
      <w:r w:rsidRPr="005C7A90">
        <w:t>independent living</w:t>
      </w:r>
      <w:r w:rsidR="006907DD" w:rsidRPr="005C7A90">
        <w:t>’</w:t>
      </w:r>
      <w:r w:rsidRPr="005C7A90">
        <w:t xml:space="preserve"> </w:t>
      </w:r>
      <w:r w:rsidR="00A81629" w:rsidRPr="005C7A90">
        <w:t>as set out</w:t>
      </w:r>
      <w:r w:rsidRPr="005C7A90">
        <w:t xml:space="preserve"> in para</w:t>
      </w:r>
      <w:r w:rsidR="006907DD" w:rsidRPr="005C7A90">
        <w:t>graph</w:t>
      </w:r>
      <w:r w:rsidRPr="005C7A90">
        <w:t>s 15(a)-</w:t>
      </w:r>
      <w:r w:rsidR="006907DD" w:rsidRPr="005C7A90">
        <w:t>15</w:t>
      </w:r>
      <w:r w:rsidRPr="005C7A90">
        <w:t xml:space="preserve">(c). </w:t>
      </w:r>
      <w:r w:rsidR="006907DD" w:rsidRPr="005C7A90">
        <w:t>N</w:t>
      </w:r>
      <w:r w:rsidRPr="005C7A90">
        <w:t>ever</w:t>
      </w:r>
      <w:r w:rsidR="006907DD" w:rsidRPr="005C7A90">
        <w:t>theless</w:t>
      </w:r>
      <w:r w:rsidRPr="005C7A90">
        <w:t xml:space="preserve">, we </w:t>
      </w:r>
      <w:r w:rsidR="006907DD" w:rsidRPr="005C7A90">
        <w:t>are of the view</w:t>
      </w:r>
      <w:r w:rsidRPr="005C7A90">
        <w:t xml:space="preserve"> that </w:t>
      </w:r>
      <w:r w:rsidR="00772D68" w:rsidRPr="005C7A90">
        <w:t xml:space="preserve">greater emphasis should be placed </w:t>
      </w:r>
      <w:r w:rsidR="002D52B2" w:rsidRPr="005C7A90">
        <w:t xml:space="preserve">on the </w:t>
      </w:r>
      <w:r w:rsidR="006907DD" w:rsidRPr="005C7A90">
        <w:t xml:space="preserve">important </w:t>
      </w:r>
      <w:r w:rsidR="002D52B2" w:rsidRPr="005C7A90">
        <w:t xml:space="preserve">point that independent living does not relate to the ability of people to carry out activities of daily living </w:t>
      </w:r>
      <w:r w:rsidR="00A605C7">
        <w:t xml:space="preserve">(sometimes referred to in the UK as “independent living skills”) </w:t>
      </w:r>
      <w:r w:rsidR="00A81629" w:rsidRPr="005C7A90">
        <w:t>or</w:t>
      </w:r>
      <w:r w:rsidR="007230BD" w:rsidRPr="005C7A90">
        <w:t xml:space="preserve"> to</w:t>
      </w:r>
      <w:r w:rsidR="00A81629" w:rsidRPr="005C7A90">
        <w:t xml:space="preserve"> live </w:t>
      </w:r>
      <w:r w:rsidR="002D52B2" w:rsidRPr="005C7A90">
        <w:t>without support.</w:t>
      </w:r>
      <w:r w:rsidR="004F30ED" w:rsidRPr="005C7A90">
        <w:t xml:space="preserve"> </w:t>
      </w:r>
    </w:p>
    <w:p w14:paraId="111612E7" w14:textId="77777777" w:rsidR="0067196F" w:rsidRDefault="00D2425B" w:rsidP="00CE753B">
      <w:pPr>
        <w:spacing w:line="276" w:lineRule="auto"/>
      </w:pPr>
      <w:r>
        <w:t>I</w:t>
      </w:r>
      <w:r w:rsidR="002D52B2" w:rsidRPr="005C7A90">
        <w:t>n the UK, disabled people have been alert for decades to the risks of the appropriation of their language of choice.</w:t>
      </w:r>
      <w:r w:rsidR="000532A5" w:rsidRPr="005C7A90">
        <w:rPr>
          <w:rStyle w:val="FootnoteReference"/>
          <w:rFonts w:cs="Arial"/>
          <w:szCs w:val="24"/>
        </w:rPr>
        <w:footnoteReference w:id="10"/>
      </w:r>
      <w:r w:rsidR="00F01DFC">
        <w:t xml:space="preserve"> </w:t>
      </w:r>
      <w:r w:rsidR="001B1228" w:rsidRPr="005C7A90">
        <w:t>Experience demonstrates that</w:t>
      </w:r>
      <w:r w:rsidR="004F30ED" w:rsidRPr="005C7A90">
        <w:t xml:space="preserve"> </w:t>
      </w:r>
      <w:r w:rsidR="002D52B2" w:rsidRPr="005C7A90">
        <w:t xml:space="preserve">ideas and language of the </w:t>
      </w:r>
      <w:r w:rsidR="001B1228" w:rsidRPr="005C7A90">
        <w:t>D</w:t>
      </w:r>
      <w:r w:rsidR="002D52B2" w:rsidRPr="005C7A90">
        <w:t xml:space="preserve">isabled </w:t>
      </w:r>
      <w:r w:rsidR="001B1228" w:rsidRPr="005C7A90">
        <w:t>P</w:t>
      </w:r>
      <w:r w:rsidR="002D52B2" w:rsidRPr="005C7A90">
        <w:t xml:space="preserve">eople’s </w:t>
      </w:r>
      <w:r w:rsidR="001B1228" w:rsidRPr="005C7A90">
        <w:t>M</w:t>
      </w:r>
      <w:r w:rsidR="002D52B2" w:rsidRPr="005C7A90">
        <w:t>ovement</w:t>
      </w:r>
      <w:r w:rsidR="0060117F" w:rsidRPr="005C7A90">
        <w:t xml:space="preserve"> in the UK</w:t>
      </w:r>
      <w:r w:rsidR="002D52B2" w:rsidRPr="005C7A90">
        <w:t xml:space="preserve">, including </w:t>
      </w:r>
      <w:r w:rsidR="00E94453" w:rsidRPr="005C7A90">
        <w:t xml:space="preserve">that of </w:t>
      </w:r>
      <w:r w:rsidR="002D52B2" w:rsidRPr="005C7A90">
        <w:t>independent living, have been ‘colonised and corrupted’</w:t>
      </w:r>
      <w:r w:rsidR="00A605C7">
        <w:t>.</w:t>
      </w:r>
      <w:r w:rsidR="00A605C7">
        <w:rPr>
          <w:rStyle w:val="FootnoteReference"/>
        </w:rPr>
        <w:footnoteReference w:id="11"/>
      </w:r>
      <w:r w:rsidR="00E94453" w:rsidRPr="005C7A90">
        <w:t xml:space="preserve"> </w:t>
      </w:r>
      <w:r w:rsidR="000737AD" w:rsidRPr="005C7A90">
        <w:t>Research carried out</w:t>
      </w:r>
      <w:r w:rsidR="00F41E5B" w:rsidRPr="005C7A90">
        <w:t xml:space="preserve"> at Cardiff University School </w:t>
      </w:r>
      <w:r w:rsidR="000737AD" w:rsidRPr="005C7A90">
        <w:t xml:space="preserve">of Law and Politics </w:t>
      </w:r>
      <w:r w:rsidR="00F41E5B" w:rsidRPr="005C7A90">
        <w:t>has found that there is evidence for these concerns</w:t>
      </w:r>
      <w:r w:rsidR="008026E3" w:rsidRPr="005C7A90">
        <w:t xml:space="preserve">. </w:t>
      </w:r>
    </w:p>
    <w:p w14:paraId="239F8EE6" w14:textId="1EB07BC2" w:rsidR="005B5010" w:rsidRPr="005C7A90" w:rsidRDefault="008026E3" w:rsidP="00CE753B">
      <w:pPr>
        <w:spacing w:line="276" w:lineRule="auto"/>
      </w:pPr>
      <w:r w:rsidRPr="005C7A90">
        <w:t xml:space="preserve">While independent living has been </w:t>
      </w:r>
      <w:r w:rsidR="00547B66" w:rsidRPr="005C7A90">
        <w:t xml:space="preserve">strongly </w:t>
      </w:r>
      <w:r w:rsidRPr="005C7A90">
        <w:t xml:space="preserve">referenced and </w:t>
      </w:r>
      <w:r w:rsidR="00547B66" w:rsidRPr="005C7A90">
        <w:t xml:space="preserve">developed </w:t>
      </w:r>
      <w:r w:rsidRPr="005C7A90">
        <w:t xml:space="preserve">within policy documents in </w:t>
      </w:r>
      <w:r w:rsidR="003D2B25">
        <w:t>the UK</w:t>
      </w:r>
      <w:r w:rsidRPr="005C7A90">
        <w:t>, drawing on definitions provided by disabled people,</w:t>
      </w:r>
      <w:r w:rsidR="00B41A1C" w:rsidRPr="005C7A90">
        <w:rPr>
          <w:rStyle w:val="FootnoteReference"/>
          <w:rFonts w:cs="Arial"/>
          <w:szCs w:val="24"/>
        </w:rPr>
        <w:footnoteReference w:id="12"/>
      </w:r>
      <w:r w:rsidRPr="005C7A90">
        <w:t xml:space="preserve"> </w:t>
      </w:r>
      <w:r w:rsidR="004A1DE4" w:rsidRPr="005C7A90">
        <w:t xml:space="preserve">the </w:t>
      </w:r>
      <w:r w:rsidRPr="005C7A90">
        <w:t xml:space="preserve">meanings ascribed to ‘independence’ </w:t>
      </w:r>
      <w:r w:rsidR="00C720FB" w:rsidRPr="005C7A90">
        <w:t xml:space="preserve">in these documents </w:t>
      </w:r>
      <w:r w:rsidRPr="005C7A90">
        <w:t>slide between different ideas including self-determination and self-reliance</w:t>
      </w:r>
      <w:r w:rsidR="0029775C">
        <w:t>.</w:t>
      </w:r>
      <w:r w:rsidR="0029775C">
        <w:rPr>
          <w:rStyle w:val="FootnoteReference"/>
        </w:rPr>
        <w:footnoteReference w:id="13"/>
      </w:r>
      <w:r w:rsidRPr="005C7A90">
        <w:t xml:space="preserve"> While </w:t>
      </w:r>
      <w:r w:rsidR="004A1DE4" w:rsidRPr="005C7A90">
        <w:t xml:space="preserve">the term </w:t>
      </w:r>
      <w:r w:rsidRPr="005C7A90">
        <w:t>‘independence’ may be used synonymously</w:t>
      </w:r>
      <w:r w:rsidR="004A1DE4" w:rsidRPr="005C7A90">
        <w:t xml:space="preserve"> in these documents</w:t>
      </w:r>
      <w:r w:rsidRPr="005C7A90">
        <w:t xml:space="preserve"> with </w:t>
      </w:r>
      <w:r w:rsidR="004A1DE4" w:rsidRPr="005C7A90">
        <w:t xml:space="preserve">the phrase </w:t>
      </w:r>
      <w:r w:rsidRPr="005C7A90">
        <w:t xml:space="preserve">‘independent living’, it is also used </w:t>
      </w:r>
      <w:r w:rsidR="00C720FB" w:rsidRPr="005C7A90">
        <w:t xml:space="preserve">in the same </w:t>
      </w:r>
      <w:r w:rsidR="00041BB3" w:rsidRPr="005C7A90">
        <w:t xml:space="preserve">documents </w:t>
      </w:r>
      <w:r w:rsidRPr="005C7A90">
        <w:t>to refer to self-reliance in daily activities.</w:t>
      </w:r>
      <w:r w:rsidR="00F01DFC">
        <w:t xml:space="preserve"> </w:t>
      </w:r>
      <w:r w:rsidR="0081413D" w:rsidRPr="005C7A90">
        <w:t xml:space="preserve">This creates </w:t>
      </w:r>
      <w:r w:rsidR="00DB754C" w:rsidRPr="005C7A90">
        <w:t xml:space="preserve">a dual </w:t>
      </w:r>
      <w:r w:rsidR="0081413D" w:rsidRPr="005C7A90">
        <w:t>risk</w:t>
      </w:r>
      <w:r w:rsidR="00DB754C" w:rsidRPr="005C7A90">
        <w:t>, first</w:t>
      </w:r>
      <w:r w:rsidR="0081413D" w:rsidRPr="005C7A90">
        <w:t xml:space="preserve"> that the construction of independent living as it is </w:t>
      </w:r>
      <w:r w:rsidR="00C720FB" w:rsidRPr="005C7A90">
        <w:t>established</w:t>
      </w:r>
      <w:r w:rsidR="0081413D" w:rsidRPr="005C7A90">
        <w:t xml:space="preserve"> in Article 19 </w:t>
      </w:r>
      <w:r w:rsidR="00DB754C" w:rsidRPr="005C7A90">
        <w:t xml:space="preserve">is open to misinterpretation </w:t>
      </w:r>
      <w:r w:rsidR="0081413D" w:rsidRPr="005C7A90">
        <w:t>and</w:t>
      </w:r>
      <w:r w:rsidR="00BB0403" w:rsidRPr="005C7A90">
        <w:t xml:space="preserve"> secondly </w:t>
      </w:r>
      <w:r w:rsidR="0081413D" w:rsidRPr="005C7A90">
        <w:t xml:space="preserve">that the ideas of independent living and self-reliance may be </w:t>
      </w:r>
      <w:r w:rsidR="005B5010" w:rsidRPr="005C7A90">
        <w:t>deliberately or unintentionally</w:t>
      </w:r>
      <w:r w:rsidR="00FE7747" w:rsidRPr="005C7A90">
        <w:t xml:space="preserve"> merged</w:t>
      </w:r>
      <w:r w:rsidR="0081413D" w:rsidRPr="005C7A90">
        <w:t>.</w:t>
      </w:r>
      <w:r w:rsidR="005B5010" w:rsidRPr="005C7A90">
        <w:t xml:space="preserve"> </w:t>
      </w:r>
      <w:r w:rsidR="00733F42" w:rsidRPr="005C7A90">
        <w:t>W</w:t>
      </w:r>
      <w:r w:rsidR="00A70503" w:rsidRPr="005C7A90">
        <w:t xml:space="preserve">e would like to </w:t>
      </w:r>
      <w:r w:rsidR="00990837" w:rsidRPr="005C7A90">
        <w:t>draw attention to</w:t>
      </w:r>
      <w:r w:rsidR="00A70503" w:rsidRPr="005C7A90">
        <w:t xml:space="preserve"> </w:t>
      </w:r>
      <w:r w:rsidR="00BB0403" w:rsidRPr="005C7A90">
        <w:t xml:space="preserve">the possibility </w:t>
      </w:r>
      <w:r w:rsidR="00A70503" w:rsidRPr="005C7A90">
        <w:t>that w</w:t>
      </w:r>
      <w:r w:rsidR="001F25BB" w:rsidRPr="005C7A90">
        <w:t>here</w:t>
      </w:r>
      <w:r w:rsidR="005B5010" w:rsidRPr="005C7A90">
        <w:t xml:space="preserve"> </w:t>
      </w:r>
      <w:r w:rsidR="00DB754C" w:rsidRPr="005C7A90">
        <w:t xml:space="preserve">the term </w:t>
      </w:r>
      <w:r w:rsidR="001F25BB" w:rsidRPr="005C7A90">
        <w:t>‘</w:t>
      </w:r>
      <w:r w:rsidR="005B5010" w:rsidRPr="005C7A90">
        <w:t>independence</w:t>
      </w:r>
      <w:r w:rsidR="001F25BB" w:rsidRPr="005C7A90">
        <w:t>’</w:t>
      </w:r>
      <w:r w:rsidR="005B5010" w:rsidRPr="005C7A90">
        <w:t xml:space="preserve"> is not clearly defined</w:t>
      </w:r>
      <w:r w:rsidR="009E2292" w:rsidRPr="005C7A90">
        <w:t xml:space="preserve"> within the context of ‘independent living’</w:t>
      </w:r>
      <w:r w:rsidR="005B5010" w:rsidRPr="005C7A90">
        <w:t>, there is a</w:t>
      </w:r>
      <w:r w:rsidR="00440F5C" w:rsidRPr="005C7A90">
        <w:t xml:space="preserve"> real</w:t>
      </w:r>
      <w:r w:rsidR="005B5010" w:rsidRPr="005C7A90">
        <w:t xml:space="preserve"> risk that </w:t>
      </w:r>
      <w:r w:rsidR="004152AA" w:rsidRPr="005C7A90">
        <w:t xml:space="preserve">the </w:t>
      </w:r>
      <w:r w:rsidR="00010D0E" w:rsidRPr="005C7A90">
        <w:t xml:space="preserve">use and </w:t>
      </w:r>
      <w:r w:rsidR="004152AA" w:rsidRPr="005C7A90">
        <w:t xml:space="preserve">deployment of </w:t>
      </w:r>
      <w:r w:rsidR="007F5C90" w:rsidRPr="005C7A90">
        <w:t>this language</w:t>
      </w:r>
      <w:r w:rsidR="001866F0" w:rsidRPr="005C7A90">
        <w:t xml:space="preserve"> and terminology</w:t>
      </w:r>
      <w:r w:rsidR="004152AA" w:rsidRPr="005C7A90">
        <w:t xml:space="preserve"> in </w:t>
      </w:r>
      <w:r w:rsidR="00592913" w:rsidRPr="005C7A90">
        <w:t>policy</w:t>
      </w:r>
      <w:r w:rsidR="001866F0" w:rsidRPr="005C7A90">
        <w:t xml:space="preserve"> and legislation</w:t>
      </w:r>
      <w:r w:rsidR="00592913" w:rsidRPr="005C7A90">
        <w:t xml:space="preserve"> may </w:t>
      </w:r>
      <w:r w:rsidR="00592913" w:rsidRPr="005C7A90">
        <w:rPr>
          <w:i/>
        </w:rPr>
        <w:t>appear</w:t>
      </w:r>
      <w:r w:rsidR="00592913" w:rsidRPr="005C7A90">
        <w:t xml:space="preserve"> to be reproducing the ideas of the </w:t>
      </w:r>
      <w:r w:rsidR="007F3D50" w:rsidRPr="005C7A90">
        <w:t>D</w:t>
      </w:r>
      <w:r w:rsidR="00592913" w:rsidRPr="005C7A90">
        <w:t xml:space="preserve">isabled </w:t>
      </w:r>
      <w:r w:rsidR="007F3D50" w:rsidRPr="005C7A90">
        <w:t>P</w:t>
      </w:r>
      <w:r w:rsidR="00592913" w:rsidRPr="005C7A90">
        <w:t xml:space="preserve">eople’s </w:t>
      </w:r>
      <w:r w:rsidR="007F3D50" w:rsidRPr="005C7A90">
        <w:t>M</w:t>
      </w:r>
      <w:r w:rsidR="00592913" w:rsidRPr="005C7A90">
        <w:t xml:space="preserve">ovement </w:t>
      </w:r>
      <w:r w:rsidR="003B66B2" w:rsidRPr="005C7A90">
        <w:t>while having</w:t>
      </w:r>
      <w:r w:rsidR="001A0F03" w:rsidRPr="005C7A90">
        <w:t xml:space="preserve"> the effect of </w:t>
      </w:r>
      <w:r w:rsidR="00943054" w:rsidRPr="005C7A90">
        <w:t>referring to</w:t>
      </w:r>
      <w:r w:rsidR="0088685F" w:rsidRPr="005C7A90">
        <w:t xml:space="preserve"> ideas of self-reliance in daily life</w:t>
      </w:r>
      <w:r w:rsidR="0029775C">
        <w:t>.</w:t>
      </w:r>
      <w:r w:rsidR="0029775C">
        <w:rPr>
          <w:rStyle w:val="FootnoteReference"/>
        </w:rPr>
        <w:footnoteReference w:id="14"/>
      </w:r>
      <w:r w:rsidR="0088685F" w:rsidRPr="005C7A90">
        <w:t xml:space="preserve"> </w:t>
      </w:r>
      <w:r w:rsidR="001A0F03" w:rsidRPr="005C7A90">
        <w:t xml:space="preserve">We argue that employing </w:t>
      </w:r>
      <w:r w:rsidR="0088685F" w:rsidRPr="005C7A90">
        <w:t xml:space="preserve">the phrase ‘independent living’ </w:t>
      </w:r>
      <w:r w:rsidR="001A0F03" w:rsidRPr="005C7A90">
        <w:t>(</w:t>
      </w:r>
      <w:r w:rsidR="0088685F" w:rsidRPr="005C7A90">
        <w:t>or ‘living independently’</w:t>
      </w:r>
      <w:r w:rsidR="001A0F03" w:rsidRPr="005C7A90">
        <w:t>)</w:t>
      </w:r>
      <w:r w:rsidR="0088685F" w:rsidRPr="005C7A90">
        <w:t xml:space="preserve"> reduces</w:t>
      </w:r>
      <w:r w:rsidR="00AD73C8" w:rsidRPr="005C7A90">
        <w:t xml:space="preserve"> </w:t>
      </w:r>
      <w:r w:rsidR="0088685F" w:rsidRPr="005C7A90">
        <w:t xml:space="preserve">this risk. </w:t>
      </w:r>
    </w:p>
    <w:p w14:paraId="2AB261BD" w14:textId="04FE9BD9" w:rsidR="000B41C3" w:rsidRPr="005C7A90" w:rsidRDefault="0060117F" w:rsidP="00CE753B">
      <w:pPr>
        <w:pStyle w:val="Heading3"/>
        <w:spacing w:line="276" w:lineRule="auto"/>
      </w:pPr>
      <w:r w:rsidRPr="005C7A90">
        <w:t>Paragraphs 5</w:t>
      </w:r>
      <w:r w:rsidR="00714A89" w:rsidRPr="005C7A90">
        <w:t xml:space="preserve"> and </w:t>
      </w:r>
      <w:r w:rsidRPr="005C7A90">
        <w:t>59</w:t>
      </w:r>
    </w:p>
    <w:p w14:paraId="7AA5A6AA" w14:textId="6303A1EA" w:rsidR="00DE40A6" w:rsidRDefault="0067196F" w:rsidP="00CE753B">
      <w:pPr>
        <w:spacing w:line="276" w:lineRule="auto"/>
      </w:pPr>
      <w:r>
        <w:t>W</w:t>
      </w:r>
      <w:r w:rsidR="00733F42" w:rsidRPr="005C7A90">
        <w:t xml:space="preserve">e suggest that where resources and eligibility are discussed, the General Comment </w:t>
      </w:r>
      <w:r w:rsidR="0060117F" w:rsidRPr="005C7A90">
        <w:t xml:space="preserve">should </w:t>
      </w:r>
      <w:r w:rsidR="00733F42" w:rsidRPr="005C7A90">
        <w:t xml:space="preserve">provide a reminder that independent living is not connected to the </w:t>
      </w:r>
      <w:r w:rsidR="004E530B" w:rsidRPr="005C7A90">
        <w:t xml:space="preserve">requirement to live without (or with reduced) support. </w:t>
      </w:r>
      <w:r w:rsidR="007040AC" w:rsidRPr="005C7A90">
        <w:t xml:space="preserve">Paragraph 5 notes that independent living </w:t>
      </w:r>
      <w:r w:rsidR="00DE40A6">
        <w:t>‘</w:t>
      </w:r>
      <w:r w:rsidR="007040AC" w:rsidRPr="005C7A90">
        <w:t>represent[s] a cost-effective mechanism</w:t>
      </w:r>
      <w:r w:rsidR="00B81253" w:rsidRPr="005C7A90">
        <w:t xml:space="preserve"> to ensure sustainable development and eradicate poverty</w:t>
      </w:r>
      <w:r w:rsidR="00DE40A6">
        <w:t>’</w:t>
      </w:r>
      <w:r w:rsidR="008367E2">
        <w:t>,</w:t>
      </w:r>
      <w:r w:rsidR="00DE40A6">
        <w:rPr>
          <w:rStyle w:val="FootnoteReference"/>
        </w:rPr>
        <w:footnoteReference w:id="15"/>
      </w:r>
      <w:r w:rsidR="001A5AB2" w:rsidRPr="005C7A90">
        <w:t xml:space="preserve"> and paragraph 59 discusses eligibility criteria. At times when </w:t>
      </w:r>
      <w:r w:rsidR="00D727DA" w:rsidRPr="005C7A90">
        <w:t>States</w:t>
      </w:r>
      <w:r w:rsidR="008517CA">
        <w:t>’</w:t>
      </w:r>
      <w:r w:rsidR="00D727DA" w:rsidRPr="005C7A90">
        <w:t xml:space="preserve"> </w:t>
      </w:r>
      <w:r w:rsidR="001A5AB2" w:rsidRPr="005C7A90">
        <w:t xml:space="preserve">resources </w:t>
      </w:r>
      <w:r w:rsidR="00D727DA" w:rsidRPr="005C7A90">
        <w:t>may be</w:t>
      </w:r>
      <w:r w:rsidR="00F01DFC">
        <w:t xml:space="preserve"> </w:t>
      </w:r>
      <w:r w:rsidR="001A5AB2" w:rsidRPr="005C7A90">
        <w:t>highly restricted and/or governments seek to reduce reliance on public sector provision, there is a risk that ‘independence’ (and even ‘independent living’) may be interpreted as the ability to be (more) self-sufficient in daily activities.</w:t>
      </w:r>
      <w:r w:rsidR="00427A20" w:rsidRPr="005C7A90">
        <w:t xml:space="preserve"> </w:t>
      </w:r>
    </w:p>
    <w:p w14:paraId="6D207428" w14:textId="0EC7E650" w:rsidR="00AC2771" w:rsidRPr="005C7A90" w:rsidRDefault="00D727DA" w:rsidP="00CE753B">
      <w:pPr>
        <w:spacing w:line="276" w:lineRule="auto"/>
      </w:pPr>
      <w:r w:rsidRPr="005C7A90">
        <w:t xml:space="preserve">For example, in the UK this has been vividly illustrated by the recent case </w:t>
      </w:r>
      <w:r w:rsidRPr="005C7A90">
        <w:rPr>
          <w:i/>
        </w:rPr>
        <w:t>R (Davey) v Oxfordshire CC</w:t>
      </w:r>
      <w:r w:rsidR="00E27F62" w:rsidRPr="008F3D1E">
        <w:t>.</w:t>
      </w:r>
      <w:r w:rsidR="008517CA" w:rsidRPr="008F3D1E">
        <w:rPr>
          <w:rStyle w:val="FootnoteReference"/>
        </w:rPr>
        <w:footnoteReference w:id="16"/>
      </w:r>
      <w:r w:rsidRPr="008F3D1E">
        <w:t xml:space="preserve"> </w:t>
      </w:r>
      <w:r w:rsidRPr="005C7A90">
        <w:t xml:space="preserve">This was the first case to test the </w:t>
      </w:r>
      <w:r w:rsidR="00AB0A1A" w:rsidRPr="005C7A90">
        <w:t>‘</w:t>
      </w:r>
      <w:r w:rsidRPr="005C7A90">
        <w:t>wellbeing principle</w:t>
      </w:r>
      <w:r w:rsidR="00DE40A6">
        <w:t>’</w:t>
      </w:r>
      <w:r w:rsidRPr="005C7A90">
        <w:t xml:space="preserve"> in the </w:t>
      </w:r>
      <w:r w:rsidR="00AB0A1A" w:rsidRPr="005C7A90">
        <w:t xml:space="preserve">English </w:t>
      </w:r>
      <w:r w:rsidRPr="005C7A90">
        <w:t>Care Act 2014, which</w:t>
      </w:r>
      <w:r w:rsidR="00283323" w:rsidRPr="005C7A90">
        <w:t xml:space="preserve"> is stated</w:t>
      </w:r>
      <w:r w:rsidRPr="005C7A90">
        <w:t xml:space="preserve"> in </w:t>
      </w:r>
      <w:r w:rsidR="00A04EFC" w:rsidRPr="005C7A90">
        <w:t xml:space="preserve">the </w:t>
      </w:r>
      <w:r w:rsidRPr="005C7A90">
        <w:t>guidance to</w:t>
      </w:r>
      <w:r w:rsidR="00A04EFC" w:rsidRPr="005C7A90">
        <w:t xml:space="preserve"> the Act</w:t>
      </w:r>
      <w:r w:rsidR="00F01DFC">
        <w:t xml:space="preserve"> </w:t>
      </w:r>
      <w:r w:rsidR="00283323" w:rsidRPr="005C7A90">
        <w:t xml:space="preserve">to be </w:t>
      </w:r>
      <w:r w:rsidR="00DE40A6">
        <w:t>‘</w:t>
      </w:r>
      <w:r w:rsidRPr="005C7A90">
        <w:t>intended to cover the key components of independent living, as expressed in the UN Convention on the Rights of People with Disabilities (in particular, Article 19 of the Convention)</w:t>
      </w:r>
      <w:r w:rsidR="00DE40A6">
        <w:t>’</w:t>
      </w:r>
      <w:r w:rsidRPr="005C7A90">
        <w:t>.</w:t>
      </w:r>
      <w:r w:rsidR="008517CA">
        <w:rPr>
          <w:rStyle w:val="FootnoteReference"/>
        </w:rPr>
        <w:footnoteReference w:id="17"/>
      </w:r>
      <w:r w:rsidR="00402AAB" w:rsidRPr="005C7A90">
        <w:t xml:space="preserve"> The </w:t>
      </w:r>
      <w:r w:rsidRPr="005C7A90">
        <w:t xml:space="preserve">care plan stated that </w:t>
      </w:r>
      <w:r w:rsidR="004652D0" w:rsidRPr="005C7A90">
        <w:t xml:space="preserve">Mr Davey </w:t>
      </w:r>
      <w:r w:rsidRPr="005C7A90">
        <w:t xml:space="preserve">wished to gain more independence. While Mr Davey understood this term to mean self-determination, </w:t>
      </w:r>
      <w:r w:rsidR="0053330F" w:rsidRPr="005C7A90">
        <w:t xml:space="preserve">an occupational therapist and </w:t>
      </w:r>
      <w:r w:rsidRPr="005C7A90">
        <w:t xml:space="preserve">the </w:t>
      </w:r>
      <w:r w:rsidR="00402AAB" w:rsidRPr="005C7A90">
        <w:t>L</w:t>
      </w:r>
      <w:r w:rsidRPr="005C7A90">
        <w:t xml:space="preserve">ocal </w:t>
      </w:r>
      <w:r w:rsidR="00402AAB" w:rsidRPr="005C7A90">
        <w:t>A</w:t>
      </w:r>
      <w:r w:rsidRPr="005C7A90">
        <w:t xml:space="preserve">uthority </w:t>
      </w:r>
      <w:r w:rsidR="0053330F" w:rsidRPr="005C7A90">
        <w:t>considered</w:t>
      </w:r>
      <w:r w:rsidRPr="005C7A90">
        <w:t xml:space="preserve"> that it meant being alone without support</w:t>
      </w:r>
      <w:r w:rsidR="00DE40A6">
        <w:t>, which Mr Davey did not want</w:t>
      </w:r>
      <w:r w:rsidRPr="005C7A90">
        <w:t>.</w:t>
      </w:r>
      <w:r w:rsidR="006A280F">
        <w:rPr>
          <w:rStyle w:val="FootnoteReference"/>
        </w:rPr>
        <w:footnoteReference w:id="18"/>
      </w:r>
      <w:r w:rsidRPr="005C7A90">
        <w:t xml:space="preserve"> Despite fully exploring the terms of Article 19, Mr Justice Morris relied on the interpretation of the </w:t>
      </w:r>
      <w:r w:rsidR="0017140D" w:rsidRPr="005C7A90">
        <w:t>L</w:t>
      </w:r>
      <w:r w:rsidRPr="005C7A90">
        <w:t xml:space="preserve">ocal </w:t>
      </w:r>
      <w:r w:rsidR="0017140D" w:rsidRPr="005C7A90">
        <w:t>A</w:t>
      </w:r>
      <w:r w:rsidRPr="005C7A90">
        <w:t>uthorit</w:t>
      </w:r>
      <w:r w:rsidR="006A280F">
        <w:t>y</w:t>
      </w:r>
      <w:r w:rsidR="00AC2771" w:rsidRPr="005C7A90">
        <w:t>.</w:t>
      </w:r>
      <w:r w:rsidR="006A280F">
        <w:rPr>
          <w:rStyle w:val="FootnoteReference"/>
        </w:rPr>
        <w:footnoteReference w:id="19"/>
      </w:r>
    </w:p>
    <w:p w14:paraId="74F80976" w14:textId="77777777" w:rsidR="000C1161" w:rsidRPr="005C7A90" w:rsidRDefault="00427A20" w:rsidP="00CE753B">
      <w:pPr>
        <w:spacing w:line="276" w:lineRule="auto"/>
        <w:rPr>
          <w:lang w:val="en-US"/>
        </w:rPr>
      </w:pPr>
      <w:r w:rsidRPr="005C7A90">
        <w:t>While the statements in paragraphs 5 and 59 are accurate,</w:t>
      </w:r>
      <w:r w:rsidR="00D94A38" w:rsidRPr="005C7A90">
        <w:t xml:space="preserve"> </w:t>
      </w:r>
      <w:r w:rsidR="00EA4C36" w:rsidRPr="005C7A90">
        <w:t xml:space="preserve">we are of the view that </w:t>
      </w:r>
      <w:r w:rsidRPr="005C7A90">
        <w:t xml:space="preserve">it would be helpful to strengthen the references to self-determination in paragraph 59. </w:t>
      </w:r>
      <w:r w:rsidR="00EA4C36" w:rsidRPr="005C7A90">
        <w:t xml:space="preserve">We thus suggest the following insertions </w:t>
      </w:r>
      <w:r w:rsidR="008F6926" w:rsidRPr="005C7A90">
        <w:t>to paragraph 5</w:t>
      </w:r>
      <w:r w:rsidR="00EA4C36" w:rsidRPr="005C7A90">
        <w:t xml:space="preserve">, so that </w:t>
      </w:r>
      <w:r w:rsidR="008F6926" w:rsidRPr="005C7A90">
        <w:t>it</w:t>
      </w:r>
      <w:r w:rsidR="00EA4C36" w:rsidRPr="005C7A90">
        <w:t xml:space="preserve"> would read:</w:t>
      </w:r>
    </w:p>
    <w:p w14:paraId="5DA7A4C3" w14:textId="0E4A2496" w:rsidR="008F6926" w:rsidRPr="005C7A90" w:rsidRDefault="006103B6" w:rsidP="00CE753B">
      <w:pPr>
        <w:spacing w:line="276" w:lineRule="auto"/>
        <w:ind w:left="360"/>
        <w:rPr>
          <w:lang w:val="en-US"/>
        </w:rPr>
      </w:pPr>
      <w:r>
        <w:rPr>
          <w:lang w:val="en-US"/>
        </w:rPr>
        <w:t>‘</w:t>
      </w:r>
      <w:r w:rsidR="008F6926" w:rsidRPr="005C7A90">
        <w:rPr>
          <w:lang w:val="en-US"/>
        </w:rPr>
        <w:t xml:space="preserve">In the Preamble to the Convention, States parties recognized that the majority of persons with disabilities live in conditions of poverty and stressed the need to address the negative impact of poverty. The cost of social exclusion is high and strategies to tackle poverty often require significant extra budgetary resources. However, policies for achieving social inclusion of persons with disabilities, including through the promotion of their right to independent living </w:t>
      </w:r>
      <w:r w:rsidR="008F6926" w:rsidRPr="005C7A90">
        <w:rPr>
          <w:i/>
          <w:lang w:val="en-US"/>
        </w:rPr>
        <w:t>as it is articulated in article 19</w:t>
      </w:r>
      <w:r w:rsidR="008F6926" w:rsidRPr="005C7A90">
        <w:rPr>
          <w:lang w:val="en-US"/>
        </w:rPr>
        <w:t>, represent a cost-effective mechanism to ensure sustainable development and eradicate poverty</w:t>
      </w:r>
      <w:r>
        <w:t>’</w:t>
      </w:r>
    </w:p>
    <w:p w14:paraId="7DC03437" w14:textId="77777777" w:rsidR="00650640" w:rsidRDefault="008F6926" w:rsidP="00CE753B">
      <w:pPr>
        <w:spacing w:line="276" w:lineRule="auto"/>
      </w:pPr>
      <w:r w:rsidRPr="005C7A90">
        <w:t>We also suggest the following insertions to paragraph 59:</w:t>
      </w:r>
      <w:r w:rsidR="00362996" w:rsidRPr="005C7A90">
        <w:t xml:space="preserve"> </w:t>
      </w:r>
    </w:p>
    <w:p w14:paraId="2E3F716C" w14:textId="10D87998" w:rsidR="00617DF4" w:rsidRPr="005C7A90" w:rsidRDefault="006103B6" w:rsidP="00CE753B">
      <w:pPr>
        <w:spacing w:line="276" w:lineRule="auto"/>
        <w:ind w:left="360"/>
        <w:rPr>
          <w:lang w:val="en-US"/>
        </w:rPr>
      </w:pPr>
      <w:r>
        <w:rPr>
          <w:lang w:val="en-US"/>
        </w:rPr>
        <w:t>‘</w:t>
      </w:r>
      <w:r w:rsidR="00617DF4" w:rsidRPr="005C7A90">
        <w:rPr>
          <w:lang w:val="en-US"/>
        </w:rPr>
        <w:t>States parties should ensure that eligibility criteria for access to support incorporates the following elements: The assessment should be based on a human rights approach to disability, focus on the requirements of the person because of barriers within society rather than the impairment</w:t>
      </w:r>
      <w:r w:rsidR="00617DF4" w:rsidRPr="005C7A90">
        <w:rPr>
          <w:i/>
          <w:lang w:val="en-US"/>
        </w:rPr>
        <w:t>, take into account</w:t>
      </w:r>
      <w:r w:rsidR="009B2270" w:rsidRPr="005C7A90">
        <w:rPr>
          <w:i/>
          <w:lang w:val="en-US"/>
        </w:rPr>
        <w:t>,</w:t>
      </w:r>
      <w:r w:rsidR="00EF6CD0" w:rsidRPr="005C7A90">
        <w:rPr>
          <w:i/>
          <w:lang w:val="en-US"/>
        </w:rPr>
        <w:t xml:space="preserve"> and wherever possible</w:t>
      </w:r>
      <w:r w:rsidR="009B2270" w:rsidRPr="005C7A90">
        <w:rPr>
          <w:i/>
          <w:lang w:val="en-US"/>
        </w:rPr>
        <w:t>,</w:t>
      </w:r>
      <w:r w:rsidR="00617DF4" w:rsidRPr="005C7A90">
        <w:rPr>
          <w:i/>
          <w:lang w:val="en-US"/>
        </w:rPr>
        <w:t xml:space="preserve"> </w:t>
      </w:r>
      <w:r w:rsidR="00B11202" w:rsidRPr="005C7A90">
        <w:rPr>
          <w:i/>
          <w:lang w:val="en-US"/>
        </w:rPr>
        <w:t xml:space="preserve">follow </w:t>
      </w:r>
      <w:r w:rsidR="00617DF4" w:rsidRPr="005C7A90">
        <w:rPr>
          <w:i/>
          <w:lang w:val="en-US"/>
        </w:rPr>
        <w:t xml:space="preserve">a person’s will and preferences </w:t>
      </w:r>
      <w:r w:rsidR="00617DF4" w:rsidRPr="005C7A90">
        <w:rPr>
          <w:lang w:val="en-US"/>
        </w:rPr>
        <w:t xml:space="preserve">and ensure </w:t>
      </w:r>
      <w:r w:rsidR="00617DF4" w:rsidRPr="005C7A90">
        <w:rPr>
          <w:i/>
          <w:lang w:val="en-US"/>
        </w:rPr>
        <w:t>the full involvement of persons with disabilities in the decision-making process</w:t>
      </w:r>
      <w:r w:rsidR="00617DF4" w:rsidRPr="005C7A90">
        <w:rPr>
          <w:lang w:val="en-US"/>
        </w:rPr>
        <w:t>. It is important to adopt an open concept of disability compliant with article 1 of the Convention</w:t>
      </w:r>
      <w:r>
        <w:rPr>
          <w:lang w:val="en-US"/>
        </w:rPr>
        <w:t>’</w:t>
      </w:r>
    </w:p>
    <w:p w14:paraId="4CD10B76" w14:textId="59A6F37E" w:rsidR="00A021A3" w:rsidRPr="005C7A90" w:rsidRDefault="00A021A3" w:rsidP="00CE753B">
      <w:pPr>
        <w:pStyle w:val="Heading3"/>
        <w:spacing w:line="276" w:lineRule="auto"/>
      </w:pPr>
      <w:r w:rsidRPr="005C7A90">
        <w:t>Paragraph 33</w:t>
      </w:r>
    </w:p>
    <w:p w14:paraId="59071390" w14:textId="446C0F57" w:rsidR="00EB09A4" w:rsidRPr="005C7A90" w:rsidRDefault="00662318" w:rsidP="00CE753B">
      <w:pPr>
        <w:spacing w:line="276" w:lineRule="auto"/>
        <w:rPr>
          <w:lang w:val="en-US"/>
        </w:rPr>
      </w:pPr>
      <w:r w:rsidRPr="005C7A90">
        <w:t>The choice</w:t>
      </w:r>
      <w:r w:rsidR="006103B6">
        <w:t xml:space="preserve"> of the phrase ‘</w:t>
      </w:r>
      <w:r w:rsidRPr="005C7A90">
        <w:t>sine-qua-non</w:t>
      </w:r>
      <w:r w:rsidR="006103B6">
        <w:rPr>
          <w:lang w:val="en-US"/>
        </w:rPr>
        <w:t>’</w:t>
      </w:r>
      <w:r w:rsidRPr="005C7A90">
        <w:rPr>
          <w:lang w:val="en-US"/>
        </w:rPr>
        <w:t xml:space="preserve"> in paragraph 33 on accessibility, is not phraseology that is accessible, particularly to non-lawyers. We thus suggest t</w:t>
      </w:r>
      <w:r w:rsidR="00EB09A4" w:rsidRPr="005C7A90">
        <w:rPr>
          <w:lang w:val="en-US"/>
        </w:rPr>
        <w:t>he sentence is amended to read:</w:t>
      </w:r>
    </w:p>
    <w:p w14:paraId="17ED3A66" w14:textId="51B99D9E" w:rsidR="00662318" w:rsidRPr="005C7A90" w:rsidRDefault="006103B6" w:rsidP="00CE753B">
      <w:pPr>
        <w:spacing w:line="276" w:lineRule="auto"/>
        <w:ind w:left="360"/>
        <w:rPr>
          <w:lang w:val="en-US"/>
        </w:rPr>
      </w:pPr>
      <w:r>
        <w:rPr>
          <w:lang w:val="en-US"/>
        </w:rPr>
        <w:t>‘</w:t>
      </w:r>
      <w:r w:rsidR="00662318" w:rsidRPr="005C7A90">
        <w:rPr>
          <w:lang w:val="en-US"/>
        </w:rPr>
        <w:t xml:space="preserve">… as well as inclusive education and health are </w:t>
      </w:r>
      <w:r w:rsidR="00662318" w:rsidRPr="005C7A90">
        <w:rPr>
          <w:i/>
          <w:lang w:val="en-US"/>
        </w:rPr>
        <w:t>a</w:t>
      </w:r>
      <w:r w:rsidR="00662318" w:rsidRPr="005C7A90">
        <w:rPr>
          <w:rStyle w:val="ind"/>
          <w:rFonts w:cs="Arial"/>
          <w:i/>
          <w:szCs w:val="24"/>
        </w:rPr>
        <w:t>n essential condition</w:t>
      </w:r>
      <w:r w:rsidR="00662318" w:rsidRPr="005C7A90">
        <w:rPr>
          <w:rStyle w:val="ind"/>
          <w:rFonts w:cs="Arial"/>
          <w:szCs w:val="24"/>
        </w:rPr>
        <w:t xml:space="preserve"> for inclusion and participation of persons with disabilities ...</w:t>
      </w:r>
      <w:r>
        <w:rPr>
          <w:lang w:val="en-US"/>
        </w:rPr>
        <w:t>’</w:t>
      </w:r>
    </w:p>
    <w:p w14:paraId="303260A7" w14:textId="46276198" w:rsidR="00CF256A" w:rsidRPr="005C7A90" w:rsidRDefault="00CF256A" w:rsidP="00CE753B">
      <w:pPr>
        <w:pStyle w:val="Heading3"/>
        <w:spacing w:line="276" w:lineRule="auto"/>
      </w:pPr>
      <w:r w:rsidRPr="005C7A90">
        <w:t>Paragraph 41</w:t>
      </w:r>
    </w:p>
    <w:p w14:paraId="3D422A17" w14:textId="1F7176CA" w:rsidR="00DF24E9" w:rsidRPr="005C7A90" w:rsidRDefault="005113B4" w:rsidP="00CE753B">
      <w:pPr>
        <w:spacing w:line="276" w:lineRule="auto"/>
        <w:rPr>
          <w:lang w:val="en-US"/>
        </w:rPr>
      </w:pPr>
      <w:r w:rsidRPr="005C7A90">
        <w:t xml:space="preserve">We suggest the following </w:t>
      </w:r>
      <w:r w:rsidR="00FC2D7C" w:rsidRPr="005C7A90">
        <w:t xml:space="preserve">amendment and </w:t>
      </w:r>
      <w:r w:rsidRPr="005C7A90">
        <w:t>insertions to the second sentence of paragraph 41:</w:t>
      </w:r>
    </w:p>
    <w:p w14:paraId="2F3D532B" w14:textId="23135933" w:rsidR="00DF24E9" w:rsidRPr="005C7A90" w:rsidRDefault="006103B6" w:rsidP="00CE753B">
      <w:pPr>
        <w:spacing w:line="276" w:lineRule="auto"/>
        <w:ind w:left="360"/>
        <w:rPr>
          <w:lang w:val="en-US"/>
        </w:rPr>
      </w:pPr>
      <w:r>
        <w:rPr>
          <w:lang w:val="en-US"/>
        </w:rPr>
        <w:t>‘</w:t>
      </w:r>
      <w:r w:rsidR="005113B4" w:rsidRPr="005C7A90">
        <w:rPr>
          <w:strike/>
          <w:lang w:val="en-US"/>
        </w:rPr>
        <w:t>As a civil right,</w:t>
      </w:r>
      <w:r w:rsidR="005113B4" w:rsidRPr="005C7A90">
        <w:rPr>
          <w:lang w:val="en-US"/>
        </w:rPr>
        <w:t xml:space="preserve"> article 19 (a), the right to choose one’s residence and where, how and with whom to live, is immediately applicable</w:t>
      </w:r>
      <w:r w:rsidR="005113B4" w:rsidRPr="005C7A90">
        <w:rPr>
          <w:i/>
          <w:lang w:val="en-US"/>
        </w:rPr>
        <w:t>, as it is a civil and political right</w:t>
      </w:r>
      <w:r w:rsidRPr="00025373">
        <w:rPr>
          <w:lang w:val="en-US"/>
        </w:rPr>
        <w:t>’</w:t>
      </w:r>
    </w:p>
    <w:p w14:paraId="68B32080" w14:textId="048701D2" w:rsidR="00B65D7D" w:rsidRPr="005C7A90" w:rsidRDefault="00B65D7D" w:rsidP="00CE753B">
      <w:pPr>
        <w:pStyle w:val="Heading3"/>
        <w:spacing w:line="276" w:lineRule="auto"/>
      </w:pPr>
      <w:r w:rsidRPr="005C7A90">
        <w:t>Paragraph 42</w:t>
      </w:r>
    </w:p>
    <w:p w14:paraId="76306091" w14:textId="77777777" w:rsidR="00B65D7D" w:rsidRPr="005C7A90" w:rsidRDefault="00B65D7D" w:rsidP="00CE753B">
      <w:pPr>
        <w:spacing w:line="276" w:lineRule="auto"/>
        <w:rPr>
          <w:lang w:val="en-US"/>
        </w:rPr>
      </w:pPr>
      <w:r w:rsidRPr="005C7A90">
        <w:t>We suggest the following amendment and insertions to the first and second sentences of paragraph 42:</w:t>
      </w:r>
    </w:p>
    <w:p w14:paraId="5377CCCC" w14:textId="04ED683A" w:rsidR="00CF256A" w:rsidRPr="005C7A90" w:rsidRDefault="006103B6" w:rsidP="00CE753B">
      <w:pPr>
        <w:spacing w:line="276" w:lineRule="auto"/>
        <w:ind w:left="360"/>
      </w:pPr>
      <w:r>
        <w:t>‘</w:t>
      </w:r>
      <w:r w:rsidR="00B65D7D" w:rsidRPr="005C7A90">
        <w:rPr>
          <w:lang w:val="en-US"/>
        </w:rPr>
        <w:t xml:space="preserve">In order to achieve the </w:t>
      </w:r>
      <w:r w:rsidR="00B65D7D" w:rsidRPr="005C7A90">
        <w:rPr>
          <w:i/>
          <w:lang w:val="en-US"/>
        </w:rPr>
        <w:t>progressive</w:t>
      </w:r>
      <w:r w:rsidR="00B65D7D" w:rsidRPr="005C7A90">
        <w:rPr>
          <w:lang w:val="en-US"/>
        </w:rPr>
        <w:t xml:space="preserve"> realization of </w:t>
      </w:r>
      <w:r w:rsidR="00C56617" w:rsidRPr="00C56617">
        <w:rPr>
          <w:i/>
          <w:lang w:val="en-US"/>
        </w:rPr>
        <w:t xml:space="preserve">economic, </w:t>
      </w:r>
      <w:r w:rsidR="00B65D7D" w:rsidRPr="005C7A90">
        <w:rPr>
          <w:lang w:val="en-US"/>
        </w:rPr>
        <w:t>social and cultural rights, States parties must take steps to the maximum of their available resources (art. 2 (1) ICESC)</w:t>
      </w:r>
      <w:r w:rsidR="00B65D7D" w:rsidRPr="005C7A90">
        <w:rPr>
          <w:strike/>
          <w:lang w:val="en-US"/>
        </w:rPr>
        <w:t>.</w:t>
      </w:r>
      <w:r w:rsidR="00B65D7D" w:rsidRPr="005C7A90">
        <w:rPr>
          <w:lang w:val="en-US"/>
        </w:rPr>
        <w:t xml:space="preserve"> </w:t>
      </w:r>
      <w:r w:rsidR="00B65D7D" w:rsidRPr="005C7A90">
        <w:rPr>
          <w:strike/>
          <w:lang w:val="en-US"/>
        </w:rPr>
        <w:t>While full realization of the goals may be achieved progressively</w:t>
      </w:r>
      <w:r w:rsidR="00B65D7D" w:rsidRPr="005C7A90">
        <w:rPr>
          <w:lang w:val="en-US"/>
        </w:rPr>
        <w:t xml:space="preserve">, </w:t>
      </w:r>
      <w:r w:rsidR="0012576A" w:rsidRPr="005C7A90">
        <w:rPr>
          <w:i/>
          <w:lang w:val="en-US"/>
        </w:rPr>
        <w:t>these</w:t>
      </w:r>
      <w:r w:rsidR="0012576A" w:rsidRPr="005C7A90">
        <w:rPr>
          <w:lang w:val="en-US"/>
        </w:rPr>
        <w:t xml:space="preserve"> </w:t>
      </w:r>
      <w:r w:rsidR="00B65D7D" w:rsidRPr="005C7A90">
        <w:rPr>
          <w:lang w:val="en-US"/>
        </w:rPr>
        <w:t xml:space="preserve">steps </w:t>
      </w:r>
      <w:r w:rsidR="00B65D7D" w:rsidRPr="005C7A90">
        <w:rPr>
          <w:strike/>
          <w:lang w:val="en-US"/>
        </w:rPr>
        <w:t>towards it</w:t>
      </w:r>
      <w:r w:rsidR="00B65D7D" w:rsidRPr="005C7A90">
        <w:rPr>
          <w:lang w:val="en-US"/>
        </w:rPr>
        <w:t xml:space="preserve"> must be taken immediately or within a reasonably short period of time</w:t>
      </w:r>
      <w:r>
        <w:rPr>
          <w:lang w:val="en-US"/>
        </w:rPr>
        <w:t>’</w:t>
      </w:r>
    </w:p>
    <w:p w14:paraId="7CD643D0" w14:textId="2560699F" w:rsidR="003013EA" w:rsidRPr="005C7A90" w:rsidRDefault="003013EA" w:rsidP="00CE753B">
      <w:pPr>
        <w:pStyle w:val="Heading3"/>
        <w:spacing w:line="276" w:lineRule="auto"/>
      </w:pPr>
      <w:r w:rsidRPr="005C7A90">
        <w:t>Paragraph 44</w:t>
      </w:r>
    </w:p>
    <w:p w14:paraId="1457A186" w14:textId="77777777" w:rsidR="00C25E49" w:rsidRPr="005C7A90" w:rsidRDefault="003013EA" w:rsidP="00CE753B">
      <w:pPr>
        <w:spacing w:line="276" w:lineRule="auto"/>
      </w:pPr>
      <w:r w:rsidRPr="005C7A90">
        <w:t>We suggest the following amendment to paragraph 44</w:t>
      </w:r>
      <w:r w:rsidR="00674762" w:rsidRPr="005C7A90">
        <w:t xml:space="preserve">, as the last sentence in the paragraph is </w:t>
      </w:r>
      <w:r w:rsidR="00932909" w:rsidRPr="005C7A90">
        <w:t>unnecessary</w:t>
      </w:r>
      <w:r w:rsidR="00213CCC" w:rsidRPr="005C7A90">
        <w:t xml:space="preserve"> in view</w:t>
      </w:r>
      <w:r w:rsidR="00611761" w:rsidRPr="005C7A90">
        <w:t xml:space="preserve"> of paragraph 45 which is </w:t>
      </w:r>
      <w:r w:rsidR="00213CCC" w:rsidRPr="005C7A90">
        <w:t>articulate</w:t>
      </w:r>
      <w:r w:rsidR="00611761" w:rsidRPr="005C7A90">
        <w:t>d more clearly</w:t>
      </w:r>
      <w:r w:rsidRPr="005C7A90">
        <w:t>:</w:t>
      </w:r>
    </w:p>
    <w:p w14:paraId="06744AED" w14:textId="3849D0DE" w:rsidR="00AC69FC" w:rsidRDefault="006103B6" w:rsidP="00CE753B">
      <w:pPr>
        <w:spacing w:line="276" w:lineRule="auto"/>
        <w:ind w:left="720"/>
        <w:rPr>
          <w:lang w:val="en-US"/>
        </w:rPr>
      </w:pPr>
      <w:r>
        <w:rPr>
          <w:lang w:val="en-US"/>
        </w:rPr>
        <w:t>‘</w:t>
      </w:r>
      <w:r w:rsidR="00AC69FC" w:rsidRPr="005C7A90">
        <w:t xml:space="preserve">The duty of progressive realization also entails a presumption against retrogressive measures in the enjoyment of economic, social and cultural rights. </w:t>
      </w:r>
      <w:r w:rsidR="00AC69FC" w:rsidRPr="005C7A90">
        <w:rPr>
          <w:strike/>
        </w:rPr>
        <w:t>Retrogressive measures only should be adopted after careful consideration of all alternatives, if they are duly justified by references to the totality of the rights provided for in the Convention, in the context of the use of the maximum available resources of the State party</w:t>
      </w:r>
      <w:r>
        <w:rPr>
          <w:lang w:val="en-US"/>
        </w:rPr>
        <w:t>’</w:t>
      </w:r>
      <w:r w:rsidR="007B4CF2">
        <w:rPr>
          <w:lang w:val="en-US"/>
        </w:rPr>
        <w:t>.</w:t>
      </w:r>
    </w:p>
    <w:p w14:paraId="02DE9444" w14:textId="77777777" w:rsidR="007B4CF2" w:rsidRPr="005C7A90" w:rsidRDefault="007B4CF2" w:rsidP="00CE753B">
      <w:pPr>
        <w:spacing w:line="276" w:lineRule="auto"/>
      </w:pPr>
    </w:p>
    <w:p w14:paraId="067C9F25" w14:textId="6387FE3D" w:rsidR="00A45F0B" w:rsidRPr="005C7A90" w:rsidRDefault="006E785F" w:rsidP="00CE753B">
      <w:pPr>
        <w:pStyle w:val="Heading2"/>
        <w:numPr>
          <w:ilvl w:val="0"/>
          <w:numId w:val="0"/>
        </w:numPr>
        <w:spacing w:line="276" w:lineRule="auto"/>
        <w:ind w:left="360" w:hanging="360"/>
      </w:pPr>
      <w:r w:rsidRPr="005C7A90">
        <w:t>References</w:t>
      </w:r>
    </w:p>
    <w:p w14:paraId="1900227F" w14:textId="4D916E4B" w:rsidR="006D7353" w:rsidRDefault="006D7353" w:rsidP="00CE753B">
      <w:pPr>
        <w:spacing w:line="276" w:lineRule="auto"/>
        <w:ind w:left="720" w:hanging="720"/>
      </w:pPr>
      <w:r w:rsidRPr="005C7A90">
        <w:t>Department for Work and Pensions</w:t>
      </w:r>
      <w:r>
        <w:t>,</w:t>
      </w:r>
      <w:r w:rsidRPr="005C7A90">
        <w:t xml:space="preserve"> </w:t>
      </w:r>
      <w:r w:rsidRPr="005C7A90">
        <w:rPr>
          <w:i/>
        </w:rPr>
        <w:t>Fulfilling Potential: Next Steps</w:t>
      </w:r>
      <w:r>
        <w:t xml:space="preserve"> </w:t>
      </w:r>
      <w:r w:rsidRPr="00F97639">
        <w:t>(2013)</w:t>
      </w:r>
      <w:r w:rsidR="00C734F5">
        <w:t>.</w:t>
      </w:r>
    </w:p>
    <w:p w14:paraId="35381204" w14:textId="48CC105C" w:rsidR="006D7353" w:rsidRPr="005C7A90" w:rsidRDefault="006D7353" w:rsidP="00CE753B">
      <w:pPr>
        <w:spacing w:line="276" w:lineRule="auto"/>
        <w:ind w:left="720" w:hanging="720"/>
      </w:pPr>
      <w:r w:rsidRPr="002B53E3">
        <w:t>Department of Health, ‘Care Act Statutory guidance’ (Updated version published 26 September 2016) &lt;</w:t>
      </w:r>
      <w:hyperlink r:id="rId9" w:history="1">
        <w:r w:rsidRPr="002B53E3">
          <w:rPr>
            <w:rStyle w:val="Hyperlink"/>
          </w:rPr>
          <w:t>https://www.gov.uk/government/publications/care-act-statutory-guidance</w:t>
        </w:r>
      </w:hyperlink>
      <w:r w:rsidRPr="002B53E3">
        <w:t>&gt;</w:t>
      </w:r>
      <w:r w:rsidR="00C734F5">
        <w:t>.</w:t>
      </w:r>
    </w:p>
    <w:p w14:paraId="0AC19365" w14:textId="77777777" w:rsidR="006D7353" w:rsidRDefault="006D7353" w:rsidP="00CE753B">
      <w:pPr>
        <w:spacing w:line="276" w:lineRule="auto"/>
        <w:ind w:left="720" w:hanging="720"/>
        <w:rPr>
          <w:bCs/>
        </w:rPr>
      </w:pPr>
      <w:r w:rsidRPr="005C7A90">
        <w:rPr>
          <w:bCs/>
        </w:rPr>
        <w:t>HM Government, ‘The Case for Change – Why England Needs a New Care and Support System’ (Department of Health 2008).</w:t>
      </w:r>
    </w:p>
    <w:p w14:paraId="16F85E73" w14:textId="2C0C5BDC" w:rsidR="006D7353" w:rsidRDefault="006D7353" w:rsidP="00CE753B">
      <w:pPr>
        <w:spacing w:line="276" w:lineRule="auto"/>
        <w:ind w:left="720" w:hanging="720"/>
        <w:rPr>
          <w:bCs/>
        </w:rPr>
      </w:pPr>
      <w:r w:rsidRPr="006D7353">
        <w:rPr>
          <w:bCs/>
          <w:lang w:val="en-US"/>
        </w:rPr>
        <w:t xml:space="preserve">Emily </w:t>
      </w:r>
      <w:r w:rsidRPr="006D7353">
        <w:rPr>
          <w:bCs/>
        </w:rPr>
        <w:t>Kakoullis, ‘A Shift from Welfare to Rights: A Case Study of the Ratification Process for the Convention on the Rights of Persons with Disabilities in Cyprus’ (PhD Thesis, University of Bristol, 2015).</w:t>
      </w:r>
    </w:p>
    <w:p w14:paraId="2B308973" w14:textId="740DD73D" w:rsidR="006D7353" w:rsidRPr="005C7A90" w:rsidRDefault="006D7353" w:rsidP="00CE753B">
      <w:pPr>
        <w:spacing w:line="276" w:lineRule="auto"/>
        <w:ind w:left="720" w:hanging="720"/>
        <w:rPr>
          <w:bCs/>
        </w:rPr>
      </w:pPr>
      <w:r>
        <w:rPr>
          <w:bCs/>
        </w:rPr>
        <w:t>P</w:t>
      </w:r>
      <w:r w:rsidR="007C0AD1">
        <w:rPr>
          <w:bCs/>
        </w:rPr>
        <w:t>hilip</w:t>
      </w:r>
      <w:r>
        <w:rPr>
          <w:bCs/>
        </w:rPr>
        <w:t xml:space="preserve"> </w:t>
      </w:r>
      <w:r w:rsidRPr="005C7A90">
        <w:rPr>
          <w:bCs/>
        </w:rPr>
        <w:t xml:space="preserve">Mason, ‘Back to Basics’ </w:t>
      </w:r>
      <w:r>
        <w:rPr>
          <w:bCs/>
        </w:rPr>
        <w:t>(</w:t>
      </w:r>
      <w:r w:rsidRPr="005C7A90">
        <w:rPr>
          <w:bCs/>
        </w:rPr>
        <w:t>Facing Our Future: Experts Seminar on Independent Living and Direct Payments, Hampshire Centre for Independent Living</w:t>
      </w:r>
      <w:r>
        <w:rPr>
          <w:bCs/>
        </w:rPr>
        <w:t xml:space="preserve">, July </w:t>
      </w:r>
      <w:r w:rsidRPr="00F97639">
        <w:rPr>
          <w:bCs/>
        </w:rPr>
        <w:t>1998)</w:t>
      </w:r>
      <w:r w:rsidR="00C734F5">
        <w:rPr>
          <w:bCs/>
        </w:rPr>
        <w:t>.</w:t>
      </w:r>
    </w:p>
    <w:p w14:paraId="335DD1EF" w14:textId="01956B5C" w:rsidR="006D7353" w:rsidRDefault="006D7353" w:rsidP="00CE753B">
      <w:pPr>
        <w:spacing w:line="276" w:lineRule="auto"/>
        <w:ind w:left="720" w:hanging="720"/>
      </w:pPr>
      <w:r>
        <w:t xml:space="preserve">Jenny </w:t>
      </w:r>
      <w:r w:rsidRPr="005C7A90">
        <w:t>Morris,</w:t>
      </w:r>
      <w:r>
        <w:t xml:space="preserve"> </w:t>
      </w:r>
      <w:r w:rsidRPr="005C7A90">
        <w:rPr>
          <w:i/>
        </w:rPr>
        <w:t>Rethinking Disability Policy</w:t>
      </w:r>
      <w:r>
        <w:rPr>
          <w:i/>
        </w:rPr>
        <w:t xml:space="preserve"> </w:t>
      </w:r>
      <w:r>
        <w:t>(</w:t>
      </w:r>
      <w:r w:rsidRPr="005C7A90">
        <w:t>Joseph Rowntree Foundation</w:t>
      </w:r>
      <w:r>
        <w:t xml:space="preserve"> </w:t>
      </w:r>
      <w:r w:rsidRPr="00F97639">
        <w:t>2011)</w:t>
      </w:r>
      <w:r w:rsidR="00C734F5">
        <w:t>.</w:t>
      </w:r>
    </w:p>
    <w:p w14:paraId="1FC7BD2A" w14:textId="77777777" w:rsidR="006D7353" w:rsidRPr="005C7A90" w:rsidRDefault="006D7353" w:rsidP="00CE753B">
      <w:pPr>
        <w:spacing w:line="276" w:lineRule="auto"/>
        <w:ind w:left="720" w:hanging="720"/>
      </w:pPr>
      <w:r w:rsidRPr="005C7A90">
        <w:t xml:space="preserve">Office for Disability Issues </w:t>
      </w:r>
      <w:r>
        <w:t>and others,</w:t>
      </w:r>
      <w:r w:rsidRPr="005C7A90">
        <w:t xml:space="preserve"> ‘</w:t>
      </w:r>
      <w:r w:rsidRPr="005C7A90">
        <w:rPr>
          <w:iCs/>
        </w:rPr>
        <w:t>Independent living: a cross-government strategy about independent living for disabled people’</w:t>
      </w:r>
      <w:r>
        <w:t xml:space="preserve"> </w:t>
      </w:r>
      <w:r w:rsidRPr="00F97639">
        <w:t>(2008)</w:t>
      </w:r>
      <w:r>
        <w:t>.</w:t>
      </w:r>
    </w:p>
    <w:p w14:paraId="3289AD2A" w14:textId="5D6E795A" w:rsidR="006D7353" w:rsidRDefault="006D7353" w:rsidP="00CE753B">
      <w:pPr>
        <w:spacing w:line="276" w:lineRule="auto"/>
        <w:ind w:left="720" w:hanging="720"/>
        <w:rPr>
          <w:bCs/>
        </w:rPr>
      </w:pPr>
      <w:r w:rsidRPr="005C7A90">
        <w:rPr>
          <w:bCs/>
        </w:rPr>
        <w:t>Prime Minister’s Strategy Unit and others, ‘Improving the Life Chances of Disabled People’ (2005)</w:t>
      </w:r>
      <w:r w:rsidR="00C734F5">
        <w:rPr>
          <w:bCs/>
        </w:rPr>
        <w:t>.</w:t>
      </w:r>
      <w:r w:rsidRPr="005C7A90">
        <w:rPr>
          <w:bCs/>
        </w:rPr>
        <w:t xml:space="preserve"> </w:t>
      </w:r>
    </w:p>
    <w:p w14:paraId="0229AC2B" w14:textId="77777777" w:rsidR="006D7353" w:rsidRPr="005C7A90" w:rsidRDefault="006D7353" w:rsidP="00CE753B">
      <w:pPr>
        <w:spacing w:line="276" w:lineRule="auto"/>
        <w:ind w:left="720" w:hanging="720"/>
      </w:pPr>
      <w:r>
        <w:t xml:space="preserve">Alison </w:t>
      </w:r>
      <w:r w:rsidRPr="005C7A90">
        <w:t>Tarrant, ‘</w:t>
      </w:r>
      <w:r w:rsidRPr="005C7A90">
        <w:rPr>
          <w:bCs/>
        </w:rPr>
        <w:t xml:space="preserve">Disabled People and Independence: A Study of the Language of Adult Social Care Policy’, </w:t>
      </w:r>
      <w:r>
        <w:rPr>
          <w:bCs/>
        </w:rPr>
        <w:t>(</w:t>
      </w:r>
      <w:r w:rsidRPr="005C7A90">
        <w:rPr>
          <w:bCs/>
        </w:rPr>
        <w:t xml:space="preserve">Unpublished MSc dissertation, </w:t>
      </w:r>
      <w:r w:rsidRPr="005C7A90">
        <w:t>Cardiff University</w:t>
      </w:r>
      <w:r>
        <w:t xml:space="preserve"> </w:t>
      </w:r>
      <w:r w:rsidRPr="00F97639">
        <w:t>2013)</w:t>
      </w:r>
      <w:r>
        <w:t>.</w:t>
      </w:r>
    </w:p>
    <w:p w14:paraId="66C4F9F9" w14:textId="32BBB408" w:rsidR="006D7353" w:rsidRDefault="006D7353" w:rsidP="00CE753B">
      <w:pPr>
        <w:spacing w:line="276" w:lineRule="auto"/>
        <w:ind w:left="720" w:hanging="720"/>
      </w:pPr>
      <w:r w:rsidRPr="005C7A90">
        <w:t xml:space="preserve">Welsh Government (2013) ‘A Framework for Action on Independent Living’. </w:t>
      </w:r>
    </w:p>
    <w:p w14:paraId="65F6608F" w14:textId="77777777" w:rsidR="00277176" w:rsidRDefault="00277176" w:rsidP="00CE753B">
      <w:pPr>
        <w:spacing w:line="276" w:lineRule="auto"/>
        <w:ind w:left="720" w:hanging="720"/>
      </w:pPr>
    </w:p>
    <w:p w14:paraId="517BB7FA" w14:textId="77777777" w:rsidR="000D7FA6" w:rsidRPr="005C7A90" w:rsidRDefault="000D7FA6" w:rsidP="00CE753B">
      <w:pPr>
        <w:spacing w:line="276" w:lineRule="auto"/>
        <w:ind w:left="720" w:hanging="720"/>
      </w:pPr>
    </w:p>
    <w:p w14:paraId="536A40A7" w14:textId="667356AC" w:rsidR="009F0195" w:rsidRPr="005C7A90" w:rsidRDefault="009F0195" w:rsidP="00CE753B">
      <w:pPr>
        <w:pStyle w:val="Heading2"/>
        <w:numPr>
          <w:ilvl w:val="0"/>
          <w:numId w:val="0"/>
        </w:numPr>
        <w:spacing w:line="276" w:lineRule="auto"/>
        <w:ind w:left="360" w:hanging="360"/>
      </w:pPr>
      <w:r w:rsidRPr="005C7A90">
        <w:t>List of Cases</w:t>
      </w:r>
    </w:p>
    <w:p w14:paraId="4147D86E" w14:textId="77777777" w:rsidR="00650640" w:rsidRPr="005C7A90" w:rsidRDefault="00650640" w:rsidP="00CE753B">
      <w:pPr>
        <w:spacing w:line="276" w:lineRule="auto"/>
      </w:pPr>
      <w:r w:rsidRPr="005C7A90">
        <w:rPr>
          <w:i/>
        </w:rPr>
        <w:t>A Local Authority v WMA &amp; Ors</w:t>
      </w:r>
      <w:r w:rsidRPr="005C7A90">
        <w:t xml:space="preserve"> [2013] EWHC 2580 (COP)</w:t>
      </w:r>
      <w:r w:rsidRPr="005C7A90" w:rsidDel="00650640">
        <w:t>.</w:t>
      </w:r>
    </w:p>
    <w:p w14:paraId="7C46CC26" w14:textId="77777777" w:rsidR="00650640" w:rsidRPr="005C7A90" w:rsidRDefault="00650640" w:rsidP="00CE753B">
      <w:pPr>
        <w:spacing w:line="276" w:lineRule="auto"/>
        <w:rPr>
          <w:bCs/>
        </w:rPr>
      </w:pPr>
      <w:r w:rsidRPr="005C7A90">
        <w:rPr>
          <w:i/>
        </w:rPr>
        <w:t xml:space="preserve">A NHS Trust v DE </w:t>
      </w:r>
      <w:r w:rsidRPr="005C7A90">
        <w:t>[2013] EWHC 2562 (Fam)</w:t>
      </w:r>
      <w:r w:rsidRPr="005C7A90" w:rsidDel="00650640">
        <w:t>.</w:t>
      </w:r>
    </w:p>
    <w:p w14:paraId="4312C5FD" w14:textId="77777777" w:rsidR="00650640" w:rsidRPr="005C7A90" w:rsidRDefault="00650640" w:rsidP="00CE753B">
      <w:pPr>
        <w:spacing w:line="276" w:lineRule="auto"/>
      </w:pPr>
      <w:r w:rsidRPr="005C7A90">
        <w:rPr>
          <w:i/>
        </w:rPr>
        <w:t xml:space="preserve">A Primary Care Trust v AH </w:t>
      </w:r>
      <w:r w:rsidRPr="005C7A90">
        <w:t>[2008] EWHC 1403 (Fam)</w:t>
      </w:r>
      <w:r w:rsidRPr="005C7A90" w:rsidDel="00650640">
        <w:t>.</w:t>
      </w:r>
    </w:p>
    <w:p w14:paraId="4242623D" w14:textId="77777777" w:rsidR="00650640" w:rsidRDefault="00650640" w:rsidP="00CE753B">
      <w:pPr>
        <w:spacing w:line="276" w:lineRule="auto"/>
      </w:pPr>
      <w:r w:rsidRPr="005C7A90">
        <w:rPr>
          <w:i/>
        </w:rPr>
        <w:t>Northamptonshire Healthcare NHS Foundation Trust v ML (Rev 1)</w:t>
      </w:r>
      <w:r w:rsidRPr="005C7A90">
        <w:t xml:space="preserve"> [2014] EWCOP 2</w:t>
      </w:r>
      <w:r w:rsidRPr="005C7A90" w:rsidDel="00650640">
        <w:t>.</w:t>
      </w:r>
    </w:p>
    <w:p w14:paraId="07BF8426" w14:textId="22430089" w:rsidR="00650640" w:rsidRPr="005C7A90" w:rsidRDefault="00650640" w:rsidP="00CE753B">
      <w:pPr>
        <w:spacing w:line="276" w:lineRule="auto"/>
      </w:pPr>
      <w:r w:rsidRPr="00F97639">
        <w:rPr>
          <w:i/>
        </w:rPr>
        <w:t>R (Davey) v Oxfordshire CC</w:t>
      </w:r>
      <w:r>
        <w:rPr>
          <w:i/>
        </w:rPr>
        <w:t xml:space="preserve"> </w:t>
      </w:r>
      <w:r w:rsidRPr="005C7A90">
        <w:t>[2017] EWHC 354 (Admin)</w:t>
      </w:r>
      <w:r w:rsidR="00F436CE">
        <w:t>.</w:t>
      </w:r>
    </w:p>
    <w:p w14:paraId="3F588A6C" w14:textId="18CC1B2B" w:rsidR="008517CA" w:rsidRPr="00650640" w:rsidRDefault="008517CA" w:rsidP="00CE753B">
      <w:pPr>
        <w:spacing w:line="276" w:lineRule="auto"/>
      </w:pPr>
    </w:p>
    <w:sectPr w:rsidR="008517CA" w:rsidRPr="0065064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CE598" w14:textId="77777777" w:rsidR="003859DF" w:rsidRDefault="003859DF" w:rsidP="002B69AF">
      <w:r>
        <w:separator/>
      </w:r>
    </w:p>
  </w:endnote>
  <w:endnote w:type="continuationSeparator" w:id="0">
    <w:p w14:paraId="7EFF1ED4" w14:textId="77777777" w:rsidR="003859DF" w:rsidRDefault="003859DF" w:rsidP="002B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25079" w14:textId="2DC46F39" w:rsidR="00130A62" w:rsidRPr="007B4CF2" w:rsidRDefault="00130A62" w:rsidP="004D3542">
    <w:pPr>
      <w:pStyle w:val="Footer"/>
      <w:tabs>
        <w:tab w:val="left" w:pos="4940"/>
      </w:tabs>
      <w:rPr>
        <w:rFonts w:cs="Arial"/>
        <w:sz w:val="20"/>
      </w:rPr>
    </w:pPr>
    <w:r w:rsidRPr="007B4CF2">
      <w:rPr>
        <w:rFonts w:cs="Arial"/>
        <w:sz w:val="20"/>
      </w:rPr>
      <w:tab/>
    </w:r>
    <w:sdt>
      <w:sdtPr>
        <w:rPr>
          <w:rFonts w:cs="Arial"/>
          <w:sz w:val="20"/>
        </w:rPr>
        <w:id w:val="-1004212887"/>
        <w:docPartObj>
          <w:docPartGallery w:val="Page Numbers (Bottom of Page)"/>
          <w:docPartUnique/>
        </w:docPartObj>
      </w:sdtPr>
      <w:sdtEndPr>
        <w:rPr>
          <w:noProof/>
        </w:rPr>
      </w:sdtEndPr>
      <w:sdtContent>
        <w:r w:rsidRPr="007B4CF2">
          <w:rPr>
            <w:rFonts w:cs="Arial"/>
            <w:sz w:val="20"/>
          </w:rPr>
          <w:fldChar w:fldCharType="begin"/>
        </w:r>
        <w:r w:rsidRPr="007B4CF2">
          <w:rPr>
            <w:rFonts w:cs="Arial"/>
            <w:sz w:val="20"/>
          </w:rPr>
          <w:instrText xml:space="preserve"> PAGE   \* MERGEFORMAT </w:instrText>
        </w:r>
        <w:r w:rsidRPr="007B4CF2">
          <w:rPr>
            <w:rFonts w:cs="Arial"/>
            <w:sz w:val="20"/>
          </w:rPr>
          <w:fldChar w:fldCharType="separate"/>
        </w:r>
        <w:r w:rsidR="00944A40">
          <w:rPr>
            <w:rFonts w:cs="Arial"/>
            <w:noProof/>
            <w:sz w:val="20"/>
          </w:rPr>
          <w:t>1</w:t>
        </w:r>
        <w:r w:rsidRPr="007B4CF2">
          <w:rPr>
            <w:rFonts w:cs="Arial"/>
            <w:noProof/>
            <w:sz w:val="20"/>
          </w:rPr>
          <w:fldChar w:fldCharType="end"/>
        </w:r>
      </w:sdtContent>
    </w:sdt>
    <w:r w:rsidRPr="007B4CF2">
      <w:rPr>
        <w:rFonts w:cs="Arial"/>
        <w:noProof/>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98AE8" w14:textId="77777777" w:rsidR="003859DF" w:rsidRDefault="003859DF" w:rsidP="002B69AF">
      <w:r>
        <w:separator/>
      </w:r>
    </w:p>
  </w:footnote>
  <w:footnote w:type="continuationSeparator" w:id="0">
    <w:p w14:paraId="091F2A77" w14:textId="77777777" w:rsidR="003859DF" w:rsidRDefault="003859DF" w:rsidP="002B69AF">
      <w:r>
        <w:continuationSeparator/>
      </w:r>
    </w:p>
  </w:footnote>
  <w:footnote w:id="1">
    <w:p w14:paraId="5AE596AF" w14:textId="5700A129" w:rsidR="00130A62" w:rsidRPr="008367E2" w:rsidRDefault="00130A62" w:rsidP="00375E9E">
      <w:pPr>
        <w:pStyle w:val="FootnoteText"/>
        <w:rPr>
          <w:rFonts w:ascii="Arial" w:hAnsi="Arial" w:cs="Arial"/>
          <w:sz w:val="20"/>
          <w:szCs w:val="20"/>
        </w:rPr>
      </w:pPr>
      <w:r w:rsidRPr="008367E2">
        <w:rPr>
          <w:rStyle w:val="FootnoteReference"/>
          <w:rFonts w:ascii="Arial" w:hAnsi="Arial" w:cs="Arial"/>
          <w:sz w:val="20"/>
          <w:szCs w:val="20"/>
        </w:rPr>
        <w:footnoteRef/>
      </w:r>
      <w:r w:rsidRPr="008367E2">
        <w:rPr>
          <w:rFonts w:ascii="Arial" w:hAnsi="Arial" w:cs="Arial"/>
          <w:sz w:val="20"/>
          <w:szCs w:val="20"/>
        </w:rPr>
        <w:t xml:space="preserve"> The Centre for Health and Social Care Law, School of Law and Politics, Cardiff University </w:t>
      </w:r>
      <w:hyperlink r:id="rId1" w:history="1">
        <w:r w:rsidRPr="008367E2">
          <w:rPr>
            <w:rStyle w:val="Hyperlink"/>
            <w:rFonts w:ascii="Arial" w:hAnsi="Arial" w:cs="Arial"/>
            <w:sz w:val="20"/>
            <w:szCs w:val="20"/>
          </w:rPr>
          <w:t>http://www.cardiff.ac.uk/research/explore/research-units/centre-for-health-and-social-care-law</w:t>
        </w:r>
      </w:hyperlink>
      <w:r w:rsidRPr="008367E2">
        <w:rPr>
          <w:rFonts w:ascii="Arial" w:hAnsi="Arial" w:cs="Arial"/>
          <w:sz w:val="20"/>
          <w:szCs w:val="20"/>
        </w:rPr>
        <w:t>.</w:t>
      </w:r>
    </w:p>
  </w:footnote>
  <w:footnote w:id="2">
    <w:p w14:paraId="266C0595" w14:textId="2EEDDBF7"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00B4411D">
        <w:rPr>
          <w:rFonts w:ascii="Arial" w:hAnsi="Arial" w:cs="Arial"/>
          <w:sz w:val="20"/>
          <w:szCs w:val="20"/>
        </w:rPr>
        <w:t>E-mail a</w:t>
      </w:r>
      <w:r w:rsidR="0048414A" w:rsidRPr="008367E2">
        <w:rPr>
          <w:rFonts w:ascii="Arial" w:hAnsi="Arial" w:cs="Arial"/>
          <w:sz w:val="20"/>
          <w:szCs w:val="20"/>
        </w:rPr>
        <w:t>ddress for correspondence</w:t>
      </w:r>
      <w:r w:rsidRPr="008367E2">
        <w:rPr>
          <w:rFonts w:ascii="Arial" w:hAnsi="Arial" w:cs="Arial"/>
          <w:sz w:val="20"/>
          <w:szCs w:val="20"/>
        </w:rPr>
        <w:t xml:space="preserve">: </w:t>
      </w:r>
      <w:hyperlink r:id="rId2" w:history="1">
        <w:r w:rsidR="007B4CF2" w:rsidRPr="008367E2">
          <w:rPr>
            <w:rStyle w:val="Hyperlink"/>
            <w:rFonts w:ascii="Arial" w:hAnsi="Arial" w:cs="Arial"/>
            <w:sz w:val="20"/>
            <w:szCs w:val="20"/>
            <w:lang w:val="en-GB"/>
          </w:rPr>
          <w:t>KakoullisE@cardiff.ac.uk</w:t>
        </w:r>
      </w:hyperlink>
      <w:r w:rsidR="007B4CF2" w:rsidRPr="008367E2">
        <w:rPr>
          <w:rFonts w:ascii="Arial" w:hAnsi="Arial" w:cs="Arial"/>
          <w:sz w:val="20"/>
          <w:szCs w:val="20"/>
          <w:lang w:val="en-GB"/>
        </w:rPr>
        <w:t xml:space="preserve"> </w:t>
      </w:r>
      <w:r w:rsidR="00A37AFB" w:rsidRPr="008367E2">
        <w:rPr>
          <w:rFonts w:ascii="Arial" w:hAnsi="Arial" w:cs="Arial"/>
          <w:sz w:val="20"/>
          <w:szCs w:val="20"/>
          <w:lang w:val="en-GB"/>
        </w:rPr>
        <w:t>.</w:t>
      </w:r>
    </w:p>
  </w:footnote>
  <w:footnote w:id="3">
    <w:p w14:paraId="73063144" w14:textId="08139DB4"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See, for example: Prime Minister’s Strategy Uni</w:t>
      </w:r>
      <w:r w:rsidR="00CC117C">
        <w:rPr>
          <w:rFonts w:ascii="Arial" w:hAnsi="Arial" w:cs="Arial"/>
          <w:sz w:val="20"/>
          <w:szCs w:val="20"/>
        </w:rPr>
        <w:t>t</w:t>
      </w:r>
      <w:r w:rsidRPr="008367E2">
        <w:rPr>
          <w:rFonts w:ascii="Arial" w:hAnsi="Arial" w:cs="Arial"/>
          <w:sz w:val="20"/>
          <w:szCs w:val="20"/>
        </w:rPr>
        <w:t xml:space="preserve">, </w:t>
      </w:r>
      <w:r w:rsidRPr="008367E2">
        <w:rPr>
          <w:rFonts w:ascii="Arial" w:hAnsi="Arial" w:cs="Arial"/>
          <w:i/>
          <w:sz w:val="20"/>
          <w:szCs w:val="20"/>
        </w:rPr>
        <w:t>Improving the Life Chances of Disabled People</w:t>
      </w:r>
      <w:r w:rsidRPr="008367E2">
        <w:rPr>
          <w:rFonts w:ascii="Arial" w:hAnsi="Arial" w:cs="Arial"/>
          <w:sz w:val="20"/>
          <w:szCs w:val="20"/>
        </w:rPr>
        <w:t xml:space="preserve"> (2005); Office for Disability Issues and others, </w:t>
      </w:r>
      <w:r w:rsidRPr="008367E2">
        <w:rPr>
          <w:rFonts w:ascii="Arial" w:hAnsi="Arial" w:cs="Arial"/>
          <w:i/>
          <w:sz w:val="20"/>
          <w:szCs w:val="20"/>
        </w:rPr>
        <w:t>Independent Living: A Cross-Government Strategy about Independent Living for Disabled People</w:t>
      </w:r>
      <w:r w:rsidRPr="008367E2">
        <w:rPr>
          <w:rFonts w:ascii="Arial" w:hAnsi="Arial" w:cs="Arial"/>
          <w:sz w:val="20"/>
          <w:szCs w:val="20"/>
        </w:rPr>
        <w:t xml:space="preserve"> (2008); Department for Work and Pensions, </w:t>
      </w:r>
      <w:r w:rsidRPr="008367E2">
        <w:rPr>
          <w:rFonts w:ascii="Arial" w:hAnsi="Arial" w:cs="Arial"/>
          <w:i/>
          <w:sz w:val="20"/>
          <w:szCs w:val="20"/>
        </w:rPr>
        <w:t>Fulfilling Potential</w:t>
      </w:r>
      <w:r w:rsidRPr="008367E2">
        <w:rPr>
          <w:rFonts w:ascii="Arial" w:hAnsi="Arial" w:cs="Arial"/>
          <w:i/>
          <w:color w:val="000000"/>
          <w:sz w:val="20"/>
          <w:szCs w:val="20"/>
        </w:rPr>
        <w:t>: Next Steps</w:t>
      </w:r>
      <w:r w:rsidRPr="008367E2">
        <w:rPr>
          <w:rFonts w:ascii="Arial" w:hAnsi="Arial" w:cs="Arial"/>
          <w:color w:val="000000"/>
          <w:sz w:val="20"/>
          <w:szCs w:val="20"/>
        </w:rPr>
        <w:t xml:space="preserve"> (2012) para 1.10; Welsh Government, </w:t>
      </w:r>
      <w:r w:rsidRPr="008367E2">
        <w:rPr>
          <w:rFonts w:ascii="Arial" w:hAnsi="Arial" w:cs="Arial"/>
          <w:i/>
          <w:color w:val="000000"/>
          <w:sz w:val="20"/>
          <w:szCs w:val="20"/>
        </w:rPr>
        <w:t>A Framework for Action on Independent Living</w:t>
      </w:r>
      <w:r w:rsidRPr="008367E2">
        <w:rPr>
          <w:rFonts w:ascii="Arial" w:hAnsi="Arial" w:cs="Arial"/>
          <w:color w:val="000000"/>
          <w:sz w:val="20"/>
          <w:szCs w:val="20"/>
        </w:rPr>
        <w:t xml:space="preserve"> (2013). </w:t>
      </w:r>
    </w:p>
  </w:footnote>
  <w:footnote w:id="4">
    <w:p w14:paraId="0CE76DC3" w14:textId="39BB8F29" w:rsidR="00130A62" w:rsidRPr="008367E2" w:rsidRDefault="00130A62" w:rsidP="00375E9E">
      <w:pPr>
        <w:pStyle w:val="FootnoteText"/>
        <w:rPr>
          <w:rFonts w:ascii="Arial" w:hAnsi="Arial" w:cs="Arial"/>
          <w:bCs/>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Emily </w:t>
      </w:r>
      <w:r w:rsidRPr="008367E2">
        <w:rPr>
          <w:rFonts w:ascii="Arial" w:hAnsi="Arial" w:cs="Arial"/>
          <w:bCs/>
          <w:sz w:val="20"/>
          <w:szCs w:val="20"/>
          <w:lang w:val="en-GB"/>
        </w:rPr>
        <w:t>Kakoullis, ‘A Shift from Welfare to Rights: A Case Study of the Ratification Process for the Convention on the Rights of Persons with Disabilities in Cyprus’ (PhD Thesis, University of Bristol, 2015).</w:t>
      </w:r>
    </w:p>
  </w:footnote>
  <w:footnote w:id="5">
    <w:p w14:paraId="109B5D23" w14:textId="74F29C92"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i/>
          <w:iCs/>
          <w:sz w:val="20"/>
          <w:szCs w:val="20"/>
          <w:lang w:val="en-GB"/>
        </w:rPr>
        <w:t xml:space="preserve">A Primary Care Trust v AH </w:t>
      </w:r>
      <w:r w:rsidRPr="008367E2">
        <w:rPr>
          <w:rFonts w:ascii="Arial" w:hAnsi="Arial" w:cs="Arial"/>
          <w:sz w:val="20"/>
          <w:szCs w:val="20"/>
          <w:lang w:val="en-GB"/>
        </w:rPr>
        <w:t xml:space="preserve">[2008] EWHC 1403 (Fam); </w:t>
      </w:r>
      <w:r w:rsidRPr="008367E2">
        <w:rPr>
          <w:rFonts w:ascii="Arial" w:hAnsi="Arial" w:cs="Arial"/>
          <w:i/>
          <w:iCs/>
          <w:sz w:val="20"/>
          <w:szCs w:val="20"/>
          <w:lang w:val="en-GB"/>
        </w:rPr>
        <w:t xml:space="preserve">A Local Authority v WMA &amp; Ors </w:t>
      </w:r>
      <w:r w:rsidRPr="008367E2">
        <w:rPr>
          <w:rFonts w:ascii="Arial" w:hAnsi="Arial" w:cs="Arial"/>
          <w:sz w:val="20"/>
          <w:szCs w:val="20"/>
          <w:lang w:val="en-GB"/>
        </w:rPr>
        <w:t>[2013] EWHC 2580 (COP).</w:t>
      </w:r>
    </w:p>
  </w:footnote>
  <w:footnote w:id="6">
    <w:p w14:paraId="3D33BDCF" w14:textId="03AE1E75" w:rsidR="00130A62" w:rsidRPr="008367E2" w:rsidRDefault="00130A62" w:rsidP="00375E9E">
      <w:pPr>
        <w:pStyle w:val="FootnoteText"/>
        <w:rPr>
          <w:rFonts w:ascii="Arial" w:hAnsi="Arial" w:cs="Arial"/>
          <w:sz w:val="20"/>
          <w:szCs w:val="20"/>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i/>
          <w:iCs/>
          <w:sz w:val="20"/>
          <w:szCs w:val="20"/>
        </w:rPr>
        <w:t xml:space="preserve">Northamptonshire Healthcare NHS Foundation Trust v ML (Rev 1) </w:t>
      </w:r>
      <w:r w:rsidRPr="008367E2">
        <w:rPr>
          <w:rFonts w:ascii="Arial" w:hAnsi="Arial" w:cs="Arial"/>
          <w:sz w:val="20"/>
          <w:szCs w:val="20"/>
        </w:rPr>
        <w:t>[2014] EWCOP 2.</w:t>
      </w:r>
    </w:p>
  </w:footnote>
  <w:footnote w:id="7">
    <w:p w14:paraId="113A11AE" w14:textId="77777777"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i/>
          <w:iCs/>
          <w:sz w:val="20"/>
          <w:szCs w:val="20"/>
          <w:lang w:val="en-GB"/>
        </w:rPr>
        <w:t xml:space="preserve">A NHS Trust v DE </w:t>
      </w:r>
      <w:r w:rsidRPr="008367E2">
        <w:rPr>
          <w:rFonts w:ascii="Arial" w:hAnsi="Arial" w:cs="Arial"/>
          <w:sz w:val="20"/>
          <w:szCs w:val="20"/>
          <w:lang w:val="en-GB"/>
        </w:rPr>
        <w:t xml:space="preserve">[2013] EWHC 2562 (Fam). </w:t>
      </w:r>
    </w:p>
  </w:footnote>
  <w:footnote w:id="8">
    <w:p w14:paraId="16068E21" w14:textId="3E12650A"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sz w:val="20"/>
          <w:szCs w:val="20"/>
          <w:lang w:val="en-GB"/>
        </w:rPr>
        <w:t xml:space="preserve">Ongoing doctoral research. </w:t>
      </w:r>
    </w:p>
  </w:footnote>
  <w:footnote w:id="9">
    <w:p w14:paraId="1E77DD88" w14:textId="61382903"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sz w:val="20"/>
          <w:szCs w:val="20"/>
          <w:lang w:val="en-GB"/>
        </w:rPr>
        <w:t xml:space="preserve">Jenny Morris, </w:t>
      </w:r>
      <w:r w:rsidRPr="008367E2">
        <w:rPr>
          <w:rFonts w:ascii="Arial" w:hAnsi="Arial" w:cs="Arial"/>
          <w:i/>
          <w:sz w:val="20"/>
          <w:szCs w:val="20"/>
          <w:lang w:val="en-GB"/>
        </w:rPr>
        <w:t xml:space="preserve">Rethinking Disability Policy </w:t>
      </w:r>
      <w:r w:rsidRPr="008367E2">
        <w:rPr>
          <w:rFonts w:ascii="Arial" w:hAnsi="Arial" w:cs="Arial"/>
          <w:sz w:val="20"/>
          <w:szCs w:val="20"/>
          <w:lang w:val="en-GB"/>
        </w:rPr>
        <w:t>(Joseph Rowntree Foundation 2011) p 5.</w:t>
      </w:r>
    </w:p>
  </w:footnote>
  <w:footnote w:id="10">
    <w:p w14:paraId="0A722C26" w14:textId="01D7C5BC" w:rsidR="00130A62" w:rsidRPr="008367E2" w:rsidRDefault="00130A62" w:rsidP="00375E9E">
      <w:pPr>
        <w:rPr>
          <w:rFonts w:cs="Arial"/>
          <w:sz w:val="20"/>
          <w:szCs w:val="20"/>
        </w:rPr>
      </w:pPr>
      <w:r w:rsidRPr="008367E2">
        <w:rPr>
          <w:rStyle w:val="FootnoteReference"/>
          <w:rFonts w:cs="Arial"/>
          <w:sz w:val="20"/>
          <w:szCs w:val="20"/>
        </w:rPr>
        <w:footnoteRef/>
      </w:r>
      <w:r w:rsidRPr="008367E2">
        <w:rPr>
          <w:rFonts w:cs="Arial"/>
          <w:sz w:val="20"/>
          <w:szCs w:val="20"/>
        </w:rPr>
        <w:t xml:space="preserve"> As long ago as 1998, Philip Mason argued: “S</w:t>
      </w:r>
      <w:r w:rsidRPr="008367E2">
        <w:rPr>
          <w:rFonts w:cs="Arial"/>
          <w:color w:val="000000"/>
          <w:sz w:val="20"/>
          <w:szCs w:val="20"/>
        </w:rPr>
        <w:t xml:space="preserve">uddenly the term 'independent living' became a catch phrase for social welfare professionals, for the orthodox charities and for anybody else... We have lost control of the very creature we created. Each interest group has defined the term to its own advantage. The original concept and the aspirations of disabled people have been lost in the scramble”. Philip Mason, ‘Back to Basics’ (Facing Our Future: Experts Seminar on Independent Living and Direct Payments, Hampshire Centre for Independent Living, July 1998). </w:t>
      </w:r>
    </w:p>
  </w:footnote>
  <w:footnote w:id="11">
    <w:p w14:paraId="618667F5" w14:textId="51329E2E" w:rsidR="00130A62" w:rsidRPr="008367E2" w:rsidRDefault="00130A62" w:rsidP="00375E9E">
      <w:pPr>
        <w:pStyle w:val="FootnoteText"/>
        <w:rPr>
          <w:rFonts w:ascii="Arial" w:hAnsi="Arial" w:cs="Arial"/>
          <w:sz w:val="20"/>
          <w:szCs w:val="20"/>
        </w:rPr>
      </w:pPr>
      <w:r w:rsidRPr="008367E2">
        <w:rPr>
          <w:rStyle w:val="FootnoteReference"/>
          <w:rFonts w:ascii="Arial" w:hAnsi="Arial" w:cs="Arial"/>
          <w:sz w:val="20"/>
          <w:szCs w:val="20"/>
        </w:rPr>
        <w:footnoteRef/>
      </w:r>
      <w:r w:rsidRPr="008367E2">
        <w:rPr>
          <w:rFonts w:ascii="Arial" w:hAnsi="Arial" w:cs="Arial"/>
          <w:sz w:val="20"/>
          <w:szCs w:val="20"/>
        </w:rPr>
        <w:t xml:space="preserve"> Jenny Morris, </w:t>
      </w:r>
      <w:r w:rsidRPr="008367E2">
        <w:rPr>
          <w:rFonts w:ascii="Arial" w:hAnsi="Arial" w:cs="Arial"/>
          <w:i/>
          <w:sz w:val="20"/>
          <w:szCs w:val="20"/>
        </w:rPr>
        <w:t xml:space="preserve">Rethinking Disability Policy </w:t>
      </w:r>
      <w:r w:rsidRPr="008367E2">
        <w:rPr>
          <w:rFonts w:ascii="Arial" w:hAnsi="Arial" w:cs="Arial"/>
          <w:sz w:val="20"/>
          <w:szCs w:val="20"/>
        </w:rPr>
        <w:t>(Joseph Rowntree Foundation 2011), p 3</w:t>
      </w:r>
      <w:r w:rsidRPr="008367E2">
        <w:rPr>
          <w:rFonts w:ascii="Arial" w:hAnsi="Arial" w:cs="Arial"/>
          <w:sz w:val="20"/>
          <w:szCs w:val="20"/>
          <w:lang w:val="en-GB"/>
        </w:rPr>
        <w:t>.</w:t>
      </w:r>
    </w:p>
  </w:footnote>
  <w:footnote w:id="12">
    <w:p w14:paraId="7D27215C" w14:textId="5F50B921"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lang w:val="en-GB"/>
        </w:rPr>
        <w:t xml:space="preserve"> See, for example: Prime Minister’s Strategy Unit, </w:t>
      </w:r>
      <w:r w:rsidRPr="008367E2">
        <w:rPr>
          <w:rFonts w:ascii="Arial" w:hAnsi="Arial" w:cs="Arial"/>
          <w:i/>
          <w:sz w:val="20"/>
          <w:szCs w:val="20"/>
          <w:lang w:val="en-GB"/>
        </w:rPr>
        <w:t>Improving the Life Chances of Disabled People</w:t>
      </w:r>
      <w:r w:rsidRPr="008367E2">
        <w:rPr>
          <w:rFonts w:ascii="Arial" w:hAnsi="Arial" w:cs="Arial"/>
          <w:sz w:val="20"/>
          <w:szCs w:val="20"/>
          <w:lang w:val="en-GB"/>
        </w:rPr>
        <w:t xml:space="preserve"> (2005) 70; HM Government, </w:t>
      </w:r>
      <w:r w:rsidRPr="008367E2">
        <w:rPr>
          <w:rFonts w:ascii="Arial" w:hAnsi="Arial" w:cs="Arial"/>
          <w:i/>
          <w:sz w:val="20"/>
          <w:szCs w:val="20"/>
          <w:lang w:val="en-GB"/>
        </w:rPr>
        <w:t>The Case for Change – Why England Needs a New Care and Support System</w:t>
      </w:r>
      <w:r w:rsidRPr="008367E2">
        <w:rPr>
          <w:rFonts w:ascii="Arial" w:hAnsi="Arial" w:cs="Arial"/>
          <w:sz w:val="20"/>
          <w:szCs w:val="20"/>
        </w:rPr>
        <w:t xml:space="preserve"> (May 2008) 35.</w:t>
      </w:r>
    </w:p>
  </w:footnote>
  <w:footnote w:id="13">
    <w:p w14:paraId="021446B5" w14:textId="6D682C28"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sz w:val="20"/>
          <w:szCs w:val="20"/>
          <w:lang w:val="en-GB"/>
        </w:rPr>
        <w:t>Alison Tarrant, ‘</w:t>
      </w:r>
      <w:r w:rsidRPr="008367E2">
        <w:rPr>
          <w:rFonts w:ascii="Arial" w:hAnsi="Arial" w:cs="Arial"/>
          <w:bCs/>
          <w:sz w:val="20"/>
          <w:szCs w:val="20"/>
          <w:lang w:val="en-GB"/>
        </w:rPr>
        <w:t xml:space="preserve">Disabled People and Independence: A Study of the Language of Adult Social Care Policy’, (Unpublished MSc dissertation, </w:t>
      </w:r>
      <w:r w:rsidRPr="008367E2">
        <w:rPr>
          <w:rFonts w:ascii="Arial" w:hAnsi="Arial" w:cs="Arial"/>
          <w:sz w:val="20"/>
          <w:szCs w:val="20"/>
          <w:lang w:val="en-GB"/>
        </w:rPr>
        <w:t>Cardiff University 2013).</w:t>
      </w:r>
    </w:p>
  </w:footnote>
  <w:footnote w:id="14">
    <w:p w14:paraId="1A969E41" w14:textId="26E4F814"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sz w:val="20"/>
          <w:szCs w:val="20"/>
          <w:lang w:val="en-GB"/>
        </w:rPr>
        <w:t>Alison Tarrant, ‘</w:t>
      </w:r>
      <w:r w:rsidRPr="008367E2">
        <w:rPr>
          <w:rFonts w:ascii="Arial" w:hAnsi="Arial" w:cs="Arial"/>
          <w:bCs/>
          <w:sz w:val="20"/>
          <w:szCs w:val="20"/>
          <w:lang w:val="en-GB"/>
        </w:rPr>
        <w:t>Disabled People and Independence: A Study of the Language of Adult Soc</w:t>
      </w:r>
      <w:r w:rsidR="00375E9E">
        <w:rPr>
          <w:rFonts w:ascii="Arial" w:hAnsi="Arial" w:cs="Arial"/>
          <w:bCs/>
          <w:sz w:val="20"/>
          <w:szCs w:val="20"/>
          <w:lang w:val="en-GB"/>
        </w:rPr>
        <w:t xml:space="preserve">ial Care Policy’, (Unpublished </w:t>
      </w:r>
      <w:r w:rsidRPr="008367E2">
        <w:rPr>
          <w:rFonts w:ascii="Arial" w:hAnsi="Arial" w:cs="Arial"/>
          <w:bCs/>
          <w:sz w:val="20"/>
          <w:szCs w:val="20"/>
          <w:lang w:val="en-GB"/>
        </w:rPr>
        <w:t xml:space="preserve">MSc dissertation, </w:t>
      </w:r>
      <w:r w:rsidR="002F1626">
        <w:rPr>
          <w:rFonts w:ascii="Arial" w:hAnsi="Arial" w:cs="Arial"/>
          <w:sz w:val="20"/>
          <w:szCs w:val="20"/>
          <w:lang w:val="en-GB"/>
        </w:rPr>
        <w:t>Cardiff University 2013); Alison Tarrant, ongoing doctoral research.</w:t>
      </w:r>
    </w:p>
  </w:footnote>
  <w:footnote w:id="15">
    <w:p w14:paraId="621ED3DB" w14:textId="200326C3" w:rsidR="00DE40A6" w:rsidRPr="008367E2" w:rsidRDefault="00DE40A6"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sz w:val="20"/>
          <w:szCs w:val="20"/>
          <w:lang w:val="en-GB"/>
        </w:rPr>
        <w:t>p 1</w:t>
      </w:r>
      <w:r w:rsidR="008367E2">
        <w:rPr>
          <w:rFonts w:ascii="Arial" w:hAnsi="Arial" w:cs="Arial"/>
          <w:sz w:val="20"/>
          <w:szCs w:val="20"/>
          <w:lang w:val="en-GB"/>
        </w:rPr>
        <w:t>.</w:t>
      </w:r>
    </w:p>
  </w:footnote>
  <w:footnote w:id="16">
    <w:p w14:paraId="6E23BA1F" w14:textId="78FBA5BE"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sz w:val="20"/>
          <w:szCs w:val="20"/>
          <w:lang w:val="en-GB"/>
        </w:rPr>
        <w:t>[2017] EWHC 354 (Admin)</w:t>
      </w:r>
    </w:p>
  </w:footnote>
  <w:footnote w:id="17">
    <w:p w14:paraId="29798BAC" w14:textId="2B17E3E1" w:rsidR="00130A62" w:rsidRPr="008367E2" w:rsidRDefault="00130A62" w:rsidP="00375E9E">
      <w:pPr>
        <w:pStyle w:val="FootnoteText"/>
        <w:rPr>
          <w:rFonts w:ascii="Arial" w:hAnsi="Arial" w:cs="Arial"/>
          <w:sz w:val="20"/>
          <w:szCs w:val="20"/>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sz w:val="20"/>
          <w:szCs w:val="20"/>
          <w:lang w:val="en-GB"/>
        </w:rPr>
        <w:t>Department of Health, ‘Care Act Statutory guidance’ (Updated version published 26 September 2016) &lt;</w:t>
      </w:r>
      <w:hyperlink r:id="rId3" w:history="1">
        <w:r w:rsidRPr="008367E2">
          <w:rPr>
            <w:rStyle w:val="Hyperlink"/>
            <w:rFonts w:ascii="Arial" w:hAnsi="Arial" w:cs="Arial"/>
            <w:sz w:val="20"/>
            <w:szCs w:val="20"/>
          </w:rPr>
          <w:t>https://www.gov.uk/government/publications/care-act-statutory-guidance</w:t>
        </w:r>
      </w:hyperlink>
      <w:r w:rsidRPr="008367E2">
        <w:rPr>
          <w:rFonts w:ascii="Arial" w:hAnsi="Arial" w:cs="Arial"/>
          <w:sz w:val="20"/>
          <w:szCs w:val="20"/>
          <w:lang w:val="en-GB"/>
        </w:rPr>
        <w:t>&gt; paragraph 1.19.</w:t>
      </w:r>
    </w:p>
  </w:footnote>
  <w:footnote w:id="18">
    <w:p w14:paraId="3261C943" w14:textId="3B34029F"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i/>
          <w:sz w:val="20"/>
          <w:szCs w:val="20"/>
          <w:lang w:val="en-GB"/>
        </w:rPr>
        <w:t>Davey v Oxfordshire CC</w:t>
      </w:r>
      <w:r w:rsidRPr="008367E2">
        <w:rPr>
          <w:rFonts w:ascii="Arial" w:hAnsi="Arial" w:cs="Arial"/>
          <w:sz w:val="20"/>
          <w:szCs w:val="20"/>
          <w:lang w:val="en-GB"/>
        </w:rPr>
        <w:t>, paragraphs 75-76; 103; 107.</w:t>
      </w:r>
    </w:p>
  </w:footnote>
  <w:footnote w:id="19">
    <w:p w14:paraId="6ACD68F0" w14:textId="6095EFF9" w:rsidR="00130A62" w:rsidRPr="008367E2" w:rsidRDefault="00130A62" w:rsidP="00375E9E">
      <w:pPr>
        <w:pStyle w:val="FootnoteText"/>
        <w:rPr>
          <w:rFonts w:ascii="Arial" w:hAnsi="Arial" w:cs="Arial"/>
          <w:sz w:val="20"/>
          <w:szCs w:val="20"/>
          <w:lang w:val="en-GB"/>
        </w:rPr>
      </w:pPr>
      <w:r w:rsidRPr="008367E2">
        <w:rPr>
          <w:rStyle w:val="FootnoteReference"/>
          <w:rFonts w:ascii="Arial" w:hAnsi="Arial" w:cs="Arial"/>
          <w:sz w:val="20"/>
          <w:szCs w:val="20"/>
        </w:rPr>
        <w:footnoteRef/>
      </w:r>
      <w:r w:rsidRPr="008367E2">
        <w:rPr>
          <w:rFonts w:ascii="Arial" w:hAnsi="Arial" w:cs="Arial"/>
          <w:sz w:val="20"/>
          <w:szCs w:val="20"/>
        </w:rPr>
        <w:t xml:space="preserve"> </w:t>
      </w:r>
      <w:r w:rsidRPr="008367E2">
        <w:rPr>
          <w:rFonts w:ascii="Arial" w:hAnsi="Arial" w:cs="Arial"/>
          <w:i/>
          <w:sz w:val="20"/>
          <w:szCs w:val="20"/>
          <w:lang w:val="en-GB"/>
        </w:rPr>
        <w:t>Davey v Oxfordshire CC</w:t>
      </w:r>
      <w:r w:rsidRPr="008367E2">
        <w:rPr>
          <w:rFonts w:ascii="Arial" w:hAnsi="Arial" w:cs="Arial"/>
          <w:sz w:val="20"/>
          <w:szCs w:val="20"/>
          <w:lang w:val="en-GB"/>
        </w:rPr>
        <w:t>, paragraphs 122; 128-129;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79652" w14:textId="1153FD2F" w:rsidR="00130A62" w:rsidRPr="00D42E9F" w:rsidRDefault="00130A62" w:rsidP="00115A39">
    <w:pPr>
      <w:pStyle w:val="Header"/>
      <w:jc w:val="right"/>
      <w:rPr>
        <w:rFonts w:cs="Arial"/>
        <w:sz w:val="20"/>
        <w:szCs w:val="20"/>
      </w:rPr>
    </w:pPr>
    <w:r w:rsidRPr="00D42E9F">
      <w:rPr>
        <w:rFonts w:cs="Arial"/>
        <w:sz w:val="20"/>
        <w:szCs w:val="20"/>
      </w:rPr>
      <w:t>CHSCL, Cardiff School of Law and Politics, Cardiff University, June 2017</w:t>
    </w:r>
  </w:p>
  <w:p w14:paraId="7EEB0F7E" w14:textId="77777777" w:rsidR="00130A62" w:rsidRPr="00115A39" w:rsidRDefault="00130A62" w:rsidP="00115A39">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643"/>
    <w:multiLevelType w:val="hybridMultilevel"/>
    <w:tmpl w:val="E0DA84B6"/>
    <w:lvl w:ilvl="0" w:tplc="727A4552">
      <w:start w:val="1"/>
      <w:numFmt w:val="upp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827007E"/>
    <w:multiLevelType w:val="hybridMultilevel"/>
    <w:tmpl w:val="2E0A96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2D4C1E"/>
    <w:multiLevelType w:val="hybridMultilevel"/>
    <w:tmpl w:val="D8F4B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F6186"/>
    <w:multiLevelType w:val="hybridMultilevel"/>
    <w:tmpl w:val="72965120"/>
    <w:lvl w:ilvl="0" w:tplc="B5FADC36">
      <w:start w:val="1"/>
      <w:numFmt w:val="decimal"/>
      <w:pStyle w:val="Heading4"/>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10E69F5"/>
    <w:multiLevelType w:val="hybridMultilevel"/>
    <w:tmpl w:val="C4D479D8"/>
    <w:lvl w:ilvl="0" w:tplc="57A838FE">
      <w:start w:val="1"/>
      <w:numFmt w:val="lowerLetter"/>
      <w:lvlText w:val="%1)"/>
      <w:lvlJc w:val="left"/>
      <w:pPr>
        <w:ind w:left="360" w:hanging="360"/>
      </w:pPr>
      <w:rPr>
        <w:rFonts w:ascii="Times New Roman" w:hAnsi="Times New Roman" w:cs="Times New Roman"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C2"/>
    <w:rsid w:val="00000E17"/>
    <w:rsid w:val="000020E8"/>
    <w:rsid w:val="00010D0E"/>
    <w:rsid w:val="000126DE"/>
    <w:rsid w:val="00016890"/>
    <w:rsid w:val="0002243D"/>
    <w:rsid w:val="00025373"/>
    <w:rsid w:val="000315E3"/>
    <w:rsid w:val="00041BB3"/>
    <w:rsid w:val="00050F79"/>
    <w:rsid w:val="00052CA8"/>
    <w:rsid w:val="000532A5"/>
    <w:rsid w:val="0005506B"/>
    <w:rsid w:val="0005544B"/>
    <w:rsid w:val="00057766"/>
    <w:rsid w:val="00060F55"/>
    <w:rsid w:val="00060FA7"/>
    <w:rsid w:val="0006668F"/>
    <w:rsid w:val="00066E19"/>
    <w:rsid w:val="00067312"/>
    <w:rsid w:val="00067B0A"/>
    <w:rsid w:val="00071FC3"/>
    <w:rsid w:val="000721B2"/>
    <w:rsid w:val="000737AD"/>
    <w:rsid w:val="00074166"/>
    <w:rsid w:val="0007546E"/>
    <w:rsid w:val="00080B85"/>
    <w:rsid w:val="00082B41"/>
    <w:rsid w:val="00083A09"/>
    <w:rsid w:val="00087E51"/>
    <w:rsid w:val="000955E1"/>
    <w:rsid w:val="000A2F9F"/>
    <w:rsid w:val="000A7610"/>
    <w:rsid w:val="000B31DE"/>
    <w:rsid w:val="000B41C3"/>
    <w:rsid w:val="000B7BBB"/>
    <w:rsid w:val="000C1161"/>
    <w:rsid w:val="000C1D5E"/>
    <w:rsid w:val="000C2265"/>
    <w:rsid w:val="000D1699"/>
    <w:rsid w:val="000D61DF"/>
    <w:rsid w:val="000D752A"/>
    <w:rsid w:val="000D7FA6"/>
    <w:rsid w:val="000E2648"/>
    <w:rsid w:val="000E51CD"/>
    <w:rsid w:val="000E5EBB"/>
    <w:rsid w:val="000F0A72"/>
    <w:rsid w:val="000F2F57"/>
    <w:rsid w:val="000F4096"/>
    <w:rsid w:val="000F757F"/>
    <w:rsid w:val="000F795E"/>
    <w:rsid w:val="001014F4"/>
    <w:rsid w:val="00112182"/>
    <w:rsid w:val="00113022"/>
    <w:rsid w:val="00115A39"/>
    <w:rsid w:val="00121D93"/>
    <w:rsid w:val="00124483"/>
    <w:rsid w:val="00125751"/>
    <w:rsid w:val="0012576A"/>
    <w:rsid w:val="00130A62"/>
    <w:rsid w:val="00133407"/>
    <w:rsid w:val="001347F9"/>
    <w:rsid w:val="00136553"/>
    <w:rsid w:val="00141D13"/>
    <w:rsid w:val="00142D80"/>
    <w:rsid w:val="0014322C"/>
    <w:rsid w:val="001511D5"/>
    <w:rsid w:val="00152132"/>
    <w:rsid w:val="001577E7"/>
    <w:rsid w:val="001612C1"/>
    <w:rsid w:val="00166326"/>
    <w:rsid w:val="001671C6"/>
    <w:rsid w:val="001678CF"/>
    <w:rsid w:val="001704FC"/>
    <w:rsid w:val="001709FD"/>
    <w:rsid w:val="0017140D"/>
    <w:rsid w:val="001714B3"/>
    <w:rsid w:val="001745AE"/>
    <w:rsid w:val="00184A62"/>
    <w:rsid w:val="001866F0"/>
    <w:rsid w:val="0019132D"/>
    <w:rsid w:val="00192298"/>
    <w:rsid w:val="00197490"/>
    <w:rsid w:val="001A0A63"/>
    <w:rsid w:val="001A0F03"/>
    <w:rsid w:val="001A3DCF"/>
    <w:rsid w:val="001A5AB2"/>
    <w:rsid w:val="001A5F6D"/>
    <w:rsid w:val="001B1228"/>
    <w:rsid w:val="001B3676"/>
    <w:rsid w:val="001C3E2B"/>
    <w:rsid w:val="001C4E74"/>
    <w:rsid w:val="001D47E4"/>
    <w:rsid w:val="001D7F82"/>
    <w:rsid w:val="001E0857"/>
    <w:rsid w:val="001E2C2C"/>
    <w:rsid w:val="001E2D5B"/>
    <w:rsid w:val="001E6767"/>
    <w:rsid w:val="001F00E0"/>
    <w:rsid w:val="001F25BB"/>
    <w:rsid w:val="002005C3"/>
    <w:rsid w:val="00202861"/>
    <w:rsid w:val="00204E9C"/>
    <w:rsid w:val="002104D4"/>
    <w:rsid w:val="00210C09"/>
    <w:rsid w:val="00211F6A"/>
    <w:rsid w:val="00213CCC"/>
    <w:rsid w:val="00213D10"/>
    <w:rsid w:val="002174D2"/>
    <w:rsid w:val="002244F2"/>
    <w:rsid w:val="0022503A"/>
    <w:rsid w:val="002267A1"/>
    <w:rsid w:val="002271A9"/>
    <w:rsid w:val="0023117D"/>
    <w:rsid w:val="00235FD8"/>
    <w:rsid w:val="00241E3B"/>
    <w:rsid w:val="00243928"/>
    <w:rsid w:val="00244530"/>
    <w:rsid w:val="0024512F"/>
    <w:rsid w:val="00247269"/>
    <w:rsid w:val="0025065D"/>
    <w:rsid w:val="00250D87"/>
    <w:rsid w:val="00250E58"/>
    <w:rsid w:val="002559B4"/>
    <w:rsid w:val="00260AE4"/>
    <w:rsid w:val="002633FC"/>
    <w:rsid w:val="0026382E"/>
    <w:rsid w:val="002713BB"/>
    <w:rsid w:val="00275CB7"/>
    <w:rsid w:val="00277176"/>
    <w:rsid w:val="00281863"/>
    <w:rsid w:val="00283323"/>
    <w:rsid w:val="002959BA"/>
    <w:rsid w:val="0029775C"/>
    <w:rsid w:val="002A5B29"/>
    <w:rsid w:val="002B53E3"/>
    <w:rsid w:val="002B69AF"/>
    <w:rsid w:val="002C383F"/>
    <w:rsid w:val="002C508E"/>
    <w:rsid w:val="002D1CAB"/>
    <w:rsid w:val="002D52B2"/>
    <w:rsid w:val="002D7598"/>
    <w:rsid w:val="002E6F9F"/>
    <w:rsid w:val="002F1310"/>
    <w:rsid w:val="002F1626"/>
    <w:rsid w:val="002F35CF"/>
    <w:rsid w:val="002F5371"/>
    <w:rsid w:val="00300B47"/>
    <w:rsid w:val="003013EA"/>
    <w:rsid w:val="003066C8"/>
    <w:rsid w:val="0031028E"/>
    <w:rsid w:val="00315DFB"/>
    <w:rsid w:val="003164CC"/>
    <w:rsid w:val="0031729B"/>
    <w:rsid w:val="0032191A"/>
    <w:rsid w:val="00323EB8"/>
    <w:rsid w:val="0033226B"/>
    <w:rsid w:val="00334407"/>
    <w:rsid w:val="00335B40"/>
    <w:rsid w:val="003378A1"/>
    <w:rsid w:val="0034169F"/>
    <w:rsid w:val="003426F3"/>
    <w:rsid w:val="00342D73"/>
    <w:rsid w:val="0035052C"/>
    <w:rsid w:val="0035326E"/>
    <w:rsid w:val="0035415C"/>
    <w:rsid w:val="003551AB"/>
    <w:rsid w:val="003571CD"/>
    <w:rsid w:val="00357E70"/>
    <w:rsid w:val="0036000C"/>
    <w:rsid w:val="00362996"/>
    <w:rsid w:val="0036783E"/>
    <w:rsid w:val="00372857"/>
    <w:rsid w:val="003744D4"/>
    <w:rsid w:val="00375E9E"/>
    <w:rsid w:val="00376856"/>
    <w:rsid w:val="003859DF"/>
    <w:rsid w:val="00386AF5"/>
    <w:rsid w:val="0038727D"/>
    <w:rsid w:val="003873C4"/>
    <w:rsid w:val="00391AA7"/>
    <w:rsid w:val="00391C25"/>
    <w:rsid w:val="00394B76"/>
    <w:rsid w:val="003A28CB"/>
    <w:rsid w:val="003A2E40"/>
    <w:rsid w:val="003A5A02"/>
    <w:rsid w:val="003B13E0"/>
    <w:rsid w:val="003B66B2"/>
    <w:rsid w:val="003B7D6C"/>
    <w:rsid w:val="003C247B"/>
    <w:rsid w:val="003D02CB"/>
    <w:rsid w:val="003D17DF"/>
    <w:rsid w:val="003D1BBA"/>
    <w:rsid w:val="003D27BE"/>
    <w:rsid w:val="003D2A54"/>
    <w:rsid w:val="003D2B25"/>
    <w:rsid w:val="003D4079"/>
    <w:rsid w:val="003D58DA"/>
    <w:rsid w:val="003E274F"/>
    <w:rsid w:val="003E61FD"/>
    <w:rsid w:val="003F06A0"/>
    <w:rsid w:val="003F628F"/>
    <w:rsid w:val="003F6F93"/>
    <w:rsid w:val="003F7035"/>
    <w:rsid w:val="00400476"/>
    <w:rsid w:val="00402AAB"/>
    <w:rsid w:val="0041306D"/>
    <w:rsid w:val="004152AA"/>
    <w:rsid w:val="00415666"/>
    <w:rsid w:val="0041669F"/>
    <w:rsid w:val="00422E4E"/>
    <w:rsid w:val="004234DD"/>
    <w:rsid w:val="0042767A"/>
    <w:rsid w:val="00427A20"/>
    <w:rsid w:val="0043216B"/>
    <w:rsid w:val="00435584"/>
    <w:rsid w:val="00440F5C"/>
    <w:rsid w:val="0045203D"/>
    <w:rsid w:val="004524B8"/>
    <w:rsid w:val="00455D83"/>
    <w:rsid w:val="00462E87"/>
    <w:rsid w:val="00463F08"/>
    <w:rsid w:val="00463F98"/>
    <w:rsid w:val="004652D0"/>
    <w:rsid w:val="00471E9F"/>
    <w:rsid w:val="0047548E"/>
    <w:rsid w:val="004808E7"/>
    <w:rsid w:val="004840EC"/>
    <w:rsid w:val="0048414A"/>
    <w:rsid w:val="004901C4"/>
    <w:rsid w:val="00491D6F"/>
    <w:rsid w:val="004925E2"/>
    <w:rsid w:val="0049287E"/>
    <w:rsid w:val="00493CAD"/>
    <w:rsid w:val="0049419E"/>
    <w:rsid w:val="004A1DE4"/>
    <w:rsid w:val="004A4DB6"/>
    <w:rsid w:val="004B3D4E"/>
    <w:rsid w:val="004B591B"/>
    <w:rsid w:val="004C2669"/>
    <w:rsid w:val="004C2AD6"/>
    <w:rsid w:val="004C570B"/>
    <w:rsid w:val="004C730B"/>
    <w:rsid w:val="004D2B7D"/>
    <w:rsid w:val="004D31EC"/>
    <w:rsid w:val="004D3542"/>
    <w:rsid w:val="004E246B"/>
    <w:rsid w:val="004E33B5"/>
    <w:rsid w:val="004E530B"/>
    <w:rsid w:val="004E5D9F"/>
    <w:rsid w:val="004F0551"/>
    <w:rsid w:val="004F30ED"/>
    <w:rsid w:val="004F3722"/>
    <w:rsid w:val="004F3B61"/>
    <w:rsid w:val="004F40A9"/>
    <w:rsid w:val="00507199"/>
    <w:rsid w:val="005113B4"/>
    <w:rsid w:val="00511589"/>
    <w:rsid w:val="00515C38"/>
    <w:rsid w:val="005167F0"/>
    <w:rsid w:val="0053076F"/>
    <w:rsid w:val="00532A18"/>
    <w:rsid w:val="0053330F"/>
    <w:rsid w:val="00535D91"/>
    <w:rsid w:val="00547B66"/>
    <w:rsid w:val="00553205"/>
    <w:rsid w:val="00553A52"/>
    <w:rsid w:val="00554077"/>
    <w:rsid w:val="005570BE"/>
    <w:rsid w:val="00557E85"/>
    <w:rsid w:val="0056702E"/>
    <w:rsid w:val="00567260"/>
    <w:rsid w:val="0057343D"/>
    <w:rsid w:val="00575C18"/>
    <w:rsid w:val="00576FC9"/>
    <w:rsid w:val="00577B52"/>
    <w:rsid w:val="005821DB"/>
    <w:rsid w:val="00582CC0"/>
    <w:rsid w:val="005836DA"/>
    <w:rsid w:val="00585CBC"/>
    <w:rsid w:val="00587806"/>
    <w:rsid w:val="00592913"/>
    <w:rsid w:val="00592B88"/>
    <w:rsid w:val="005A791F"/>
    <w:rsid w:val="005B332D"/>
    <w:rsid w:val="005B5010"/>
    <w:rsid w:val="005C4BDA"/>
    <w:rsid w:val="005C7A90"/>
    <w:rsid w:val="005E1924"/>
    <w:rsid w:val="005E7C7F"/>
    <w:rsid w:val="005F5EC7"/>
    <w:rsid w:val="0060117F"/>
    <w:rsid w:val="0060563A"/>
    <w:rsid w:val="006103B6"/>
    <w:rsid w:val="00611761"/>
    <w:rsid w:val="00614A3A"/>
    <w:rsid w:val="0061709B"/>
    <w:rsid w:val="00617DF4"/>
    <w:rsid w:val="00627011"/>
    <w:rsid w:val="0062715E"/>
    <w:rsid w:val="00633FA0"/>
    <w:rsid w:val="00634F92"/>
    <w:rsid w:val="00641C58"/>
    <w:rsid w:val="00643137"/>
    <w:rsid w:val="00645601"/>
    <w:rsid w:val="0064768A"/>
    <w:rsid w:val="00650640"/>
    <w:rsid w:val="006530A3"/>
    <w:rsid w:val="00662318"/>
    <w:rsid w:val="006637A3"/>
    <w:rsid w:val="0067196F"/>
    <w:rsid w:val="00672B74"/>
    <w:rsid w:val="00674522"/>
    <w:rsid w:val="00674762"/>
    <w:rsid w:val="00676B82"/>
    <w:rsid w:val="00677F06"/>
    <w:rsid w:val="00681DD1"/>
    <w:rsid w:val="00682EEC"/>
    <w:rsid w:val="00686ED8"/>
    <w:rsid w:val="006907DD"/>
    <w:rsid w:val="00691722"/>
    <w:rsid w:val="00696A82"/>
    <w:rsid w:val="006A1D94"/>
    <w:rsid w:val="006A280F"/>
    <w:rsid w:val="006A4A61"/>
    <w:rsid w:val="006A5A33"/>
    <w:rsid w:val="006A6654"/>
    <w:rsid w:val="006B14E3"/>
    <w:rsid w:val="006B2164"/>
    <w:rsid w:val="006C057E"/>
    <w:rsid w:val="006C5B65"/>
    <w:rsid w:val="006C62A7"/>
    <w:rsid w:val="006C7F7F"/>
    <w:rsid w:val="006D1780"/>
    <w:rsid w:val="006D464C"/>
    <w:rsid w:val="006D4672"/>
    <w:rsid w:val="006D701A"/>
    <w:rsid w:val="006D7353"/>
    <w:rsid w:val="006E0F37"/>
    <w:rsid w:val="006E1E6D"/>
    <w:rsid w:val="006E2833"/>
    <w:rsid w:val="006E44C0"/>
    <w:rsid w:val="006E6C31"/>
    <w:rsid w:val="006E785F"/>
    <w:rsid w:val="006F0280"/>
    <w:rsid w:val="006F731D"/>
    <w:rsid w:val="00701195"/>
    <w:rsid w:val="00701F5B"/>
    <w:rsid w:val="007040AC"/>
    <w:rsid w:val="00714A89"/>
    <w:rsid w:val="00715DC1"/>
    <w:rsid w:val="00716B78"/>
    <w:rsid w:val="00716BD3"/>
    <w:rsid w:val="0072200B"/>
    <w:rsid w:val="007230BD"/>
    <w:rsid w:val="007232A6"/>
    <w:rsid w:val="00733F42"/>
    <w:rsid w:val="00734FAC"/>
    <w:rsid w:val="00735A9E"/>
    <w:rsid w:val="0074624A"/>
    <w:rsid w:val="007527F9"/>
    <w:rsid w:val="007533C4"/>
    <w:rsid w:val="00755ED5"/>
    <w:rsid w:val="007620CB"/>
    <w:rsid w:val="007620D3"/>
    <w:rsid w:val="00763123"/>
    <w:rsid w:val="00765433"/>
    <w:rsid w:val="0076637D"/>
    <w:rsid w:val="00772A4A"/>
    <w:rsid w:val="00772D68"/>
    <w:rsid w:val="00780A8C"/>
    <w:rsid w:val="00784168"/>
    <w:rsid w:val="007861AA"/>
    <w:rsid w:val="00786A86"/>
    <w:rsid w:val="007871E5"/>
    <w:rsid w:val="00790A41"/>
    <w:rsid w:val="00790F51"/>
    <w:rsid w:val="00792BF0"/>
    <w:rsid w:val="007A4E08"/>
    <w:rsid w:val="007A6227"/>
    <w:rsid w:val="007B20D5"/>
    <w:rsid w:val="007B4CF2"/>
    <w:rsid w:val="007B55BC"/>
    <w:rsid w:val="007C0AD1"/>
    <w:rsid w:val="007C6A7F"/>
    <w:rsid w:val="007D1B12"/>
    <w:rsid w:val="007D32B9"/>
    <w:rsid w:val="007E1372"/>
    <w:rsid w:val="007E27EE"/>
    <w:rsid w:val="007E3038"/>
    <w:rsid w:val="007E44EB"/>
    <w:rsid w:val="007E5699"/>
    <w:rsid w:val="007F3D50"/>
    <w:rsid w:val="007F5C90"/>
    <w:rsid w:val="007F6104"/>
    <w:rsid w:val="008026E3"/>
    <w:rsid w:val="00803E0E"/>
    <w:rsid w:val="00805E6C"/>
    <w:rsid w:val="00806111"/>
    <w:rsid w:val="00813EBB"/>
    <w:rsid w:val="0081413D"/>
    <w:rsid w:val="0082351A"/>
    <w:rsid w:val="0082404F"/>
    <w:rsid w:val="00824127"/>
    <w:rsid w:val="008260F4"/>
    <w:rsid w:val="00834C7A"/>
    <w:rsid w:val="008367E2"/>
    <w:rsid w:val="008461EF"/>
    <w:rsid w:val="00847779"/>
    <w:rsid w:val="008517CA"/>
    <w:rsid w:val="008606F5"/>
    <w:rsid w:val="008663A5"/>
    <w:rsid w:val="00871F0D"/>
    <w:rsid w:val="0087288A"/>
    <w:rsid w:val="008730B4"/>
    <w:rsid w:val="008735F2"/>
    <w:rsid w:val="00875D3C"/>
    <w:rsid w:val="00876173"/>
    <w:rsid w:val="00885BEE"/>
    <w:rsid w:val="0088685F"/>
    <w:rsid w:val="00886FA2"/>
    <w:rsid w:val="008A2E6A"/>
    <w:rsid w:val="008A4BEE"/>
    <w:rsid w:val="008A5CE7"/>
    <w:rsid w:val="008A71E0"/>
    <w:rsid w:val="008B0EE0"/>
    <w:rsid w:val="008B4DEA"/>
    <w:rsid w:val="008B6DD0"/>
    <w:rsid w:val="008C17F8"/>
    <w:rsid w:val="008C4702"/>
    <w:rsid w:val="008D2898"/>
    <w:rsid w:val="008D43BF"/>
    <w:rsid w:val="008E4625"/>
    <w:rsid w:val="008F2C75"/>
    <w:rsid w:val="008F3D1E"/>
    <w:rsid w:val="008F4EE7"/>
    <w:rsid w:val="008F6926"/>
    <w:rsid w:val="0090411F"/>
    <w:rsid w:val="00907B26"/>
    <w:rsid w:val="009122B9"/>
    <w:rsid w:val="009301C5"/>
    <w:rsid w:val="00932909"/>
    <w:rsid w:val="00936746"/>
    <w:rsid w:val="009374C6"/>
    <w:rsid w:val="009412C3"/>
    <w:rsid w:val="00941B40"/>
    <w:rsid w:val="00941DC5"/>
    <w:rsid w:val="00942A7B"/>
    <w:rsid w:val="00943054"/>
    <w:rsid w:val="00943187"/>
    <w:rsid w:val="00944A40"/>
    <w:rsid w:val="00947420"/>
    <w:rsid w:val="00951A38"/>
    <w:rsid w:val="0095614D"/>
    <w:rsid w:val="00964E39"/>
    <w:rsid w:val="0096633F"/>
    <w:rsid w:val="009664B8"/>
    <w:rsid w:val="0097754A"/>
    <w:rsid w:val="009837B6"/>
    <w:rsid w:val="0098520D"/>
    <w:rsid w:val="00990837"/>
    <w:rsid w:val="009908F2"/>
    <w:rsid w:val="009938A3"/>
    <w:rsid w:val="00996A96"/>
    <w:rsid w:val="009A0C67"/>
    <w:rsid w:val="009A1299"/>
    <w:rsid w:val="009A49F3"/>
    <w:rsid w:val="009B2270"/>
    <w:rsid w:val="009B4C80"/>
    <w:rsid w:val="009D0479"/>
    <w:rsid w:val="009D2BF7"/>
    <w:rsid w:val="009D345C"/>
    <w:rsid w:val="009D58DD"/>
    <w:rsid w:val="009D5F2B"/>
    <w:rsid w:val="009D7328"/>
    <w:rsid w:val="009E1328"/>
    <w:rsid w:val="009E133F"/>
    <w:rsid w:val="009E2292"/>
    <w:rsid w:val="009E3D7F"/>
    <w:rsid w:val="009E6F35"/>
    <w:rsid w:val="009F0195"/>
    <w:rsid w:val="009F1219"/>
    <w:rsid w:val="009F254A"/>
    <w:rsid w:val="009F2B6A"/>
    <w:rsid w:val="00A021A3"/>
    <w:rsid w:val="00A04EFC"/>
    <w:rsid w:val="00A072C3"/>
    <w:rsid w:val="00A12308"/>
    <w:rsid w:val="00A15FA8"/>
    <w:rsid w:val="00A16D1B"/>
    <w:rsid w:val="00A222CF"/>
    <w:rsid w:val="00A238A0"/>
    <w:rsid w:val="00A251FD"/>
    <w:rsid w:val="00A25B3E"/>
    <w:rsid w:val="00A3584C"/>
    <w:rsid w:val="00A37AFB"/>
    <w:rsid w:val="00A37C54"/>
    <w:rsid w:val="00A4064D"/>
    <w:rsid w:val="00A45F0B"/>
    <w:rsid w:val="00A4766B"/>
    <w:rsid w:val="00A52C85"/>
    <w:rsid w:val="00A5374D"/>
    <w:rsid w:val="00A552E9"/>
    <w:rsid w:val="00A55B8F"/>
    <w:rsid w:val="00A605C7"/>
    <w:rsid w:val="00A60750"/>
    <w:rsid w:val="00A634BC"/>
    <w:rsid w:val="00A6624C"/>
    <w:rsid w:val="00A70503"/>
    <w:rsid w:val="00A71038"/>
    <w:rsid w:val="00A81629"/>
    <w:rsid w:val="00A81EEC"/>
    <w:rsid w:val="00A8767A"/>
    <w:rsid w:val="00A97089"/>
    <w:rsid w:val="00AA10A5"/>
    <w:rsid w:val="00AA13CB"/>
    <w:rsid w:val="00AA1E12"/>
    <w:rsid w:val="00AA327E"/>
    <w:rsid w:val="00AB054E"/>
    <w:rsid w:val="00AB0A1A"/>
    <w:rsid w:val="00AB2967"/>
    <w:rsid w:val="00AB3CE6"/>
    <w:rsid w:val="00AB4AC6"/>
    <w:rsid w:val="00AB6C58"/>
    <w:rsid w:val="00AC2771"/>
    <w:rsid w:val="00AC37FE"/>
    <w:rsid w:val="00AC64B0"/>
    <w:rsid w:val="00AC69FC"/>
    <w:rsid w:val="00AD3EDB"/>
    <w:rsid w:val="00AD513E"/>
    <w:rsid w:val="00AD73C8"/>
    <w:rsid w:val="00AE0B00"/>
    <w:rsid w:val="00AE690F"/>
    <w:rsid w:val="00AF0E9C"/>
    <w:rsid w:val="00AF371E"/>
    <w:rsid w:val="00AF48B9"/>
    <w:rsid w:val="00AF50DA"/>
    <w:rsid w:val="00B00E0E"/>
    <w:rsid w:val="00B02F5D"/>
    <w:rsid w:val="00B047F1"/>
    <w:rsid w:val="00B06912"/>
    <w:rsid w:val="00B1005F"/>
    <w:rsid w:val="00B11202"/>
    <w:rsid w:val="00B11A1A"/>
    <w:rsid w:val="00B12534"/>
    <w:rsid w:val="00B12D36"/>
    <w:rsid w:val="00B21D91"/>
    <w:rsid w:val="00B21DC6"/>
    <w:rsid w:val="00B2208E"/>
    <w:rsid w:val="00B23B27"/>
    <w:rsid w:val="00B25CB4"/>
    <w:rsid w:val="00B31FE6"/>
    <w:rsid w:val="00B3213B"/>
    <w:rsid w:val="00B32F7C"/>
    <w:rsid w:val="00B41A1C"/>
    <w:rsid w:val="00B4411D"/>
    <w:rsid w:val="00B4504B"/>
    <w:rsid w:val="00B56363"/>
    <w:rsid w:val="00B60167"/>
    <w:rsid w:val="00B610A0"/>
    <w:rsid w:val="00B61FF4"/>
    <w:rsid w:val="00B629CE"/>
    <w:rsid w:val="00B64DC9"/>
    <w:rsid w:val="00B65D7D"/>
    <w:rsid w:val="00B81253"/>
    <w:rsid w:val="00B830EA"/>
    <w:rsid w:val="00B856F2"/>
    <w:rsid w:val="00B87949"/>
    <w:rsid w:val="00B91DC2"/>
    <w:rsid w:val="00B93E0A"/>
    <w:rsid w:val="00BA01B1"/>
    <w:rsid w:val="00BA49CC"/>
    <w:rsid w:val="00BA5EB5"/>
    <w:rsid w:val="00BB0403"/>
    <w:rsid w:val="00BB0987"/>
    <w:rsid w:val="00BB7663"/>
    <w:rsid w:val="00BC7885"/>
    <w:rsid w:val="00BC7C4D"/>
    <w:rsid w:val="00BE055A"/>
    <w:rsid w:val="00BE2639"/>
    <w:rsid w:val="00BE314E"/>
    <w:rsid w:val="00BE3333"/>
    <w:rsid w:val="00BE4261"/>
    <w:rsid w:val="00BE4286"/>
    <w:rsid w:val="00BF123B"/>
    <w:rsid w:val="00C02EE5"/>
    <w:rsid w:val="00C11723"/>
    <w:rsid w:val="00C151E4"/>
    <w:rsid w:val="00C212EE"/>
    <w:rsid w:val="00C21434"/>
    <w:rsid w:val="00C2150A"/>
    <w:rsid w:val="00C24763"/>
    <w:rsid w:val="00C25725"/>
    <w:rsid w:val="00C25E49"/>
    <w:rsid w:val="00C2686A"/>
    <w:rsid w:val="00C30D9F"/>
    <w:rsid w:val="00C318BB"/>
    <w:rsid w:val="00C3272D"/>
    <w:rsid w:val="00C36D0D"/>
    <w:rsid w:val="00C41188"/>
    <w:rsid w:val="00C425AF"/>
    <w:rsid w:val="00C46944"/>
    <w:rsid w:val="00C4710F"/>
    <w:rsid w:val="00C508D5"/>
    <w:rsid w:val="00C50D91"/>
    <w:rsid w:val="00C5351C"/>
    <w:rsid w:val="00C546B4"/>
    <w:rsid w:val="00C56617"/>
    <w:rsid w:val="00C60CBF"/>
    <w:rsid w:val="00C6154F"/>
    <w:rsid w:val="00C64999"/>
    <w:rsid w:val="00C656B8"/>
    <w:rsid w:val="00C71ECC"/>
    <w:rsid w:val="00C720FB"/>
    <w:rsid w:val="00C734F5"/>
    <w:rsid w:val="00C8287E"/>
    <w:rsid w:val="00C83040"/>
    <w:rsid w:val="00C848C5"/>
    <w:rsid w:val="00C87C02"/>
    <w:rsid w:val="00C9017C"/>
    <w:rsid w:val="00C97B4A"/>
    <w:rsid w:val="00CA20E2"/>
    <w:rsid w:val="00CA2822"/>
    <w:rsid w:val="00CA7FAD"/>
    <w:rsid w:val="00CB1E8B"/>
    <w:rsid w:val="00CB3BE5"/>
    <w:rsid w:val="00CB4CEB"/>
    <w:rsid w:val="00CB5A11"/>
    <w:rsid w:val="00CB76BA"/>
    <w:rsid w:val="00CC117C"/>
    <w:rsid w:val="00CC2214"/>
    <w:rsid w:val="00CC24E5"/>
    <w:rsid w:val="00CC75F5"/>
    <w:rsid w:val="00CD08DC"/>
    <w:rsid w:val="00CD335C"/>
    <w:rsid w:val="00CD3D9C"/>
    <w:rsid w:val="00CD483B"/>
    <w:rsid w:val="00CD4989"/>
    <w:rsid w:val="00CD6295"/>
    <w:rsid w:val="00CD6DE2"/>
    <w:rsid w:val="00CD7BD3"/>
    <w:rsid w:val="00CD7EEB"/>
    <w:rsid w:val="00CE4DCC"/>
    <w:rsid w:val="00CE5F1F"/>
    <w:rsid w:val="00CE753B"/>
    <w:rsid w:val="00CF20BE"/>
    <w:rsid w:val="00CF256A"/>
    <w:rsid w:val="00CF4CF2"/>
    <w:rsid w:val="00D16CA8"/>
    <w:rsid w:val="00D17971"/>
    <w:rsid w:val="00D21DAD"/>
    <w:rsid w:val="00D2425B"/>
    <w:rsid w:val="00D26CBB"/>
    <w:rsid w:val="00D32F07"/>
    <w:rsid w:val="00D34EA4"/>
    <w:rsid w:val="00D42E9F"/>
    <w:rsid w:val="00D4429E"/>
    <w:rsid w:val="00D45416"/>
    <w:rsid w:val="00D505D5"/>
    <w:rsid w:val="00D50C67"/>
    <w:rsid w:val="00D61017"/>
    <w:rsid w:val="00D64A78"/>
    <w:rsid w:val="00D64E46"/>
    <w:rsid w:val="00D727DA"/>
    <w:rsid w:val="00D72917"/>
    <w:rsid w:val="00D75B9D"/>
    <w:rsid w:val="00D77474"/>
    <w:rsid w:val="00D824B7"/>
    <w:rsid w:val="00D82515"/>
    <w:rsid w:val="00D84CFF"/>
    <w:rsid w:val="00D86B25"/>
    <w:rsid w:val="00D875B0"/>
    <w:rsid w:val="00D91565"/>
    <w:rsid w:val="00D94A38"/>
    <w:rsid w:val="00D9511F"/>
    <w:rsid w:val="00D954E2"/>
    <w:rsid w:val="00DA5608"/>
    <w:rsid w:val="00DB446F"/>
    <w:rsid w:val="00DB46FD"/>
    <w:rsid w:val="00DB754C"/>
    <w:rsid w:val="00DB7AF0"/>
    <w:rsid w:val="00DC5B99"/>
    <w:rsid w:val="00DC74EF"/>
    <w:rsid w:val="00DD058C"/>
    <w:rsid w:val="00DD17A1"/>
    <w:rsid w:val="00DD19B0"/>
    <w:rsid w:val="00DD4403"/>
    <w:rsid w:val="00DE0105"/>
    <w:rsid w:val="00DE2B2D"/>
    <w:rsid w:val="00DE40A6"/>
    <w:rsid w:val="00DE5D07"/>
    <w:rsid w:val="00DE7CE3"/>
    <w:rsid w:val="00DF0031"/>
    <w:rsid w:val="00DF24E9"/>
    <w:rsid w:val="00DF4EF7"/>
    <w:rsid w:val="00DF5318"/>
    <w:rsid w:val="00E00EBA"/>
    <w:rsid w:val="00E046C0"/>
    <w:rsid w:val="00E11236"/>
    <w:rsid w:val="00E12EB6"/>
    <w:rsid w:val="00E23ED6"/>
    <w:rsid w:val="00E27D2A"/>
    <w:rsid w:val="00E27F62"/>
    <w:rsid w:val="00E3106A"/>
    <w:rsid w:val="00E35EF0"/>
    <w:rsid w:val="00E3716B"/>
    <w:rsid w:val="00E4086D"/>
    <w:rsid w:val="00E40B63"/>
    <w:rsid w:val="00E42E5C"/>
    <w:rsid w:val="00E4312D"/>
    <w:rsid w:val="00E4464A"/>
    <w:rsid w:val="00E45BC2"/>
    <w:rsid w:val="00E50156"/>
    <w:rsid w:val="00E52814"/>
    <w:rsid w:val="00E54C39"/>
    <w:rsid w:val="00E60818"/>
    <w:rsid w:val="00E62703"/>
    <w:rsid w:val="00E7031A"/>
    <w:rsid w:val="00E73B49"/>
    <w:rsid w:val="00E8058E"/>
    <w:rsid w:val="00E84E4D"/>
    <w:rsid w:val="00E869C6"/>
    <w:rsid w:val="00E94453"/>
    <w:rsid w:val="00E94FFB"/>
    <w:rsid w:val="00E954CE"/>
    <w:rsid w:val="00E966FC"/>
    <w:rsid w:val="00E97B47"/>
    <w:rsid w:val="00EA01A0"/>
    <w:rsid w:val="00EA35D4"/>
    <w:rsid w:val="00EA4C36"/>
    <w:rsid w:val="00EA5934"/>
    <w:rsid w:val="00EB0266"/>
    <w:rsid w:val="00EB09A4"/>
    <w:rsid w:val="00EB464C"/>
    <w:rsid w:val="00EB6550"/>
    <w:rsid w:val="00EB73C3"/>
    <w:rsid w:val="00EC35AE"/>
    <w:rsid w:val="00EC3887"/>
    <w:rsid w:val="00EC56EF"/>
    <w:rsid w:val="00EC7579"/>
    <w:rsid w:val="00EC7910"/>
    <w:rsid w:val="00ED27C5"/>
    <w:rsid w:val="00ED5966"/>
    <w:rsid w:val="00EF46BA"/>
    <w:rsid w:val="00EF4DD6"/>
    <w:rsid w:val="00EF5FF9"/>
    <w:rsid w:val="00EF6CD0"/>
    <w:rsid w:val="00F0092E"/>
    <w:rsid w:val="00F01DFC"/>
    <w:rsid w:val="00F02DFA"/>
    <w:rsid w:val="00F04C3C"/>
    <w:rsid w:val="00F06798"/>
    <w:rsid w:val="00F12CC2"/>
    <w:rsid w:val="00F133F8"/>
    <w:rsid w:val="00F16B45"/>
    <w:rsid w:val="00F23843"/>
    <w:rsid w:val="00F24515"/>
    <w:rsid w:val="00F257DE"/>
    <w:rsid w:val="00F30E3A"/>
    <w:rsid w:val="00F3317B"/>
    <w:rsid w:val="00F34623"/>
    <w:rsid w:val="00F41E5B"/>
    <w:rsid w:val="00F42677"/>
    <w:rsid w:val="00F436CE"/>
    <w:rsid w:val="00F4479E"/>
    <w:rsid w:val="00F467F0"/>
    <w:rsid w:val="00F46D40"/>
    <w:rsid w:val="00F52787"/>
    <w:rsid w:val="00F52AB0"/>
    <w:rsid w:val="00F5563A"/>
    <w:rsid w:val="00F62FB0"/>
    <w:rsid w:val="00F7522A"/>
    <w:rsid w:val="00F75461"/>
    <w:rsid w:val="00F82D91"/>
    <w:rsid w:val="00F83077"/>
    <w:rsid w:val="00F84275"/>
    <w:rsid w:val="00F84598"/>
    <w:rsid w:val="00F9611D"/>
    <w:rsid w:val="00F96800"/>
    <w:rsid w:val="00FA029D"/>
    <w:rsid w:val="00FA1235"/>
    <w:rsid w:val="00FA57AE"/>
    <w:rsid w:val="00FA6666"/>
    <w:rsid w:val="00FA6E96"/>
    <w:rsid w:val="00FB1105"/>
    <w:rsid w:val="00FB26E5"/>
    <w:rsid w:val="00FB5833"/>
    <w:rsid w:val="00FB7ED4"/>
    <w:rsid w:val="00FC16B9"/>
    <w:rsid w:val="00FC2D7C"/>
    <w:rsid w:val="00FC5C4C"/>
    <w:rsid w:val="00FC5F81"/>
    <w:rsid w:val="00FC60C1"/>
    <w:rsid w:val="00FD04F0"/>
    <w:rsid w:val="00FD2A39"/>
    <w:rsid w:val="00FE18BD"/>
    <w:rsid w:val="00FE2EFE"/>
    <w:rsid w:val="00FE59F9"/>
    <w:rsid w:val="00FE7747"/>
    <w:rsid w:val="00FE7DAB"/>
    <w:rsid w:val="00FF524F"/>
    <w:rsid w:val="00FF5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5C"/>
    <w:pPr>
      <w:spacing w:before="120" w:after="120" w:line="240" w:lineRule="auto"/>
    </w:pPr>
    <w:rPr>
      <w:rFonts w:ascii="Arial" w:hAnsi="Arial"/>
      <w:sz w:val="24"/>
    </w:rPr>
  </w:style>
  <w:style w:type="paragraph" w:styleId="Heading1">
    <w:name w:val="heading 1"/>
    <w:basedOn w:val="Normal"/>
    <w:link w:val="Heading1Char"/>
    <w:uiPriority w:val="9"/>
    <w:qFormat/>
    <w:rsid w:val="0035415C"/>
    <w:pPr>
      <w:spacing w:line="360" w:lineRule="auto"/>
      <w:jc w:val="center"/>
      <w:outlineLvl w:val="0"/>
    </w:pPr>
    <w:rPr>
      <w:rFonts w:cs="Arial"/>
      <w:b/>
      <w:sz w:val="32"/>
      <w:szCs w:val="24"/>
    </w:rPr>
  </w:style>
  <w:style w:type="paragraph" w:styleId="Heading2">
    <w:name w:val="heading 2"/>
    <w:basedOn w:val="Heading3"/>
    <w:next w:val="Normal"/>
    <w:link w:val="Heading2Char"/>
    <w:uiPriority w:val="9"/>
    <w:unhideWhenUsed/>
    <w:qFormat/>
    <w:rsid w:val="006103B6"/>
    <w:pPr>
      <w:outlineLvl w:val="1"/>
    </w:pPr>
    <w:rPr>
      <w:sz w:val="28"/>
    </w:rPr>
  </w:style>
  <w:style w:type="paragraph" w:styleId="Heading3">
    <w:name w:val="heading 3"/>
    <w:basedOn w:val="Heading4"/>
    <w:next w:val="Normal"/>
    <w:link w:val="Heading3Char"/>
    <w:uiPriority w:val="9"/>
    <w:unhideWhenUsed/>
    <w:qFormat/>
    <w:rsid w:val="00F12CC2"/>
    <w:pPr>
      <w:jc w:val="left"/>
      <w:outlineLvl w:val="2"/>
    </w:pPr>
  </w:style>
  <w:style w:type="paragraph" w:styleId="Heading4">
    <w:name w:val="heading 4"/>
    <w:basedOn w:val="ListParagraph"/>
    <w:next w:val="Normal"/>
    <w:link w:val="Heading4Char"/>
    <w:uiPriority w:val="9"/>
    <w:unhideWhenUsed/>
    <w:qFormat/>
    <w:rsid w:val="009E133F"/>
    <w:pPr>
      <w:numPr>
        <w:numId w:val="4"/>
      </w:numPr>
      <w:spacing w:line="360" w:lineRule="auto"/>
      <w:jc w:val="both"/>
      <w:outlineLvl w:val="3"/>
    </w:pPr>
    <w:rPr>
      <w:rFonts w:ascii="Arial" w:hAnsi="Arial"/>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5_G Char"/>
    <w:link w:val="FootnoteText"/>
    <w:uiPriority w:val="99"/>
    <w:semiHidden/>
    <w:locked/>
    <w:rsid w:val="002B69AF"/>
    <w:rPr>
      <w:rFonts w:ascii="Times New Roman" w:eastAsia="Times New Roman" w:hAnsi="Times New Roman" w:cs="Times New Roman"/>
      <w:lang w:val="en-US"/>
    </w:rPr>
  </w:style>
  <w:style w:type="paragraph" w:styleId="FootnoteText">
    <w:name w:val="footnote text"/>
    <w:aliases w:val="5_G"/>
    <w:basedOn w:val="Normal"/>
    <w:link w:val="FootnoteTextChar"/>
    <w:uiPriority w:val="99"/>
    <w:semiHidden/>
    <w:unhideWhenUsed/>
    <w:rsid w:val="002B69AF"/>
    <w:rPr>
      <w:rFonts w:ascii="Times New Roman" w:eastAsia="Times New Roman" w:hAnsi="Times New Roman" w:cs="Times New Roman"/>
      <w:lang w:val="en-US"/>
    </w:rPr>
  </w:style>
  <w:style w:type="character" w:customStyle="1" w:styleId="FootnoteTextChar1">
    <w:name w:val="Footnote Text Char1"/>
    <w:basedOn w:val="DefaultParagraphFont"/>
    <w:uiPriority w:val="99"/>
    <w:semiHidden/>
    <w:rsid w:val="002B69AF"/>
    <w:rPr>
      <w:rFonts w:ascii="Arial" w:hAnsi="Arial"/>
      <w:sz w:val="20"/>
      <w:szCs w:val="20"/>
    </w:rPr>
  </w:style>
  <w:style w:type="paragraph" w:styleId="ListParagraph">
    <w:name w:val="List Paragraph"/>
    <w:basedOn w:val="Normal"/>
    <w:uiPriority w:val="34"/>
    <w:qFormat/>
    <w:rsid w:val="002B69AF"/>
    <w:pPr>
      <w:spacing w:after="200" w:line="276" w:lineRule="auto"/>
      <w:ind w:left="720"/>
      <w:contextualSpacing/>
    </w:pPr>
    <w:rPr>
      <w:rFonts w:ascii="Microsoft Sans Serif" w:eastAsia="Calibri" w:hAnsi="Microsoft Sans Serif" w:cs="Arial"/>
      <w:lang w:val="de-DE"/>
    </w:rPr>
  </w:style>
  <w:style w:type="character" w:styleId="FootnoteReference">
    <w:name w:val="footnote reference"/>
    <w:aliases w:val="4_G"/>
    <w:uiPriority w:val="99"/>
    <w:unhideWhenUsed/>
    <w:rsid w:val="002B69AF"/>
    <w:rPr>
      <w:vertAlign w:val="superscript"/>
    </w:rPr>
  </w:style>
  <w:style w:type="paragraph" w:customStyle="1" w:styleId="Default">
    <w:name w:val="Default"/>
    <w:rsid w:val="001F25B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A2E40"/>
    <w:rPr>
      <w:color w:val="0000FF" w:themeColor="hyperlink"/>
      <w:u w:val="single"/>
    </w:rPr>
  </w:style>
  <w:style w:type="paragraph" w:styleId="Header">
    <w:name w:val="header"/>
    <w:basedOn w:val="Normal"/>
    <w:link w:val="HeaderChar"/>
    <w:uiPriority w:val="99"/>
    <w:unhideWhenUsed/>
    <w:rsid w:val="008B0EE0"/>
    <w:pPr>
      <w:tabs>
        <w:tab w:val="center" w:pos="4513"/>
        <w:tab w:val="right" w:pos="9026"/>
      </w:tabs>
    </w:pPr>
  </w:style>
  <w:style w:type="character" w:customStyle="1" w:styleId="HeaderChar">
    <w:name w:val="Header Char"/>
    <w:basedOn w:val="DefaultParagraphFont"/>
    <w:link w:val="Header"/>
    <w:uiPriority w:val="99"/>
    <w:rsid w:val="008B0EE0"/>
    <w:rPr>
      <w:rFonts w:ascii="Arial" w:hAnsi="Arial"/>
    </w:rPr>
  </w:style>
  <w:style w:type="paragraph" w:styleId="Footer">
    <w:name w:val="footer"/>
    <w:basedOn w:val="Normal"/>
    <w:link w:val="FooterChar"/>
    <w:uiPriority w:val="99"/>
    <w:unhideWhenUsed/>
    <w:rsid w:val="008B0EE0"/>
    <w:pPr>
      <w:tabs>
        <w:tab w:val="center" w:pos="4513"/>
        <w:tab w:val="right" w:pos="9026"/>
      </w:tabs>
    </w:pPr>
  </w:style>
  <w:style w:type="character" w:customStyle="1" w:styleId="FooterChar">
    <w:name w:val="Footer Char"/>
    <w:basedOn w:val="DefaultParagraphFont"/>
    <w:link w:val="Footer"/>
    <w:uiPriority w:val="99"/>
    <w:rsid w:val="008B0EE0"/>
    <w:rPr>
      <w:rFonts w:ascii="Arial" w:hAnsi="Arial"/>
    </w:rPr>
  </w:style>
  <w:style w:type="paragraph" w:styleId="BalloonText">
    <w:name w:val="Balloon Text"/>
    <w:basedOn w:val="Normal"/>
    <w:link w:val="BalloonTextChar"/>
    <w:uiPriority w:val="99"/>
    <w:semiHidden/>
    <w:unhideWhenUsed/>
    <w:rsid w:val="00CD7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BD3"/>
    <w:rPr>
      <w:rFonts w:ascii="Segoe UI" w:hAnsi="Segoe UI" w:cs="Segoe UI"/>
      <w:sz w:val="18"/>
      <w:szCs w:val="18"/>
    </w:rPr>
  </w:style>
  <w:style w:type="character" w:styleId="CommentReference">
    <w:name w:val="annotation reference"/>
    <w:basedOn w:val="DefaultParagraphFont"/>
    <w:uiPriority w:val="99"/>
    <w:semiHidden/>
    <w:unhideWhenUsed/>
    <w:rsid w:val="00082B41"/>
    <w:rPr>
      <w:sz w:val="16"/>
      <w:szCs w:val="16"/>
    </w:rPr>
  </w:style>
  <w:style w:type="paragraph" w:styleId="CommentText">
    <w:name w:val="annotation text"/>
    <w:basedOn w:val="Normal"/>
    <w:link w:val="CommentTextChar"/>
    <w:uiPriority w:val="99"/>
    <w:semiHidden/>
    <w:unhideWhenUsed/>
    <w:rsid w:val="00082B41"/>
    <w:rPr>
      <w:sz w:val="20"/>
      <w:szCs w:val="20"/>
    </w:rPr>
  </w:style>
  <w:style w:type="character" w:customStyle="1" w:styleId="CommentTextChar">
    <w:name w:val="Comment Text Char"/>
    <w:basedOn w:val="DefaultParagraphFont"/>
    <w:link w:val="CommentText"/>
    <w:uiPriority w:val="99"/>
    <w:semiHidden/>
    <w:rsid w:val="00082B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B41"/>
    <w:rPr>
      <w:b/>
      <w:bCs/>
    </w:rPr>
  </w:style>
  <w:style w:type="character" w:customStyle="1" w:styleId="CommentSubjectChar">
    <w:name w:val="Comment Subject Char"/>
    <w:basedOn w:val="CommentTextChar"/>
    <w:link w:val="CommentSubject"/>
    <w:uiPriority w:val="99"/>
    <w:semiHidden/>
    <w:rsid w:val="00082B41"/>
    <w:rPr>
      <w:rFonts w:ascii="Arial" w:hAnsi="Arial"/>
      <w:b/>
      <w:bCs/>
      <w:sz w:val="20"/>
      <w:szCs w:val="20"/>
    </w:rPr>
  </w:style>
  <w:style w:type="character" w:customStyle="1" w:styleId="Mention1">
    <w:name w:val="Mention1"/>
    <w:basedOn w:val="DefaultParagraphFont"/>
    <w:uiPriority w:val="99"/>
    <w:semiHidden/>
    <w:unhideWhenUsed/>
    <w:rsid w:val="00D727DA"/>
    <w:rPr>
      <w:color w:val="2B579A"/>
      <w:shd w:val="clear" w:color="auto" w:fill="E6E6E6"/>
    </w:rPr>
  </w:style>
  <w:style w:type="character" w:styleId="FollowedHyperlink">
    <w:name w:val="FollowedHyperlink"/>
    <w:basedOn w:val="DefaultParagraphFont"/>
    <w:uiPriority w:val="99"/>
    <w:semiHidden/>
    <w:unhideWhenUsed/>
    <w:rsid w:val="0017140D"/>
    <w:rPr>
      <w:color w:val="800080" w:themeColor="followedHyperlink"/>
      <w:u w:val="single"/>
    </w:rPr>
  </w:style>
  <w:style w:type="character" w:customStyle="1" w:styleId="Heading1Char">
    <w:name w:val="Heading 1 Char"/>
    <w:basedOn w:val="DefaultParagraphFont"/>
    <w:link w:val="Heading1"/>
    <w:uiPriority w:val="9"/>
    <w:rsid w:val="0035415C"/>
    <w:rPr>
      <w:rFonts w:ascii="Arial" w:hAnsi="Arial" w:cs="Arial"/>
      <w:b/>
      <w:sz w:val="32"/>
      <w:szCs w:val="24"/>
    </w:rPr>
  </w:style>
  <w:style w:type="character" w:customStyle="1" w:styleId="Heading2Char">
    <w:name w:val="Heading 2 Char"/>
    <w:basedOn w:val="DefaultParagraphFont"/>
    <w:link w:val="Heading2"/>
    <w:uiPriority w:val="9"/>
    <w:rsid w:val="006103B6"/>
    <w:rPr>
      <w:rFonts w:ascii="Arial" w:eastAsia="Calibri" w:hAnsi="Arial" w:cs="Arial"/>
      <w:b/>
      <w:sz w:val="28"/>
      <w:szCs w:val="24"/>
    </w:rPr>
  </w:style>
  <w:style w:type="character" w:customStyle="1" w:styleId="ind">
    <w:name w:val="ind"/>
    <w:basedOn w:val="DefaultParagraphFont"/>
    <w:rsid w:val="00662318"/>
  </w:style>
  <w:style w:type="character" w:customStyle="1" w:styleId="Heading3Char">
    <w:name w:val="Heading 3 Char"/>
    <w:basedOn w:val="DefaultParagraphFont"/>
    <w:link w:val="Heading3"/>
    <w:uiPriority w:val="9"/>
    <w:rsid w:val="00F12CC2"/>
    <w:rPr>
      <w:rFonts w:ascii="Arial" w:eastAsia="Calibri" w:hAnsi="Arial" w:cs="Arial"/>
      <w:b/>
      <w:sz w:val="24"/>
      <w:szCs w:val="24"/>
    </w:rPr>
  </w:style>
  <w:style w:type="character" w:customStyle="1" w:styleId="Heading4Char">
    <w:name w:val="Heading 4 Char"/>
    <w:basedOn w:val="DefaultParagraphFont"/>
    <w:link w:val="Heading4"/>
    <w:uiPriority w:val="9"/>
    <w:rsid w:val="009E133F"/>
    <w:rPr>
      <w:rFonts w:ascii="Arial" w:eastAsia="Calibri" w:hAnsi="Arial" w:cs="Arial"/>
      <w:b/>
      <w:sz w:val="24"/>
      <w:szCs w:val="24"/>
    </w:rPr>
  </w:style>
  <w:style w:type="character" w:customStyle="1" w:styleId="UnresolvedMention">
    <w:name w:val="Unresolved Mention"/>
    <w:basedOn w:val="DefaultParagraphFont"/>
    <w:uiPriority w:val="99"/>
    <w:semiHidden/>
    <w:unhideWhenUsed/>
    <w:rsid w:val="008517CA"/>
    <w:rPr>
      <w:color w:val="808080"/>
      <w:shd w:val="clear" w:color="auto" w:fill="E6E6E6"/>
    </w:rPr>
  </w:style>
  <w:style w:type="character" w:customStyle="1" w:styleId="Mention2">
    <w:name w:val="Mention2"/>
    <w:basedOn w:val="DefaultParagraphFont"/>
    <w:uiPriority w:val="99"/>
    <w:semiHidden/>
    <w:unhideWhenUsed/>
    <w:rsid w:val="007B4CF2"/>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5C"/>
    <w:pPr>
      <w:spacing w:before="120" w:after="120" w:line="240" w:lineRule="auto"/>
    </w:pPr>
    <w:rPr>
      <w:rFonts w:ascii="Arial" w:hAnsi="Arial"/>
      <w:sz w:val="24"/>
    </w:rPr>
  </w:style>
  <w:style w:type="paragraph" w:styleId="Heading1">
    <w:name w:val="heading 1"/>
    <w:basedOn w:val="Normal"/>
    <w:link w:val="Heading1Char"/>
    <w:uiPriority w:val="9"/>
    <w:qFormat/>
    <w:rsid w:val="0035415C"/>
    <w:pPr>
      <w:spacing w:line="360" w:lineRule="auto"/>
      <w:jc w:val="center"/>
      <w:outlineLvl w:val="0"/>
    </w:pPr>
    <w:rPr>
      <w:rFonts w:cs="Arial"/>
      <w:b/>
      <w:sz w:val="32"/>
      <w:szCs w:val="24"/>
    </w:rPr>
  </w:style>
  <w:style w:type="paragraph" w:styleId="Heading2">
    <w:name w:val="heading 2"/>
    <w:basedOn w:val="Heading3"/>
    <w:next w:val="Normal"/>
    <w:link w:val="Heading2Char"/>
    <w:uiPriority w:val="9"/>
    <w:unhideWhenUsed/>
    <w:qFormat/>
    <w:rsid w:val="006103B6"/>
    <w:pPr>
      <w:outlineLvl w:val="1"/>
    </w:pPr>
    <w:rPr>
      <w:sz w:val="28"/>
    </w:rPr>
  </w:style>
  <w:style w:type="paragraph" w:styleId="Heading3">
    <w:name w:val="heading 3"/>
    <w:basedOn w:val="Heading4"/>
    <w:next w:val="Normal"/>
    <w:link w:val="Heading3Char"/>
    <w:uiPriority w:val="9"/>
    <w:unhideWhenUsed/>
    <w:qFormat/>
    <w:rsid w:val="00F12CC2"/>
    <w:pPr>
      <w:jc w:val="left"/>
      <w:outlineLvl w:val="2"/>
    </w:pPr>
  </w:style>
  <w:style w:type="paragraph" w:styleId="Heading4">
    <w:name w:val="heading 4"/>
    <w:basedOn w:val="ListParagraph"/>
    <w:next w:val="Normal"/>
    <w:link w:val="Heading4Char"/>
    <w:uiPriority w:val="9"/>
    <w:unhideWhenUsed/>
    <w:qFormat/>
    <w:rsid w:val="009E133F"/>
    <w:pPr>
      <w:numPr>
        <w:numId w:val="4"/>
      </w:numPr>
      <w:spacing w:line="360" w:lineRule="auto"/>
      <w:jc w:val="both"/>
      <w:outlineLvl w:val="3"/>
    </w:pPr>
    <w:rPr>
      <w:rFonts w:ascii="Arial" w:hAnsi="Arial"/>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5_G Char"/>
    <w:link w:val="FootnoteText"/>
    <w:uiPriority w:val="99"/>
    <w:semiHidden/>
    <w:locked/>
    <w:rsid w:val="002B69AF"/>
    <w:rPr>
      <w:rFonts w:ascii="Times New Roman" w:eastAsia="Times New Roman" w:hAnsi="Times New Roman" w:cs="Times New Roman"/>
      <w:lang w:val="en-US"/>
    </w:rPr>
  </w:style>
  <w:style w:type="paragraph" w:styleId="FootnoteText">
    <w:name w:val="footnote text"/>
    <w:aliases w:val="5_G"/>
    <w:basedOn w:val="Normal"/>
    <w:link w:val="FootnoteTextChar"/>
    <w:uiPriority w:val="99"/>
    <w:semiHidden/>
    <w:unhideWhenUsed/>
    <w:rsid w:val="002B69AF"/>
    <w:rPr>
      <w:rFonts w:ascii="Times New Roman" w:eastAsia="Times New Roman" w:hAnsi="Times New Roman" w:cs="Times New Roman"/>
      <w:lang w:val="en-US"/>
    </w:rPr>
  </w:style>
  <w:style w:type="character" w:customStyle="1" w:styleId="FootnoteTextChar1">
    <w:name w:val="Footnote Text Char1"/>
    <w:basedOn w:val="DefaultParagraphFont"/>
    <w:uiPriority w:val="99"/>
    <w:semiHidden/>
    <w:rsid w:val="002B69AF"/>
    <w:rPr>
      <w:rFonts w:ascii="Arial" w:hAnsi="Arial"/>
      <w:sz w:val="20"/>
      <w:szCs w:val="20"/>
    </w:rPr>
  </w:style>
  <w:style w:type="paragraph" w:styleId="ListParagraph">
    <w:name w:val="List Paragraph"/>
    <w:basedOn w:val="Normal"/>
    <w:uiPriority w:val="34"/>
    <w:qFormat/>
    <w:rsid w:val="002B69AF"/>
    <w:pPr>
      <w:spacing w:after="200" w:line="276" w:lineRule="auto"/>
      <w:ind w:left="720"/>
      <w:contextualSpacing/>
    </w:pPr>
    <w:rPr>
      <w:rFonts w:ascii="Microsoft Sans Serif" w:eastAsia="Calibri" w:hAnsi="Microsoft Sans Serif" w:cs="Arial"/>
      <w:lang w:val="de-DE"/>
    </w:rPr>
  </w:style>
  <w:style w:type="character" w:styleId="FootnoteReference">
    <w:name w:val="footnote reference"/>
    <w:aliases w:val="4_G"/>
    <w:uiPriority w:val="99"/>
    <w:unhideWhenUsed/>
    <w:rsid w:val="002B69AF"/>
    <w:rPr>
      <w:vertAlign w:val="superscript"/>
    </w:rPr>
  </w:style>
  <w:style w:type="paragraph" w:customStyle="1" w:styleId="Default">
    <w:name w:val="Default"/>
    <w:rsid w:val="001F25B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A2E40"/>
    <w:rPr>
      <w:color w:val="0000FF" w:themeColor="hyperlink"/>
      <w:u w:val="single"/>
    </w:rPr>
  </w:style>
  <w:style w:type="paragraph" w:styleId="Header">
    <w:name w:val="header"/>
    <w:basedOn w:val="Normal"/>
    <w:link w:val="HeaderChar"/>
    <w:uiPriority w:val="99"/>
    <w:unhideWhenUsed/>
    <w:rsid w:val="008B0EE0"/>
    <w:pPr>
      <w:tabs>
        <w:tab w:val="center" w:pos="4513"/>
        <w:tab w:val="right" w:pos="9026"/>
      </w:tabs>
    </w:pPr>
  </w:style>
  <w:style w:type="character" w:customStyle="1" w:styleId="HeaderChar">
    <w:name w:val="Header Char"/>
    <w:basedOn w:val="DefaultParagraphFont"/>
    <w:link w:val="Header"/>
    <w:uiPriority w:val="99"/>
    <w:rsid w:val="008B0EE0"/>
    <w:rPr>
      <w:rFonts w:ascii="Arial" w:hAnsi="Arial"/>
    </w:rPr>
  </w:style>
  <w:style w:type="paragraph" w:styleId="Footer">
    <w:name w:val="footer"/>
    <w:basedOn w:val="Normal"/>
    <w:link w:val="FooterChar"/>
    <w:uiPriority w:val="99"/>
    <w:unhideWhenUsed/>
    <w:rsid w:val="008B0EE0"/>
    <w:pPr>
      <w:tabs>
        <w:tab w:val="center" w:pos="4513"/>
        <w:tab w:val="right" w:pos="9026"/>
      </w:tabs>
    </w:pPr>
  </w:style>
  <w:style w:type="character" w:customStyle="1" w:styleId="FooterChar">
    <w:name w:val="Footer Char"/>
    <w:basedOn w:val="DefaultParagraphFont"/>
    <w:link w:val="Footer"/>
    <w:uiPriority w:val="99"/>
    <w:rsid w:val="008B0EE0"/>
    <w:rPr>
      <w:rFonts w:ascii="Arial" w:hAnsi="Arial"/>
    </w:rPr>
  </w:style>
  <w:style w:type="paragraph" w:styleId="BalloonText">
    <w:name w:val="Balloon Text"/>
    <w:basedOn w:val="Normal"/>
    <w:link w:val="BalloonTextChar"/>
    <w:uiPriority w:val="99"/>
    <w:semiHidden/>
    <w:unhideWhenUsed/>
    <w:rsid w:val="00CD7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BD3"/>
    <w:rPr>
      <w:rFonts w:ascii="Segoe UI" w:hAnsi="Segoe UI" w:cs="Segoe UI"/>
      <w:sz w:val="18"/>
      <w:szCs w:val="18"/>
    </w:rPr>
  </w:style>
  <w:style w:type="character" w:styleId="CommentReference">
    <w:name w:val="annotation reference"/>
    <w:basedOn w:val="DefaultParagraphFont"/>
    <w:uiPriority w:val="99"/>
    <w:semiHidden/>
    <w:unhideWhenUsed/>
    <w:rsid w:val="00082B41"/>
    <w:rPr>
      <w:sz w:val="16"/>
      <w:szCs w:val="16"/>
    </w:rPr>
  </w:style>
  <w:style w:type="paragraph" w:styleId="CommentText">
    <w:name w:val="annotation text"/>
    <w:basedOn w:val="Normal"/>
    <w:link w:val="CommentTextChar"/>
    <w:uiPriority w:val="99"/>
    <w:semiHidden/>
    <w:unhideWhenUsed/>
    <w:rsid w:val="00082B41"/>
    <w:rPr>
      <w:sz w:val="20"/>
      <w:szCs w:val="20"/>
    </w:rPr>
  </w:style>
  <w:style w:type="character" w:customStyle="1" w:styleId="CommentTextChar">
    <w:name w:val="Comment Text Char"/>
    <w:basedOn w:val="DefaultParagraphFont"/>
    <w:link w:val="CommentText"/>
    <w:uiPriority w:val="99"/>
    <w:semiHidden/>
    <w:rsid w:val="00082B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B41"/>
    <w:rPr>
      <w:b/>
      <w:bCs/>
    </w:rPr>
  </w:style>
  <w:style w:type="character" w:customStyle="1" w:styleId="CommentSubjectChar">
    <w:name w:val="Comment Subject Char"/>
    <w:basedOn w:val="CommentTextChar"/>
    <w:link w:val="CommentSubject"/>
    <w:uiPriority w:val="99"/>
    <w:semiHidden/>
    <w:rsid w:val="00082B41"/>
    <w:rPr>
      <w:rFonts w:ascii="Arial" w:hAnsi="Arial"/>
      <w:b/>
      <w:bCs/>
      <w:sz w:val="20"/>
      <w:szCs w:val="20"/>
    </w:rPr>
  </w:style>
  <w:style w:type="character" w:customStyle="1" w:styleId="Mention1">
    <w:name w:val="Mention1"/>
    <w:basedOn w:val="DefaultParagraphFont"/>
    <w:uiPriority w:val="99"/>
    <w:semiHidden/>
    <w:unhideWhenUsed/>
    <w:rsid w:val="00D727DA"/>
    <w:rPr>
      <w:color w:val="2B579A"/>
      <w:shd w:val="clear" w:color="auto" w:fill="E6E6E6"/>
    </w:rPr>
  </w:style>
  <w:style w:type="character" w:styleId="FollowedHyperlink">
    <w:name w:val="FollowedHyperlink"/>
    <w:basedOn w:val="DefaultParagraphFont"/>
    <w:uiPriority w:val="99"/>
    <w:semiHidden/>
    <w:unhideWhenUsed/>
    <w:rsid w:val="0017140D"/>
    <w:rPr>
      <w:color w:val="800080" w:themeColor="followedHyperlink"/>
      <w:u w:val="single"/>
    </w:rPr>
  </w:style>
  <w:style w:type="character" w:customStyle="1" w:styleId="Heading1Char">
    <w:name w:val="Heading 1 Char"/>
    <w:basedOn w:val="DefaultParagraphFont"/>
    <w:link w:val="Heading1"/>
    <w:uiPriority w:val="9"/>
    <w:rsid w:val="0035415C"/>
    <w:rPr>
      <w:rFonts w:ascii="Arial" w:hAnsi="Arial" w:cs="Arial"/>
      <w:b/>
      <w:sz w:val="32"/>
      <w:szCs w:val="24"/>
    </w:rPr>
  </w:style>
  <w:style w:type="character" w:customStyle="1" w:styleId="Heading2Char">
    <w:name w:val="Heading 2 Char"/>
    <w:basedOn w:val="DefaultParagraphFont"/>
    <w:link w:val="Heading2"/>
    <w:uiPriority w:val="9"/>
    <w:rsid w:val="006103B6"/>
    <w:rPr>
      <w:rFonts w:ascii="Arial" w:eastAsia="Calibri" w:hAnsi="Arial" w:cs="Arial"/>
      <w:b/>
      <w:sz w:val="28"/>
      <w:szCs w:val="24"/>
    </w:rPr>
  </w:style>
  <w:style w:type="character" w:customStyle="1" w:styleId="ind">
    <w:name w:val="ind"/>
    <w:basedOn w:val="DefaultParagraphFont"/>
    <w:rsid w:val="00662318"/>
  </w:style>
  <w:style w:type="character" w:customStyle="1" w:styleId="Heading3Char">
    <w:name w:val="Heading 3 Char"/>
    <w:basedOn w:val="DefaultParagraphFont"/>
    <w:link w:val="Heading3"/>
    <w:uiPriority w:val="9"/>
    <w:rsid w:val="00F12CC2"/>
    <w:rPr>
      <w:rFonts w:ascii="Arial" w:eastAsia="Calibri" w:hAnsi="Arial" w:cs="Arial"/>
      <w:b/>
      <w:sz w:val="24"/>
      <w:szCs w:val="24"/>
    </w:rPr>
  </w:style>
  <w:style w:type="character" w:customStyle="1" w:styleId="Heading4Char">
    <w:name w:val="Heading 4 Char"/>
    <w:basedOn w:val="DefaultParagraphFont"/>
    <w:link w:val="Heading4"/>
    <w:uiPriority w:val="9"/>
    <w:rsid w:val="009E133F"/>
    <w:rPr>
      <w:rFonts w:ascii="Arial" w:eastAsia="Calibri" w:hAnsi="Arial" w:cs="Arial"/>
      <w:b/>
      <w:sz w:val="24"/>
      <w:szCs w:val="24"/>
    </w:rPr>
  </w:style>
  <w:style w:type="character" w:customStyle="1" w:styleId="UnresolvedMention">
    <w:name w:val="Unresolved Mention"/>
    <w:basedOn w:val="DefaultParagraphFont"/>
    <w:uiPriority w:val="99"/>
    <w:semiHidden/>
    <w:unhideWhenUsed/>
    <w:rsid w:val="008517CA"/>
    <w:rPr>
      <w:color w:val="808080"/>
      <w:shd w:val="clear" w:color="auto" w:fill="E6E6E6"/>
    </w:rPr>
  </w:style>
  <w:style w:type="character" w:customStyle="1" w:styleId="Mention2">
    <w:name w:val="Mention2"/>
    <w:basedOn w:val="DefaultParagraphFont"/>
    <w:uiPriority w:val="99"/>
    <w:semiHidden/>
    <w:unhideWhenUsed/>
    <w:rsid w:val="007B4CF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938959">
      <w:bodyDiv w:val="1"/>
      <w:marLeft w:val="0"/>
      <w:marRight w:val="0"/>
      <w:marTop w:val="0"/>
      <w:marBottom w:val="0"/>
      <w:divBdr>
        <w:top w:val="none" w:sz="0" w:space="0" w:color="auto"/>
        <w:left w:val="none" w:sz="0" w:space="0" w:color="auto"/>
        <w:bottom w:val="none" w:sz="0" w:space="0" w:color="auto"/>
        <w:right w:val="none" w:sz="0" w:space="0" w:color="auto"/>
      </w:divBdr>
    </w:div>
    <w:div w:id="17896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publications/care-act-statutory-guidance"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are-act-statutory-guidance" TargetMode="External"/><Relationship Id="rId2" Type="http://schemas.openxmlformats.org/officeDocument/2006/relationships/hyperlink" Target="mailto:KakoullisE@cardiff.ac.uk" TargetMode="External"/><Relationship Id="rId1" Type="http://schemas.openxmlformats.org/officeDocument/2006/relationships/hyperlink" Target="http://www.cardiff.ac.uk/research/explore/research-units/centre-for-health-and-social-care-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2FBD93-2429-40B4-A348-63833CD97364}"/>
</file>

<file path=customXml/itemProps2.xml><?xml version="1.0" encoding="utf-8"?>
<ds:datastoreItem xmlns:ds="http://schemas.openxmlformats.org/officeDocument/2006/customXml" ds:itemID="{EC4D3FE0-81BD-4EE7-A576-3826C8C97A5D}"/>
</file>

<file path=customXml/itemProps3.xml><?xml version="1.0" encoding="utf-8"?>
<ds:datastoreItem xmlns:ds="http://schemas.openxmlformats.org/officeDocument/2006/customXml" ds:itemID="{27A8AACA-1CD9-4453-ADFB-A6D5997DA90C}"/>
</file>

<file path=customXml/itemProps4.xml><?xml version="1.0" encoding="utf-8"?>
<ds:datastoreItem xmlns:ds="http://schemas.openxmlformats.org/officeDocument/2006/customXml" ds:itemID="{232501D5-01FE-4738-B317-D03DEAE5D305}"/>
</file>

<file path=docProps/app.xml><?xml version="1.0" encoding="utf-8"?>
<Properties xmlns="http://schemas.openxmlformats.org/officeDocument/2006/extended-properties" xmlns:vt="http://schemas.openxmlformats.org/officeDocument/2006/docPropsVTypes">
  <Template>Normal.dotm</Template>
  <TotalTime>0</TotalTime>
  <Pages>8</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Jorge ARAYA</cp:lastModifiedBy>
  <cp:revision>2</cp:revision>
  <dcterms:created xsi:type="dcterms:W3CDTF">2017-06-30T10:08:00Z</dcterms:created>
  <dcterms:modified xsi:type="dcterms:W3CDTF">2017-06-30T10:08:00Z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