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0CC" w:rsidRDefault="008B10CC" w:rsidP="00194A13">
      <w:pPr>
        <w:spacing w:line="240" w:lineRule="auto"/>
        <w:jc w:val="center"/>
        <w:rPr>
          <w:rFonts w:ascii="Latha" w:hAnsi="Latha" w:cs="Latha"/>
          <w:b/>
          <w:sz w:val="24"/>
          <w:szCs w:val="24"/>
        </w:rPr>
      </w:pPr>
      <w:bookmarkStart w:id="0" w:name="_GoBack"/>
      <w:bookmarkEnd w:id="0"/>
    </w:p>
    <w:p w:rsidR="007F467E" w:rsidRDefault="007F467E" w:rsidP="00194A13">
      <w:pPr>
        <w:spacing w:line="240" w:lineRule="auto"/>
        <w:jc w:val="center"/>
        <w:rPr>
          <w:rFonts w:ascii="Latha" w:hAnsi="Latha" w:cs="Latha"/>
          <w:b/>
          <w:sz w:val="24"/>
          <w:szCs w:val="24"/>
        </w:rPr>
      </w:pPr>
      <w:r>
        <w:rPr>
          <w:rFonts w:ascii="Latha" w:hAnsi="Latha" w:cs="Latha"/>
          <w:b/>
          <w:sz w:val="24"/>
          <w:szCs w:val="24"/>
        </w:rPr>
        <w:t>DEMENTIA ALLIANCE INTERNATIONAL</w:t>
      </w:r>
    </w:p>
    <w:p w:rsidR="00194A13" w:rsidRDefault="0073613D" w:rsidP="0073613D">
      <w:pPr>
        <w:spacing w:line="240" w:lineRule="auto"/>
        <w:jc w:val="center"/>
        <w:rPr>
          <w:rFonts w:ascii="Latha" w:hAnsi="Latha" w:cs="Latha"/>
          <w:b/>
          <w:sz w:val="24"/>
          <w:szCs w:val="24"/>
        </w:rPr>
      </w:pPr>
      <w:r>
        <w:rPr>
          <w:rFonts w:ascii="Latha" w:hAnsi="Latha" w:cs="Latha"/>
          <w:b/>
          <w:sz w:val="24"/>
          <w:szCs w:val="24"/>
        </w:rPr>
        <w:t xml:space="preserve">Professor </w:t>
      </w:r>
      <w:r w:rsidR="00194A13">
        <w:rPr>
          <w:rFonts w:ascii="Latha" w:hAnsi="Latha" w:cs="Latha"/>
          <w:b/>
          <w:sz w:val="24"/>
          <w:szCs w:val="24"/>
        </w:rPr>
        <w:t>Peter Mittler</w:t>
      </w:r>
      <w:r>
        <w:rPr>
          <w:rFonts w:ascii="Latha" w:hAnsi="Latha" w:cs="Latha"/>
          <w:b/>
          <w:sz w:val="24"/>
          <w:szCs w:val="24"/>
        </w:rPr>
        <w:t>, Human Rights Consultant</w:t>
      </w:r>
    </w:p>
    <w:p w:rsidR="0073613D" w:rsidRDefault="0073613D" w:rsidP="0073613D">
      <w:pPr>
        <w:spacing w:line="240" w:lineRule="auto"/>
        <w:jc w:val="center"/>
        <w:rPr>
          <w:rFonts w:ascii="Latha" w:hAnsi="Latha" w:cs="Latha"/>
          <w:b/>
          <w:sz w:val="24"/>
          <w:szCs w:val="24"/>
        </w:rPr>
      </w:pPr>
      <w:r>
        <w:rPr>
          <w:rFonts w:ascii="Latha" w:hAnsi="Latha" w:cs="Latha"/>
          <w:b/>
          <w:sz w:val="24"/>
          <w:szCs w:val="24"/>
        </w:rPr>
        <w:t xml:space="preserve">Ms Kate Swaffer, Co-Founder, Chair and CEO </w:t>
      </w:r>
    </w:p>
    <w:p w:rsidR="007F467E" w:rsidRDefault="007F467E" w:rsidP="00194A13">
      <w:pPr>
        <w:spacing w:line="240" w:lineRule="auto"/>
        <w:rPr>
          <w:rFonts w:ascii="Latha" w:hAnsi="Latha" w:cs="Latha"/>
          <w:b/>
          <w:sz w:val="24"/>
          <w:szCs w:val="24"/>
        </w:rPr>
      </w:pPr>
    </w:p>
    <w:p w:rsidR="007F467E" w:rsidRDefault="007F467E" w:rsidP="00194A13">
      <w:pPr>
        <w:spacing w:line="240" w:lineRule="auto"/>
        <w:rPr>
          <w:rFonts w:ascii="Latha" w:hAnsi="Latha" w:cs="Latha"/>
          <w:sz w:val="24"/>
          <w:szCs w:val="24"/>
        </w:rPr>
      </w:pPr>
      <w:r>
        <w:rPr>
          <w:rFonts w:ascii="Latha" w:hAnsi="Latha" w:cs="Latha"/>
          <w:sz w:val="24"/>
          <w:szCs w:val="24"/>
        </w:rPr>
        <w:t>Dementia Alliance Internationa</w:t>
      </w:r>
      <w:r w:rsidR="005D144C">
        <w:rPr>
          <w:rFonts w:ascii="Latha" w:hAnsi="Latha" w:cs="Latha"/>
          <w:sz w:val="24"/>
          <w:szCs w:val="24"/>
        </w:rPr>
        <w:t xml:space="preserve">l was founded in 2014 by persons </w:t>
      </w:r>
      <w:r>
        <w:rPr>
          <w:rFonts w:ascii="Latha" w:hAnsi="Latha" w:cs="Latha"/>
          <w:sz w:val="24"/>
          <w:szCs w:val="24"/>
        </w:rPr>
        <w:t xml:space="preserve">with a diagnosis of dementia across the world and now has </w:t>
      </w:r>
      <w:r w:rsidR="00194A13">
        <w:rPr>
          <w:rFonts w:ascii="Latha" w:hAnsi="Latha" w:cs="Latha"/>
          <w:sz w:val="24"/>
          <w:szCs w:val="24"/>
        </w:rPr>
        <w:t>some 3000 members in 35 Member States</w:t>
      </w:r>
      <w:r w:rsidR="00A965F5">
        <w:rPr>
          <w:rFonts w:ascii="Latha" w:hAnsi="Latha" w:cs="Latha"/>
          <w:sz w:val="24"/>
          <w:szCs w:val="24"/>
        </w:rPr>
        <w:t xml:space="preserve">. </w:t>
      </w:r>
      <w:r>
        <w:rPr>
          <w:rFonts w:ascii="Latha" w:hAnsi="Latha" w:cs="Latha"/>
          <w:sz w:val="24"/>
          <w:szCs w:val="24"/>
        </w:rPr>
        <w:t xml:space="preserve">It provides a unified voice in claiming their fundamental human right to supports and services to enable them to live well in their community for as long as possible on the same basis as their fellow-citizens. </w:t>
      </w:r>
    </w:p>
    <w:p w:rsidR="007F467E" w:rsidRDefault="007F467E" w:rsidP="00194A13">
      <w:pPr>
        <w:spacing w:line="240" w:lineRule="auto"/>
        <w:rPr>
          <w:rFonts w:ascii="Latha" w:hAnsi="Latha" w:cs="Latha"/>
          <w:sz w:val="24"/>
          <w:szCs w:val="24"/>
        </w:rPr>
      </w:pPr>
      <w:r>
        <w:rPr>
          <w:rFonts w:ascii="Latha" w:hAnsi="Latha" w:cs="Latha"/>
          <w:sz w:val="24"/>
          <w:szCs w:val="24"/>
        </w:rPr>
        <w:t xml:space="preserve">Dementia Alliance International is the voice </w:t>
      </w:r>
      <w:r w:rsidRPr="003748F9">
        <w:rPr>
          <w:rFonts w:ascii="Latha" w:hAnsi="Latha" w:cs="Latha"/>
          <w:sz w:val="24"/>
          <w:szCs w:val="24"/>
          <w:u w:val="single"/>
        </w:rPr>
        <w:t>of</w:t>
      </w:r>
      <w:r>
        <w:rPr>
          <w:rFonts w:ascii="Latha" w:hAnsi="Latha" w:cs="Latha"/>
          <w:sz w:val="24"/>
          <w:szCs w:val="24"/>
        </w:rPr>
        <w:t xml:space="preserve"> people with dementia. It works closely but autonomously with Alzheimers Disease International</w:t>
      </w:r>
      <w:r>
        <w:rPr>
          <w:rStyle w:val="EndnoteReference"/>
          <w:rFonts w:ascii="Latha" w:hAnsi="Latha" w:cs="Latha"/>
          <w:sz w:val="24"/>
          <w:szCs w:val="24"/>
        </w:rPr>
        <w:endnoteReference w:id="1"/>
      </w:r>
      <w:r>
        <w:rPr>
          <w:rFonts w:ascii="Latha" w:hAnsi="Latha" w:cs="Latha"/>
          <w:sz w:val="24"/>
          <w:szCs w:val="24"/>
        </w:rPr>
        <w:t xml:space="preserve">- the global voice </w:t>
      </w:r>
      <w:r>
        <w:rPr>
          <w:rFonts w:ascii="Latha" w:hAnsi="Latha" w:cs="Latha"/>
          <w:sz w:val="24"/>
          <w:szCs w:val="24"/>
          <w:u w:val="single"/>
        </w:rPr>
        <w:t>for</w:t>
      </w:r>
      <w:r>
        <w:rPr>
          <w:rFonts w:ascii="Latha" w:hAnsi="Latha" w:cs="Latha"/>
          <w:sz w:val="24"/>
          <w:szCs w:val="24"/>
        </w:rPr>
        <w:t xml:space="preserve"> people with dementia. </w:t>
      </w:r>
    </w:p>
    <w:p w:rsidR="007F467E" w:rsidRPr="00A7396E" w:rsidRDefault="007F467E" w:rsidP="00194A13">
      <w:pPr>
        <w:spacing w:line="240" w:lineRule="auto"/>
        <w:rPr>
          <w:rFonts w:ascii="Latha" w:hAnsi="Latha" w:cs="Latha"/>
          <w:sz w:val="24"/>
          <w:szCs w:val="24"/>
        </w:rPr>
      </w:pPr>
      <w:r w:rsidRPr="00A7396E">
        <w:rPr>
          <w:rFonts w:ascii="Latha" w:hAnsi="Latha" w:cs="Latha"/>
          <w:sz w:val="24"/>
          <w:szCs w:val="24"/>
        </w:rPr>
        <w:t>Our joint aims are to</w:t>
      </w:r>
    </w:p>
    <w:p w:rsidR="007F467E" w:rsidRDefault="007F467E" w:rsidP="00194A13">
      <w:pPr>
        <w:pStyle w:val="ListParagraph"/>
        <w:numPr>
          <w:ilvl w:val="0"/>
          <w:numId w:val="1"/>
        </w:numPr>
        <w:spacing w:line="240" w:lineRule="auto"/>
        <w:rPr>
          <w:rFonts w:ascii="Latha" w:hAnsi="Latha" w:cs="Latha"/>
          <w:sz w:val="24"/>
          <w:szCs w:val="24"/>
        </w:rPr>
      </w:pPr>
      <w:r>
        <w:rPr>
          <w:rFonts w:ascii="Latha" w:hAnsi="Latha" w:cs="Latha"/>
          <w:sz w:val="24"/>
          <w:szCs w:val="24"/>
        </w:rPr>
        <w:t>Use the CRPD to secure the recognition of the human rights of persons with dementia- internationally, regionally, nationally and locally</w:t>
      </w:r>
    </w:p>
    <w:p w:rsidR="007F467E" w:rsidRDefault="007F467E" w:rsidP="00194A13">
      <w:pPr>
        <w:pStyle w:val="ListParagraph"/>
        <w:numPr>
          <w:ilvl w:val="0"/>
          <w:numId w:val="1"/>
        </w:numPr>
        <w:spacing w:line="240" w:lineRule="auto"/>
        <w:rPr>
          <w:rFonts w:ascii="Latha" w:hAnsi="Latha" w:cs="Latha"/>
          <w:sz w:val="24"/>
          <w:szCs w:val="24"/>
        </w:rPr>
      </w:pPr>
      <w:r>
        <w:rPr>
          <w:rFonts w:ascii="Latha" w:hAnsi="Latha" w:cs="Latha"/>
          <w:sz w:val="24"/>
          <w:szCs w:val="24"/>
        </w:rPr>
        <w:t xml:space="preserve">Ensure that CRPD implementation by Member States includes people with dementia </w:t>
      </w:r>
    </w:p>
    <w:p w:rsidR="007F467E" w:rsidRDefault="007F467E" w:rsidP="00194A13">
      <w:pPr>
        <w:pStyle w:val="ListParagraph"/>
        <w:numPr>
          <w:ilvl w:val="0"/>
          <w:numId w:val="1"/>
        </w:numPr>
        <w:spacing w:line="240" w:lineRule="auto"/>
        <w:rPr>
          <w:rFonts w:ascii="Latha" w:hAnsi="Latha" w:cs="Latha"/>
          <w:sz w:val="24"/>
          <w:szCs w:val="24"/>
        </w:rPr>
      </w:pPr>
      <w:r>
        <w:rPr>
          <w:rFonts w:ascii="Latha" w:hAnsi="Latha" w:cs="Latha"/>
          <w:sz w:val="24"/>
          <w:szCs w:val="24"/>
        </w:rPr>
        <w:t>New developments in policy and practice for people with dementia are based on CRPD Principles and Articles</w:t>
      </w:r>
    </w:p>
    <w:p w:rsidR="007F467E" w:rsidRDefault="007F467E" w:rsidP="00194A13">
      <w:pPr>
        <w:pStyle w:val="ListParagraph"/>
        <w:numPr>
          <w:ilvl w:val="0"/>
          <w:numId w:val="1"/>
        </w:numPr>
        <w:spacing w:line="240" w:lineRule="auto"/>
        <w:rPr>
          <w:rFonts w:ascii="Latha" w:hAnsi="Latha" w:cs="Latha"/>
          <w:sz w:val="24"/>
          <w:szCs w:val="24"/>
        </w:rPr>
      </w:pPr>
      <w:r>
        <w:rPr>
          <w:rFonts w:ascii="Latha" w:hAnsi="Latha" w:cs="Latha"/>
          <w:sz w:val="24"/>
          <w:szCs w:val="24"/>
        </w:rPr>
        <w:t xml:space="preserve">Build awareness, commitment and capacity </w:t>
      </w:r>
      <w:r w:rsidR="00A965F5">
        <w:rPr>
          <w:rFonts w:ascii="Latha" w:hAnsi="Latha" w:cs="Latha"/>
          <w:sz w:val="24"/>
          <w:szCs w:val="24"/>
        </w:rPr>
        <w:t xml:space="preserve">building by </w:t>
      </w:r>
      <w:r>
        <w:rPr>
          <w:rFonts w:ascii="Latha" w:hAnsi="Latha" w:cs="Latha"/>
          <w:sz w:val="24"/>
          <w:szCs w:val="24"/>
        </w:rPr>
        <w:t>self-advocates and organisations for persons with dementia to use the CRPD as a tool for change</w:t>
      </w:r>
    </w:p>
    <w:p w:rsidR="007F467E" w:rsidRDefault="007F467E" w:rsidP="00194A13">
      <w:pPr>
        <w:pStyle w:val="ListParagraph"/>
        <w:numPr>
          <w:ilvl w:val="0"/>
          <w:numId w:val="1"/>
        </w:numPr>
        <w:spacing w:line="240" w:lineRule="auto"/>
        <w:rPr>
          <w:rFonts w:ascii="Latha" w:hAnsi="Latha" w:cs="Latha"/>
          <w:sz w:val="24"/>
          <w:szCs w:val="24"/>
        </w:rPr>
      </w:pPr>
      <w:r>
        <w:rPr>
          <w:rFonts w:ascii="Latha" w:hAnsi="Latha" w:cs="Latha"/>
          <w:sz w:val="24"/>
          <w:szCs w:val="24"/>
        </w:rPr>
        <w:t xml:space="preserve">Encourage and inform submissions to the CRPD Committee to secure the inclusion of the rights of persons with dementia in its List of Issues and Concluding Observations and in its relationships with other UN and international agencies in the implementation of the UN 2016-2030 Sustainable Development Goals. </w:t>
      </w:r>
    </w:p>
    <w:p w:rsidR="00FD4A25" w:rsidRDefault="00FD4A25" w:rsidP="00FC5A3B">
      <w:pPr>
        <w:spacing w:line="240" w:lineRule="auto"/>
        <w:ind w:left="360"/>
        <w:rPr>
          <w:rFonts w:ascii="Latha" w:hAnsi="Latha" w:cs="Latha"/>
          <w:i/>
          <w:sz w:val="24"/>
          <w:szCs w:val="24"/>
        </w:rPr>
      </w:pPr>
    </w:p>
    <w:p w:rsidR="00FC5A3B" w:rsidRPr="00D55140" w:rsidRDefault="00580D60" w:rsidP="00FC5A3B">
      <w:pPr>
        <w:spacing w:line="240" w:lineRule="auto"/>
        <w:ind w:left="360"/>
        <w:rPr>
          <w:rFonts w:ascii="Latha" w:hAnsi="Latha" w:cs="Latha"/>
          <w:i/>
          <w:sz w:val="24"/>
          <w:szCs w:val="24"/>
        </w:rPr>
      </w:pPr>
      <w:r w:rsidRPr="00D55140">
        <w:rPr>
          <w:rFonts w:ascii="Latha" w:hAnsi="Latha" w:cs="Latha"/>
          <w:i/>
          <w:sz w:val="24"/>
          <w:szCs w:val="24"/>
        </w:rPr>
        <w:lastRenderedPageBreak/>
        <w:t>We as</w:t>
      </w:r>
      <w:r w:rsidR="00F159A2">
        <w:rPr>
          <w:rFonts w:ascii="Latha" w:hAnsi="Latha" w:cs="Latha"/>
          <w:i/>
          <w:sz w:val="24"/>
          <w:szCs w:val="24"/>
        </w:rPr>
        <w:t xml:space="preserve">k the Committee to consider the following </w:t>
      </w:r>
      <w:r w:rsidRPr="00D55140">
        <w:rPr>
          <w:rFonts w:ascii="Latha" w:hAnsi="Latha" w:cs="Latha"/>
          <w:i/>
          <w:sz w:val="24"/>
          <w:szCs w:val="24"/>
        </w:rPr>
        <w:t xml:space="preserve">comments on the draft </w:t>
      </w:r>
      <w:r w:rsidR="000651DA">
        <w:rPr>
          <w:rFonts w:ascii="Latha" w:hAnsi="Latha" w:cs="Latha"/>
          <w:i/>
          <w:sz w:val="24"/>
          <w:szCs w:val="24"/>
        </w:rPr>
        <w:t>General i</w:t>
      </w:r>
      <w:r w:rsidRPr="00D55140">
        <w:rPr>
          <w:rFonts w:ascii="Latha" w:hAnsi="Latha" w:cs="Latha"/>
          <w:i/>
          <w:sz w:val="24"/>
          <w:szCs w:val="24"/>
        </w:rPr>
        <w:t xml:space="preserve">n the wider context of our contribution to the Day of General Discussion </w:t>
      </w:r>
      <w:r w:rsidR="00D55140" w:rsidRPr="00D55140">
        <w:rPr>
          <w:rFonts w:ascii="Latha" w:hAnsi="Latha" w:cs="Latha"/>
          <w:i/>
          <w:sz w:val="24"/>
          <w:szCs w:val="24"/>
        </w:rPr>
        <w:t>in April 2016.</w:t>
      </w:r>
    </w:p>
    <w:p w:rsidR="0073613D" w:rsidRDefault="00FA6A58" w:rsidP="0073613D">
      <w:pPr>
        <w:spacing w:line="240" w:lineRule="auto"/>
        <w:ind w:left="360"/>
        <w:rPr>
          <w:rFonts w:ascii="Latha" w:hAnsi="Latha" w:cs="Latha"/>
          <w:sz w:val="24"/>
          <w:szCs w:val="24"/>
        </w:rPr>
      </w:pPr>
      <w:r>
        <w:rPr>
          <w:rFonts w:ascii="Latha" w:hAnsi="Latha" w:cs="Latha"/>
          <w:sz w:val="24"/>
          <w:szCs w:val="24"/>
        </w:rPr>
        <w:t xml:space="preserve">PURPOSE </w:t>
      </w:r>
    </w:p>
    <w:p w:rsidR="00BF12FA" w:rsidRDefault="00BF12FA" w:rsidP="0073613D">
      <w:pPr>
        <w:spacing w:line="240" w:lineRule="auto"/>
        <w:ind w:left="360"/>
        <w:rPr>
          <w:rFonts w:ascii="Latha" w:hAnsi="Latha" w:cs="Latha"/>
          <w:sz w:val="24"/>
          <w:szCs w:val="24"/>
        </w:rPr>
      </w:pPr>
      <w:r>
        <w:rPr>
          <w:rFonts w:ascii="Latha" w:hAnsi="Latha" w:cs="Latha"/>
          <w:sz w:val="24"/>
          <w:szCs w:val="24"/>
        </w:rPr>
        <w:t xml:space="preserve">For persons living with dementia, their care partners and members of their household, Article 19 </w:t>
      </w:r>
      <w:r w:rsidR="00855FC3">
        <w:rPr>
          <w:rFonts w:ascii="Latha" w:hAnsi="Latha" w:cs="Latha"/>
          <w:sz w:val="24"/>
          <w:szCs w:val="24"/>
        </w:rPr>
        <w:t xml:space="preserve">lies at the heart of their aspirations to be supported by professional and community agencies to continue to live at home </w:t>
      </w:r>
      <w:r w:rsidR="000F370A">
        <w:rPr>
          <w:rFonts w:ascii="Latha" w:hAnsi="Latha" w:cs="Latha"/>
          <w:sz w:val="24"/>
          <w:szCs w:val="24"/>
        </w:rPr>
        <w:t xml:space="preserve">for as long as possible. </w:t>
      </w:r>
    </w:p>
    <w:p w:rsidR="00D55140" w:rsidRDefault="000F370A" w:rsidP="0073613D">
      <w:pPr>
        <w:spacing w:line="240" w:lineRule="auto"/>
        <w:ind w:left="360"/>
        <w:rPr>
          <w:rFonts w:ascii="Latha" w:hAnsi="Latha" w:cs="Latha"/>
          <w:sz w:val="24"/>
          <w:szCs w:val="24"/>
        </w:rPr>
      </w:pPr>
      <w:r>
        <w:rPr>
          <w:rFonts w:ascii="Latha" w:hAnsi="Latha" w:cs="Latha"/>
          <w:sz w:val="24"/>
          <w:szCs w:val="24"/>
        </w:rPr>
        <w:t xml:space="preserve">We therefore wish to register a formal objection to Paragraph 47 and to ask for it to be removed. </w:t>
      </w:r>
    </w:p>
    <w:p w:rsidR="000F370A" w:rsidRDefault="00D55140" w:rsidP="0073613D">
      <w:pPr>
        <w:spacing w:line="240" w:lineRule="auto"/>
        <w:ind w:left="360"/>
        <w:rPr>
          <w:rFonts w:ascii="Latha" w:hAnsi="Latha" w:cs="Latha"/>
          <w:sz w:val="24"/>
          <w:szCs w:val="24"/>
        </w:rPr>
      </w:pPr>
      <w:r>
        <w:rPr>
          <w:rFonts w:ascii="Latha" w:hAnsi="Latha" w:cs="Latha"/>
          <w:sz w:val="24"/>
          <w:szCs w:val="24"/>
        </w:rPr>
        <w:t>For the past 11 year</w:t>
      </w:r>
      <w:r w:rsidR="00EC472C">
        <w:rPr>
          <w:rFonts w:ascii="Latha" w:hAnsi="Latha" w:cs="Latha"/>
          <w:sz w:val="24"/>
          <w:szCs w:val="24"/>
        </w:rPr>
        <w:t>s</w:t>
      </w:r>
      <w:r>
        <w:rPr>
          <w:rFonts w:ascii="Latha" w:hAnsi="Latha" w:cs="Latha"/>
          <w:sz w:val="24"/>
          <w:szCs w:val="24"/>
        </w:rPr>
        <w:t>, t</w:t>
      </w:r>
      <w:r w:rsidR="00080194">
        <w:rPr>
          <w:rFonts w:ascii="Latha" w:hAnsi="Latha" w:cs="Latha"/>
          <w:sz w:val="24"/>
          <w:szCs w:val="24"/>
        </w:rPr>
        <w:t>he Committee has insisted on the run down and eventual closure of ins</w:t>
      </w:r>
      <w:r w:rsidR="00C00FD8">
        <w:rPr>
          <w:rFonts w:ascii="Latha" w:hAnsi="Latha" w:cs="Latha"/>
          <w:sz w:val="24"/>
          <w:szCs w:val="24"/>
        </w:rPr>
        <w:t xml:space="preserve">titutions </w:t>
      </w:r>
      <w:r>
        <w:rPr>
          <w:rFonts w:ascii="Latha" w:hAnsi="Latha" w:cs="Latha"/>
          <w:sz w:val="24"/>
          <w:szCs w:val="24"/>
        </w:rPr>
        <w:t xml:space="preserve">by </w:t>
      </w:r>
      <w:r w:rsidR="008C398F">
        <w:rPr>
          <w:rFonts w:ascii="Latha" w:hAnsi="Latha" w:cs="Latha"/>
          <w:sz w:val="24"/>
          <w:szCs w:val="24"/>
        </w:rPr>
        <w:t>all Member St</w:t>
      </w:r>
      <w:r>
        <w:rPr>
          <w:rFonts w:ascii="Latha" w:hAnsi="Latha" w:cs="Latha"/>
          <w:sz w:val="24"/>
          <w:szCs w:val="24"/>
        </w:rPr>
        <w:t xml:space="preserve">ates and has opposed attempts to re-introduce them </w:t>
      </w:r>
      <w:r w:rsidR="009C1064">
        <w:rPr>
          <w:rFonts w:ascii="Latha" w:hAnsi="Latha" w:cs="Latha"/>
          <w:sz w:val="24"/>
          <w:szCs w:val="24"/>
        </w:rPr>
        <w:t xml:space="preserve">in different forms </w:t>
      </w:r>
      <w:r w:rsidR="00EC472C">
        <w:rPr>
          <w:rFonts w:ascii="Latha" w:hAnsi="Latha" w:cs="Latha"/>
          <w:sz w:val="24"/>
          <w:szCs w:val="24"/>
        </w:rPr>
        <w:t xml:space="preserve">in </w:t>
      </w:r>
      <w:r w:rsidR="009C1064">
        <w:rPr>
          <w:rFonts w:ascii="Latha" w:hAnsi="Latha" w:cs="Latha"/>
          <w:sz w:val="24"/>
          <w:szCs w:val="24"/>
        </w:rPr>
        <w:t xml:space="preserve">community </w:t>
      </w:r>
      <w:r w:rsidR="00EC472C">
        <w:rPr>
          <w:rFonts w:ascii="Latha" w:hAnsi="Latha" w:cs="Latha"/>
          <w:sz w:val="24"/>
          <w:szCs w:val="24"/>
        </w:rPr>
        <w:t>settings.</w:t>
      </w:r>
    </w:p>
    <w:p w:rsidR="008C398F" w:rsidRDefault="008C398F" w:rsidP="0073613D">
      <w:pPr>
        <w:spacing w:line="240" w:lineRule="auto"/>
        <w:ind w:left="360"/>
        <w:rPr>
          <w:rFonts w:ascii="Latha" w:hAnsi="Latha" w:cs="Latha"/>
          <w:sz w:val="24"/>
          <w:szCs w:val="24"/>
        </w:rPr>
      </w:pPr>
      <w:r>
        <w:rPr>
          <w:rFonts w:ascii="Latha" w:hAnsi="Latha" w:cs="Latha"/>
          <w:sz w:val="24"/>
          <w:szCs w:val="24"/>
        </w:rPr>
        <w:t xml:space="preserve">Persons with dementia </w:t>
      </w:r>
      <w:r w:rsidR="00FC5A3B">
        <w:rPr>
          <w:rFonts w:ascii="Latha" w:hAnsi="Latha" w:cs="Latha"/>
          <w:sz w:val="24"/>
          <w:szCs w:val="24"/>
        </w:rPr>
        <w:t>are particularly vulnerable to decisions taken by others for a variety of reasons. In this context, the Committee</w:t>
      </w:r>
      <w:r w:rsidR="00EC472C">
        <w:rPr>
          <w:rFonts w:ascii="Latha" w:hAnsi="Latha" w:cs="Latha"/>
          <w:sz w:val="24"/>
          <w:szCs w:val="24"/>
        </w:rPr>
        <w:t>’s</w:t>
      </w:r>
      <w:r w:rsidR="00FC5A3B">
        <w:rPr>
          <w:rFonts w:ascii="Latha" w:hAnsi="Latha" w:cs="Latha"/>
          <w:sz w:val="24"/>
          <w:szCs w:val="24"/>
        </w:rPr>
        <w:t xml:space="preserve"> </w:t>
      </w:r>
      <w:r w:rsidR="009C1064">
        <w:rPr>
          <w:rFonts w:ascii="Latha" w:hAnsi="Latha" w:cs="Latha"/>
          <w:sz w:val="24"/>
          <w:szCs w:val="24"/>
        </w:rPr>
        <w:t xml:space="preserve">insistence </w:t>
      </w:r>
      <w:r w:rsidR="00FC5A3B">
        <w:rPr>
          <w:rFonts w:ascii="Latha" w:hAnsi="Latha" w:cs="Latha"/>
          <w:sz w:val="24"/>
          <w:szCs w:val="24"/>
        </w:rPr>
        <w:t xml:space="preserve">on supported decision-making </w:t>
      </w:r>
      <w:r w:rsidR="00EC472C">
        <w:rPr>
          <w:rFonts w:ascii="Latha" w:hAnsi="Latha" w:cs="Latha"/>
          <w:sz w:val="24"/>
          <w:szCs w:val="24"/>
        </w:rPr>
        <w:t xml:space="preserve">in Article 12 </w:t>
      </w:r>
      <w:r w:rsidR="009C1064">
        <w:rPr>
          <w:rFonts w:ascii="Latha" w:hAnsi="Latha" w:cs="Latha"/>
          <w:sz w:val="24"/>
          <w:szCs w:val="24"/>
        </w:rPr>
        <w:t xml:space="preserve">is fully justified. </w:t>
      </w:r>
    </w:p>
    <w:p w:rsidR="009B5AA6" w:rsidRDefault="009B5AA6" w:rsidP="0073613D">
      <w:pPr>
        <w:spacing w:line="240" w:lineRule="auto"/>
        <w:ind w:left="360"/>
        <w:rPr>
          <w:rFonts w:ascii="Latha" w:hAnsi="Latha" w:cs="Latha"/>
          <w:sz w:val="24"/>
          <w:szCs w:val="24"/>
        </w:rPr>
      </w:pPr>
    </w:p>
    <w:p w:rsidR="009C1064" w:rsidRPr="009B5AA6" w:rsidRDefault="009C1064" w:rsidP="0073613D">
      <w:pPr>
        <w:spacing w:line="240" w:lineRule="auto"/>
        <w:ind w:left="360"/>
        <w:rPr>
          <w:rFonts w:ascii="Latha" w:hAnsi="Latha" w:cs="Latha"/>
          <w:i/>
          <w:sz w:val="24"/>
          <w:szCs w:val="24"/>
        </w:rPr>
      </w:pPr>
      <w:r w:rsidRPr="009B5AA6">
        <w:rPr>
          <w:rFonts w:ascii="Latha" w:hAnsi="Latha" w:cs="Latha"/>
          <w:i/>
          <w:sz w:val="24"/>
          <w:szCs w:val="24"/>
        </w:rPr>
        <w:t xml:space="preserve">Examples </w:t>
      </w:r>
      <w:r w:rsidR="001928FA" w:rsidRPr="009B5AA6">
        <w:rPr>
          <w:rFonts w:ascii="Latha" w:hAnsi="Latha" w:cs="Latha"/>
          <w:i/>
          <w:sz w:val="24"/>
          <w:szCs w:val="24"/>
        </w:rPr>
        <w:t xml:space="preserve">of the experience of persons with dementia </w:t>
      </w:r>
      <w:r w:rsidRPr="009B5AA6">
        <w:rPr>
          <w:rFonts w:ascii="Latha" w:hAnsi="Latha" w:cs="Latha"/>
          <w:i/>
          <w:sz w:val="24"/>
          <w:szCs w:val="24"/>
        </w:rPr>
        <w:t xml:space="preserve">are given in </w:t>
      </w:r>
      <w:r w:rsidR="005C6B2E" w:rsidRPr="009B5AA6">
        <w:rPr>
          <w:rFonts w:ascii="Latha" w:hAnsi="Latha" w:cs="Latha"/>
          <w:i/>
          <w:sz w:val="24"/>
          <w:szCs w:val="24"/>
        </w:rPr>
        <w:t xml:space="preserve">extracts from </w:t>
      </w:r>
      <w:r w:rsidRPr="009B5AA6">
        <w:rPr>
          <w:rFonts w:ascii="Latha" w:hAnsi="Latha" w:cs="Latha"/>
          <w:i/>
          <w:sz w:val="24"/>
          <w:szCs w:val="24"/>
        </w:rPr>
        <w:t xml:space="preserve">our submission to the General Day of Discussion on Article 19 </w:t>
      </w:r>
    </w:p>
    <w:p w:rsidR="009C1064" w:rsidRDefault="009C1064" w:rsidP="0073613D">
      <w:pPr>
        <w:spacing w:line="240" w:lineRule="auto"/>
        <w:ind w:left="360"/>
        <w:rPr>
          <w:rFonts w:ascii="Latha" w:hAnsi="Latha" w:cs="Latha"/>
          <w:sz w:val="24"/>
          <w:szCs w:val="24"/>
        </w:rPr>
      </w:pPr>
    </w:p>
    <w:p w:rsidR="00315011" w:rsidRDefault="0038468C" w:rsidP="009C1064">
      <w:pPr>
        <w:spacing w:line="240" w:lineRule="auto"/>
        <w:jc w:val="center"/>
        <w:rPr>
          <w:rFonts w:ascii="Latha" w:hAnsi="Latha" w:cs="Latha"/>
          <w:b/>
          <w:sz w:val="24"/>
          <w:szCs w:val="24"/>
        </w:rPr>
      </w:pPr>
      <w:r w:rsidRPr="003748F9">
        <w:rPr>
          <w:rFonts w:ascii="Latha" w:hAnsi="Latha" w:cs="Latha"/>
          <w:b/>
          <w:sz w:val="24"/>
          <w:szCs w:val="24"/>
        </w:rPr>
        <w:t>DEMENTIA ALLIANCE INTERNATIONAL</w:t>
      </w:r>
      <w:r w:rsidR="00517720">
        <w:rPr>
          <w:rStyle w:val="EndnoteReference"/>
          <w:rFonts w:ascii="Latha" w:hAnsi="Latha" w:cs="Latha"/>
          <w:b/>
          <w:sz w:val="24"/>
          <w:szCs w:val="24"/>
        </w:rPr>
        <w:endnoteReference w:id="2"/>
      </w:r>
    </w:p>
    <w:p w:rsidR="009C1064" w:rsidRPr="003748F9" w:rsidRDefault="009C1064" w:rsidP="009C1064">
      <w:pPr>
        <w:spacing w:line="240" w:lineRule="auto"/>
        <w:jc w:val="center"/>
        <w:rPr>
          <w:rFonts w:ascii="Latha" w:hAnsi="Latha" w:cs="Latha"/>
          <w:b/>
          <w:sz w:val="24"/>
          <w:szCs w:val="24"/>
        </w:rPr>
      </w:pPr>
    </w:p>
    <w:p w:rsidR="0038468C" w:rsidRPr="003748F9" w:rsidRDefault="0038468C" w:rsidP="00194A13">
      <w:pPr>
        <w:spacing w:line="240" w:lineRule="auto"/>
        <w:rPr>
          <w:rFonts w:ascii="Latha" w:hAnsi="Latha" w:cs="Latha"/>
          <w:b/>
          <w:sz w:val="24"/>
          <w:szCs w:val="24"/>
        </w:rPr>
      </w:pPr>
      <w:r w:rsidRPr="003748F9">
        <w:rPr>
          <w:rFonts w:ascii="Latha" w:hAnsi="Latha" w:cs="Latha"/>
          <w:b/>
          <w:sz w:val="24"/>
          <w:szCs w:val="24"/>
        </w:rPr>
        <w:t>POSITION PAPER: UN GENERAL DAY OF DISCUSSION ON CRPD ARTICLE 19</w:t>
      </w:r>
    </w:p>
    <w:p w:rsidR="0038468C" w:rsidRPr="003748F9" w:rsidRDefault="0038468C" w:rsidP="00194A13">
      <w:pPr>
        <w:spacing w:line="240" w:lineRule="auto"/>
        <w:rPr>
          <w:rFonts w:ascii="Latha" w:hAnsi="Latha" w:cs="Latha"/>
          <w:b/>
          <w:sz w:val="24"/>
          <w:szCs w:val="24"/>
        </w:rPr>
      </w:pPr>
      <w:r w:rsidRPr="003748F9">
        <w:rPr>
          <w:rFonts w:ascii="Latha" w:hAnsi="Latha" w:cs="Latha"/>
          <w:b/>
          <w:sz w:val="24"/>
          <w:szCs w:val="24"/>
        </w:rPr>
        <w:t>THE RIGHT OF PERSONS LIVING WITH DEMENTIA TO B</w:t>
      </w:r>
      <w:r w:rsidR="00CD350A">
        <w:rPr>
          <w:rFonts w:ascii="Latha" w:hAnsi="Latha" w:cs="Latha"/>
          <w:b/>
          <w:sz w:val="24"/>
          <w:szCs w:val="24"/>
        </w:rPr>
        <w:t xml:space="preserve">E </w:t>
      </w:r>
      <w:r w:rsidR="00A8066C">
        <w:rPr>
          <w:rFonts w:ascii="Latha" w:hAnsi="Latha" w:cs="Latha"/>
          <w:b/>
          <w:sz w:val="24"/>
          <w:szCs w:val="24"/>
        </w:rPr>
        <w:t xml:space="preserve">SUPPORTED TO LIVE INDEPENDENTLY </w:t>
      </w:r>
      <w:r w:rsidRPr="003748F9">
        <w:rPr>
          <w:rFonts w:ascii="Latha" w:hAnsi="Latha" w:cs="Latha"/>
          <w:b/>
          <w:sz w:val="24"/>
          <w:szCs w:val="24"/>
        </w:rPr>
        <w:t xml:space="preserve">IN THE COMMUNITY </w:t>
      </w:r>
    </w:p>
    <w:p w:rsidR="0038468C" w:rsidRDefault="0038468C" w:rsidP="00194A13">
      <w:pPr>
        <w:spacing w:line="240" w:lineRule="auto"/>
        <w:rPr>
          <w:rFonts w:ascii="Latha" w:hAnsi="Latha" w:cs="Latha"/>
          <w:sz w:val="24"/>
          <w:szCs w:val="24"/>
        </w:rPr>
      </w:pPr>
      <w:r>
        <w:rPr>
          <w:rFonts w:ascii="Latha" w:hAnsi="Latha" w:cs="Latha"/>
          <w:sz w:val="24"/>
          <w:szCs w:val="24"/>
        </w:rPr>
        <w:t>Professor Peter Mittler, DAI Member and Human Rights Adviser</w:t>
      </w:r>
    </w:p>
    <w:p w:rsidR="003748F9" w:rsidRDefault="003748F9" w:rsidP="00194A13">
      <w:pPr>
        <w:spacing w:line="240" w:lineRule="auto"/>
        <w:rPr>
          <w:rFonts w:ascii="Latha" w:hAnsi="Latha" w:cs="Latha"/>
          <w:sz w:val="24"/>
          <w:szCs w:val="24"/>
        </w:rPr>
      </w:pPr>
    </w:p>
    <w:p w:rsidR="005E6AB5" w:rsidRPr="00905C5A" w:rsidRDefault="00693A56" w:rsidP="00194A13">
      <w:pPr>
        <w:spacing w:line="240" w:lineRule="auto"/>
        <w:rPr>
          <w:rFonts w:ascii="Latha" w:hAnsi="Latha" w:cs="Latha"/>
          <w:sz w:val="24"/>
          <w:szCs w:val="24"/>
        </w:rPr>
      </w:pPr>
      <w:r w:rsidRPr="00905C5A">
        <w:rPr>
          <w:rFonts w:ascii="Latha" w:hAnsi="Latha" w:cs="Latha"/>
          <w:sz w:val="24"/>
          <w:szCs w:val="24"/>
        </w:rPr>
        <w:t xml:space="preserve">OBSTACLES TO </w:t>
      </w:r>
      <w:r w:rsidR="005E6AB5" w:rsidRPr="00905C5A">
        <w:rPr>
          <w:rFonts w:ascii="Latha" w:hAnsi="Latha" w:cs="Latha"/>
          <w:sz w:val="24"/>
          <w:szCs w:val="24"/>
        </w:rPr>
        <w:t>CONTINUED PARTICIPATION IN THE COMMUNITY</w:t>
      </w:r>
    </w:p>
    <w:p w:rsidR="005E6AB5" w:rsidRPr="00905C5A" w:rsidRDefault="005E6AB5" w:rsidP="00194A13">
      <w:pPr>
        <w:spacing w:line="240" w:lineRule="auto"/>
        <w:rPr>
          <w:rFonts w:ascii="Latha" w:hAnsi="Latha" w:cs="Latha"/>
          <w:i/>
          <w:sz w:val="24"/>
          <w:szCs w:val="24"/>
        </w:rPr>
      </w:pPr>
      <w:r w:rsidRPr="00905C5A">
        <w:rPr>
          <w:rFonts w:ascii="Latha" w:hAnsi="Latha" w:cs="Latha"/>
          <w:i/>
          <w:sz w:val="24"/>
          <w:szCs w:val="24"/>
        </w:rPr>
        <w:lastRenderedPageBreak/>
        <w:t xml:space="preserve">Persons with dementia have ‘lived independently and been included in the community’ all their lives but encounter deep-rooted and systemic attitudinal and societal obstacles to continue to do so following diagnosis. </w:t>
      </w:r>
    </w:p>
    <w:p w:rsidR="00495BC4" w:rsidRPr="00905C5A" w:rsidRDefault="005A4307" w:rsidP="00194A13">
      <w:pPr>
        <w:spacing w:line="240" w:lineRule="auto"/>
        <w:rPr>
          <w:rFonts w:ascii="Latha" w:hAnsi="Latha" w:cs="Latha"/>
          <w:sz w:val="24"/>
          <w:szCs w:val="24"/>
        </w:rPr>
      </w:pPr>
      <w:r w:rsidRPr="00905C5A">
        <w:rPr>
          <w:rFonts w:ascii="Latha" w:hAnsi="Latha" w:cs="Latha"/>
          <w:sz w:val="24"/>
          <w:szCs w:val="24"/>
        </w:rPr>
        <w:t>Legal capacity and fitness to d</w:t>
      </w:r>
      <w:r w:rsidR="00495BC4" w:rsidRPr="00905C5A">
        <w:rPr>
          <w:rFonts w:ascii="Latha" w:hAnsi="Latha" w:cs="Latha"/>
          <w:sz w:val="24"/>
          <w:szCs w:val="24"/>
        </w:rPr>
        <w:t xml:space="preserve">rive are immediately threatened </w:t>
      </w:r>
      <w:r w:rsidRPr="00905C5A">
        <w:rPr>
          <w:rFonts w:ascii="Latha" w:hAnsi="Latha" w:cs="Latha"/>
          <w:sz w:val="24"/>
          <w:szCs w:val="24"/>
        </w:rPr>
        <w:t>by a diagnosis of</w:t>
      </w:r>
      <w:r w:rsidR="00495BC4" w:rsidRPr="00905C5A">
        <w:rPr>
          <w:rFonts w:ascii="Latha" w:hAnsi="Latha" w:cs="Latha"/>
          <w:sz w:val="24"/>
          <w:szCs w:val="24"/>
        </w:rPr>
        <w:t xml:space="preserve"> dementia</w:t>
      </w:r>
      <w:r w:rsidR="00E97F8C" w:rsidRPr="00905C5A">
        <w:rPr>
          <w:rFonts w:ascii="Latha" w:hAnsi="Latha" w:cs="Latha"/>
          <w:sz w:val="24"/>
          <w:szCs w:val="24"/>
        </w:rPr>
        <w:t>,</w:t>
      </w:r>
      <w:r w:rsidR="00495BC4" w:rsidRPr="00905C5A">
        <w:rPr>
          <w:rFonts w:ascii="Latha" w:hAnsi="Latha" w:cs="Latha"/>
          <w:sz w:val="24"/>
          <w:szCs w:val="24"/>
        </w:rPr>
        <w:t xml:space="preserve"> rather </w:t>
      </w:r>
      <w:r w:rsidR="008D4D8F" w:rsidRPr="00905C5A">
        <w:rPr>
          <w:rFonts w:ascii="Latha" w:hAnsi="Latha" w:cs="Latha"/>
          <w:sz w:val="24"/>
          <w:szCs w:val="24"/>
        </w:rPr>
        <w:t xml:space="preserve">than </w:t>
      </w:r>
      <w:r w:rsidR="00495BC4" w:rsidRPr="00905C5A">
        <w:rPr>
          <w:rFonts w:ascii="Latha" w:hAnsi="Latha" w:cs="Latha"/>
          <w:sz w:val="24"/>
          <w:szCs w:val="24"/>
        </w:rPr>
        <w:t xml:space="preserve">evaluated by </w:t>
      </w:r>
      <w:r w:rsidRPr="00905C5A">
        <w:rPr>
          <w:rFonts w:ascii="Latha" w:hAnsi="Latha" w:cs="Latha"/>
          <w:sz w:val="24"/>
          <w:szCs w:val="24"/>
        </w:rPr>
        <w:t>independent assessment of functioning.</w:t>
      </w:r>
      <w:r w:rsidR="00495BC4" w:rsidRPr="00905C5A">
        <w:rPr>
          <w:rFonts w:ascii="Latha" w:hAnsi="Latha" w:cs="Latha"/>
          <w:sz w:val="24"/>
          <w:szCs w:val="24"/>
        </w:rPr>
        <w:t xml:space="preserve"> This can be particularly traumatic for people with Younger Onset Dementia in mid-career and with responsibilities for young children and elderly parents. </w:t>
      </w:r>
    </w:p>
    <w:p w:rsidR="00495BC4" w:rsidRPr="00905C5A" w:rsidRDefault="00495BC4" w:rsidP="00194A13">
      <w:pPr>
        <w:spacing w:line="240" w:lineRule="auto"/>
        <w:rPr>
          <w:rFonts w:ascii="Latha" w:hAnsi="Latha" w:cs="Latha"/>
          <w:sz w:val="24"/>
          <w:szCs w:val="24"/>
        </w:rPr>
      </w:pPr>
      <w:r w:rsidRPr="00905C5A">
        <w:rPr>
          <w:rFonts w:ascii="Latha" w:hAnsi="Latha" w:cs="Latha"/>
          <w:sz w:val="24"/>
          <w:szCs w:val="24"/>
        </w:rPr>
        <w:t xml:space="preserve">SOCIAL ISOLATION </w:t>
      </w:r>
    </w:p>
    <w:p w:rsidR="00495BC4" w:rsidRPr="00905C5A" w:rsidRDefault="00495BC4" w:rsidP="00194A13">
      <w:pPr>
        <w:spacing w:line="240" w:lineRule="auto"/>
        <w:rPr>
          <w:rFonts w:ascii="Latha" w:hAnsi="Latha" w:cs="Latha"/>
          <w:sz w:val="24"/>
          <w:szCs w:val="24"/>
        </w:rPr>
      </w:pPr>
      <w:r w:rsidRPr="00905C5A">
        <w:rPr>
          <w:rFonts w:ascii="Latha" w:hAnsi="Latha" w:cs="Latha"/>
          <w:sz w:val="24"/>
          <w:szCs w:val="24"/>
        </w:rPr>
        <w:t xml:space="preserve">Many people with dementia have described the loneliness and social isolation which they experience when friends and even family members stop visiting and neighbours cross the street to avoid meeting them. Their isolation is increased by fear of failure and humiliation in going out. Loss of self-identity and self-esteem can occur when household tasks and responsibilities are taken over by the care partner, sometimes on the advice of a professional. </w:t>
      </w:r>
    </w:p>
    <w:p w:rsidR="00495BC4" w:rsidRPr="00905C5A" w:rsidRDefault="00692F9A" w:rsidP="00194A13">
      <w:pPr>
        <w:spacing w:line="240" w:lineRule="auto"/>
        <w:rPr>
          <w:rFonts w:ascii="Latha" w:hAnsi="Latha" w:cs="Latha"/>
          <w:sz w:val="24"/>
          <w:szCs w:val="24"/>
        </w:rPr>
      </w:pPr>
      <w:r w:rsidRPr="00905C5A">
        <w:rPr>
          <w:rFonts w:ascii="Latha" w:hAnsi="Latha" w:cs="Latha"/>
          <w:sz w:val="24"/>
          <w:szCs w:val="24"/>
        </w:rPr>
        <w:t>STIGMA</w:t>
      </w:r>
    </w:p>
    <w:p w:rsidR="00EC3C7B" w:rsidRPr="009B5AA6" w:rsidRDefault="00495BC4" w:rsidP="00194A13">
      <w:pPr>
        <w:spacing w:line="240" w:lineRule="auto"/>
        <w:rPr>
          <w:rFonts w:ascii="Latha" w:hAnsi="Latha" w:cs="Latha"/>
          <w:sz w:val="24"/>
          <w:szCs w:val="24"/>
        </w:rPr>
      </w:pPr>
      <w:r w:rsidRPr="009B5AA6">
        <w:rPr>
          <w:rFonts w:ascii="Latha" w:hAnsi="Latha" w:cs="Latha"/>
          <w:sz w:val="24"/>
          <w:szCs w:val="24"/>
        </w:rPr>
        <w:t xml:space="preserve">Dementia has now replaced cancer as the illness most feared by the general public and </w:t>
      </w:r>
      <w:r w:rsidR="00E97F8C" w:rsidRPr="009B5AA6">
        <w:rPr>
          <w:rFonts w:ascii="Latha" w:hAnsi="Latha" w:cs="Latha"/>
          <w:sz w:val="24"/>
          <w:szCs w:val="24"/>
        </w:rPr>
        <w:t xml:space="preserve">is </w:t>
      </w:r>
      <w:r w:rsidRPr="009B5AA6">
        <w:rPr>
          <w:rFonts w:ascii="Latha" w:hAnsi="Latha" w:cs="Latha"/>
          <w:sz w:val="24"/>
          <w:szCs w:val="24"/>
        </w:rPr>
        <w:t xml:space="preserve">the reason why many people hesitate to seek help if they </w:t>
      </w:r>
      <w:r w:rsidR="00363AEE" w:rsidRPr="009B5AA6">
        <w:rPr>
          <w:rFonts w:ascii="Latha" w:hAnsi="Latha" w:cs="Latha"/>
          <w:sz w:val="24"/>
          <w:szCs w:val="24"/>
        </w:rPr>
        <w:t xml:space="preserve">are worried about their memory or cognitive functioning. </w:t>
      </w:r>
      <w:r w:rsidRPr="009B5AA6">
        <w:rPr>
          <w:rFonts w:ascii="Latha" w:hAnsi="Latha" w:cs="Latha"/>
          <w:sz w:val="24"/>
          <w:szCs w:val="24"/>
        </w:rPr>
        <w:t>The stigma surrounding dementia is fuelled not only by the media but b</w:t>
      </w:r>
      <w:r w:rsidR="008D4D8F" w:rsidRPr="009B5AA6">
        <w:rPr>
          <w:rFonts w:ascii="Latha" w:hAnsi="Latha" w:cs="Latha"/>
          <w:sz w:val="24"/>
          <w:szCs w:val="24"/>
        </w:rPr>
        <w:t xml:space="preserve">y politicians and clinicians who </w:t>
      </w:r>
      <w:r w:rsidRPr="009B5AA6">
        <w:rPr>
          <w:rFonts w:ascii="Latha" w:hAnsi="Latha" w:cs="Latha"/>
          <w:sz w:val="24"/>
          <w:szCs w:val="24"/>
        </w:rPr>
        <w:t xml:space="preserve">talk </w:t>
      </w:r>
      <w:r w:rsidR="00150BA7" w:rsidRPr="009B5AA6">
        <w:rPr>
          <w:rFonts w:ascii="Latha" w:hAnsi="Latha" w:cs="Latha"/>
          <w:sz w:val="24"/>
          <w:szCs w:val="24"/>
        </w:rPr>
        <w:t>about time bombs and tsunamis and commit to a ‘world without dementia’ within</w:t>
      </w:r>
      <w:r w:rsidR="00A470C2" w:rsidRPr="009B5AA6">
        <w:rPr>
          <w:rFonts w:ascii="Latha" w:hAnsi="Latha" w:cs="Latha"/>
          <w:sz w:val="24"/>
          <w:szCs w:val="24"/>
        </w:rPr>
        <w:t xml:space="preserve"> a generation. </w:t>
      </w:r>
    </w:p>
    <w:p w:rsidR="00CC12DC" w:rsidRPr="009B5AA6" w:rsidRDefault="00A470C2" w:rsidP="00194A13">
      <w:pPr>
        <w:spacing w:line="240" w:lineRule="auto"/>
        <w:rPr>
          <w:rFonts w:ascii="Latha" w:hAnsi="Latha" w:cs="Latha"/>
          <w:sz w:val="24"/>
          <w:szCs w:val="24"/>
        </w:rPr>
      </w:pPr>
      <w:r w:rsidRPr="009B5AA6">
        <w:rPr>
          <w:rFonts w:ascii="Latha" w:hAnsi="Latha" w:cs="Latha"/>
          <w:sz w:val="24"/>
          <w:szCs w:val="24"/>
        </w:rPr>
        <w:t xml:space="preserve">In the meantime, </w:t>
      </w:r>
      <w:r w:rsidR="00150BA7" w:rsidRPr="009B5AA6">
        <w:rPr>
          <w:rFonts w:ascii="Latha" w:hAnsi="Latha" w:cs="Latha"/>
          <w:sz w:val="24"/>
          <w:szCs w:val="24"/>
        </w:rPr>
        <w:t xml:space="preserve">stigma </w:t>
      </w:r>
      <w:r w:rsidR="00EC3C7B" w:rsidRPr="009B5AA6">
        <w:rPr>
          <w:rFonts w:ascii="Latha" w:hAnsi="Latha" w:cs="Latha"/>
          <w:sz w:val="24"/>
          <w:szCs w:val="24"/>
        </w:rPr>
        <w:t xml:space="preserve">is reflected in </w:t>
      </w:r>
      <w:r w:rsidR="00CC12DC" w:rsidRPr="009B5AA6">
        <w:rPr>
          <w:rFonts w:ascii="Latha" w:hAnsi="Latha" w:cs="Latha"/>
          <w:sz w:val="24"/>
          <w:szCs w:val="24"/>
        </w:rPr>
        <w:t xml:space="preserve">the conclusion of </w:t>
      </w:r>
      <w:r w:rsidR="00EC3C7B" w:rsidRPr="009B5AA6">
        <w:rPr>
          <w:rFonts w:ascii="Latha" w:hAnsi="Latha" w:cs="Latha"/>
          <w:sz w:val="24"/>
          <w:szCs w:val="24"/>
        </w:rPr>
        <w:t>an OECD</w:t>
      </w:r>
      <w:r w:rsidR="00DB7CA9" w:rsidRPr="009B5AA6">
        <w:rPr>
          <w:rStyle w:val="EndnoteReference"/>
          <w:rFonts w:ascii="Latha" w:hAnsi="Latha" w:cs="Latha"/>
          <w:sz w:val="24"/>
          <w:szCs w:val="24"/>
        </w:rPr>
        <w:endnoteReference w:id="3"/>
      </w:r>
      <w:r w:rsidR="00EC3C7B" w:rsidRPr="009B5AA6">
        <w:rPr>
          <w:rFonts w:ascii="Latha" w:hAnsi="Latha" w:cs="Latha"/>
          <w:sz w:val="24"/>
          <w:szCs w:val="24"/>
        </w:rPr>
        <w:t xml:space="preserve"> study </w:t>
      </w:r>
      <w:r w:rsidR="00E97F8C" w:rsidRPr="009B5AA6">
        <w:rPr>
          <w:rFonts w:ascii="Latha" w:hAnsi="Latha" w:cs="Latha"/>
          <w:sz w:val="24"/>
          <w:szCs w:val="24"/>
        </w:rPr>
        <w:t>that “</w:t>
      </w:r>
      <w:r w:rsidR="00EC3C7B" w:rsidRPr="009B5AA6">
        <w:rPr>
          <w:rFonts w:ascii="Latha" w:hAnsi="Latha" w:cs="Latha"/>
          <w:sz w:val="24"/>
          <w:szCs w:val="24"/>
        </w:rPr>
        <w:t xml:space="preserve">dementia receives the worst care in </w:t>
      </w:r>
      <w:r w:rsidR="00E97F8C" w:rsidRPr="009B5AA6">
        <w:rPr>
          <w:rFonts w:ascii="Latha" w:hAnsi="Latha" w:cs="Latha"/>
          <w:sz w:val="24"/>
          <w:szCs w:val="24"/>
        </w:rPr>
        <w:t>the developed world”</w:t>
      </w:r>
      <w:r w:rsidR="00EC3C7B" w:rsidRPr="009B5AA6">
        <w:rPr>
          <w:rFonts w:ascii="Latha" w:hAnsi="Latha" w:cs="Latha"/>
          <w:sz w:val="24"/>
          <w:szCs w:val="24"/>
        </w:rPr>
        <w:t xml:space="preserve"> and </w:t>
      </w:r>
      <w:r w:rsidR="00CC12DC" w:rsidRPr="009B5AA6">
        <w:rPr>
          <w:rFonts w:ascii="Latha" w:hAnsi="Latha" w:cs="Latha"/>
          <w:sz w:val="24"/>
          <w:szCs w:val="24"/>
        </w:rPr>
        <w:t>a WHO</w:t>
      </w:r>
      <w:r w:rsidR="00DB7CA9" w:rsidRPr="009B5AA6">
        <w:rPr>
          <w:rStyle w:val="EndnoteReference"/>
          <w:rFonts w:ascii="Latha" w:hAnsi="Latha" w:cs="Latha"/>
          <w:sz w:val="24"/>
          <w:szCs w:val="24"/>
        </w:rPr>
        <w:endnoteReference w:id="4"/>
      </w:r>
      <w:r w:rsidR="00CC12DC" w:rsidRPr="009B5AA6">
        <w:rPr>
          <w:rFonts w:ascii="Latha" w:hAnsi="Latha" w:cs="Latha"/>
          <w:sz w:val="24"/>
          <w:szCs w:val="24"/>
        </w:rPr>
        <w:t xml:space="preserve"> statement that </w:t>
      </w:r>
      <w:r w:rsidRPr="009B5AA6">
        <w:rPr>
          <w:rFonts w:ascii="Latha" w:hAnsi="Latha" w:cs="Latha"/>
          <w:sz w:val="24"/>
          <w:szCs w:val="24"/>
        </w:rPr>
        <w:t xml:space="preserve">the disability arising from dementia is higher than in almost all </w:t>
      </w:r>
      <w:r w:rsidR="00E97F8C" w:rsidRPr="009B5AA6">
        <w:rPr>
          <w:rFonts w:ascii="Latha" w:hAnsi="Latha" w:cs="Latha"/>
          <w:sz w:val="24"/>
          <w:szCs w:val="24"/>
        </w:rPr>
        <w:t xml:space="preserve">other </w:t>
      </w:r>
      <w:r w:rsidRPr="009B5AA6">
        <w:rPr>
          <w:rFonts w:ascii="Latha" w:hAnsi="Latha" w:cs="Latha"/>
          <w:sz w:val="24"/>
          <w:szCs w:val="24"/>
        </w:rPr>
        <w:t>conditions, with the exception of spinal cord injury and terminal cancer</w:t>
      </w:r>
      <w:r w:rsidR="00CC12DC" w:rsidRPr="009B5AA6">
        <w:rPr>
          <w:rFonts w:ascii="Latha" w:hAnsi="Latha" w:cs="Latha"/>
          <w:sz w:val="24"/>
          <w:szCs w:val="24"/>
        </w:rPr>
        <w:t xml:space="preserve">.  </w:t>
      </w:r>
    </w:p>
    <w:p w:rsidR="00150BA7" w:rsidRPr="009B5AA6" w:rsidRDefault="00150BA7" w:rsidP="00194A13">
      <w:pPr>
        <w:spacing w:line="240" w:lineRule="auto"/>
        <w:rPr>
          <w:rFonts w:ascii="Latha" w:hAnsi="Latha" w:cs="Latha"/>
          <w:sz w:val="24"/>
          <w:szCs w:val="24"/>
        </w:rPr>
      </w:pPr>
      <w:r w:rsidRPr="009B5AA6">
        <w:rPr>
          <w:rFonts w:ascii="Latha" w:hAnsi="Latha" w:cs="Latha"/>
          <w:sz w:val="24"/>
          <w:szCs w:val="24"/>
        </w:rPr>
        <w:t>PREMATURE RESIDENTIAL CARE (Article 19a)</w:t>
      </w:r>
    </w:p>
    <w:p w:rsidR="00AF5973" w:rsidRPr="009B5AA6" w:rsidRDefault="00150BA7" w:rsidP="00194A13">
      <w:pPr>
        <w:spacing w:line="240" w:lineRule="auto"/>
        <w:rPr>
          <w:rFonts w:ascii="Latha" w:hAnsi="Latha" w:cs="Latha"/>
          <w:sz w:val="24"/>
          <w:szCs w:val="24"/>
        </w:rPr>
      </w:pPr>
      <w:r w:rsidRPr="009B5AA6">
        <w:rPr>
          <w:rFonts w:ascii="Latha" w:hAnsi="Latha" w:cs="Latha"/>
          <w:sz w:val="24"/>
          <w:szCs w:val="24"/>
        </w:rPr>
        <w:t>Most people with dementia in High Income Countries continue to live with a care partner, with supports ranging from zero to daily visits from a support worker, funded</w:t>
      </w:r>
      <w:r w:rsidR="00AD2168" w:rsidRPr="009B5AA6">
        <w:rPr>
          <w:rFonts w:ascii="Latha" w:hAnsi="Latha" w:cs="Latha"/>
          <w:sz w:val="24"/>
          <w:szCs w:val="24"/>
        </w:rPr>
        <w:t xml:space="preserve"> by </w:t>
      </w:r>
      <w:r w:rsidR="00E97F8C" w:rsidRPr="009B5AA6">
        <w:rPr>
          <w:rFonts w:ascii="Latha" w:hAnsi="Latha" w:cs="Latha"/>
          <w:sz w:val="24"/>
          <w:szCs w:val="24"/>
        </w:rPr>
        <w:t xml:space="preserve">themselves or a publically-funded </w:t>
      </w:r>
      <w:r w:rsidR="00AD2168" w:rsidRPr="009B5AA6">
        <w:rPr>
          <w:rFonts w:ascii="Latha" w:hAnsi="Latha" w:cs="Latha"/>
          <w:sz w:val="24"/>
          <w:szCs w:val="24"/>
        </w:rPr>
        <w:t xml:space="preserve">agency. </w:t>
      </w:r>
      <w:r w:rsidR="00AF5973" w:rsidRPr="009B5AA6">
        <w:rPr>
          <w:rFonts w:ascii="Latha" w:hAnsi="Latha" w:cs="Latha"/>
          <w:sz w:val="24"/>
          <w:szCs w:val="24"/>
        </w:rPr>
        <w:t>The 30 per cent of people w</w:t>
      </w:r>
      <w:r w:rsidR="00B616C7" w:rsidRPr="009B5AA6">
        <w:rPr>
          <w:rFonts w:ascii="Latha" w:hAnsi="Latha" w:cs="Latha"/>
          <w:sz w:val="24"/>
          <w:szCs w:val="24"/>
        </w:rPr>
        <w:t xml:space="preserve">ith dementia who live alone </w:t>
      </w:r>
      <w:r w:rsidR="00AF5973" w:rsidRPr="009B5AA6">
        <w:rPr>
          <w:rFonts w:ascii="Latha" w:hAnsi="Latha" w:cs="Latha"/>
          <w:sz w:val="24"/>
          <w:szCs w:val="24"/>
        </w:rPr>
        <w:t xml:space="preserve">miss out on even more support due to their single status and inability to register a family carer. In many Low and Middle Income Countries the only alternative is a distant institution. </w:t>
      </w:r>
    </w:p>
    <w:p w:rsidR="006E1A1B" w:rsidRPr="009B5AA6" w:rsidRDefault="00AD2168" w:rsidP="00194A13">
      <w:pPr>
        <w:spacing w:line="240" w:lineRule="auto"/>
        <w:rPr>
          <w:rFonts w:ascii="Latha" w:hAnsi="Latha" w:cs="Latha"/>
          <w:sz w:val="24"/>
          <w:szCs w:val="24"/>
        </w:rPr>
      </w:pPr>
      <w:r w:rsidRPr="009B5AA6">
        <w:rPr>
          <w:rFonts w:ascii="Latha" w:hAnsi="Latha" w:cs="Latha"/>
          <w:sz w:val="24"/>
          <w:szCs w:val="24"/>
        </w:rPr>
        <w:t xml:space="preserve"> </w:t>
      </w:r>
      <w:r w:rsidR="003C5304" w:rsidRPr="009B5AA6">
        <w:rPr>
          <w:rFonts w:ascii="Latha" w:hAnsi="Latha" w:cs="Latha"/>
          <w:sz w:val="24"/>
          <w:szCs w:val="24"/>
        </w:rPr>
        <w:t>A person admitted to hospital for reasons not directly connected to their dementia is likely to stay in hospital for much longer than a person without dementia, due as much to the poor care which they receive as to their partner being u</w:t>
      </w:r>
      <w:r w:rsidR="006E1A1B" w:rsidRPr="009B5AA6">
        <w:rPr>
          <w:rFonts w:ascii="Latha" w:hAnsi="Latha" w:cs="Latha"/>
          <w:sz w:val="24"/>
          <w:szCs w:val="24"/>
        </w:rPr>
        <w:t xml:space="preserve">nable to care for them at home. </w:t>
      </w:r>
    </w:p>
    <w:p w:rsidR="003C5304" w:rsidRPr="009B5AA6" w:rsidRDefault="003C5304" w:rsidP="00194A13">
      <w:pPr>
        <w:spacing w:line="240" w:lineRule="auto"/>
        <w:rPr>
          <w:rFonts w:ascii="Latha" w:hAnsi="Latha" w:cs="Latha"/>
          <w:sz w:val="24"/>
          <w:szCs w:val="24"/>
        </w:rPr>
      </w:pPr>
      <w:r w:rsidRPr="009B5AA6">
        <w:rPr>
          <w:rFonts w:ascii="Latha" w:hAnsi="Latha" w:cs="Latha"/>
          <w:sz w:val="24"/>
          <w:szCs w:val="24"/>
        </w:rPr>
        <w:t>A recent UK report</w:t>
      </w:r>
      <w:r w:rsidR="00DB7CA9" w:rsidRPr="009B5AA6">
        <w:rPr>
          <w:rStyle w:val="EndnoteReference"/>
          <w:rFonts w:ascii="Latha" w:hAnsi="Latha" w:cs="Latha"/>
          <w:sz w:val="24"/>
          <w:szCs w:val="24"/>
        </w:rPr>
        <w:endnoteReference w:id="5"/>
      </w:r>
      <w:r w:rsidRPr="009B5AA6">
        <w:rPr>
          <w:rFonts w:ascii="Latha" w:hAnsi="Latha" w:cs="Latha"/>
          <w:sz w:val="24"/>
          <w:szCs w:val="24"/>
        </w:rPr>
        <w:t xml:space="preserve"> based on information collected under the Freedom of Information Act reports that</w:t>
      </w:r>
    </w:p>
    <w:p w:rsidR="003C5304" w:rsidRPr="009B5AA6" w:rsidRDefault="003C5304" w:rsidP="00194A13">
      <w:pPr>
        <w:pStyle w:val="ListParagraph"/>
        <w:numPr>
          <w:ilvl w:val="0"/>
          <w:numId w:val="2"/>
        </w:numPr>
        <w:spacing w:line="240" w:lineRule="auto"/>
        <w:rPr>
          <w:rFonts w:ascii="Latha" w:hAnsi="Latha" w:cs="Latha"/>
          <w:sz w:val="24"/>
          <w:szCs w:val="24"/>
        </w:rPr>
      </w:pPr>
      <w:r w:rsidRPr="009B5AA6">
        <w:rPr>
          <w:rFonts w:ascii="Latha" w:hAnsi="Latha" w:cs="Latha"/>
          <w:sz w:val="24"/>
          <w:szCs w:val="24"/>
        </w:rPr>
        <w:t>People with dementia stay five to seven times longer in the worst performi</w:t>
      </w:r>
      <w:r w:rsidR="00693A56" w:rsidRPr="009B5AA6">
        <w:rPr>
          <w:rFonts w:ascii="Latha" w:hAnsi="Latha" w:cs="Latha"/>
          <w:sz w:val="24"/>
          <w:szCs w:val="24"/>
        </w:rPr>
        <w:t>ng hospitals than other</w:t>
      </w:r>
      <w:r w:rsidRPr="009B5AA6">
        <w:rPr>
          <w:rFonts w:ascii="Latha" w:hAnsi="Latha" w:cs="Latha"/>
          <w:sz w:val="24"/>
          <w:szCs w:val="24"/>
        </w:rPr>
        <w:t xml:space="preserve"> people over the age of 65</w:t>
      </w:r>
    </w:p>
    <w:p w:rsidR="003C5304" w:rsidRPr="009B5AA6" w:rsidRDefault="003C5304" w:rsidP="00194A13">
      <w:pPr>
        <w:pStyle w:val="ListParagraph"/>
        <w:numPr>
          <w:ilvl w:val="0"/>
          <w:numId w:val="2"/>
        </w:numPr>
        <w:spacing w:line="240" w:lineRule="auto"/>
        <w:rPr>
          <w:rFonts w:ascii="Latha" w:hAnsi="Latha" w:cs="Latha"/>
          <w:sz w:val="24"/>
          <w:szCs w:val="24"/>
        </w:rPr>
      </w:pPr>
      <w:r w:rsidRPr="009B5AA6">
        <w:rPr>
          <w:rFonts w:ascii="Latha" w:hAnsi="Latha" w:cs="Latha"/>
          <w:sz w:val="24"/>
          <w:szCs w:val="24"/>
        </w:rPr>
        <w:t>52-71 per cent of people over 65 who had a fall were people with dementia</w:t>
      </w:r>
    </w:p>
    <w:p w:rsidR="003C5304" w:rsidRPr="009B5AA6" w:rsidRDefault="003C5304" w:rsidP="00194A13">
      <w:pPr>
        <w:pStyle w:val="ListParagraph"/>
        <w:numPr>
          <w:ilvl w:val="0"/>
          <w:numId w:val="2"/>
        </w:numPr>
        <w:spacing w:line="240" w:lineRule="auto"/>
        <w:rPr>
          <w:rFonts w:ascii="Latha" w:hAnsi="Latha" w:cs="Latha"/>
          <w:sz w:val="24"/>
          <w:szCs w:val="24"/>
        </w:rPr>
      </w:pPr>
      <w:r w:rsidRPr="009B5AA6">
        <w:rPr>
          <w:rFonts w:ascii="Latha" w:hAnsi="Latha" w:cs="Latha"/>
          <w:sz w:val="24"/>
          <w:szCs w:val="24"/>
        </w:rPr>
        <w:t xml:space="preserve">Thousands of people with dementia are being discharged between 11pm and 6am each year. </w:t>
      </w:r>
    </w:p>
    <w:p w:rsidR="00370635" w:rsidRPr="009B5AA6" w:rsidRDefault="006E1A1B" w:rsidP="00194A13">
      <w:pPr>
        <w:spacing w:line="240" w:lineRule="auto"/>
        <w:rPr>
          <w:rFonts w:ascii="Latha" w:hAnsi="Latha" w:cs="Latha"/>
          <w:sz w:val="24"/>
          <w:szCs w:val="24"/>
        </w:rPr>
      </w:pPr>
      <w:r w:rsidRPr="009B5AA6">
        <w:rPr>
          <w:rFonts w:ascii="Latha" w:hAnsi="Latha" w:cs="Latha"/>
          <w:sz w:val="24"/>
          <w:szCs w:val="24"/>
        </w:rPr>
        <w:t xml:space="preserve">The risk of transfer to residential could be reduced by contingency planning with a key worker familiar with the person’s home circumstances. Once in residential care, isolation from the community is compounded by the possibility that some family members and friends will stop visiting, especially if the person with dementia does not appear to recognise them or is uncomfortable in their presence. </w:t>
      </w:r>
    </w:p>
    <w:p w:rsidR="00AC1C30" w:rsidRPr="009B5AA6" w:rsidRDefault="00AC1C30" w:rsidP="00194A13">
      <w:pPr>
        <w:spacing w:line="240" w:lineRule="auto"/>
        <w:rPr>
          <w:rFonts w:ascii="Latha" w:hAnsi="Latha" w:cs="Latha"/>
          <w:sz w:val="24"/>
          <w:szCs w:val="24"/>
        </w:rPr>
      </w:pPr>
      <w:r w:rsidRPr="009B5AA6">
        <w:rPr>
          <w:rFonts w:ascii="Latha" w:hAnsi="Latha" w:cs="Latha"/>
          <w:sz w:val="24"/>
          <w:szCs w:val="24"/>
        </w:rPr>
        <w:t xml:space="preserve">THE CARE COUPLE </w:t>
      </w:r>
    </w:p>
    <w:p w:rsidR="005717D0" w:rsidRPr="009B5AA6" w:rsidRDefault="00AC1C30" w:rsidP="00194A13">
      <w:pPr>
        <w:spacing w:line="240" w:lineRule="auto"/>
        <w:rPr>
          <w:rFonts w:ascii="Latha" w:hAnsi="Latha" w:cs="Latha"/>
          <w:sz w:val="24"/>
          <w:szCs w:val="24"/>
        </w:rPr>
      </w:pPr>
      <w:r w:rsidRPr="009B5AA6">
        <w:rPr>
          <w:rFonts w:ascii="Latha" w:hAnsi="Latha" w:cs="Latha"/>
          <w:sz w:val="24"/>
          <w:szCs w:val="24"/>
        </w:rPr>
        <w:t>Many professionals and policy makers generalise about ‘carers’ as if they were a homogeneous group, despite evidence of their individuality in the social media and in the ric</w:t>
      </w:r>
      <w:r w:rsidR="005717D0" w:rsidRPr="009B5AA6">
        <w:rPr>
          <w:rFonts w:ascii="Latha" w:hAnsi="Latha" w:cs="Latha"/>
          <w:sz w:val="24"/>
          <w:szCs w:val="24"/>
        </w:rPr>
        <w:t>h variety of their writing</w:t>
      </w:r>
      <w:r w:rsidR="00DB7CA9" w:rsidRPr="009B5AA6">
        <w:rPr>
          <w:rStyle w:val="EndnoteReference"/>
          <w:rFonts w:ascii="Latha" w:hAnsi="Latha" w:cs="Latha"/>
          <w:sz w:val="24"/>
          <w:szCs w:val="24"/>
        </w:rPr>
        <w:endnoteReference w:id="6"/>
      </w:r>
      <w:r w:rsidR="005717D0" w:rsidRPr="009B5AA6">
        <w:rPr>
          <w:rFonts w:ascii="Latha" w:hAnsi="Latha" w:cs="Latha"/>
          <w:sz w:val="24"/>
          <w:szCs w:val="24"/>
        </w:rPr>
        <w:t xml:space="preserve">. </w:t>
      </w:r>
      <w:r w:rsidRPr="009B5AA6">
        <w:rPr>
          <w:rFonts w:ascii="Latha" w:hAnsi="Latha" w:cs="Latha"/>
          <w:sz w:val="24"/>
          <w:szCs w:val="24"/>
        </w:rPr>
        <w:t xml:space="preserve">Because care partners are the main source of support for the person with dementia to live at home and to remain a member of the community, they too have the right to whatever support is needed to help them to do so. </w:t>
      </w:r>
    </w:p>
    <w:p w:rsidR="00AC1C30" w:rsidRPr="009B5AA6" w:rsidRDefault="00D564C3" w:rsidP="00194A13">
      <w:pPr>
        <w:spacing w:line="240" w:lineRule="auto"/>
        <w:rPr>
          <w:rFonts w:ascii="Latha" w:hAnsi="Latha" w:cs="Latha"/>
          <w:sz w:val="24"/>
          <w:szCs w:val="24"/>
        </w:rPr>
      </w:pPr>
      <w:r w:rsidRPr="009B5AA6">
        <w:rPr>
          <w:rFonts w:ascii="Latha" w:hAnsi="Latha" w:cs="Latha"/>
          <w:sz w:val="24"/>
          <w:szCs w:val="24"/>
        </w:rPr>
        <w:t xml:space="preserve">25 per cent of persons with dementia and 50 per cent of care partners are clinically depressed. </w:t>
      </w:r>
      <w:r w:rsidR="00AC1C30" w:rsidRPr="009B5AA6">
        <w:rPr>
          <w:rFonts w:ascii="Latha" w:hAnsi="Latha" w:cs="Latha"/>
          <w:sz w:val="24"/>
          <w:szCs w:val="24"/>
        </w:rPr>
        <w:t xml:space="preserve">Richard Taylor’s account of crying for weeks following diagnosis reflects a need for crisis counselling both for him and his wife. His discussion of the impact of the initial impact </w:t>
      </w:r>
      <w:r w:rsidRPr="009B5AA6">
        <w:rPr>
          <w:rFonts w:ascii="Latha" w:hAnsi="Latha" w:cs="Latha"/>
          <w:sz w:val="24"/>
          <w:szCs w:val="24"/>
        </w:rPr>
        <w:t xml:space="preserve">of his diagnosis and difficulties </w:t>
      </w:r>
      <w:r w:rsidR="00AC1C30" w:rsidRPr="009B5AA6">
        <w:rPr>
          <w:rFonts w:ascii="Latha" w:hAnsi="Latha" w:cs="Latha"/>
          <w:sz w:val="24"/>
          <w:szCs w:val="24"/>
        </w:rPr>
        <w:t xml:space="preserve">on his relationship to his wife suggests that both might have been helped by couple counselling. </w:t>
      </w:r>
    </w:p>
    <w:p w:rsidR="006E1A1B" w:rsidRPr="009B5AA6" w:rsidRDefault="006E1A1B" w:rsidP="00194A13">
      <w:pPr>
        <w:spacing w:line="240" w:lineRule="auto"/>
        <w:rPr>
          <w:rFonts w:ascii="Latha" w:hAnsi="Latha" w:cs="Latha"/>
          <w:sz w:val="24"/>
          <w:szCs w:val="24"/>
        </w:rPr>
      </w:pPr>
      <w:r w:rsidRPr="009B5AA6">
        <w:rPr>
          <w:rFonts w:ascii="Latha" w:hAnsi="Latha" w:cs="Latha"/>
          <w:sz w:val="24"/>
          <w:szCs w:val="24"/>
        </w:rPr>
        <w:t>REHABILITATION PATHWAY</w:t>
      </w:r>
      <w:r w:rsidR="009B5AA6">
        <w:rPr>
          <w:rFonts w:ascii="Latha" w:hAnsi="Latha" w:cs="Latha"/>
          <w:sz w:val="24"/>
          <w:szCs w:val="24"/>
        </w:rPr>
        <w:t xml:space="preserve"> </w:t>
      </w:r>
      <w:r w:rsidR="00121C12">
        <w:rPr>
          <w:rFonts w:ascii="Latha" w:hAnsi="Latha" w:cs="Latha"/>
          <w:sz w:val="24"/>
          <w:szCs w:val="24"/>
        </w:rPr>
        <w:t xml:space="preserve">(Article 19b) </w:t>
      </w:r>
    </w:p>
    <w:p w:rsidR="006B78A5" w:rsidRPr="009B5AA6" w:rsidRDefault="00693A56" w:rsidP="00194A13">
      <w:pPr>
        <w:spacing w:line="240" w:lineRule="auto"/>
        <w:rPr>
          <w:rFonts w:ascii="Latha" w:hAnsi="Latha" w:cs="Latha"/>
          <w:sz w:val="24"/>
          <w:szCs w:val="24"/>
        </w:rPr>
      </w:pPr>
      <w:r w:rsidRPr="009B5AA6">
        <w:rPr>
          <w:rFonts w:ascii="Latha" w:hAnsi="Latha" w:cs="Latha"/>
          <w:sz w:val="24"/>
          <w:szCs w:val="24"/>
        </w:rPr>
        <w:t xml:space="preserve">Poor support for people newly diagnosed with dementia is in strong contrast to rehabilitation programmes tailored to the specific needs of people who sustain severe brain damage as a result of a stroke or traffic accident.  </w:t>
      </w:r>
      <w:r w:rsidR="006B78A5" w:rsidRPr="009B5AA6">
        <w:rPr>
          <w:rFonts w:ascii="Latha" w:hAnsi="Latha" w:cs="Latha"/>
          <w:sz w:val="24"/>
          <w:szCs w:val="24"/>
        </w:rPr>
        <w:t>Kate Swaffer contrasts the current medical model of care with a support pathway based on CRPD</w:t>
      </w:r>
      <w:r w:rsidR="005C780A" w:rsidRPr="009B5AA6">
        <w:rPr>
          <w:rStyle w:val="EndnoteReference"/>
          <w:rFonts w:ascii="Latha" w:hAnsi="Latha" w:cs="Latha"/>
          <w:sz w:val="24"/>
          <w:szCs w:val="24"/>
        </w:rPr>
        <w:endnoteReference w:id="7"/>
      </w:r>
      <w:r w:rsidR="006B78A5" w:rsidRPr="009B5AA6">
        <w:rPr>
          <w:rFonts w:ascii="Latha" w:hAnsi="Latha" w:cs="Latha"/>
          <w:sz w:val="24"/>
          <w:szCs w:val="24"/>
        </w:rPr>
        <w:t>. A service along these lines in provided in the State of Queensland, Australia</w:t>
      </w:r>
      <w:r w:rsidR="00DB7CA9" w:rsidRPr="009B5AA6">
        <w:rPr>
          <w:rStyle w:val="EndnoteReference"/>
          <w:rFonts w:ascii="Latha" w:hAnsi="Latha" w:cs="Latha"/>
          <w:sz w:val="24"/>
          <w:szCs w:val="24"/>
        </w:rPr>
        <w:endnoteReference w:id="8"/>
      </w:r>
      <w:r w:rsidR="006B78A5" w:rsidRPr="009B5AA6">
        <w:rPr>
          <w:rFonts w:ascii="Latha" w:hAnsi="Latha" w:cs="Latha"/>
          <w:sz w:val="24"/>
          <w:szCs w:val="24"/>
        </w:rPr>
        <w:t xml:space="preserve">. </w:t>
      </w:r>
    </w:p>
    <w:p w:rsidR="006E1A1B" w:rsidRPr="009B5AA6" w:rsidRDefault="00D1272B" w:rsidP="00194A13">
      <w:pPr>
        <w:spacing w:line="240" w:lineRule="auto"/>
        <w:rPr>
          <w:rFonts w:ascii="Latha" w:hAnsi="Latha" w:cs="Latha"/>
          <w:sz w:val="24"/>
          <w:szCs w:val="24"/>
        </w:rPr>
      </w:pPr>
      <w:r w:rsidRPr="009B5AA6">
        <w:rPr>
          <w:rFonts w:ascii="Latha" w:hAnsi="Latha" w:cs="Latha"/>
          <w:sz w:val="24"/>
          <w:szCs w:val="24"/>
        </w:rPr>
        <w:t>The concept of ‘post-diagnostic support’ needs to be reconceptualised as a rehabilitation pathway which begins at the time of diagnosis with the offer of a follow-up visit to the hospital or memory clinic where the dia</w:t>
      </w:r>
      <w:r w:rsidR="00693A56" w:rsidRPr="009B5AA6">
        <w:rPr>
          <w:rFonts w:ascii="Latha" w:hAnsi="Latha" w:cs="Latha"/>
          <w:sz w:val="24"/>
          <w:szCs w:val="24"/>
        </w:rPr>
        <w:t xml:space="preserve">gnosis has been given and </w:t>
      </w:r>
      <w:r w:rsidRPr="009B5AA6">
        <w:rPr>
          <w:rFonts w:ascii="Latha" w:hAnsi="Latha" w:cs="Latha"/>
          <w:sz w:val="24"/>
          <w:szCs w:val="24"/>
        </w:rPr>
        <w:t>provides opportunities to ask questions and discuss ways in which</w:t>
      </w:r>
      <w:r w:rsidR="00566E86" w:rsidRPr="009B5AA6">
        <w:rPr>
          <w:rFonts w:ascii="Latha" w:hAnsi="Latha" w:cs="Latha"/>
          <w:sz w:val="24"/>
          <w:szCs w:val="24"/>
        </w:rPr>
        <w:t xml:space="preserve"> support can be given. </w:t>
      </w:r>
    </w:p>
    <w:p w:rsidR="006B78A5" w:rsidRPr="009B5AA6" w:rsidRDefault="006B78A5" w:rsidP="00194A13">
      <w:pPr>
        <w:spacing w:line="240" w:lineRule="auto"/>
        <w:rPr>
          <w:rFonts w:ascii="Latha" w:hAnsi="Latha" w:cs="Latha"/>
          <w:sz w:val="24"/>
          <w:szCs w:val="24"/>
        </w:rPr>
      </w:pPr>
      <w:r w:rsidRPr="009B5AA6">
        <w:rPr>
          <w:rFonts w:ascii="Latha" w:hAnsi="Latha" w:cs="Latha"/>
          <w:sz w:val="24"/>
          <w:szCs w:val="24"/>
        </w:rPr>
        <w:t>From this point, a qualified key worke</w:t>
      </w:r>
      <w:r w:rsidR="00FB54DE" w:rsidRPr="009B5AA6">
        <w:rPr>
          <w:rFonts w:ascii="Latha" w:hAnsi="Latha" w:cs="Latha"/>
          <w:sz w:val="24"/>
          <w:szCs w:val="24"/>
        </w:rPr>
        <w:t xml:space="preserve">r needs to be appointed to maintain contact with the person with dementia and </w:t>
      </w:r>
      <w:r w:rsidRPr="009B5AA6">
        <w:rPr>
          <w:rFonts w:ascii="Latha" w:hAnsi="Latha" w:cs="Latha"/>
          <w:sz w:val="24"/>
          <w:szCs w:val="24"/>
        </w:rPr>
        <w:t xml:space="preserve">family </w:t>
      </w:r>
      <w:r w:rsidR="00FB54DE" w:rsidRPr="009B5AA6">
        <w:rPr>
          <w:rFonts w:ascii="Latha" w:hAnsi="Latha" w:cs="Latha"/>
          <w:sz w:val="24"/>
          <w:szCs w:val="24"/>
        </w:rPr>
        <w:t xml:space="preserve">members </w:t>
      </w:r>
      <w:r w:rsidRPr="009B5AA6">
        <w:rPr>
          <w:rFonts w:ascii="Latha" w:hAnsi="Latha" w:cs="Latha"/>
          <w:sz w:val="24"/>
          <w:szCs w:val="24"/>
        </w:rPr>
        <w:t>to disc</w:t>
      </w:r>
      <w:r w:rsidR="00FB54DE" w:rsidRPr="009B5AA6">
        <w:rPr>
          <w:rFonts w:ascii="Latha" w:hAnsi="Latha" w:cs="Latha"/>
          <w:sz w:val="24"/>
          <w:szCs w:val="24"/>
        </w:rPr>
        <w:t xml:space="preserve">uss needs and priorities and provide </w:t>
      </w:r>
      <w:r w:rsidRPr="009B5AA6">
        <w:rPr>
          <w:rFonts w:ascii="Latha" w:hAnsi="Latha" w:cs="Latha"/>
          <w:sz w:val="24"/>
          <w:szCs w:val="24"/>
        </w:rPr>
        <w:t>link</w:t>
      </w:r>
      <w:r w:rsidR="00FB54DE" w:rsidRPr="009B5AA6">
        <w:rPr>
          <w:rFonts w:ascii="Latha" w:hAnsi="Latha" w:cs="Latha"/>
          <w:sz w:val="24"/>
          <w:szCs w:val="24"/>
        </w:rPr>
        <w:t xml:space="preserve">s to </w:t>
      </w:r>
      <w:r w:rsidRPr="009B5AA6">
        <w:rPr>
          <w:rFonts w:ascii="Latha" w:hAnsi="Latha" w:cs="Latha"/>
          <w:sz w:val="24"/>
          <w:szCs w:val="24"/>
        </w:rPr>
        <w:t xml:space="preserve">necessary services and supports from all relevant services and community supports. </w:t>
      </w:r>
    </w:p>
    <w:p w:rsidR="006B78A5" w:rsidRPr="009B5AA6" w:rsidRDefault="006B78A5" w:rsidP="00194A13">
      <w:pPr>
        <w:spacing w:line="240" w:lineRule="auto"/>
        <w:rPr>
          <w:rFonts w:ascii="Latha" w:hAnsi="Latha" w:cs="Latha"/>
          <w:sz w:val="24"/>
          <w:szCs w:val="24"/>
        </w:rPr>
      </w:pPr>
      <w:r w:rsidRPr="009B5AA6">
        <w:rPr>
          <w:rFonts w:ascii="Latha" w:hAnsi="Latha" w:cs="Latha"/>
          <w:sz w:val="24"/>
          <w:szCs w:val="24"/>
        </w:rPr>
        <w:t>A rehabilitation pathway should provide access to a wide range of specialists. These include:</w:t>
      </w:r>
    </w:p>
    <w:p w:rsidR="006B78A5" w:rsidRPr="009B5AA6" w:rsidRDefault="006B78A5" w:rsidP="00194A13">
      <w:pPr>
        <w:pStyle w:val="ListParagraph"/>
        <w:numPr>
          <w:ilvl w:val="0"/>
          <w:numId w:val="3"/>
        </w:numPr>
        <w:spacing w:line="240" w:lineRule="auto"/>
        <w:rPr>
          <w:rFonts w:ascii="Latha" w:hAnsi="Latha" w:cs="Latha"/>
          <w:sz w:val="24"/>
          <w:szCs w:val="24"/>
        </w:rPr>
      </w:pPr>
      <w:r w:rsidRPr="009B5AA6">
        <w:rPr>
          <w:rFonts w:ascii="Latha" w:hAnsi="Latha" w:cs="Latha"/>
          <w:sz w:val="24"/>
          <w:szCs w:val="24"/>
        </w:rPr>
        <w:t>Occupational therapists to discuss possible adaptations to the home</w:t>
      </w:r>
      <w:r w:rsidR="00255979" w:rsidRPr="009B5AA6">
        <w:rPr>
          <w:rFonts w:ascii="Latha" w:hAnsi="Latha" w:cs="Latha"/>
          <w:sz w:val="24"/>
          <w:szCs w:val="24"/>
        </w:rPr>
        <w:t xml:space="preserve"> and domestic appliances, television sets and </w:t>
      </w:r>
      <w:r w:rsidRPr="009B5AA6">
        <w:rPr>
          <w:rFonts w:ascii="Latha" w:hAnsi="Latha" w:cs="Latha"/>
          <w:sz w:val="24"/>
          <w:szCs w:val="24"/>
        </w:rPr>
        <w:t>personal comput</w:t>
      </w:r>
      <w:r w:rsidR="00255979" w:rsidRPr="009B5AA6">
        <w:rPr>
          <w:rFonts w:ascii="Latha" w:hAnsi="Latha" w:cs="Latha"/>
          <w:sz w:val="24"/>
          <w:szCs w:val="24"/>
        </w:rPr>
        <w:t>ers</w:t>
      </w:r>
    </w:p>
    <w:p w:rsidR="00255979" w:rsidRPr="009B5AA6" w:rsidRDefault="00255979" w:rsidP="00194A13">
      <w:pPr>
        <w:pStyle w:val="ListParagraph"/>
        <w:numPr>
          <w:ilvl w:val="0"/>
          <w:numId w:val="3"/>
        </w:numPr>
        <w:spacing w:line="240" w:lineRule="auto"/>
        <w:rPr>
          <w:rFonts w:ascii="Latha" w:hAnsi="Latha" w:cs="Latha"/>
          <w:sz w:val="24"/>
          <w:szCs w:val="24"/>
        </w:rPr>
      </w:pPr>
      <w:r w:rsidRPr="009B5AA6">
        <w:rPr>
          <w:rFonts w:ascii="Latha" w:hAnsi="Latha" w:cs="Latha"/>
          <w:sz w:val="24"/>
          <w:szCs w:val="24"/>
        </w:rPr>
        <w:t>Physiotherapists to maintain mobility and strength</w:t>
      </w:r>
    </w:p>
    <w:p w:rsidR="00255979" w:rsidRPr="009B5AA6" w:rsidRDefault="00255979" w:rsidP="00194A13">
      <w:pPr>
        <w:pStyle w:val="ListParagraph"/>
        <w:numPr>
          <w:ilvl w:val="0"/>
          <w:numId w:val="3"/>
        </w:numPr>
        <w:spacing w:line="240" w:lineRule="auto"/>
        <w:rPr>
          <w:rFonts w:ascii="Latha" w:hAnsi="Latha" w:cs="Latha"/>
          <w:sz w:val="24"/>
          <w:szCs w:val="24"/>
        </w:rPr>
      </w:pPr>
      <w:r w:rsidRPr="009B5AA6">
        <w:rPr>
          <w:rFonts w:ascii="Latha" w:hAnsi="Latha" w:cs="Latha"/>
          <w:sz w:val="24"/>
          <w:szCs w:val="24"/>
        </w:rPr>
        <w:t xml:space="preserve">Speech and language therapists to promote language and communication </w:t>
      </w:r>
    </w:p>
    <w:p w:rsidR="00255979" w:rsidRPr="009B5AA6" w:rsidRDefault="00255979" w:rsidP="00194A13">
      <w:pPr>
        <w:pStyle w:val="ListParagraph"/>
        <w:numPr>
          <w:ilvl w:val="0"/>
          <w:numId w:val="3"/>
        </w:numPr>
        <w:spacing w:line="240" w:lineRule="auto"/>
        <w:rPr>
          <w:rFonts w:ascii="Latha" w:hAnsi="Latha" w:cs="Latha"/>
          <w:sz w:val="24"/>
          <w:szCs w:val="24"/>
        </w:rPr>
      </w:pPr>
      <w:r w:rsidRPr="009B5AA6">
        <w:rPr>
          <w:rFonts w:ascii="Latha" w:hAnsi="Latha" w:cs="Latha"/>
          <w:sz w:val="24"/>
          <w:szCs w:val="24"/>
        </w:rPr>
        <w:t xml:space="preserve">Clinical psychologists to advise on adjustment to diagnosis, improving and maintaining cognitive functioning, maintaining independence </w:t>
      </w:r>
      <w:r w:rsidR="00A470C2" w:rsidRPr="009B5AA6">
        <w:rPr>
          <w:rFonts w:ascii="Latha" w:hAnsi="Latha" w:cs="Latha"/>
          <w:sz w:val="24"/>
          <w:szCs w:val="24"/>
        </w:rPr>
        <w:t>and quality of life</w:t>
      </w:r>
      <w:r w:rsidR="002C2824" w:rsidRPr="009B5AA6">
        <w:rPr>
          <w:rStyle w:val="EndnoteReference"/>
          <w:rFonts w:ascii="Latha" w:hAnsi="Latha" w:cs="Latha"/>
          <w:sz w:val="24"/>
          <w:szCs w:val="24"/>
        </w:rPr>
        <w:endnoteReference w:id="9"/>
      </w:r>
    </w:p>
    <w:p w:rsidR="00A470C2" w:rsidRPr="009B5AA6" w:rsidRDefault="00A470C2" w:rsidP="00194A13">
      <w:pPr>
        <w:pStyle w:val="ListParagraph"/>
        <w:numPr>
          <w:ilvl w:val="0"/>
          <w:numId w:val="3"/>
        </w:numPr>
        <w:spacing w:line="240" w:lineRule="auto"/>
        <w:rPr>
          <w:rFonts w:ascii="Latha" w:hAnsi="Latha" w:cs="Latha"/>
          <w:sz w:val="24"/>
          <w:szCs w:val="24"/>
        </w:rPr>
      </w:pPr>
      <w:r w:rsidRPr="009B5AA6">
        <w:rPr>
          <w:rFonts w:ascii="Latha" w:hAnsi="Latha" w:cs="Latha"/>
          <w:sz w:val="24"/>
          <w:szCs w:val="24"/>
        </w:rPr>
        <w:t xml:space="preserve">Social workers to consider family issues and provide access to community resources. </w:t>
      </w:r>
    </w:p>
    <w:p w:rsidR="00DB6924" w:rsidRDefault="00DB6924" w:rsidP="00194A13">
      <w:pPr>
        <w:spacing w:line="240" w:lineRule="auto"/>
        <w:rPr>
          <w:rFonts w:ascii="Latha" w:hAnsi="Latha" w:cs="Latha"/>
          <w:b/>
          <w:sz w:val="24"/>
          <w:szCs w:val="24"/>
        </w:rPr>
      </w:pPr>
    </w:p>
    <w:p w:rsidR="00DB6924" w:rsidRDefault="00DB6924" w:rsidP="00194A13">
      <w:pPr>
        <w:spacing w:line="240" w:lineRule="auto"/>
        <w:rPr>
          <w:rFonts w:ascii="Latha" w:hAnsi="Latha" w:cs="Latha"/>
          <w:b/>
          <w:sz w:val="24"/>
          <w:szCs w:val="24"/>
        </w:rPr>
      </w:pPr>
    </w:p>
    <w:p w:rsidR="00CC12DC" w:rsidRDefault="00CC12DC" w:rsidP="00194A13">
      <w:pPr>
        <w:spacing w:line="240" w:lineRule="auto"/>
        <w:rPr>
          <w:rFonts w:ascii="Latha" w:hAnsi="Latha" w:cs="Latha"/>
          <w:sz w:val="24"/>
          <w:szCs w:val="24"/>
        </w:rPr>
      </w:pPr>
      <w:r>
        <w:rPr>
          <w:rFonts w:ascii="Latha" w:hAnsi="Latha" w:cs="Latha"/>
          <w:sz w:val="24"/>
          <w:szCs w:val="24"/>
        </w:rPr>
        <w:br w:type="page"/>
      </w:r>
    </w:p>
    <w:p w:rsidR="00D4650B" w:rsidRPr="00D4650B" w:rsidRDefault="003818E2" w:rsidP="00194A13">
      <w:pPr>
        <w:spacing w:line="240" w:lineRule="auto"/>
        <w:rPr>
          <w:rFonts w:ascii="Latha" w:hAnsi="Latha" w:cs="Latha"/>
          <w:sz w:val="24"/>
          <w:szCs w:val="24"/>
        </w:rPr>
      </w:pPr>
      <w:r>
        <w:rPr>
          <w:rFonts w:ascii="Latha" w:hAnsi="Latha" w:cs="Latha"/>
          <w:sz w:val="24"/>
          <w:szCs w:val="24"/>
        </w:rPr>
        <w:t xml:space="preserve"> </w:t>
      </w:r>
    </w:p>
    <w:p w:rsidR="00692F9A" w:rsidRDefault="00692F9A" w:rsidP="00194A13">
      <w:pPr>
        <w:pStyle w:val="ListParagraph"/>
        <w:spacing w:line="240" w:lineRule="auto"/>
        <w:ind w:left="1080"/>
        <w:rPr>
          <w:rFonts w:ascii="Latha" w:hAnsi="Latha" w:cs="Latha"/>
          <w:sz w:val="24"/>
          <w:szCs w:val="24"/>
        </w:rPr>
      </w:pPr>
    </w:p>
    <w:p w:rsidR="00692F9A" w:rsidRDefault="00692F9A" w:rsidP="00194A13">
      <w:pPr>
        <w:pStyle w:val="ListParagraph"/>
        <w:spacing w:line="240" w:lineRule="auto"/>
        <w:ind w:left="1080"/>
        <w:rPr>
          <w:rFonts w:ascii="Latha" w:hAnsi="Latha" w:cs="Latha"/>
          <w:sz w:val="24"/>
          <w:szCs w:val="24"/>
        </w:rPr>
      </w:pPr>
    </w:p>
    <w:p w:rsidR="002315E2" w:rsidRPr="002315E2" w:rsidRDefault="002315E2" w:rsidP="00194A13">
      <w:pPr>
        <w:rPr>
          <w:rFonts w:ascii="Latha" w:hAnsi="Latha" w:cs="Latha"/>
          <w:b/>
          <w:sz w:val="24"/>
          <w:szCs w:val="24"/>
        </w:rPr>
      </w:pPr>
      <w:r w:rsidRPr="002315E2">
        <w:rPr>
          <w:rFonts w:ascii="Latha" w:hAnsi="Latha" w:cs="Latha"/>
          <w:b/>
          <w:sz w:val="24"/>
          <w:szCs w:val="24"/>
        </w:rPr>
        <w:t>ARTICLE 19: GENERAL ISSUES FROM A DEMENTIA PERS</w:t>
      </w:r>
      <w:r w:rsidR="00257637">
        <w:rPr>
          <w:rFonts w:ascii="Latha" w:hAnsi="Latha" w:cs="Latha"/>
          <w:b/>
          <w:sz w:val="24"/>
          <w:szCs w:val="24"/>
        </w:rPr>
        <w:t>P</w:t>
      </w:r>
      <w:r w:rsidRPr="002315E2">
        <w:rPr>
          <w:rFonts w:ascii="Latha" w:hAnsi="Latha" w:cs="Latha"/>
          <w:b/>
          <w:sz w:val="24"/>
          <w:szCs w:val="24"/>
        </w:rPr>
        <w:t xml:space="preserve">ECTIVE </w:t>
      </w:r>
    </w:p>
    <w:p w:rsidR="002315E2" w:rsidRDefault="002315E2" w:rsidP="00194A13">
      <w:pPr>
        <w:rPr>
          <w:rFonts w:ascii="Latha" w:hAnsi="Latha" w:cs="Latha"/>
          <w:sz w:val="24"/>
          <w:szCs w:val="24"/>
        </w:rPr>
      </w:pPr>
      <w:r>
        <w:rPr>
          <w:rFonts w:ascii="Latha" w:hAnsi="Latha" w:cs="Latha"/>
          <w:sz w:val="24"/>
          <w:szCs w:val="24"/>
        </w:rPr>
        <w:t>1 Dementia is one of several health conditions that suggest the need for greater consideration of the impact of impairments on day to day functioning (e.g. epilepsy, Parkinson’s’ Di</w:t>
      </w:r>
      <w:r w:rsidR="0007045E">
        <w:rPr>
          <w:rFonts w:ascii="Latha" w:hAnsi="Latha" w:cs="Latha"/>
          <w:sz w:val="24"/>
          <w:szCs w:val="24"/>
        </w:rPr>
        <w:t xml:space="preserve">sease, Motor Neurone Disease).  </w:t>
      </w:r>
      <w:r>
        <w:rPr>
          <w:rFonts w:ascii="Latha" w:hAnsi="Latha" w:cs="Latha"/>
          <w:sz w:val="24"/>
          <w:szCs w:val="24"/>
        </w:rPr>
        <w:t xml:space="preserve">Although dementia is a progressive disorder, the rate of deterioration over a period of years is highly variable and levels of functioning </w:t>
      </w:r>
      <w:r w:rsidR="0007045E">
        <w:rPr>
          <w:rFonts w:ascii="Latha" w:hAnsi="Latha" w:cs="Latha"/>
          <w:sz w:val="24"/>
          <w:szCs w:val="24"/>
        </w:rPr>
        <w:t xml:space="preserve">also </w:t>
      </w:r>
      <w:r>
        <w:rPr>
          <w:rFonts w:ascii="Latha" w:hAnsi="Latha" w:cs="Latha"/>
          <w:sz w:val="24"/>
          <w:szCs w:val="24"/>
        </w:rPr>
        <w:t>vary from day to day in ways that cannot be captured by routine assessments which influence decisions on legal capacity. There i</w:t>
      </w:r>
      <w:r w:rsidR="0007045E">
        <w:rPr>
          <w:rFonts w:ascii="Latha" w:hAnsi="Latha" w:cs="Latha"/>
          <w:sz w:val="24"/>
          <w:szCs w:val="24"/>
        </w:rPr>
        <w:t xml:space="preserve">s often a mismatch between performance on tests and everyday life. </w:t>
      </w:r>
    </w:p>
    <w:p w:rsidR="00397FBB" w:rsidRDefault="002315E2" w:rsidP="00194A13">
      <w:pPr>
        <w:rPr>
          <w:rFonts w:ascii="Latha" w:hAnsi="Latha" w:cs="Latha"/>
          <w:sz w:val="24"/>
          <w:szCs w:val="24"/>
        </w:rPr>
      </w:pPr>
      <w:r>
        <w:rPr>
          <w:rFonts w:ascii="Latha" w:hAnsi="Latha" w:cs="Latha"/>
          <w:sz w:val="24"/>
          <w:szCs w:val="24"/>
        </w:rPr>
        <w:t xml:space="preserve">2 </w:t>
      </w:r>
      <w:r w:rsidR="0007045E">
        <w:rPr>
          <w:rFonts w:ascii="Latha" w:hAnsi="Latha" w:cs="Latha"/>
          <w:sz w:val="24"/>
          <w:szCs w:val="24"/>
        </w:rPr>
        <w:t xml:space="preserve">Other commentators have pointed out that Living Independently does not mean Living Alone. </w:t>
      </w:r>
      <w:r>
        <w:rPr>
          <w:rFonts w:ascii="Latha" w:hAnsi="Latha" w:cs="Latha"/>
          <w:sz w:val="24"/>
          <w:szCs w:val="24"/>
        </w:rPr>
        <w:t xml:space="preserve">Article 19 is one of several where the focus is on the individual without sufficient regard to those with whom they share their lives - in particular the person who will lose their identity as a life partner and be automatically designated as ‘the carer’ at the time of diagnosis. </w:t>
      </w:r>
      <w:r w:rsidR="00397FBB">
        <w:rPr>
          <w:rFonts w:ascii="Latha" w:hAnsi="Latha" w:cs="Latha"/>
          <w:sz w:val="24"/>
          <w:szCs w:val="24"/>
        </w:rPr>
        <w:t xml:space="preserve">Service planners, providers and supporters need to have regard to the dynamics of the ‘care couple and to the distinctive needs of each. </w:t>
      </w:r>
    </w:p>
    <w:p w:rsidR="002315E2" w:rsidRDefault="002315E2" w:rsidP="00194A13">
      <w:pPr>
        <w:rPr>
          <w:rFonts w:ascii="Latha" w:hAnsi="Latha" w:cs="Latha"/>
          <w:sz w:val="24"/>
          <w:szCs w:val="24"/>
        </w:rPr>
      </w:pPr>
      <w:r>
        <w:rPr>
          <w:rFonts w:ascii="Latha" w:hAnsi="Latha" w:cs="Latha"/>
          <w:sz w:val="24"/>
          <w:szCs w:val="24"/>
        </w:rPr>
        <w:t>3 Early versions of the social model of disability conceptualise the environment in terms of obstacles that need to be overcome (e.g “parents are our enemies</w:t>
      </w:r>
      <w:r w:rsidR="0007045E">
        <w:rPr>
          <w:rFonts w:ascii="Latha" w:hAnsi="Latha" w:cs="Latha"/>
          <w:sz w:val="24"/>
          <w:szCs w:val="24"/>
        </w:rPr>
        <w:t>”</w:t>
      </w:r>
      <w:r>
        <w:rPr>
          <w:rFonts w:ascii="Latha" w:hAnsi="Latha" w:cs="Latha"/>
          <w:sz w:val="24"/>
          <w:szCs w:val="24"/>
        </w:rPr>
        <w:t xml:space="preserve">) rather than the opportunities it can or could provide to support the person to live independently and be included in the community.  </w:t>
      </w:r>
    </w:p>
    <w:p w:rsidR="0007045E" w:rsidRDefault="0007045E" w:rsidP="00194A13">
      <w:pPr>
        <w:rPr>
          <w:rFonts w:ascii="Latha" w:hAnsi="Latha" w:cs="Latha"/>
          <w:sz w:val="24"/>
          <w:szCs w:val="24"/>
        </w:rPr>
      </w:pPr>
    </w:p>
    <w:p w:rsidR="002315E2" w:rsidRDefault="002315E2" w:rsidP="00194A13">
      <w:pPr>
        <w:rPr>
          <w:rFonts w:ascii="Latha" w:hAnsi="Latha" w:cs="Latha"/>
          <w:sz w:val="24"/>
          <w:szCs w:val="24"/>
        </w:rPr>
      </w:pPr>
      <w:r>
        <w:rPr>
          <w:rFonts w:ascii="Latha" w:hAnsi="Latha" w:cs="Latha"/>
          <w:sz w:val="24"/>
          <w:szCs w:val="24"/>
        </w:rPr>
        <w:t xml:space="preserve">Peter Mittler </w:t>
      </w:r>
    </w:p>
    <w:p w:rsidR="002315E2" w:rsidRDefault="002315E2" w:rsidP="00194A13">
      <w:pPr>
        <w:rPr>
          <w:rFonts w:ascii="Latha" w:hAnsi="Latha" w:cs="Latha"/>
          <w:sz w:val="24"/>
          <w:szCs w:val="24"/>
        </w:rPr>
      </w:pPr>
    </w:p>
    <w:p w:rsidR="00A470C2" w:rsidRPr="00A470C2" w:rsidRDefault="00A470C2" w:rsidP="00194A13">
      <w:pPr>
        <w:spacing w:line="240" w:lineRule="auto"/>
        <w:ind w:left="720"/>
        <w:rPr>
          <w:rFonts w:ascii="Latha" w:hAnsi="Latha" w:cs="Latha"/>
          <w:sz w:val="24"/>
          <w:szCs w:val="24"/>
        </w:rPr>
      </w:pPr>
    </w:p>
    <w:p w:rsidR="006E1A1B" w:rsidRPr="006E1A1B" w:rsidRDefault="006E1A1B" w:rsidP="00194A13">
      <w:pPr>
        <w:spacing w:line="240" w:lineRule="auto"/>
        <w:rPr>
          <w:rFonts w:ascii="Latha" w:hAnsi="Latha" w:cs="Latha"/>
          <w:sz w:val="24"/>
          <w:szCs w:val="24"/>
        </w:rPr>
      </w:pPr>
    </w:p>
    <w:p w:rsidR="00E76D96" w:rsidRPr="005A4307" w:rsidRDefault="00E76D96" w:rsidP="00194A13">
      <w:pPr>
        <w:spacing w:line="240" w:lineRule="auto"/>
        <w:rPr>
          <w:rFonts w:ascii="Latha" w:hAnsi="Latha" w:cs="Latha"/>
          <w:sz w:val="24"/>
          <w:szCs w:val="24"/>
        </w:rPr>
      </w:pPr>
    </w:p>
    <w:p w:rsidR="00162BB5" w:rsidRPr="00162BB5" w:rsidRDefault="00162BB5" w:rsidP="00194A13">
      <w:pPr>
        <w:spacing w:line="240" w:lineRule="auto"/>
        <w:rPr>
          <w:rFonts w:ascii="Latha" w:hAnsi="Latha" w:cs="Latha"/>
          <w:sz w:val="24"/>
          <w:szCs w:val="24"/>
        </w:rPr>
      </w:pPr>
    </w:p>
    <w:p w:rsidR="003748F9" w:rsidRDefault="003748F9" w:rsidP="00194A13">
      <w:pPr>
        <w:spacing w:line="240" w:lineRule="auto"/>
        <w:rPr>
          <w:rFonts w:ascii="Latha" w:hAnsi="Latha" w:cs="Latha"/>
          <w:sz w:val="24"/>
          <w:szCs w:val="24"/>
        </w:rPr>
      </w:pPr>
    </w:p>
    <w:sectPr w:rsidR="003748F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4F4" w:rsidRDefault="00C914F4" w:rsidP="003748F9">
      <w:pPr>
        <w:spacing w:after="0" w:line="240" w:lineRule="auto"/>
      </w:pPr>
      <w:r>
        <w:separator/>
      </w:r>
    </w:p>
  </w:endnote>
  <w:endnote w:type="continuationSeparator" w:id="0">
    <w:p w:rsidR="00C914F4" w:rsidRDefault="00C914F4" w:rsidP="003748F9">
      <w:pPr>
        <w:spacing w:after="0" w:line="240" w:lineRule="auto"/>
      </w:pPr>
      <w:r>
        <w:continuationSeparator/>
      </w:r>
    </w:p>
  </w:endnote>
  <w:endnote w:id="1">
    <w:p w:rsidR="00C00FD8" w:rsidRDefault="00C00FD8" w:rsidP="007F467E">
      <w:pPr>
        <w:pStyle w:val="EndnoteText"/>
      </w:pPr>
      <w:r>
        <w:rPr>
          <w:rStyle w:val="EndnoteReference"/>
        </w:rPr>
        <w:endnoteRef/>
      </w:r>
      <w:r>
        <w:t xml:space="preserve"> </w:t>
      </w:r>
      <w:hyperlink r:id="rId1" w:history="1">
        <w:r w:rsidRPr="00DD3969">
          <w:rPr>
            <w:rStyle w:val="Hyperlink"/>
          </w:rPr>
          <w:t>http://www.alz.co.uk</w:t>
        </w:r>
      </w:hyperlink>
      <w:r>
        <w:t xml:space="preserve"> </w:t>
      </w:r>
    </w:p>
  </w:endnote>
  <w:endnote w:id="2">
    <w:p w:rsidR="00C00FD8" w:rsidRDefault="00C00FD8">
      <w:pPr>
        <w:pStyle w:val="EndnoteText"/>
      </w:pPr>
      <w:r>
        <w:rPr>
          <w:rStyle w:val="EndnoteReference"/>
        </w:rPr>
        <w:endnoteRef/>
      </w:r>
      <w:r>
        <w:t xml:space="preserve"> </w:t>
      </w:r>
      <w:hyperlink r:id="rId2" w:history="1">
        <w:r w:rsidRPr="00DD3969">
          <w:rPr>
            <w:rStyle w:val="Hyperlink"/>
          </w:rPr>
          <w:t>http://www.infodai.org</w:t>
        </w:r>
      </w:hyperlink>
    </w:p>
    <w:p w:rsidR="00C00FD8" w:rsidRDefault="00C00FD8">
      <w:pPr>
        <w:pStyle w:val="EndnoteText"/>
      </w:pPr>
    </w:p>
  </w:endnote>
  <w:endnote w:id="3">
    <w:p w:rsidR="00C00FD8" w:rsidRDefault="00C00FD8">
      <w:pPr>
        <w:pStyle w:val="EndnoteText"/>
      </w:pPr>
      <w:r>
        <w:rPr>
          <w:rStyle w:val="EndnoteReference"/>
        </w:rPr>
        <w:endnoteRef/>
      </w:r>
      <w:r>
        <w:t xml:space="preserve"> </w:t>
      </w:r>
      <w:hyperlink r:id="rId3" w:anchor="page1" w:history="1">
        <w:r w:rsidRPr="00DD3969">
          <w:rPr>
            <w:rStyle w:val="Hyperlink"/>
          </w:rPr>
          <w:t>http://www.keepeek.com/Digital-Asset-Management/oecd/social-issues-migration-health/addressing-dementia_9789264231726-en#page1</w:t>
        </w:r>
      </w:hyperlink>
      <w:r>
        <w:t xml:space="preserve">  </w:t>
      </w:r>
    </w:p>
  </w:endnote>
  <w:endnote w:id="4">
    <w:p w:rsidR="00C00FD8" w:rsidRPr="00FD6912" w:rsidRDefault="00C00FD8">
      <w:pPr>
        <w:pStyle w:val="EndnoteText"/>
      </w:pPr>
      <w:r>
        <w:rPr>
          <w:rStyle w:val="EndnoteReference"/>
        </w:rPr>
        <w:endnoteRef/>
      </w:r>
      <w:r>
        <w:t xml:space="preserve"> WHO (2004) </w:t>
      </w:r>
      <w:r>
        <w:rPr>
          <w:i/>
        </w:rPr>
        <w:t>Global Burden of Disease</w:t>
      </w:r>
      <w:r>
        <w:t xml:space="preserve">. </w:t>
      </w:r>
      <w:hyperlink r:id="rId4" w:history="1">
        <w:r w:rsidRPr="00DD3969">
          <w:rPr>
            <w:rStyle w:val="Hyperlink"/>
          </w:rPr>
          <w:t>http://www.who.int/healthinfo/global_burden_disease/GBD_report_2004update_full.pdf?ua=1</w:t>
        </w:r>
      </w:hyperlink>
      <w:r>
        <w:t xml:space="preserve">  </w:t>
      </w:r>
    </w:p>
  </w:endnote>
  <w:endnote w:id="5">
    <w:p w:rsidR="00C00FD8" w:rsidRDefault="00C00FD8">
      <w:pPr>
        <w:pStyle w:val="EndnoteText"/>
      </w:pPr>
      <w:r>
        <w:rPr>
          <w:rStyle w:val="EndnoteReference"/>
        </w:rPr>
        <w:endnoteRef/>
      </w:r>
      <w:r>
        <w:t xml:space="preserve"> Alzheimer’s Society (2016) </w:t>
      </w:r>
      <w:r>
        <w:rPr>
          <w:i/>
        </w:rPr>
        <w:t xml:space="preserve">Fix Dementia Care Hospitals. </w:t>
      </w:r>
      <w:hyperlink r:id="rId5" w:history="1">
        <w:r w:rsidRPr="00DD3969">
          <w:rPr>
            <w:rStyle w:val="Hyperlink"/>
          </w:rPr>
          <w:t>www.alzheimers.org.uk/fixdementiacare</w:t>
        </w:r>
      </w:hyperlink>
      <w:r>
        <w:t xml:space="preserve">  </w:t>
      </w:r>
    </w:p>
    <w:p w:rsidR="00C00FD8" w:rsidRDefault="00C00FD8">
      <w:pPr>
        <w:pStyle w:val="EndnoteText"/>
      </w:pPr>
      <w:r>
        <w:t xml:space="preserve">  </w:t>
      </w:r>
    </w:p>
  </w:endnote>
  <w:endnote w:id="6">
    <w:p w:rsidR="00C00FD8" w:rsidRDefault="00C00FD8">
      <w:pPr>
        <w:pStyle w:val="EndnoteText"/>
      </w:pPr>
      <w:r>
        <w:rPr>
          <w:rStyle w:val="EndnoteReference"/>
        </w:rPr>
        <w:endnoteRef/>
      </w:r>
      <w:r>
        <w:t xml:space="preserve"> Whitman, L. ed.) (2009) </w:t>
      </w:r>
      <w:r>
        <w:rPr>
          <w:i/>
        </w:rPr>
        <w:t>Telling Tales About Dementia: Experience of Caring</w:t>
      </w:r>
      <w:r>
        <w:t xml:space="preserve">. London: JKP; Magnusson, S. (2014) </w:t>
      </w:r>
      <w:r>
        <w:rPr>
          <w:i/>
        </w:rPr>
        <w:t xml:space="preserve">Where Memories Go. </w:t>
      </w:r>
      <w:hyperlink r:id="rId6" w:history="1">
        <w:r w:rsidRPr="00DD3969">
          <w:rPr>
            <w:rStyle w:val="Hyperlink"/>
          </w:rPr>
          <w:t>www.tworoadsbooks.com</w:t>
        </w:r>
      </w:hyperlink>
      <w:r>
        <w:t xml:space="preserve">  </w:t>
      </w:r>
    </w:p>
  </w:endnote>
  <w:endnote w:id="7">
    <w:p w:rsidR="00C00FD8" w:rsidRDefault="00C00FD8">
      <w:pPr>
        <w:pStyle w:val="EndnoteText"/>
      </w:pPr>
      <w:r>
        <w:rPr>
          <w:rStyle w:val="EndnoteReference"/>
        </w:rPr>
        <w:endnoteRef/>
      </w:r>
      <w:r>
        <w:t xml:space="preserve"> Swaffer, K. (2016) </w:t>
      </w:r>
      <w:r w:rsidRPr="005C780A">
        <w:rPr>
          <w:i/>
        </w:rPr>
        <w:t>op.cit</w:t>
      </w:r>
      <w:r>
        <w:t xml:space="preserve"> pp.165-166. </w:t>
      </w:r>
    </w:p>
  </w:endnote>
  <w:endnote w:id="8">
    <w:p w:rsidR="00C00FD8" w:rsidRDefault="00C00FD8">
      <w:pPr>
        <w:pStyle w:val="EndnoteText"/>
      </w:pPr>
      <w:r>
        <w:rPr>
          <w:rStyle w:val="EndnoteReference"/>
        </w:rPr>
        <w:endnoteRef/>
      </w:r>
      <w:r>
        <w:t xml:space="preserve"> </w:t>
      </w:r>
      <w:hyperlink r:id="rId7" w:history="1">
        <w:r w:rsidRPr="00DD3969">
          <w:rPr>
            <w:rStyle w:val="Hyperlink"/>
          </w:rPr>
          <w:t>https://www.health.qld.gov.au/cairns_hinterland/docs/gp-dementia-enablement-guide.pdf</w:t>
        </w:r>
      </w:hyperlink>
      <w:r>
        <w:t xml:space="preserve">  </w:t>
      </w:r>
    </w:p>
  </w:endnote>
  <w:endnote w:id="9">
    <w:p w:rsidR="00C00FD8" w:rsidRPr="006739A3" w:rsidRDefault="00C00FD8">
      <w:pPr>
        <w:pStyle w:val="EndnoteText"/>
      </w:pPr>
      <w:r>
        <w:rPr>
          <w:rStyle w:val="EndnoteReference"/>
        </w:rPr>
        <w:endnoteRef/>
      </w:r>
      <w:r>
        <w:t xml:space="preserve"> British Psychological Society (2014) </w:t>
      </w:r>
      <w:r>
        <w:rPr>
          <w:i/>
        </w:rPr>
        <w:t xml:space="preserve">A Guide to Psychosocial Interventions in Early Stages of Dementia; Clinical Psychology in the Early Stages of the Dementia Pathway. </w:t>
      </w:r>
      <w:hyperlink r:id="rId8" w:history="1">
        <w:r w:rsidRPr="00DD3969">
          <w:rPr>
            <w:rStyle w:val="Hyperlink"/>
          </w:rPr>
          <w:t>www.bps.org.uk/fpop</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230904"/>
      <w:docPartObj>
        <w:docPartGallery w:val="Page Numbers (Bottom of Page)"/>
        <w:docPartUnique/>
      </w:docPartObj>
    </w:sdtPr>
    <w:sdtEndPr>
      <w:rPr>
        <w:noProof/>
      </w:rPr>
    </w:sdtEndPr>
    <w:sdtContent>
      <w:p w:rsidR="00C00FD8" w:rsidRDefault="00C00FD8">
        <w:pPr>
          <w:pStyle w:val="Footer"/>
          <w:jc w:val="center"/>
        </w:pPr>
        <w:r>
          <w:fldChar w:fldCharType="begin"/>
        </w:r>
        <w:r>
          <w:instrText xml:space="preserve"> PAGE   \* MERGEFORMAT </w:instrText>
        </w:r>
        <w:r>
          <w:fldChar w:fldCharType="separate"/>
        </w:r>
        <w:r w:rsidR="00D33B98">
          <w:rPr>
            <w:noProof/>
          </w:rPr>
          <w:t>1</w:t>
        </w:r>
        <w:r>
          <w:rPr>
            <w:noProof/>
          </w:rPr>
          <w:fldChar w:fldCharType="end"/>
        </w:r>
      </w:p>
    </w:sdtContent>
  </w:sdt>
  <w:p w:rsidR="00C00FD8" w:rsidRDefault="00C00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4F4" w:rsidRDefault="00C914F4" w:rsidP="003748F9">
      <w:pPr>
        <w:spacing w:after="0" w:line="240" w:lineRule="auto"/>
      </w:pPr>
      <w:r>
        <w:separator/>
      </w:r>
    </w:p>
  </w:footnote>
  <w:footnote w:type="continuationSeparator" w:id="0">
    <w:p w:rsidR="00C914F4" w:rsidRDefault="00C914F4" w:rsidP="003748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2B5"/>
    <w:multiLevelType w:val="hybridMultilevel"/>
    <w:tmpl w:val="EDE8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2804FD"/>
    <w:multiLevelType w:val="hybridMultilevel"/>
    <w:tmpl w:val="199AAC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71B75606"/>
    <w:multiLevelType w:val="hybridMultilevel"/>
    <w:tmpl w:val="B508617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8C"/>
    <w:rsid w:val="00037DD0"/>
    <w:rsid w:val="00051533"/>
    <w:rsid w:val="000651DA"/>
    <w:rsid w:val="0007045E"/>
    <w:rsid w:val="00074CC7"/>
    <w:rsid w:val="00080194"/>
    <w:rsid w:val="000D77BD"/>
    <w:rsid w:val="000F370A"/>
    <w:rsid w:val="0010090B"/>
    <w:rsid w:val="00106BCE"/>
    <w:rsid w:val="00121C12"/>
    <w:rsid w:val="00150BA7"/>
    <w:rsid w:val="00162BB5"/>
    <w:rsid w:val="001928FA"/>
    <w:rsid w:val="00194A13"/>
    <w:rsid w:val="001A5E65"/>
    <w:rsid w:val="002315E2"/>
    <w:rsid w:val="002368AA"/>
    <w:rsid w:val="00255979"/>
    <w:rsid w:val="00257637"/>
    <w:rsid w:val="00285C86"/>
    <w:rsid w:val="00296D69"/>
    <w:rsid w:val="002A6CBE"/>
    <w:rsid w:val="002C2824"/>
    <w:rsid w:val="002E6A54"/>
    <w:rsid w:val="00315011"/>
    <w:rsid w:val="00332402"/>
    <w:rsid w:val="00363AEE"/>
    <w:rsid w:val="0036446C"/>
    <w:rsid w:val="00370635"/>
    <w:rsid w:val="003748F9"/>
    <w:rsid w:val="003818E2"/>
    <w:rsid w:val="0038468C"/>
    <w:rsid w:val="00397FBB"/>
    <w:rsid w:val="003C5304"/>
    <w:rsid w:val="003D0C9B"/>
    <w:rsid w:val="00464613"/>
    <w:rsid w:val="004832F0"/>
    <w:rsid w:val="00491D8B"/>
    <w:rsid w:val="00495BC4"/>
    <w:rsid w:val="00517720"/>
    <w:rsid w:val="0052625F"/>
    <w:rsid w:val="005658D7"/>
    <w:rsid w:val="00566E86"/>
    <w:rsid w:val="005717D0"/>
    <w:rsid w:val="00580D60"/>
    <w:rsid w:val="005A4307"/>
    <w:rsid w:val="005C6B2E"/>
    <w:rsid w:val="005C780A"/>
    <w:rsid w:val="005D144C"/>
    <w:rsid w:val="005E6AB5"/>
    <w:rsid w:val="005F7D9D"/>
    <w:rsid w:val="005F7DCA"/>
    <w:rsid w:val="00654831"/>
    <w:rsid w:val="006739A3"/>
    <w:rsid w:val="00675A5F"/>
    <w:rsid w:val="0068488A"/>
    <w:rsid w:val="00684AE1"/>
    <w:rsid w:val="00692F9A"/>
    <w:rsid w:val="00693A56"/>
    <w:rsid w:val="006B78A5"/>
    <w:rsid w:val="006C3A15"/>
    <w:rsid w:val="006E1A1B"/>
    <w:rsid w:val="006F6025"/>
    <w:rsid w:val="0073613D"/>
    <w:rsid w:val="007408AC"/>
    <w:rsid w:val="0075255C"/>
    <w:rsid w:val="007B44EB"/>
    <w:rsid w:val="007C71F5"/>
    <w:rsid w:val="007F467E"/>
    <w:rsid w:val="00847458"/>
    <w:rsid w:val="00855FC3"/>
    <w:rsid w:val="008854B1"/>
    <w:rsid w:val="008B10CC"/>
    <w:rsid w:val="008C398F"/>
    <w:rsid w:val="008D4D8F"/>
    <w:rsid w:val="008D573D"/>
    <w:rsid w:val="00905C5A"/>
    <w:rsid w:val="0093790D"/>
    <w:rsid w:val="00993F4F"/>
    <w:rsid w:val="009B5AA6"/>
    <w:rsid w:val="009C1064"/>
    <w:rsid w:val="009C701E"/>
    <w:rsid w:val="009E7583"/>
    <w:rsid w:val="00A46295"/>
    <w:rsid w:val="00A470C2"/>
    <w:rsid w:val="00A551C5"/>
    <w:rsid w:val="00A7396E"/>
    <w:rsid w:val="00A8066C"/>
    <w:rsid w:val="00A965F5"/>
    <w:rsid w:val="00AC1C30"/>
    <w:rsid w:val="00AD2168"/>
    <w:rsid w:val="00AE494F"/>
    <w:rsid w:val="00AF3D05"/>
    <w:rsid w:val="00AF5973"/>
    <w:rsid w:val="00B11BA9"/>
    <w:rsid w:val="00B616C7"/>
    <w:rsid w:val="00B84847"/>
    <w:rsid w:val="00BB25C4"/>
    <w:rsid w:val="00BC1BF1"/>
    <w:rsid w:val="00BF12FA"/>
    <w:rsid w:val="00C00FD8"/>
    <w:rsid w:val="00C03743"/>
    <w:rsid w:val="00C57CA9"/>
    <w:rsid w:val="00C914F4"/>
    <w:rsid w:val="00CB32BD"/>
    <w:rsid w:val="00CC12DC"/>
    <w:rsid w:val="00CD350A"/>
    <w:rsid w:val="00CD4967"/>
    <w:rsid w:val="00D1272B"/>
    <w:rsid w:val="00D33010"/>
    <w:rsid w:val="00D33B98"/>
    <w:rsid w:val="00D35770"/>
    <w:rsid w:val="00D35FB9"/>
    <w:rsid w:val="00D4650B"/>
    <w:rsid w:val="00D55140"/>
    <w:rsid w:val="00D564C3"/>
    <w:rsid w:val="00DB6924"/>
    <w:rsid w:val="00DB7CA9"/>
    <w:rsid w:val="00DC1EFF"/>
    <w:rsid w:val="00DD670D"/>
    <w:rsid w:val="00DD7CA6"/>
    <w:rsid w:val="00DE236C"/>
    <w:rsid w:val="00E76D96"/>
    <w:rsid w:val="00E77EF4"/>
    <w:rsid w:val="00E97F8C"/>
    <w:rsid w:val="00EC1440"/>
    <w:rsid w:val="00EC318B"/>
    <w:rsid w:val="00EC3C7B"/>
    <w:rsid w:val="00EC472C"/>
    <w:rsid w:val="00F159A2"/>
    <w:rsid w:val="00F77E2E"/>
    <w:rsid w:val="00FA6A58"/>
    <w:rsid w:val="00FB1849"/>
    <w:rsid w:val="00FB54DE"/>
    <w:rsid w:val="00FC5A3B"/>
    <w:rsid w:val="00FD4A25"/>
    <w:rsid w:val="00FD6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8F9"/>
  </w:style>
  <w:style w:type="paragraph" w:styleId="Footer">
    <w:name w:val="footer"/>
    <w:basedOn w:val="Normal"/>
    <w:link w:val="FooterChar"/>
    <w:uiPriority w:val="99"/>
    <w:unhideWhenUsed/>
    <w:rsid w:val="00374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8F9"/>
  </w:style>
  <w:style w:type="paragraph" w:styleId="ListParagraph">
    <w:name w:val="List Paragraph"/>
    <w:basedOn w:val="Normal"/>
    <w:uiPriority w:val="34"/>
    <w:qFormat/>
    <w:rsid w:val="003748F9"/>
    <w:pPr>
      <w:ind w:left="720"/>
      <w:contextualSpacing/>
    </w:pPr>
  </w:style>
  <w:style w:type="paragraph" w:styleId="BalloonText">
    <w:name w:val="Balloon Text"/>
    <w:basedOn w:val="Normal"/>
    <w:link w:val="BalloonTextChar"/>
    <w:uiPriority w:val="99"/>
    <w:semiHidden/>
    <w:unhideWhenUsed/>
    <w:rsid w:val="00BB25C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25C4"/>
    <w:rPr>
      <w:rFonts w:ascii="Segoe UI" w:hAnsi="Segoe UI" w:cs="Segoe UI"/>
      <w:sz w:val="18"/>
      <w:szCs w:val="18"/>
    </w:rPr>
  </w:style>
  <w:style w:type="paragraph" w:styleId="EndnoteText">
    <w:name w:val="endnote text"/>
    <w:basedOn w:val="Normal"/>
    <w:link w:val="EndnoteTextChar"/>
    <w:uiPriority w:val="99"/>
    <w:semiHidden/>
    <w:unhideWhenUsed/>
    <w:rsid w:val="00517720"/>
    <w:pPr>
      <w:spacing w:after="0" w:line="240" w:lineRule="auto"/>
    </w:pPr>
    <w:rPr>
      <w:sz w:val="20"/>
      <w:szCs w:val="20"/>
    </w:rPr>
  </w:style>
  <w:style w:type="character" w:customStyle="1" w:styleId="EndnoteTextChar">
    <w:name w:val="Endnote Text Char"/>
    <w:link w:val="EndnoteText"/>
    <w:uiPriority w:val="99"/>
    <w:semiHidden/>
    <w:rsid w:val="00517720"/>
    <w:rPr>
      <w:sz w:val="20"/>
      <w:szCs w:val="20"/>
    </w:rPr>
  </w:style>
  <w:style w:type="character" w:styleId="EndnoteReference">
    <w:name w:val="endnote reference"/>
    <w:uiPriority w:val="99"/>
    <w:semiHidden/>
    <w:unhideWhenUsed/>
    <w:rsid w:val="00517720"/>
    <w:rPr>
      <w:vertAlign w:val="superscript"/>
    </w:rPr>
  </w:style>
  <w:style w:type="character" w:styleId="Hyperlink">
    <w:name w:val="Hyperlink"/>
    <w:uiPriority w:val="99"/>
    <w:unhideWhenUsed/>
    <w:rsid w:val="00517720"/>
    <w:rPr>
      <w:color w:val="0563C1"/>
      <w:u w:val="single"/>
    </w:rPr>
  </w:style>
  <w:style w:type="character" w:styleId="FollowedHyperlink">
    <w:name w:val="FollowedHyperlink"/>
    <w:uiPriority w:val="99"/>
    <w:semiHidden/>
    <w:unhideWhenUsed/>
    <w:rsid w:val="000D77BD"/>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8F9"/>
  </w:style>
  <w:style w:type="paragraph" w:styleId="Footer">
    <w:name w:val="footer"/>
    <w:basedOn w:val="Normal"/>
    <w:link w:val="FooterChar"/>
    <w:uiPriority w:val="99"/>
    <w:unhideWhenUsed/>
    <w:rsid w:val="00374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8F9"/>
  </w:style>
  <w:style w:type="paragraph" w:styleId="ListParagraph">
    <w:name w:val="List Paragraph"/>
    <w:basedOn w:val="Normal"/>
    <w:uiPriority w:val="34"/>
    <w:qFormat/>
    <w:rsid w:val="003748F9"/>
    <w:pPr>
      <w:ind w:left="720"/>
      <w:contextualSpacing/>
    </w:pPr>
  </w:style>
  <w:style w:type="paragraph" w:styleId="BalloonText">
    <w:name w:val="Balloon Text"/>
    <w:basedOn w:val="Normal"/>
    <w:link w:val="BalloonTextChar"/>
    <w:uiPriority w:val="99"/>
    <w:semiHidden/>
    <w:unhideWhenUsed/>
    <w:rsid w:val="00BB25C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B25C4"/>
    <w:rPr>
      <w:rFonts w:ascii="Segoe UI" w:hAnsi="Segoe UI" w:cs="Segoe UI"/>
      <w:sz w:val="18"/>
      <w:szCs w:val="18"/>
    </w:rPr>
  </w:style>
  <w:style w:type="paragraph" w:styleId="EndnoteText">
    <w:name w:val="endnote text"/>
    <w:basedOn w:val="Normal"/>
    <w:link w:val="EndnoteTextChar"/>
    <w:uiPriority w:val="99"/>
    <w:semiHidden/>
    <w:unhideWhenUsed/>
    <w:rsid w:val="00517720"/>
    <w:pPr>
      <w:spacing w:after="0" w:line="240" w:lineRule="auto"/>
    </w:pPr>
    <w:rPr>
      <w:sz w:val="20"/>
      <w:szCs w:val="20"/>
    </w:rPr>
  </w:style>
  <w:style w:type="character" w:customStyle="1" w:styleId="EndnoteTextChar">
    <w:name w:val="Endnote Text Char"/>
    <w:link w:val="EndnoteText"/>
    <w:uiPriority w:val="99"/>
    <w:semiHidden/>
    <w:rsid w:val="00517720"/>
    <w:rPr>
      <w:sz w:val="20"/>
      <w:szCs w:val="20"/>
    </w:rPr>
  </w:style>
  <w:style w:type="character" w:styleId="EndnoteReference">
    <w:name w:val="endnote reference"/>
    <w:uiPriority w:val="99"/>
    <w:semiHidden/>
    <w:unhideWhenUsed/>
    <w:rsid w:val="00517720"/>
    <w:rPr>
      <w:vertAlign w:val="superscript"/>
    </w:rPr>
  </w:style>
  <w:style w:type="character" w:styleId="Hyperlink">
    <w:name w:val="Hyperlink"/>
    <w:uiPriority w:val="99"/>
    <w:unhideWhenUsed/>
    <w:rsid w:val="00517720"/>
    <w:rPr>
      <w:color w:val="0563C1"/>
      <w:u w:val="single"/>
    </w:rPr>
  </w:style>
  <w:style w:type="character" w:styleId="FollowedHyperlink">
    <w:name w:val="FollowedHyperlink"/>
    <w:uiPriority w:val="99"/>
    <w:semiHidden/>
    <w:unhideWhenUsed/>
    <w:rsid w:val="000D77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bps.org.uk/fpop" TargetMode="External"/><Relationship Id="rId3" Type="http://schemas.openxmlformats.org/officeDocument/2006/relationships/hyperlink" Target="http://www.keepeek.com/Digital-Asset-Management/oecd/social-issues-migration-health/addressing-dementia_9789264231726-en" TargetMode="External"/><Relationship Id="rId7" Type="http://schemas.openxmlformats.org/officeDocument/2006/relationships/hyperlink" Target="https://www.health.qld.gov.au/cairns_hinterland/docs/gp-dementia-enablement-guide.pdf" TargetMode="External"/><Relationship Id="rId2" Type="http://schemas.openxmlformats.org/officeDocument/2006/relationships/hyperlink" Target="http://www.infodai.org" TargetMode="External"/><Relationship Id="rId1" Type="http://schemas.openxmlformats.org/officeDocument/2006/relationships/hyperlink" Target="http://www.alz.co.uk" TargetMode="External"/><Relationship Id="rId6" Type="http://schemas.openxmlformats.org/officeDocument/2006/relationships/hyperlink" Target="http://www.tworoadsbooks.com" TargetMode="External"/><Relationship Id="rId5" Type="http://schemas.openxmlformats.org/officeDocument/2006/relationships/hyperlink" Target="http://www.alzheimers.org.uk/fixdementiacare" TargetMode="External"/><Relationship Id="rId4" Type="http://schemas.openxmlformats.org/officeDocument/2006/relationships/hyperlink" Target="http://www.who.int/healthinfo/global_burden_disease/GBD_report_2004update_full.pdf?u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14A218D-5EF4-4E53-8618-7834B29E3EEA}"/>
</file>

<file path=customXml/itemProps2.xml><?xml version="1.0" encoding="utf-8"?>
<ds:datastoreItem xmlns:ds="http://schemas.openxmlformats.org/officeDocument/2006/customXml" ds:itemID="{E0F1D050-F003-4CCF-9C24-011363EEE915}"/>
</file>

<file path=customXml/itemProps3.xml><?xml version="1.0" encoding="utf-8"?>
<ds:datastoreItem xmlns:ds="http://schemas.openxmlformats.org/officeDocument/2006/customXml" ds:itemID="{0AE73309-9A48-4D94-A6B4-72CE12BFCCEB}"/>
</file>

<file path=customXml/itemProps4.xml><?xml version="1.0" encoding="utf-8"?>
<ds:datastoreItem xmlns:ds="http://schemas.openxmlformats.org/officeDocument/2006/customXml" ds:itemID="{A26EFEB5-8289-46AB-A323-EEFB91E2FDF3}"/>
</file>

<file path=customXml/itemProps5.xml><?xml version="1.0" encoding="utf-8"?>
<ds:datastoreItem xmlns:ds="http://schemas.openxmlformats.org/officeDocument/2006/customXml" ds:itemID="{82740673-1CEB-40F9-9954-620FF5D1D3AB}"/>
</file>

<file path=docProps/app.xml><?xml version="1.0" encoding="utf-8"?>
<Properties xmlns="http://schemas.openxmlformats.org/officeDocument/2006/extended-properties" xmlns:vt="http://schemas.openxmlformats.org/officeDocument/2006/docPropsVTypes">
  <Template>Normal.dotm</Template>
  <TotalTime>0</TotalTime>
  <Pages>7</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DAI.doc</vt:lpstr>
    </vt:vector>
  </TitlesOfParts>
  <Company>OHCHR</Company>
  <LinksUpToDate>false</LinksUpToDate>
  <CharactersWithSpaces>10060</CharactersWithSpaces>
  <SharedDoc>false</SharedDoc>
  <HLinks>
    <vt:vector size="78" baseType="variant">
      <vt:variant>
        <vt:i4>2162739</vt:i4>
      </vt:variant>
      <vt:variant>
        <vt:i4>36</vt:i4>
      </vt:variant>
      <vt:variant>
        <vt:i4>0</vt:i4>
      </vt:variant>
      <vt:variant>
        <vt:i4>5</vt:i4>
      </vt:variant>
      <vt:variant>
        <vt:lpwstr>http://apps.who.int/gb/ebwha/pdf_files/EB134_16-en.pdf?ua=1</vt:lpwstr>
      </vt:variant>
      <vt:variant>
        <vt:lpwstr/>
      </vt:variant>
      <vt:variant>
        <vt:i4>524297</vt:i4>
      </vt:variant>
      <vt:variant>
        <vt:i4>33</vt:i4>
      </vt:variant>
      <vt:variant>
        <vt:i4>0</vt:i4>
      </vt:variant>
      <vt:variant>
        <vt:i4>5</vt:i4>
      </vt:variant>
      <vt:variant>
        <vt:lpwstr>http://apps.who.int/iris/bitstream/10665/44405/9/9789241548052_introductory_eng.pdf</vt:lpwstr>
      </vt:variant>
      <vt:variant>
        <vt:lpwstr/>
      </vt:variant>
      <vt:variant>
        <vt:i4>2162795</vt:i4>
      </vt:variant>
      <vt:variant>
        <vt:i4>30</vt:i4>
      </vt:variant>
      <vt:variant>
        <vt:i4>0</vt:i4>
      </vt:variant>
      <vt:variant>
        <vt:i4>5</vt:i4>
      </vt:variant>
      <vt:variant>
        <vt:lpwstr>http://www.undp.org/content/undp/en/home/sdgoverview/post-2015-development-agenda.html</vt:lpwstr>
      </vt:variant>
      <vt:variant>
        <vt:lpwstr/>
      </vt:variant>
      <vt:variant>
        <vt:i4>6815792</vt:i4>
      </vt:variant>
      <vt:variant>
        <vt:i4>27</vt:i4>
      </vt:variant>
      <vt:variant>
        <vt:i4>0</vt:i4>
      </vt:variant>
      <vt:variant>
        <vt:i4>5</vt:i4>
      </vt:variant>
      <vt:variant>
        <vt:lpwstr>http://www.bps.org.uk/fpop</vt:lpwstr>
      </vt:variant>
      <vt:variant>
        <vt:lpwstr/>
      </vt:variant>
      <vt:variant>
        <vt:i4>1245228</vt:i4>
      </vt:variant>
      <vt:variant>
        <vt:i4>24</vt:i4>
      </vt:variant>
      <vt:variant>
        <vt:i4>0</vt:i4>
      </vt:variant>
      <vt:variant>
        <vt:i4>5</vt:i4>
      </vt:variant>
      <vt:variant>
        <vt:lpwstr>https://www.health.qld.gov.au/cairns_hinterland/docs/gp-dementia-enablement-guide.pdf</vt:lpwstr>
      </vt:variant>
      <vt:variant>
        <vt:lpwstr/>
      </vt:variant>
      <vt:variant>
        <vt:i4>4915202</vt:i4>
      </vt:variant>
      <vt:variant>
        <vt:i4>21</vt:i4>
      </vt:variant>
      <vt:variant>
        <vt:i4>0</vt:i4>
      </vt:variant>
      <vt:variant>
        <vt:i4>5</vt:i4>
      </vt:variant>
      <vt:variant>
        <vt:lpwstr>http://www.tworoadsbooks.com/</vt:lpwstr>
      </vt:variant>
      <vt:variant>
        <vt:lpwstr/>
      </vt:variant>
      <vt:variant>
        <vt:i4>6029327</vt:i4>
      </vt:variant>
      <vt:variant>
        <vt:i4>18</vt:i4>
      </vt:variant>
      <vt:variant>
        <vt:i4>0</vt:i4>
      </vt:variant>
      <vt:variant>
        <vt:i4>5</vt:i4>
      </vt:variant>
      <vt:variant>
        <vt:lpwstr>http://www.alzheimers.org.uk/fixdementiacare</vt:lpwstr>
      </vt:variant>
      <vt:variant>
        <vt:lpwstr/>
      </vt:variant>
      <vt:variant>
        <vt:i4>5701679</vt:i4>
      </vt:variant>
      <vt:variant>
        <vt:i4>15</vt:i4>
      </vt:variant>
      <vt:variant>
        <vt:i4>0</vt:i4>
      </vt:variant>
      <vt:variant>
        <vt:i4>5</vt:i4>
      </vt:variant>
      <vt:variant>
        <vt:lpwstr>http://www.who.int/healthinfo/global_burden_disease/GBD_report_2004update_full.pdf?ua=1</vt:lpwstr>
      </vt:variant>
      <vt:variant>
        <vt:lpwstr/>
      </vt:variant>
      <vt:variant>
        <vt:i4>7471128</vt:i4>
      </vt:variant>
      <vt:variant>
        <vt:i4>12</vt:i4>
      </vt:variant>
      <vt:variant>
        <vt:i4>0</vt:i4>
      </vt:variant>
      <vt:variant>
        <vt:i4>5</vt:i4>
      </vt:variant>
      <vt:variant>
        <vt:lpwstr>http://www.keepeek.com/Digital-Asset-Management/oecd/social-issues-migration-health/addressing-dementia_9789264231726-en</vt:lpwstr>
      </vt:variant>
      <vt:variant>
        <vt:lpwstr>page1</vt:lpwstr>
      </vt:variant>
      <vt:variant>
        <vt:i4>74</vt:i4>
      </vt:variant>
      <vt:variant>
        <vt:i4>9</vt:i4>
      </vt:variant>
      <vt:variant>
        <vt:i4>0</vt:i4>
      </vt:variant>
      <vt:variant>
        <vt:i4>5</vt:i4>
      </vt:variant>
      <vt:variant>
        <vt:lpwstr>http://www.who.int/mental_health/neurology/dementia/call_for_action_en.pdf?ua</vt:lpwstr>
      </vt:variant>
      <vt:variant>
        <vt:lpwstr/>
      </vt:variant>
      <vt:variant>
        <vt:i4>1441800</vt:i4>
      </vt:variant>
      <vt:variant>
        <vt:i4>6</vt:i4>
      </vt:variant>
      <vt:variant>
        <vt:i4>0</vt:i4>
      </vt:variant>
      <vt:variant>
        <vt:i4>5</vt:i4>
      </vt:variant>
      <vt:variant>
        <vt:lpwstr>http://www.alz.co.uk/</vt:lpwstr>
      </vt:variant>
      <vt:variant>
        <vt:lpwstr/>
      </vt:variant>
      <vt:variant>
        <vt:i4>2883635</vt:i4>
      </vt:variant>
      <vt:variant>
        <vt:i4>3</vt:i4>
      </vt:variant>
      <vt:variant>
        <vt:i4>0</vt:i4>
      </vt:variant>
      <vt:variant>
        <vt:i4>5</vt:i4>
      </vt:variant>
      <vt:variant>
        <vt:lpwstr>http://www.alz.co.uk/sites/default/files/pdfs/global-dementia-charter-i-can-live-well-with-dementia.pdf</vt:lpwstr>
      </vt:variant>
      <vt:variant>
        <vt:lpwstr/>
      </vt:variant>
      <vt:variant>
        <vt:i4>2162796</vt:i4>
      </vt:variant>
      <vt:variant>
        <vt:i4>0</vt:i4>
      </vt:variant>
      <vt:variant>
        <vt:i4>0</vt:i4>
      </vt:variant>
      <vt:variant>
        <vt:i4>5</vt:i4>
      </vt:variant>
      <vt:variant>
        <vt:lpwstr>http://www.infodai.org/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DAI.doc</dc:title>
  <dc:creator>Mittler</dc:creator>
  <cp:lastModifiedBy>Jorge ARAYA</cp:lastModifiedBy>
  <cp:revision>2</cp:revision>
  <cp:lastPrinted>2016-03-29T20:16:00Z</cp:lastPrinted>
  <dcterms:created xsi:type="dcterms:W3CDTF">2017-07-03T08:15:00Z</dcterms:created>
  <dcterms:modified xsi:type="dcterms:W3CDTF">2017-07-03T08:15:00Z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0x0101008822B9E06671B54FA89F14538B9B0FEA</vt:lpwstr>
  </property>
</Properties>
</file>