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EFF" w:rsidRPr="003F16D1" w:rsidRDefault="00283EFF" w:rsidP="00837DA9">
      <w:pPr>
        <w:spacing w:before="120" w:after="120"/>
        <w:jc w:val="center"/>
        <w:rPr>
          <w:rFonts w:ascii="Times New Roman" w:hAnsi="Times New Roman" w:cs="Times New Roman"/>
          <w:sz w:val="24"/>
          <w:szCs w:val="24"/>
          <w:lang w:val="en-US"/>
        </w:rPr>
      </w:pPr>
      <w:bookmarkStart w:id="0" w:name="_GoBack"/>
      <w:bookmarkEnd w:id="0"/>
      <w:r w:rsidRPr="003F16D1">
        <w:rPr>
          <w:rFonts w:ascii="Times New Roman" w:hAnsi="Times New Roman" w:cs="Times New Roman"/>
          <w:sz w:val="24"/>
          <w:szCs w:val="24"/>
          <w:lang w:val="en-US"/>
        </w:rPr>
        <w:t>Committee on the Rights of Persons with Disabilities</w:t>
      </w:r>
    </w:p>
    <w:p w:rsidR="00283EFF" w:rsidRPr="003F16D1" w:rsidRDefault="00283EFF" w:rsidP="00837DA9">
      <w:pPr>
        <w:spacing w:before="120" w:after="120"/>
        <w:jc w:val="center"/>
        <w:rPr>
          <w:rFonts w:ascii="Times New Roman" w:hAnsi="Times New Roman" w:cs="Times New Roman"/>
          <w:sz w:val="24"/>
          <w:szCs w:val="24"/>
          <w:lang w:val="en-US"/>
        </w:rPr>
      </w:pPr>
      <w:r w:rsidRPr="003F16D1">
        <w:rPr>
          <w:rFonts w:ascii="Times New Roman" w:hAnsi="Times New Roman" w:cs="Times New Roman"/>
          <w:sz w:val="24"/>
          <w:szCs w:val="24"/>
          <w:lang w:val="en-US"/>
        </w:rPr>
        <w:t>D</w:t>
      </w:r>
      <w:r w:rsidR="00863537">
        <w:rPr>
          <w:rFonts w:ascii="Times New Roman" w:hAnsi="Times New Roman" w:cs="Times New Roman"/>
          <w:sz w:val="24"/>
          <w:szCs w:val="24"/>
          <w:lang w:val="en-US"/>
        </w:rPr>
        <w:t xml:space="preserve">raft </w:t>
      </w:r>
      <w:r w:rsidRPr="003F16D1">
        <w:rPr>
          <w:rFonts w:ascii="Times New Roman" w:hAnsi="Times New Roman" w:cs="Times New Roman"/>
          <w:sz w:val="24"/>
          <w:szCs w:val="24"/>
          <w:lang w:val="en-US"/>
        </w:rPr>
        <w:t>General Comment No. 5 (2017)</w:t>
      </w:r>
    </w:p>
    <w:p w:rsidR="00283EFF" w:rsidRPr="003F16D1" w:rsidRDefault="00283EFF" w:rsidP="00837DA9">
      <w:pPr>
        <w:spacing w:before="120" w:after="120"/>
        <w:jc w:val="center"/>
        <w:rPr>
          <w:rFonts w:ascii="Times New Roman" w:hAnsi="Times New Roman" w:cs="Times New Roman"/>
          <w:sz w:val="24"/>
          <w:szCs w:val="24"/>
          <w:lang w:val="en-US"/>
        </w:rPr>
      </w:pPr>
      <w:r w:rsidRPr="003F16D1">
        <w:rPr>
          <w:rFonts w:ascii="Times New Roman" w:hAnsi="Times New Roman" w:cs="Times New Roman"/>
          <w:sz w:val="24"/>
          <w:szCs w:val="24"/>
          <w:lang w:val="en-US"/>
        </w:rPr>
        <w:t>Article 19: Living independently and being included in the community</w:t>
      </w:r>
    </w:p>
    <w:p w:rsidR="00837DA9" w:rsidRPr="003F16D1" w:rsidRDefault="00837DA9" w:rsidP="00837DA9">
      <w:pPr>
        <w:spacing w:before="120" w:after="120"/>
        <w:jc w:val="center"/>
        <w:rPr>
          <w:rFonts w:ascii="Times New Roman" w:hAnsi="Times New Roman" w:cs="Times New Roman"/>
          <w:lang w:val="en-US"/>
        </w:rPr>
      </w:pPr>
    </w:p>
    <w:p w:rsidR="00283EFF" w:rsidRPr="003F16D1" w:rsidRDefault="00283EFF" w:rsidP="00283EFF">
      <w:pPr>
        <w:pStyle w:val="Heading1"/>
        <w:numPr>
          <w:ilvl w:val="0"/>
          <w:numId w:val="1"/>
        </w:numPr>
        <w:rPr>
          <w:color w:val="auto"/>
        </w:rPr>
      </w:pPr>
      <w:r w:rsidRPr="003F16D1">
        <w:rPr>
          <w:color w:val="auto"/>
        </w:rPr>
        <w:t>Introduction</w:t>
      </w:r>
    </w:p>
    <w:p w:rsidR="00283EFF" w:rsidRPr="003F16D1" w:rsidRDefault="00283EFF" w:rsidP="00283EFF">
      <w:pPr>
        <w:pStyle w:val="ListParagraph"/>
        <w:numPr>
          <w:ilvl w:val="0"/>
          <w:numId w:val="2"/>
        </w:numPr>
        <w:spacing w:before="120" w:after="120"/>
        <w:ind w:left="357" w:firstLine="284"/>
        <w:jc w:val="both"/>
        <w:rPr>
          <w:rFonts w:ascii="Times New Roman" w:hAnsi="Times New Roman" w:cs="Times New Roman"/>
          <w:lang w:val="en-US"/>
        </w:rPr>
      </w:pPr>
      <w:r w:rsidRPr="003F16D1">
        <w:rPr>
          <w:rFonts w:ascii="Times New Roman" w:hAnsi="Times New Roman" w:cs="Times New Roman"/>
          <w:lang w:val="en-US"/>
        </w:rPr>
        <w:t xml:space="preserve">Throughout history, persons with disabilities have been denied choice and control across all areas of their lives. Until today, they </w:t>
      </w:r>
      <w:r w:rsidR="00B211DB" w:rsidRPr="003F16D1">
        <w:rPr>
          <w:rFonts w:ascii="Times New Roman" w:hAnsi="Times New Roman" w:cs="Times New Roman"/>
          <w:lang w:val="en-US"/>
        </w:rPr>
        <w:t>have</w:t>
      </w:r>
      <w:r w:rsidRPr="003F16D1">
        <w:rPr>
          <w:rFonts w:ascii="Times New Roman" w:hAnsi="Times New Roman" w:cs="Times New Roman"/>
          <w:lang w:val="en-US"/>
        </w:rPr>
        <w:t xml:space="preserve"> often</w:t>
      </w:r>
      <w:r w:rsidR="00B211DB" w:rsidRPr="003F16D1">
        <w:rPr>
          <w:rFonts w:ascii="Times New Roman" w:hAnsi="Times New Roman" w:cs="Times New Roman"/>
          <w:lang w:val="en-US"/>
        </w:rPr>
        <w:t xml:space="preserve"> been</w:t>
      </w:r>
      <w:r w:rsidRPr="003F16D1">
        <w:rPr>
          <w:rFonts w:ascii="Times New Roman" w:hAnsi="Times New Roman" w:cs="Times New Roman"/>
          <w:lang w:val="en-US"/>
        </w:rPr>
        <w:t xml:space="preserve"> presumed to </w:t>
      </w:r>
      <w:r w:rsidR="001F33A9" w:rsidRPr="003F16D1">
        <w:rPr>
          <w:rFonts w:ascii="Times New Roman" w:hAnsi="Times New Roman" w:cs="Times New Roman"/>
          <w:lang w:val="en-US"/>
        </w:rPr>
        <w:t>be unable to live independently</w:t>
      </w:r>
      <w:r w:rsidR="00074B29" w:rsidRPr="003F16D1">
        <w:rPr>
          <w:rFonts w:ascii="Times New Roman" w:hAnsi="Times New Roman" w:cs="Times New Roman"/>
          <w:lang w:val="en-US"/>
        </w:rPr>
        <w:t xml:space="preserve"> among others</w:t>
      </w:r>
      <w:r w:rsidR="00B211DB" w:rsidRPr="003F16D1">
        <w:rPr>
          <w:rFonts w:ascii="Times New Roman" w:hAnsi="Times New Roman" w:cs="Times New Roman"/>
          <w:lang w:val="en-US"/>
        </w:rPr>
        <w:t>. S</w:t>
      </w:r>
      <w:r w:rsidRPr="003F16D1">
        <w:rPr>
          <w:rFonts w:ascii="Times New Roman" w:hAnsi="Times New Roman" w:cs="Times New Roman"/>
          <w:lang w:val="en-US"/>
        </w:rPr>
        <w:t xml:space="preserve">upport is unavailable or tied to particular living arrangements and community infrastructure is inaccessible. This has led to abandonment, dependence on family members, institutionalization, isolation and segregation of persons with disabilities. </w:t>
      </w:r>
    </w:p>
    <w:p w:rsidR="008552B4" w:rsidRPr="003F16D1" w:rsidRDefault="008552B4" w:rsidP="008552B4">
      <w:pPr>
        <w:pStyle w:val="ListParagraph"/>
        <w:spacing w:before="120" w:after="120"/>
        <w:ind w:left="641"/>
        <w:jc w:val="both"/>
        <w:rPr>
          <w:rFonts w:ascii="Times New Roman" w:hAnsi="Times New Roman" w:cs="Times New Roman"/>
          <w:lang w:val="en-US"/>
        </w:rPr>
      </w:pPr>
    </w:p>
    <w:p w:rsidR="005558B6" w:rsidRPr="003F16D1" w:rsidRDefault="00283EFF" w:rsidP="00283EFF">
      <w:pPr>
        <w:pStyle w:val="ListParagraph"/>
        <w:numPr>
          <w:ilvl w:val="0"/>
          <w:numId w:val="2"/>
        </w:numPr>
        <w:spacing w:before="120" w:after="120"/>
        <w:ind w:firstLine="284"/>
        <w:jc w:val="both"/>
        <w:rPr>
          <w:rFonts w:ascii="Times New Roman" w:hAnsi="Times New Roman" w:cs="Times New Roman"/>
          <w:lang w:val="en-US"/>
        </w:rPr>
      </w:pPr>
      <w:r w:rsidRPr="003F16D1">
        <w:rPr>
          <w:rFonts w:ascii="Times New Roman" w:hAnsi="Times New Roman" w:cs="Times New Roman"/>
          <w:lang w:val="en-US"/>
        </w:rPr>
        <w:t xml:space="preserve">As an answer to human rights violations against persons with </w:t>
      </w:r>
      <w:r w:rsidR="00C53078" w:rsidRPr="003F16D1">
        <w:rPr>
          <w:rFonts w:ascii="Times New Roman" w:hAnsi="Times New Roman" w:cs="Times New Roman"/>
          <w:lang w:val="en-US"/>
        </w:rPr>
        <w:t>disabilities, article 19 of t</w:t>
      </w:r>
      <w:r w:rsidRPr="003F16D1">
        <w:rPr>
          <w:rFonts w:ascii="Times New Roman" w:hAnsi="Times New Roman" w:cs="Times New Roman"/>
          <w:lang w:val="en-US"/>
        </w:rPr>
        <w:t>he Convention on the Rights of Persons with Disabilities</w:t>
      </w:r>
      <w:r w:rsidR="00B211DB" w:rsidRPr="003F16D1">
        <w:rPr>
          <w:rFonts w:ascii="Times New Roman" w:hAnsi="Times New Roman" w:cs="Times New Roman"/>
          <w:lang w:val="en-US"/>
        </w:rPr>
        <w:t xml:space="preserve"> </w:t>
      </w:r>
      <w:r w:rsidRPr="003F16D1">
        <w:rPr>
          <w:rFonts w:ascii="Times New Roman" w:hAnsi="Times New Roman" w:cs="Times New Roman"/>
          <w:lang w:val="en-US"/>
        </w:rPr>
        <w:t>recogni</w:t>
      </w:r>
      <w:r w:rsidR="00B211DB" w:rsidRPr="003F16D1">
        <w:rPr>
          <w:rFonts w:ascii="Times New Roman" w:hAnsi="Times New Roman" w:cs="Times New Roman"/>
          <w:lang w:val="en-US"/>
        </w:rPr>
        <w:t xml:space="preserve">ses </w:t>
      </w:r>
      <w:r w:rsidRPr="003F16D1">
        <w:rPr>
          <w:rFonts w:ascii="Times New Roman" w:hAnsi="Times New Roman" w:cs="Times New Roman"/>
          <w:lang w:val="en-US"/>
        </w:rPr>
        <w:t>the equal right of all persons with disabilities to live independently and be included in the community, with choices equal to others. The foundation of this right is the core human rights principle that all human</w:t>
      </w:r>
      <w:r w:rsidR="00971375" w:rsidRPr="003F16D1">
        <w:rPr>
          <w:rFonts w:ascii="Times New Roman" w:hAnsi="Times New Roman" w:cs="Times New Roman"/>
          <w:lang w:val="en-US"/>
        </w:rPr>
        <w:t xml:space="preserve"> beings </w:t>
      </w:r>
      <w:r w:rsidRPr="003F16D1">
        <w:rPr>
          <w:rFonts w:ascii="Times New Roman" w:hAnsi="Times New Roman" w:cs="Times New Roman"/>
          <w:lang w:val="en-US"/>
        </w:rPr>
        <w:t xml:space="preserve">are born equal in dignity and rights and all life is of equal worth. </w:t>
      </w:r>
    </w:p>
    <w:p w:rsidR="005558B6" w:rsidRPr="003F16D1" w:rsidRDefault="005558B6" w:rsidP="005558B6">
      <w:pPr>
        <w:pStyle w:val="ListParagraph"/>
        <w:rPr>
          <w:rFonts w:ascii="Times New Roman" w:hAnsi="Times New Roman" w:cs="Times New Roman"/>
          <w:lang w:val="en-US"/>
        </w:rPr>
      </w:pPr>
    </w:p>
    <w:p w:rsidR="00701D58" w:rsidRPr="003F16D1" w:rsidRDefault="00283EFF" w:rsidP="00701D58">
      <w:pPr>
        <w:pStyle w:val="ListParagraph"/>
        <w:numPr>
          <w:ilvl w:val="0"/>
          <w:numId w:val="2"/>
        </w:numPr>
        <w:spacing w:before="120" w:after="120"/>
        <w:ind w:firstLine="284"/>
        <w:jc w:val="both"/>
        <w:rPr>
          <w:rFonts w:ascii="Times New Roman" w:hAnsi="Times New Roman" w:cs="Times New Roman"/>
          <w:lang w:val="en-US"/>
        </w:rPr>
      </w:pPr>
      <w:r w:rsidRPr="003F16D1">
        <w:rPr>
          <w:rFonts w:ascii="Times New Roman" w:hAnsi="Times New Roman" w:cs="Times New Roman"/>
          <w:lang w:val="en-US"/>
        </w:rPr>
        <w:t>Article 19 emphasizes that persons with disabilities are regarded as subjects of rights. The general principles of the Convention (art. 3), particularly respect for the individual’s inherent dignity, autonomy and independence (art. 3 (a))</w:t>
      </w:r>
      <w:r w:rsidR="00C35EC8" w:rsidRPr="003F16D1">
        <w:rPr>
          <w:rFonts w:ascii="Times New Roman" w:hAnsi="Times New Roman" w:cs="Times New Roman"/>
          <w:lang w:val="en-US"/>
        </w:rPr>
        <w:t>,</w:t>
      </w:r>
      <w:r w:rsidRPr="003F16D1">
        <w:rPr>
          <w:rFonts w:ascii="Times New Roman" w:hAnsi="Times New Roman" w:cs="Times New Roman"/>
          <w:lang w:val="en-US"/>
        </w:rPr>
        <w:t xml:space="preserve"> and the full and effective participation and inclusion in society (art. 3 (c)), are the foundation of the right to live independently and be included in the community. </w:t>
      </w:r>
      <w:r w:rsidR="00791C55" w:rsidRPr="003F16D1">
        <w:rPr>
          <w:rFonts w:ascii="Times New Roman" w:hAnsi="Times New Roman" w:cs="Times New Roman"/>
          <w:lang w:val="en-US"/>
        </w:rPr>
        <w:t>Other principles enshrined in the Convention are also essential to understand and apply article 19. These are: non-discrimination (art. 3 (b))</w:t>
      </w:r>
      <w:r w:rsidR="00C35EC8" w:rsidRPr="003F16D1">
        <w:rPr>
          <w:rFonts w:ascii="Times New Roman" w:hAnsi="Times New Roman" w:cs="Times New Roman"/>
          <w:lang w:val="en-US"/>
        </w:rPr>
        <w:t>,</w:t>
      </w:r>
      <w:r w:rsidR="00791C55" w:rsidRPr="003F16D1">
        <w:rPr>
          <w:rFonts w:ascii="Times New Roman" w:hAnsi="Times New Roman" w:cs="Times New Roman"/>
          <w:lang w:val="en-US"/>
        </w:rPr>
        <w:t xml:space="preserve"> respect for difference and acceptance of persons with disabilities as part of human diversity and humanity (art. 3 (d))</w:t>
      </w:r>
      <w:r w:rsidR="00C35EC8" w:rsidRPr="003F16D1">
        <w:rPr>
          <w:rFonts w:ascii="Times New Roman" w:hAnsi="Times New Roman" w:cs="Times New Roman"/>
          <w:lang w:val="en-US"/>
        </w:rPr>
        <w:t>,</w:t>
      </w:r>
      <w:r w:rsidR="00791C55" w:rsidRPr="003F16D1">
        <w:rPr>
          <w:rFonts w:ascii="Times New Roman" w:hAnsi="Times New Roman" w:cs="Times New Roman"/>
          <w:lang w:val="en-US"/>
        </w:rPr>
        <w:t xml:space="preserve"> equality of opportunity (art. 3 (e))</w:t>
      </w:r>
      <w:r w:rsidR="00C35EC8" w:rsidRPr="003F16D1">
        <w:rPr>
          <w:rFonts w:ascii="Times New Roman" w:hAnsi="Times New Roman" w:cs="Times New Roman"/>
          <w:lang w:val="en-US"/>
        </w:rPr>
        <w:t>,</w:t>
      </w:r>
      <w:r w:rsidR="00791C55" w:rsidRPr="003F16D1">
        <w:rPr>
          <w:rFonts w:ascii="Times New Roman" w:hAnsi="Times New Roman" w:cs="Times New Roman"/>
          <w:lang w:val="en-US"/>
        </w:rPr>
        <w:t xml:space="preserve"> accessibility (art. 3 (f))</w:t>
      </w:r>
      <w:r w:rsidR="00C35EC8" w:rsidRPr="003F16D1">
        <w:rPr>
          <w:rFonts w:ascii="Times New Roman" w:hAnsi="Times New Roman" w:cs="Times New Roman"/>
          <w:lang w:val="en-US"/>
        </w:rPr>
        <w:t>,</w:t>
      </w:r>
      <w:r w:rsidR="00791C55" w:rsidRPr="003F16D1">
        <w:rPr>
          <w:rFonts w:ascii="Times New Roman" w:hAnsi="Times New Roman" w:cs="Times New Roman"/>
          <w:lang w:val="en-US"/>
        </w:rPr>
        <w:t xml:space="preserve"> equality between men and women</w:t>
      </w:r>
      <w:r w:rsidR="005558B6" w:rsidRPr="003F16D1">
        <w:rPr>
          <w:rFonts w:ascii="Times New Roman" w:hAnsi="Times New Roman" w:cs="Times New Roman"/>
          <w:lang w:val="en-US"/>
        </w:rPr>
        <w:t xml:space="preserve">   </w:t>
      </w:r>
      <w:r w:rsidR="00791C55" w:rsidRPr="003F16D1">
        <w:rPr>
          <w:rFonts w:ascii="Times New Roman" w:hAnsi="Times New Roman" w:cs="Times New Roman"/>
          <w:lang w:val="en-US"/>
        </w:rPr>
        <w:t xml:space="preserve"> (art. 3 (g))</w:t>
      </w:r>
      <w:r w:rsidR="00C35EC8" w:rsidRPr="003F16D1">
        <w:rPr>
          <w:rFonts w:ascii="Times New Roman" w:hAnsi="Times New Roman" w:cs="Times New Roman"/>
          <w:lang w:val="en-US"/>
        </w:rPr>
        <w:t xml:space="preserve"> and</w:t>
      </w:r>
      <w:r w:rsidR="00791C55" w:rsidRPr="003F16D1">
        <w:rPr>
          <w:rFonts w:ascii="Times New Roman" w:hAnsi="Times New Roman" w:cs="Times New Roman"/>
          <w:lang w:val="en-US"/>
        </w:rPr>
        <w:t xml:space="preserve"> respect for the evolving capacities of children with disabilities to preserve their identity (art. 3 (h)).</w:t>
      </w:r>
    </w:p>
    <w:p w:rsidR="00701D58" w:rsidRPr="003F16D1" w:rsidRDefault="00701D58" w:rsidP="00701D58">
      <w:pPr>
        <w:pStyle w:val="ListParagraph"/>
        <w:rPr>
          <w:rFonts w:ascii="Times New Roman" w:hAnsi="Times New Roman" w:cs="Times New Roman"/>
          <w:lang w:val="en-US"/>
        </w:rPr>
      </w:pPr>
    </w:p>
    <w:p w:rsidR="00A5592A" w:rsidRPr="003F16D1" w:rsidRDefault="00283EFF" w:rsidP="00A5592A">
      <w:pPr>
        <w:pStyle w:val="ListParagraph"/>
        <w:numPr>
          <w:ilvl w:val="0"/>
          <w:numId w:val="2"/>
        </w:numPr>
        <w:spacing w:before="120" w:after="120"/>
        <w:ind w:firstLine="284"/>
        <w:jc w:val="both"/>
        <w:rPr>
          <w:rFonts w:ascii="Times New Roman" w:hAnsi="Times New Roman" w:cs="Times New Roman"/>
          <w:lang w:val="en-US"/>
        </w:rPr>
      </w:pPr>
      <w:r w:rsidRPr="003F16D1">
        <w:rPr>
          <w:rFonts w:ascii="Times New Roman" w:hAnsi="Times New Roman" w:cs="Times New Roman"/>
          <w:lang w:val="en-US"/>
        </w:rPr>
        <w:t xml:space="preserve">Independent living and an inclusive life in the community are ideas that are inextricably linked with the disability rights movement. Persons with disabilities have claimed the right to participate in all areas of community life and sought control over the way they want to live by creating empowering forms of support such as personal assistance and requesting that community facilities and services are made </w:t>
      </w:r>
      <w:r w:rsidR="00074B29" w:rsidRPr="003F16D1">
        <w:rPr>
          <w:rFonts w:ascii="Times New Roman" w:hAnsi="Times New Roman" w:cs="Times New Roman"/>
          <w:lang w:val="en-US"/>
        </w:rPr>
        <w:t xml:space="preserve">fully </w:t>
      </w:r>
      <w:r w:rsidRPr="003F16D1">
        <w:rPr>
          <w:rFonts w:ascii="Times New Roman" w:hAnsi="Times New Roman" w:cs="Times New Roman"/>
          <w:lang w:val="en-US"/>
        </w:rPr>
        <w:t>available to the</w:t>
      </w:r>
      <w:r w:rsidR="00A5592A" w:rsidRPr="003F16D1">
        <w:rPr>
          <w:rFonts w:ascii="Times New Roman" w:hAnsi="Times New Roman" w:cs="Times New Roman"/>
          <w:lang w:val="en-US"/>
        </w:rPr>
        <w:t>m on an equal basis with others.</w:t>
      </w:r>
    </w:p>
    <w:p w:rsidR="006520C4" w:rsidRPr="003F16D1" w:rsidRDefault="006520C4" w:rsidP="006520C4">
      <w:pPr>
        <w:pStyle w:val="ListParagraph"/>
        <w:rPr>
          <w:rFonts w:ascii="Times New Roman" w:hAnsi="Times New Roman" w:cs="Times New Roman"/>
          <w:lang w:val="en-US"/>
        </w:rPr>
      </w:pPr>
    </w:p>
    <w:p w:rsidR="006520C4" w:rsidRPr="003F16D1" w:rsidRDefault="00E2010E" w:rsidP="00A5592A">
      <w:pPr>
        <w:pStyle w:val="ListParagraph"/>
        <w:numPr>
          <w:ilvl w:val="0"/>
          <w:numId w:val="2"/>
        </w:numPr>
        <w:spacing w:before="120" w:after="120"/>
        <w:ind w:firstLine="284"/>
        <w:jc w:val="both"/>
        <w:rPr>
          <w:rFonts w:ascii="Times New Roman" w:hAnsi="Times New Roman" w:cs="Times New Roman"/>
          <w:lang w:val="en-US"/>
        </w:rPr>
      </w:pPr>
      <w:r w:rsidRPr="003F16D1">
        <w:rPr>
          <w:rFonts w:ascii="Times New Roman" w:hAnsi="Times New Roman" w:cs="Times New Roman"/>
          <w:lang w:val="en-US"/>
        </w:rPr>
        <w:t>In the Preamble to</w:t>
      </w:r>
      <w:r w:rsidR="006520C4" w:rsidRPr="003F16D1">
        <w:rPr>
          <w:rFonts w:ascii="Times New Roman" w:hAnsi="Times New Roman" w:cs="Times New Roman"/>
          <w:lang w:val="en-US"/>
        </w:rPr>
        <w:t xml:space="preserve"> the Convention, States</w:t>
      </w:r>
      <w:r w:rsidR="003E4AE3" w:rsidRPr="003F16D1">
        <w:rPr>
          <w:rFonts w:ascii="Times New Roman" w:hAnsi="Times New Roman" w:cs="Times New Roman"/>
          <w:lang w:val="en-US"/>
        </w:rPr>
        <w:t xml:space="preserve"> parties</w:t>
      </w:r>
      <w:r w:rsidR="006520C4" w:rsidRPr="003F16D1">
        <w:rPr>
          <w:rFonts w:ascii="Times New Roman" w:hAnsi="Times New Roman" w:cs="Times New Roman"/>
          <w:lang w:val="en-US"/>
        </w:rPr>
        <w:t xml:space="preserve"> recognized that the majority of persons with disabilities live in conditions of poverty and stressed the need to address the negative impact of poverty. The cost of social exclusion is high and strategies to tackle poverty often require </w:t>
      </w:r>
      <w:r w:rsidRPr="003F16D1">
        <w:rPr>
          <w:rFonts w:ascii="Times New Roman" w:hAnsi="Times New Roman" w:cs="Times New Roman"/>
          <w:lang w:val="en-US"/>
        </w:rPr>
        <w:t>significant</w:t>
      </w:r>
      <w:r w:rsidR="006520C4" w:rsidRPr="003F16D1">
        <w:rPr>
          <w:rFonts w:ascii="Times New Roman" w:hAnsi="Times New Roman" w:cs="Times New Roman"/>
          <w:lang w:val="en-US"/>
        </w:rPr>
        <w:t xml:space="preserve"> extra budgetary resources. However, policies for achieving social inclusion of persons with disabilities, including through the promotion of their right to independent living, represent a cost</w:t>
      </w:r>
      <w:r w:rsidR="003E4AE3" w:rsidRPr="003F16D1">
        <w:rPr>
          <w:rFonts w:ascii="Times New Roman" w:hAnsi="Times New Roman" w:cs="Times New Roman"/>
          <w:lang w:val="en-US"/>
        </w:rPr>
        <w:t>-</w:t>
      </w:r>
      <w:r w:rsidR="006520C4" w:rsidRPr="003F16D1">
        <w:rPr>
          <w:rFonts w:ascii="Times New Roman" w:hAnsi="Times New Roman" w:cs="Times New Roman"/>
          <w:lang w:val="en-US"/>
        </w:rPr>
        <w:t xml:space="preserve">effective mechanism to ensure </w:t>
      </w:r>
      <w:r w:rsidRPr="003F16D1">
        <w:rPr>
          <w:rFonts w:ascii="Times New Roman" w:hAnsi="Times New Roman" w:cs="Times New Roman"/>
          <w:lang w:val="en-US"/>
        </w:rPr>
        <w:t xml:space="preserve">sustainable </w:t>
      </w:r>
      <w:r w:rsidR="006520C4" w:rsidRPr="003F16D1">
        <w:rPr>
          <w:rFonts w:ascii="Times New Roman" w:hAnsi="Times New Roman" w:cs="Times New Roman"/>
          <w:lang w:val="en-US"/>
        </w:rPr>
        <w:t xml:space="preserve">development and eradicate poverty.      </w:t>
      </w:r>
    </w:p>
    <w:p w:rsidR="00A5592A" w:rsidRPr="003F16D1" w:rsidRDefault="00A5592A" w:rsidP="00A5592A">
      <w:pPr>
        <w:pStyle w:val="ListParagraph"/>
        <w:rPr>
          <w:rFonts w:ascii="Times New Roman" w:hAnsi="Times New Roman" w:cs="Times New Roman"/>
          <w:lang w:val="en-US"/>
        </w:rPr>
      </w:pPr>
    </w:p>
    <w:p w:rsidR="008552B4" w:rsidRPr="003F16D1" w:rsidRDefault="00283EFF" w:rsidP="00A5592A">
      <w:pPr>
        <w:pStyle w:val="ListParagraph"/>
        <w:numPr>
          <w:ilvl w:val="0"/>
          <w:numId w:val="2"/>
        </w:numPr>
        <w:spacing w:before="120" w:after="120"/>
        <w:ind w:firstLine="284"/>
        <w:jc w:val="both"/>
        <w:rPr>
          <w:rFonts w:ascii="Times New Roman" w:hAnsi="Times New Roman" w:cs="Times New Roman"/>
          <w:lang w:val="en-US"/>
        </w:rPr>
      </w:pPr>
      <w:r w:rsidRPr="003F16D1">
        <w:rPr>
          <w:rFonts w:ascii="Times New Roman" w:hAnsi="Times New Roman" w:cs="Times New Roman"/>
          <w:lang w:val="en-US"/>
        </w:rPr>
        <w:t xml:space="preserve">The present General Comment is aimed at assisting States parties in their implementation of article 19 and fulfilling their obligations under the Convention. It primarily concerns the States parties’ obligations to ensure every individual’s enjoyment of the right to live independently and be included in the community, but is also related to other provisions. Article 19 </w:t>
      </w:r>
      <w:r w:rsidRPr="003F16D1">
        <w:rPr>
          <w:rFonts w:ascii="Times New Roman" w:hAnsi="Times New Roman" w:cs="Times New Roman"/>
          <w:lang w:val="en-US"/>
        </w:rPr>
        <w:lastRenderedPageBreak/>
        <w:t>plays a distinct role as one of the widest ranging and most intersectional articles of the Convention and has to be considered as a precondition for the implementation of the Convention across all articles.</w:t>
      </w:r>
    </w:p>
    <w:p w:rsidR="008552B4" w:rsidRPr="003F16D1" w:rsidRDefault="008552B4" w:rsidP="008552B4">
      <w:pPr>
        <w:pStyle w:val="ListParagraph"/>
        <w:spacing w:before="120" w:after="120"/>
        <w:ind w:left="644"/>
        <w:jc w:val="both"/>
        <w:rPr>
          <w:rFonts w:ascii="Times New Roman" w:hAnsi="Times New Roman" w:cs="Times New Roman"/>
          <w:lang w:val="en-US"/>
        </w:rPr>
      </w:pPr>
    </w:p>
    <w:p w:rsidR="00283EFF" w:rsidRPr="003F16D1" w:rsidRDefault="00245302" w:rsidP="00283EFF">
      <w:pPr>
        <w:pStyle w:val="ListParagraph"/>
        <w:numPr>
          <w:ilvl w:val="0"/>
          <w:numId w:val="2"/>
        </w:numPr>
        <w:spacing w:before="120" w:after="120"/>
        <w:ind w:firstLine="284"/>
        <w:jc w:val="both"/>
        <w:rPr>
          <w:rFonts w:ascii="Times New Roman" w:hAnsi="Times New Roman" w:cs="Times New Roman"/>
          <w:lang w:val="en-US"/>
        </w:rPr>
      </w:pPr>
      <w:r w:rsidRPr="003F16D1">
        <w:rPr>
          <w:rFonts w:ascii="Times New Roman" w:hAnsi="Times New Roman" w:cs="Times New Roman"/>
          <w:lang w:val="en-US"/>
        </w:rPr>
        <w:t>Article 19 entails</w:t>
      </w:r>
      <w:r w:rsidR="00283EFF" w:rsidRPr="003F16D1">
        <w:rPr>
          <w:rFonts w:ascii="Times New Roman" w:hAnsi="Times New Roman" w:cs="Times New Roman"/>
          <w:lang w:val="en-US"/>
        </w:rPr>
        <w:t xml:space="preserve"> civil and political as well as social and cultural rights and is an example of the interrelation, interdependence and indivisibility of all human rights. The right to independent living and being included in the community can only be realized if all civil, social and cultural rights enshrined in this norm are fulfilled. Modern human rights theory recognizes that in order to be realized, all human rights require resources</w:t>
      </w:r>
      <w:r w:rsidR="00585A58" w:rsidRPr="003F16D1">
        <w:rPr>
          <w:rFonts w:ascii="Times New Roman" w:hAnsi="Times New Roman" w:cs="Times New Roman"/>
          <w:lang w:val="en-US"/>
        </w:rPr>
        <w:t>.</w:t>
      </w:r>
      <w:r w:rsidR="00283EFF" w:rsidRPr="003F16D1">
        <w:rPr>
          <w:rFonts w:ascii="Times New Roman" w:hAnsi="Times New Roman" w:cs="Times New Roman"/>
          <w:lang w:val="en-US"/>
        </w:rPr>
        <w:t xml:space="preserve"> </w:t>
      </w:r>
      <w:r w:rsidR="00585A58" w:rsidRPr="003F16D1">
        <w:rPr>
          <w:rFonts w:ascii="Times New Roman" w:hAnsi="Times New Roman" w:cs="Times New Roman"/>
          <w:lang w:val="en-US"/>
        </w:rPr>
        <w:t>S</w:t>
      </w:r>
      <w:r w:rsidR="00283EFF" w:rsidRPr="003F16D1">
        <w:rPr>
          <w:rFonts w:ascii="Times New Roman" w:hAnsi="Times New Roman" w:cs="Times New Roman"/>
          <w:lang w:val="en-US"/>
        </w:rPr>
        <w:t>ystematic realization</w:t>
      </w:r>
      <w:r w:rsidR="00585A58" w:rsidRPr="003F16D1">
        <w:rPr>
          <w:rFonts w:ascii="Times New Roman" w:hAnsi="Times New Roman" w:cs="Times New Roman"/>
          <w:lang w:val="en-US"/>
        </w:rPr>
        <w:t xml:space="preserve"> also</w:t>
      </w:r>
      <w:r w:rsidR="00283EFF" w:rsidRPr="003F16D1">
        <w:rPr>
          <w:rFonts w:ascii="Times New Roman" w:hAnsi="Times New Roman" w:cs="Times New Roman"/>
          <w:lang w:val="en-US"/>
        </w:rPr>
        <w:t xml:space="preserve"> </w:t>
      </w:r>
      <w:r w:rsidRPr="003F16D1">
        <w:rPr>
          <w:rFonts w:ascii="Times New Roman" w:hAnsi="Times New Roman" w:cs="Times New Roman"/>
          <w:lang w:val="en-US"/>
        </w:rPr>
        <w:t>requires</w:t>
      </w:r>
      <w:r w:rsidR="00283EFF" w:rsidRPr="003F16D1">
        <w:rPr>
          <w:rFonts w:ascii="Times New Roman" w:hAnsi="Times New Roman" w:cs="Times New Roman"/>
          <w:lang w:val="en-US"/>
        </w:rPr>
        <w:t xml:space="preserve"> structural changes which have to be taken step by step, no matter whether civil and political or social, economic and cultural rights are at stake. </w:t>
      </w:r>
    </w:p>
    <w:p w:rsidR="00E21801" w:rsidRPr="003F16D1" w:rsidRDefault="00E21801" w:rsidP="00E21801">
      <w:pPr>
        <w:pStyle w:val="ListParagraph"/>
        <w:spacing w:before="120" w:after="120"/>
        <w:ind w:left="644"/>
        <w:jc w:val="both"/>
        <w:rPr>
          <w:rFonts w:ascii="Times New Roman" w:hAnsi="Times New Roman" w:cs="Times New Roman"/>
          <w:lang w:val="en-US"/>
        </w:rPr>
      </w:pPr>
    </w:p>
    <w:p w:rsidR="00CD44E4" w:rsidRPr="003F16D1" w:rsidRDefault="00283EFF" w:rsidP="004B0362">
      <w:pPr>
        <w:pStyle w:val="ListParagraph"/>
        <w:numPr>
          <w:ilvl w:val="0"/>
          <w:numId w:val="2"/>
        </w:numPr>
        <w:spacing w:before="120" w:after="120"/>
        <w:ind w:firstLine="284"/>
        <w:jc w:val="both"/>
        <w:rPr>
          <w:rFonts w:ascii="Times New Roman" w:hAnsi="Times New Roman" w:cs="Times New Roman"/>
          <w:lang w:val="en-US"/>
        </w:rPr>
      </w:pPr>
      <w:r w:rsidRPr="003F16D1">
        <w:rPr>
          <w:rFonts w:ascii="Times New Roman" w:hAnsi="Times New Roman" w:cs="Times New Roman"/>
          <w:lang w:val="en-US"/>
        </w:rPr>
        <w:t xml:space="preserve">Article 19 reflects the diversity of cultural approaches to human living and ensures that the right covered under the article is not biased towards certain cultural norms and values. Living independently and being included in the community are concepts of human living across the globe, applied to the context of disability. They mean exercising freedom of choice and control over decisions affecting one’s life with the same level of self-determination and interdependence within society as everybody else. The realization of the right therefore must be effective in different economic, social, cultural and political contexts. The Committee also finds it important to reaffirm that the right to live independently and be included in the community refers to all persons with disabilities, irrespective of support </w:t>
      </w:r>
      <w:r w:rsidR="0021263C" w:rsidRPr="003F16D1">
        <w:rPr>
          <w:rFonts w:ascii="Times New Roman" w:hAnsi="Times New Roman" w:cs="Times New Roman"/>
          <w:lang w:val="en-US"/>
        </w:rPr>
        <w:t>required</w:t>
      </w:r>
      <w:r w:rsidRPr="003F16D1">
        <w:rPr>
          <w:rFonts w:ascii="Times New Roman" w:hAnsi="Times New Roman" w:cs="Times New Roman"/>
          <w:lang w:val="en-US"/>
        </w:rPr>
        <w:t xml:space="preserve">, age, impairment, </w:t>
      </w:r>
      <w:r w:rsidR="00C32518" w:rsidRPr="003F16D1">
        <w:rPr>
          <w:rFonts w:ascii="Times New Roman" w:hAnsi="Times New Roman" w:cs="Times New Roman"/>
          <w:lang w:val="en-US"/>
        </w:rPr>
        <w:t>sex,</w:t>
      </w:r>
      <w:r w:rsidRPr="003F16D1">
        <w:rPr>
          <w:rFonts w:ascii="Times New Roman" w:hAnsi="Times New Roman" w:cs="Times New Roman"/>
          <w:lang w:val="en-US"/>
        </w:rPr>
        <w:t xml:space="preserve"> race, ethnicity, migration status, income or any other relevant category. </w:t>
      </w:r>
    </w:p>
    <w:p w:rsidR="00CD44E4" w:rsidRPr="003F16D1" w:rsidRDefault="00CD44E4" w:rsidP="00CD44E4">
      <w:pPr>
        <w:pStyle w:val="ListParagraph"/>
        <w:spacing w:before="120" w:after="120"/>
        <w:ind w:left="644"/>
        <w:jc w:val="both"/>
        <w:rPr>
          <w:rFonts w:ascii="Times New Roman" w:hAnsi="Times New Roman" w:cs="Times New Roman"/>
          <w:lang w:val="en-US"/>
        </w:rPr>
      </w:pPr>
    </w:p>
    <w:p w:rsidR="008552B4" w:rsidRPr="003F16D1" w:rsidRDefault="00283EFF" w:rsidP="00B6458C">
      <w:pPr>
        <w:pStyle w:val="ListParagraph"/>
        <w:numPr>
          <w:ilvl w:val="0"/>
          <w:numId w:val="2"/>
        </w:numPr>
        <w:spacing w:before="120" w:after="120"/>
        <w:ind w:firstLine="284"/>
        <w:jc w:val="both"/>
        <w:rPr>
          <w:rFonts w:ascii="Times New Roman" w:hAnsi="Times New Roman" w:cs="Times New Roman"/>
          <w:lang w:val="en-US"/>
        </w:rPr>
      </w:pPr>
      <w:r w:rsidRPr="003F16D1">
        <w:rPr>
          <w:rFonts w:ascii="Times New Roman" w:hAnsi="Times New Roman" w:cs="Times New Roman"/>
          <w:lang w:val="en-US"/>
        </w:rPr>
        <w:t>The right to live independently and be included in the community is deeply rooted within the normative framework of international human rights. The Universal Declaration of Human Rights stresses in article 29 (1) the interdependence of an individual’s personal development and the social aspect of being a part of the community: “Everyone has duties to the community in which alone the free and full development of his personality is possible”. Article 19 has its roots in civil and political as well as economic, social and cultural rights: The right to liberty of movement and freedom to choose one’s residence (art. 12 ICCPR)</w:t>
      </w:r>
      <w:r w:rsidR="00182276">
        <w:rPr>
          <w:rFonts w:ascii="Times New Roman" w:hAnsi="Times New Roman" w:cs="Times New Roman"/>
          <w:lang w:val="en-US"/>
        </w:rPr>
        <w:t xml:space="preserve"> </w:t>
      </w:r>
      <w:r w:rsidR="00182276" w:rsidRPr="002D2FB1">
        <w:rPr>
          <w:rFonts w:ascii="Times New Roman" w:hAnsi="Times New Roman" w:cs="Times New Roman"/>
          <w:lang w:val="en-US"/>
        </w:rPr>
        <w:t>and</w:t>
      </w:r>
      <w:r w:rsidR="00182276" w:rsidRPr="002D2FB1">
        <w:rPr>
          <w:rFonts w:ascii="Times New Roman" w:hAnsi="Times New Roman" w:cs="Times New Roman"/>
          <w:color w:val="FF0000"/>
          <w:lang w:val="en-US"/>
        </w:rPr>
        <w:t xml:space="preserve"> </w:t>
      </w:r>
      <w:r w:rsidR="00182276" w:rsidRPr="002D2FB1">
        <w:rPr>
          <w:rFonts w:ascii="Times New Roman" w:hAnsi="Times New Roman" w:cs="Times New Roman"/>
          <w:lang w:val="en-US"/>
        </w:rPr>
        <w:t>t</w:t>
      </w:r>
      <w:r w:rsidRPr="002D2FB1">
        <w:rPr>
          <w:rFonts w:ascii="Times New Roman" w:hAnsi="Times New Roman" w:cs="Times New Roman"/>
          <w:lang w:val="en-US"/>
        </w:rPr>
        <w:t>he</w:t>
      </w:r>
      <w:r w:rsidRPr="003F16D1">
        <w:rPr>
          <w:rFonts w:ascii="Times New Roman" w:hAnsi="Times New Roman" w:cs="Times New Roman"/>
          <w:lang w:val="en-US"/>
        </w:rPr>
        <w:t xml:space="preserve"> right to an adequate standard of living, including adequate clothing, food and housing (art. 11 ICESCR) both form the basis for the right to live independently and be included in the community. Both the liberty of movement as well as the right to an adequate standard of living, form indispensable conditions for human dignity and the free development of a person.</w:t>
      </w:r>
      <w:r w:rsidRPr="003F16D1">
        <w:rPr>
          <w:rStyle w:val="FootnoteReference"/>
          <w:rFonts w:ascii="Times New Roman" w:hAnsi="Times New Roman" w:cs="Times New Roman"/>
          <w:lang w:val="en-US"/>
        </w:rPr>
        <w:footnoteReference w:id="1"/>
      </w:r>
      <w:r w:rsidRPr="003F16D1">
        <w:rPr>
          <w:rFonts w:ascii="Times New Roman" w:hAnsi="Times New Roman" w:cs="Times New Roman"/>
          <w:lang w:val="en-US"/>
        </w:rPr>
        <w:t xml:space="preserve"> </w:t>
      </w:r>
    </w:p>
    <w:p w:rsidR="000176F3" w:rsidRPr="003F16D1" w:rsidRDefault="000176F3" w:rsidP="000176F3">
      <w:pPr>
        <w:pStyle w:val="ListParagraph"/>
        <w:spacing w:before="120" w:after="120"/>
        <w:ind w:left="644"/>
        <w:jc w:val="both"/>
        <w:rPr>
          <w:rFonts w:ascii="Times New Roman" w:hAnsi="Times New Roman" w:cs="Times New Roman"/>
          <w:lang w:val="en-US"/>
        </w:rPr>
      </w:pPr>
    </w:p>
    <w:p w:rsidR="003964D0" w:rsidRPr="003F16D1" w:rsidRDefault="003964D0" w:rsidP="006D1B42">
      <w:pPr>
        <w:pStyle w:val="ListParagraph"/>
        <w:numPr>
          <w:ilvl w:val="0"/>
          <w:numId w:val="2"/>
        </w:numPr>
        <w:spacing w:before="120" w:after="120"/>
        <w:ind w:firstLine="284"/>
        <w:jc w:val="both"/>
        <w:rPr>
          <w:rFonts w:ascii="Times New Roman" w:hAnsi="Times New Roman" w:cs="Times New Roman"/>
          <w:lang w:val="en-US"/>
        </w:rPr>
      </w:pPr>
      <w:r w:rsidRPr="003F16D1">
        <w:rPr>
          <w:rFonts w:ascii="Times New Roman" w:hAnsi="Times New Roman" w:cs="Times New Roman"/>
          <w:lang w:val="en-US"/>
        </w:rPr>
        <w:t>The Convention on the Elimination of Discrimination against Women</w:t>
      </w:r>
      <w:r w:rsidR="00503E88" w:rsidRPr="003F16D1">
        <w:rPr>
          <w:rFonts w:ascii="Times New Roman" w:hAnsi="Times New Roman" w:cs="Times New Roman"/>
          <w:lang w:val="en-US"/>
        </w:rPr>
        <w:t xml:space="preserve"> (CEDAW)</w:t>
      </w:r>
      <w:r w:rsidRPr="003F16D1">
        <w:rPr>
          <w:rFonts w:ascii="Times New Roman" w:hAnsi="Times New Roman" w:cs="Times New Roman"/>
          <w:lang w:val="en-US"/>
        </w:rPr>
        <w:t xml:space="preserve"> emphasizes the equality of women and men and condemns discrimination against women in all its forms (art.1). CEDAW reaffirms the equality between women and men concerning legal matters, including legal capacity and opportunities to exercise that capacity (art. 15 (2)). It also requests States parties to recognize the same rights with regard to the law relating to the movement of persons and the freedom to choose their residence and domicile (art. 15 (4)). </w:t>
      </w:r>
    </w:p>
    <w:p w:rsidR="003964D0" w:rsidRPr="003F16D1" w:rsidRDefault="003964D0" w:rsidP="003964D0">
      <w:pPr>
        <w:pStyle w:val="ListParagraph"/>
        <w:rPr>
          <w:rFonts w:ascii="Times New Roman" w:hAnsi="Times New Roman" w:cs="Times New Roman"/>
          <w:lang w:val="en-US"/>
        </w:rPr>
      </w:pPr>
    </w:p>
    <w:p w:rsidR="006D1B42" w:rsidRPr="003F16D1" w:rsidRDefault="003964D0" w:rsidP="006D1B42">
      <w:pPr>
        <w:pStyle w:val="ListParagraph"/>
        <w:numPr>
          <w:ilvl w:val="0"/>
          <w:numId w:val="2"/>
        </w:numPr>
        <w:spacing w:before="120" w:after="120"/>
        <w:ind w:firstLine="284"/>
        <w:jc w:val="both"/>
        <w:rPr>
          <w:rFonts w:ascii="Times New Roman" w:hAnsi="Times New Roman" w:cs="Times New Roman"/>
          <w:lang w:val="en-US"/>
        </w:rPr>
      </w:pPr>
      <w:r w:rsidRPr="003F16D1">
        <w:rPr>
          <w:rFonts w:ascii="Times New Roman" w:hAnsi="Times New Roman" w:cs="Times New Roman"/>
          <w:lang w:val="en-US"/>
        </w:rPr>
        <w:t xml:space="preserve"> </w:t>
      </w:r>
      <w:r w:rsidR="000176F3" w:rsidRPr="003F16D1">
        <w:rPr>
          <w:rFonts w:ascii="Times New Roman" w:hAnsi="Times New Roman" w:cs="Times New Roman"/>
          <w:lang w:val="en-US"/>
        </w:rPr>
        <w:t>Article 9 of the Convention on the Rights of the Child enshrines the right of children not to be separated from their parents unless it is necessary for the best interest of the child. Article 23 (1) further specifies that all children with disabilities should enjoy a life in dignity with conditions that promote self-reliance and facilitate</w:t>
      </w:r>
      <w:r w:rsidR="004A3D54" w:rsidRPr="003F16D1">
        <w:rPr>
          <w:rFonts w:ascii="Times New Roman" w:hAnsi="Times New Roman" w:cs="Times New Roman"/>
          <w:lang w:val="en-US"/>
        </w:rPr>
        <w:t>s</w:t>
      </w:r>
      <w:r w:rsidR="000176F3" w:rsidRPr="003F16D1">
        <w:rPr>
          <w:rFonts w:ascii="Times New Roman" w:hAnsi="Times New Roman" w:cs="Times New Roman"/>
          <w:lang w:val="en-US"/>
        </w:rPr>
        <w:t xml:space="preserve"> active participation in the community. In its </w:t>
      </w:r>
      <w:r w:rsidR="000176F3" w:rsidRPr="003F16D1">
        <w:rPr>
          <w:rFonts w:ascii="Times New Roman" w:hAnsi="Times New Roman" w:cs="Times New Roman"/>
          <w:lang w:val="en-US"/>
        </w:rPr>
        <w:lastRenderedPageBreak/>
        <w:t xml:space="preserve">General Comment No. 9, the Committee on the Rights of the Child also expresses its concern at the high number of children with disabilities placed in institutions and urges States parties to set up de-institutionalization programs for children with disabilities. </w:t>
      </w:r>
    </w:p>
    <w:p w:rsidR="006D1B42" w:rsidRPr="003F16D1" w:rsidRDefault="006D1B42" w:rsidP="006D1B42">
      <w:pPr>
        <w:pStyle w:val="ListParagraph"/>
        <w:rPr>
          <w:rFonts w:ascii="Times New Roman" w:hAnsi="Times New Roman" w:cs="Times New Roman"/>
          <w:lang w:val="en-US"/>
        </w:rPr>
      </w:pPr>
    </w:p>
    <w:p w:rsidR="008552B4" w:rsidRPr="003F16D1" w:rsidRDefault="00283EFF" w:rsidP="006D1B42">
      <w:pPr>
        <w:pStyle w:val="ListParagraph"/>
        <w:numPr>
          <w:ilvl w:val="0"/>
          <w:numId w:val="2"/>
        </w:numPr>
        <w:spacing w:before="120" w:after="120"/>
        <w:ind w:firstLine="284"/>
        <w:jc w:val="both"/>
        <w:rPr>
          <w:rFonts w:ascii="Times New Roman" w:hAnsi="Times New Roman" w:cs="Times New Roman"/>
          <w:lang w:val="en-US"/>
        </w:rPr>
      </w:pPr>
      <w:r w:rsidRPr="003F16D1">
        <w:rPr>
          <w:rFonts w:ascii="Times New Roman" w:hAnsi="Times New Roman" w:cs="Times New Roman"/>
          <w:lang w:val="en-US"/>
        </w:rPr>
        <w:t>In order for everyone to enjoy the right, the principle of non-discrimination is essential.</w:t>
      </w:r>
      <w:r w:rsidR="000176F3" w:rsidRPr="003F16D1">
        <w:rPr>
          <w:rFonts w:ascii="Times New Roman" w:hAnsi="Times New Roman" w:cs="Times New Roman"/>
          <w:lang w:val="en-US"/>
        </w:rPr>
        <w:t xml:space="preserve"> Equality and n</w:t>
      </w:r>
      <w:r w:rsidRPr="003F16D1">
        <w:rPr>
          <w:rFonts w:ascii="Times New Roman" w:hAnsi="Times New Roman" w:cs="Times New Roman"/>
          <w:lang w:val="en-US"/>
        </w:rPr>
        <w:t xml:space="preserve">on-discrimination are fundamental concepts of international human rights law and enshrined in all core human rights instruments. In its General Comment No. 5, the Committee on Economic, Social and Cultural </w:t>
      </w:r>
      <w:r w:rsidRPr="002D2FB1">
        <w:rPr>
          <w:rFonts w:ascii="Times New Roman" w:hAnsi="Times New Roman" w:cs="Times New Roman"/>
          <w:lang w:val="en-US"/>
        </w:rPr>
        <w:t>Rights highlights</w:t>
      </w:r>
      <w:r w:rsidRPr="003F16D1">
        <w:rPr>
          <w:rFonts w:ascii="Times New Roman" w:hAnsi="Times New Roman" w:cs="Times New Roman"/>
          <w:lang w:val="en-US"/>
        </w:rPr>
        <w:t xml:space="preserve"> that “segregation and isolation achieved through the imposition of social barriers” count as discrimination. It also stresses in relation to article 11 ICESCR that the right to an adequate standard of living not only includes having equal access to adequate food, accessible housing and other basic material </w:t>
      </w:r>
      <w:r w:rsidR="00AC7B9F" w:rsidRPr="003F16D1">
        <w:rPr>
          <w:rFonts w:ascii="Times New Roman" w:hAnsi="Times New Roman" w:cs="Times New Roman"/>
          <w:lang w:val="en-US"/>
        </w:rPr>
        <w:t>requirements,</w:t>
      </w:r>
      <w:r w:rsidRPr="003F16D1">
        <w:rPr>
          <w:rFonts w:ascii="Times New Roman" w:hAnsi="Times New Roman" w:cs="Times New Roman"/>
          <w:lang w:val="en-US"/>
        </w:rPr>
        <w:t xml:space="preserve"> but also the availability of support services and assistive devices which fully respect the human rights of persons with disabilities.</w:t>
      </w:r>
      <w:r w:rsidRPr="003F16D1">
        <w:rPr>
          <w:rStyle w:val="FootnoteReference"/>
          <w:rFonts w:ascii="Times New Roman" w:hAnsi="Times New Roman" w:cs="Times New Roman"/>
          <w:lang w:val="en-US"/>
        </w:rPr>
        <w:footnoteReference w:id="2"/>
      </w:r>
      <w:r w:rsidRPr="003F16D1">
        <w:rPr>
          <w:rFonts w:ascii="Times New Roman" w:hAnsi="Times New Roman" w:cs="Times New Roman"/>
          <w:lang w:val="en-US"/>
        </w:rPr>
        <w:t xml:space="preserve">   </w:t>
      </w:r>
    </w:p>
    <w:p w:rsidR="008552B4" w:rsidRPr="003F16D1" w:rsidRDefault="008552B4" w:rsidP="008552B4">
      <w:pPr>
        <w:pStyle w:val="ListParagraph"/>
        <w:spacing w:before="120" w:after="120"/>
        <w:ind w:left="644"/>
        <w:jc w:val="both"/>
        <w:rPr>
          <w:rFonts w:ascii="Times New Roman" w:hAnsi="Times New Roman" w:cs="Times New Roman"/>
          <w:lang w:val="en-US"/>
        </w:rPr>
      </w:pPr>
    </w:p>
    <w:p w:rsidR="00283EFF" w:rsidRPr="003F16D1" w:rsidRDefault="00283EFF" w:rsidP="00283EFF">
      <w:pPr>
        <w:pStyle w:val="ListParagraph"/>
        <w:numPr>
          <w:ilvl w:val="0"/>
          <w:numId w:val="2"/>
        </w:numPr>
        <w:spacing w:before="120" w:after="120"/>
        <w:ind w:firstLine="284"/>
        <w:jc w:val="both"/>
        <w:rPr>
          <w:rFonts w:ascii="Times New Roman" w:hAnsi="Times New Roman" w:cs="Times New Roman"/>
          <w:lang w:val="en-US"/>
        </w:rPr>
      </w:pPr>
      <w:r w:rsidRPr="003F16D1">
        <w:rPr>
          <w:rFonts w:ascii="Times New Roman" w:hAnsi="Times New Roman" w:cs="Times New Roman"/>
          <w:lang w:val="en-US"/>
        </w:rPr>
        <w:t xml:space="preserve">Article 19 and the content of this General Comment must also be understood in the light of The New Urban Agenda (Habitat III) and as an integral part of </w:t>
      </w:r>
      <w:r w:rsidR="006A4F56" w:rsidRPr="003F16D1">
        <w:rPr>
          <w:rFonts w:ascii="Times New Roman" w:hAnsi="Times New Roman" w:cs="Times New Roman"/>
          <w:lang w:val="en-US"/>
        </w:rPr>
        <w:t xml:space="preserve">2030 Development Agenda and </w:t>
      </w:r>
      <w:r w:rsidRPr="003F16D1">
        <w:rPr>
          <w:rFonts w:ascii="Times New Roman" w:hAnsi="Times New Roman" w:cs="Times New Roman"/>
          <w:lang w:val="en-US"/>
        </w:rPr>
        <w:t>Sustainable Development Goals (SDGs). The New Urban Agenda advocates a vision of cities and human settlements where all persons are able to enjoy equal rights and opportunities by promoting inclusive, just, safe, healthy, accessible, affordable, resilient and sustainable cities a</w:t>
      </w:r>
      <w:r w:rsidR="006A4F56" w:rsidRPr="003F16D1">
        <w:rPr>
          <w:rFonts w:ascii="Times New Roman" w:hAnsi="Times New Roman" w:cs="Times New Roman"/>
          <w:lang w:val="en-US"/>
        </w:rPr>
        <w:t>nd human settlements. The SDGs</w:t>
      </w:r>
      <w:r w:rsidR="00A7604F" w:rsidRPr="003F16D1">
        <w:rPr>
          <w:rFonts w:ascii="Times New Roman" w:hAnsi="Times New Roman" w:cs="Times New Roman"/>
          <w:lang w:val="en-US"/>
        </w:rPr>
        <w:t>,</w:t>
      </w:r>
      <w:r w:rsidR="006A4F56" w:rsidRPr="003F16D1">
        <w:rPr>
          <w:rFonts w:ascii="Times New Roman" w:hAnsi="Times New Roman" w:cs="Times New Roman"/>
          <w:lang w:val="en-US"/>
        </w:rPr>
        <w:t xml:space="preserve"> </w:t>
      </w:r>
      <w:r w:rsidRPr="003F16D1">
        <w:rPr>
          <w:rFonts w:ascii="Times New Roman" w:hAnsi="Times New Roman" w:cs="Times New Roman"/>
          <w:lang w:val="en-US"/>
        </w:rPr>
        <w:t>referencing the p</w:t>
      </w:r>
      <w:r w:rsidR="006A4F56" w:rsidRPr="003F16D1">
        <w:rPr>
          <w:rFonts w:ascii="Times New Roman" w:hAnsi="Times New Roman" w:cs="Times New Roman"/>
          <w:lang w:val="en-US"/>
        </w:rPr>
        <w:t>rinciples of accessibility and universal d</w:t>
      </w:r>
      <w:r w:rsidRPr="003F16D1">
        <w:rPr>
          <w:rFonts w:ascii="Times New Roman" w:hAnsi="Times New Roman" w:cs="Times New Roman"/>
          <w:lang w:val="en-US"/>
        </w:rPr>
        <w:t xml:space="preserve">esign, contain 13 goals and 7 targets which make specific references to persons with disabilities. In connection with article 19 </w:t>
      </w:r>
      <w:r w:rsidR="00DE4195" w:rsidRPr="003F16D1">
        <w:rPr>
          <w:rFonts w:ascii="Times New Roman" w:hAnsi="Times New Roman" w:cs="Times New Roman"/>
          <w:lang w:val="en-US"/>
        </w:rPr>
        <w:t xml:space="preserve">of the Convention, </w:t>
      </w:r>
      <w:r w:rsidRPr="003F16D1">
        <w:rPr>
          <w:rFonts w:ascii="Times New Roman" w:hAnsi="Times New Roman" w:cs="Times New Roman"/>
          <w:lang w:val="en-US"/>
        </w:rPr>
        <w:t xml:space="preserve">target 10.2, empowerment and promotion of social, economic, political inclusion for all and target 11.1, ensuring access to adequate, safe and affordable housing and affordable services for all, are of special importance.  </w:t>
      </w:r>
    </w:p>
    <w:p w:rsidR="0087587D" w:rsidRPr="003F16D1" w:rsidRDefault="0087587D" w:rsidP="0087587D">
      <w:pPr>
        <w:pStyle w:val="ListParagraph"/>
        <w:spacing w:before="120" w:after="120"/>
        <w:ind w:left="644"/>
        <w:jc w:val="both"/>
        <w:rPr>
          <w:rFonts w:ascii="Times New Roman" w:hAnsi="Times New Roman" w:cs="Times New Roman"/>
          <w:lang w:val="en-US"/>
        </w:rPr>
      </w:pPr>
    </w:p>
    <w:p w:rsidR="00B6458C" w:rsidRPr="003F16D1" w:rsidRDefault="00493945" w:rsidP="00493945">
      <w:pPr>
        <w:pStyle w:val="ListParagraph"/>
        <w:numPr>
          <w:ilvl w:val="0"/>
          <w:numId w:val="2"/>
        </w:numPr>
        <w:spacing w:before="120" w:after="120"/>
        <w:ind w:firstLine="284"/>
        <w:jc w:val="both"/>
        <w:rPr>
          <w:rFonts w:ascii="Times New Roman" w:hAnsi="Times New Roman" w:cs="Times New Roman"/>
          <w:lang w:val="en-US"/>
        </w:rPr>
      </w:pPr>
      <w:r w:rsidRPr="003F16D1">
        <w:rPr>
          <w:rFonts w:ascii="Times New Roman" w:hAnsi="Times New Roman" w:cs="Times New Roman"/>
          <w:lang w:val="en-US"/>
        </w:rPr>
        <w:t xml:space="preserve">The Committee on the Rights of Persons with Disabilities has noted </w:t>
      </w:r>
      <w:r w:rsidR="00283EFF" w:rsidRPr="003F16D1">
        <w:rPr>
          <w:rFonts w:ascii="Times New Roman" w:hAnsi="Times New Roman" w:cs="Times New Roman"/>
          <w:lang w:val="en-US"/>
        </w:rPr>
        <w:t>significant advancements</w:t>
      </w:r>
      <w:r w:rsidRPr="003F16D1">
        <w:rPr>
          <w:rFonts w:ascii="Times New Roman" w:hAnsi="Times New Roman" w:cs="Times New Roman"/>
          <w:lang w:val="en-US"/>
        </w:rPr>
        <w:t xml:space="preserve"> in the past decade concerning the implementation of article 19. However, </w:t>
      </w:r>
      <w:r w:rsidR="00283EFF" w:rsidRPr="003F16D1">
        <w:rPr>
          <w:rFonts w:ascii="Times New Roman" w:hAnsi="Times New Roman" w:cs="Times New Roman"/>
          <w:lang w:val="en-US"/>
        </w:rPr>
        <w:t xml:space="preserve">the Committee continues to observe a clear gap between the </w:t>
      </w:r>
      <w:r w:rsidRPr="003F16D1">
        <w:rPr>
          <w:rFonts w:ascii="Times New Roman" w:hAnsi="Times New Roman" w:cs="Times New Roman"/>
          <w:lang w:val="en-US"/>
        </w:rPr>
        <w:t>goals</w:t>
      </w:r>
      <w:r w:rsidR="00283EFF" w:rsidRPr="003F16D1">
        <w:rPr>
          <w:rFonts w:ascii="Times New Roman" w:hAnsi="Times New Roman" w:cs="Times New Roman"/>
          <w:lang w:val="en-US"/>
        </w:rPr>
        <w:t xml:space="preserve"> and spirit of article 19 and the scope of its implementation. Some of the </w:t>
      </w:r>
      <w:r w:rsidRPr="003F16D1">
        <w:rPr>
          <w:rFonts w:ascii="Times New Roman" w:hAnsi="Times New Roman" w:cs="Times New Roman"/>
          <w:lang w:val="en-US"/>
        </w:rPr>
        <w:t>remaining barriers</w:t>
      </w:r>
      <w:r w:rsidR="00283EFF" w:rsidRPr="003F16D1">
        <w:rPr>
          <w:rFonts w:ascii="Times New Roman" w:hAnsi="Times New Roman" w:cs="Times New Roman"/>
          <w:lang w:val="en-US"/>
        </w:rPr>
        <w:t xml:space="preserve"> are</w:t>
      </w:r>
      <w:r w:rsidR="00A22E45" w:rsidRPr="003F16D1">
        <w:rPr>
          <w:rFonts w:ascii="Times New Roman" w:hAnsi="Times New Roman" w:cs="Times New Roman"/>
          <w:lang w:val="en-US"/>
        </w:rPr>
        <w:t xml:space="preserve"> the following</w:t>
      </w:r>
      <w:r w:rsidR="0087587D" w:rsidRPr="003F16D1">
        <w:rPr>
          <w:rFonts w:ascii="Times New Roman" w:hAnsi="Times New Roman" w:cs="Times New Roman"/>
          <w:lang w:val="en-US"/>
        </w:rPr>
        <w:t>:</w:t>
      </w:r>
    </w:p>
    <w:p w:rsidR="00B6458C" w:rsidRPr="003F16D1" w:rsidRDefault="00B6458C" w:rsidP="00B6458C">
      <w:pPr>
        <w:pStyle w:val="ListParagraph"/>
        <w:spacing w:before="120" w:after="120"/>
        <w:ind w:left="644"/>
        <w:jc w:val="both"/>
        <w:rPr>
          <w:rFonts w:ascii="Times New Roman" w:hAnsi="Times New Roman" w:cs="Times New Roman"/>
          <w:lang w:val="en-US"/>
        </w:rPr>
      </w:pPr>
    </w:p>
    <w:p w:rsidR="00283EFF" w:rsidRPr="003F16D1" w:rsidRDefault="0087587D" w:rsidP="00283EFF">
      <w:pPr>
        <w:pStyle w:val="ListParagraph"/>
        <w:numPr>
          <w:ilvl w:val="2"/>
          <w:numId w:val="3"/>
        </w:numPr>
        <w:spacing w:before="120" w:after="120"/>
        <w:jc w:val="both"/>
        <w:rPr>
          <w:rFonts w:ascii="Times New Roman" w:hAnsi="Times New Roman" w:cs="Times New Roman"/>
          <w:lang w:val="en-US"/>
        </w:rPr>
      </w:pPr>
      <w:r w:rsidRPr="003F16D1">
        <w:rPr>
          <w:rFonts w:ascii="Times New Roman" w:hAnsi="Times New Roman" w:cs="Times New Roman"/>
          <w:lang w:val="en-US"/>
        </w:rPr>
        <w:t>D</w:t>
      </w:r>
      <w:r w:rsidR="00283EFF" w:rsidRPr="003F16D1">
        <w:rPr>
          <w:rFonts w:ascii="Times New Roman" w:hAnsi="Times New Roman" w:cs="Times New Roman"/>
          <w:lang w:val="en-US"/>
        </w:rPr>
        <w:t>enial of legal capacity</w:t>
      </w:r>
      <w:r w:rsidR="00A7604F" w:rsidRPr="003F16D1">
        <w:rPr>
          <w:rFonts w:ascii="Times New Roman" w:hAnsi="Times New Roman" w:cs="Times New Roman"/>
          <w:lang w:val="en-US"/>
        </w:rPr>
        <w:t>,</w:t>
      </w:r>
      <w:r w:rsidR="00283EFF" w:rsidRPr="003F16D1">
        <w:rPr>
          <w:rFonts w:ascii="Times New Roman" w:hAnsi="Times New Roman" w:cs="Times New Roman"/>
          <w:lang w:val="en-US"/>
        </w:rPr>
        <w:t xml:space="preserve"> either through formal laws and practices or de facto by substitute decision-making concerning decisions about the living arrangements of persons with disabilities (interrelation with article 12)</w:t>
      </w:r>
      <w:r w:rsidR="005D2C39" w:rsidRPr="003F16D1">
        <w:rPr>
          <w:rFonts w:ascii="Times New Roman" w:hAnsi="Times New Roman" w:cs="Times New Roman"/>
          <w:lang w:val="en-US"/>
        </w:rPr>
        <w:t>;</w:t>
      </w:r>
    </w:p>
    <w:p w:rsidR="00283EFF" w:rsidRPr="003F16D1" w:rsidRDefault="0087587D" w:rsidP="00283EFF">
      <w:pPr>
        <w:pStyle w:val="ListParagraph"/>
        <w:numPr>
          <w:ilvl w:val="2"/>
          <w:numId w:val="3"/>
        </w:numPr>
        <w:spacing w:before="120" w:after="120"/>
        <w:jc w:val="both"/>
        <w:rPr>
          <w:rFonts w:ascii="Times New Roman" w:hAnsi="Times New Roman" w:cs="Times New Roman"/>
          <w:lang w:val="en-US"/>
        </w:rPr>
      </w:pPr>
      <w:r w:rsidRPr="003F16D1">
        <w:rPr>
          <w:rFonts w:ascii="Times New Roman" w:hAnsi="Times New Roman" w:cs="Times New Roman"/>
          <w:lang w:val="en-US"/>
        </w:rPr>
        <w:t>I</w:t>
      </w:r>
      <w:r w:rsidR="00283EFF" w:rsidRPr="003F16D1">
        <w:rPr>
          <w:rFonts w:ascii="Times New Roman" w:hAnsi="Times New Roman" w:cs="Times New Roman"/>
          <w:lang w:val="en-US"/>
        </w:rPr>
        <w:t>nadequacy of social support and protection schemes for ensuring independent and community living (interrelation with article 28)</w:t>
      </w:r>
      <w:r w:rsidR="005D2C39" w:rsidRPr="003F16D1">
        <w:rPr>
          <w:rFonts w:ascii="Times New Roman" w:hAnsi="Times New Roman" w:cs="Times New Roman"/>
          <w:lang w:val="en-US"/>
        </w:rPr>
        <w:t>;</w:t>
      </w:r>
    </w:p>
    <w:p w:rsidR="00283EFF" w:rsidRPr="003F16D1" w:rsidRDefault="0087587D" w:rsidP="00283EFF">
      <w:pPr>
        <w:pStyle w:val="ListParagraph"/>
        <w:numPr>
          <w:ilvl w:val="2"/>
          <w:numId w:val="3"/>
        </w:numPr>
        <w:spacing w:before="120" w:after="120"/>
        <w:jc w:val="both"/>
        <w:rPr>
          <w:rFonts w:ascii="Times New Roman" w:hAnsi="Times New Roman" w:cs="Times New Roman"/>
          <w:lang w:val="en-US"/>
        </w:rPr>
      </w:pPr>
      <w:r w:rsidRPr="003F16D1">
        <w:rPr>
          <w:rFonts w:ascii="Times New Roman" w:hAnsi="Times New Roman" w:cs="Times New Roman"/>
          <w:lang w:val="en-US"/>
        </w:rPr>
        <w:t>I</w:t>
      </w:r>
      <w:r w:rsidR="00283EFF" w:rsidRPr="003F16D1">
        <w:rPr>
          <w:rFonts w:ascii="Times New Roman" w:hAnsi="Times New Roman" w:cs="Times New Roman"/>
          <w:lang w:val="en-US"/>
        </w:rPr>
        <w:t>nadequacy of legal frameworks and budget allocations aimed at providing personal assistance and individualized support</w:t>
      </w:r>
      <w:r w:rsidR="005D2C39" w:rsidRPr="003F16D1">
        <w:rPr>
          <w:rFonts w:ascii="Times New Roman" w:hAnsi="Times New Roman" w:cs="Times New Roman"/>
          <w:lang w:val="en-US"/>
        </w:rPr>
        <w:t>;</w:t>
      </w:r>
    </w:p>
    <w:p w:rsidR="00283EFF" w:rsidRPr="003F16D1" w:rsidRDefault="0087587D" w:rsidP="00283EFF">
      <w:pPr>
        <w:pStyle w:val="ListParagraph"/>
        <w:numPr>
          <w:ilvl w:val="2"/>
          <w:numId w:val="3"/>
        </w:numPr>
        <w:spacing w:before="120" w:after="120"/>
        <w:jc w:val="both"/>
        <w:rPr>
          <w:rFonts w:ascii="Times New Roman" w:hAnsi="Times New Roman" w:cs="Times New Roman"/>
          <w:lang w:val="en-US"/>
        </w:rPr>
      </w:pPr>
      <w:r w:rsidRPr="003F16D1">
        <w:rPr>
          <w:rFonts w:ascii="Times New Roman" w:hAnsi="Times New Roman" w:cs="Times New Roman"/>
          <w:lang w:val="en-US"/>
        </w:rPr>
        <w:t>P</w:t>
      </w:r>
      <w:r w:rsidR="00283EFF" w:rsidRPr="003F16D1">
        <w:rPr>
          <w:rFonts w:ascii="Times New Roman" w:hAnsi="Times New Roman" w:cs="Times New Roman"/>
          <w:lang w:val="en-US"/>
        </w:rPr>
        <w:t>hysical and regulatory institutionalization</w:t>
      </w:r>
      <w:r w:rsidR="008477ED" w:rsidRPr="003F16D1">
        <w:rPr>
          <w:rFonts w:ascii="Times New Roman" w:hAnsi="Times New Roman" w:cs="Times New Roman"/>
          <w:lang w:val="en-US"/>
        </w:rPr>
        <w:t>, including of children</w:t>
      </w:r>
      <w:r w:rsidR="00283EFF" w:rsidRPr="003F16D1">
        <w:rPr>
          <w:rFonts w:ascii="Times New Roman" w:hAnsi="Times New Roman" w:cs="Times New Roman"/>
          <w:lang w:val="en-US"/>
        </w:rPr>
        <w:t xml:space="preserve"> and forced treatment in all its forms (interrelation with article 14)</w:t>
      </w:r>
      <w:r w:rsidR="005D2C39" w:rsidRPr="003F16D1">
        <w:rPr>
          <w:rFonts w:ascii="Times New Roman" w:hAnsi="Times New Roman" w:cs="Times New Roman"/>
          <w:lang w:val="en-US"/>
        </w:rPr>
        <w:t>;</w:t>
      </w:r>
    </w:p>
    <w:p w:rsidR="00AF19FA" w:rsidRPr="003F16D1" w:rsidRDefault="00AF19FA" w:rsidP="00283EFF">
      <w:pPr>
        <w:pStyle w:val="ListParagraph"/>
        <w:numPr>
          <w:ilvl w:val="2"/>
          <w:numId w:val="3"/>
        </w:numPr>
        <w:spacing w:before="120" w:after="120"/>
        <w:jc w:val="both"/>
        <w:rPr>
          <w:rFonts w:ascii="Times New Roman" w:hAnsi="Times New Roman" w:cs="Times New Roman"/>
          <w:lang w:val="en-US"/>
        </w:rPr>
      </w:pPr>
      <w:r w:rsidRPr="003F16D1">
        <w:rPr>
          <w:rFonts w:ascii="Times New Roman" w:hAnsi="Times New Roman" w:cs="Times New Roman"/>
          <w:lang w:val="en-US"/>
        </w:rPr>
        <w:t>Lack of deinstitutionalization strategies and plans;</w:t>
      </w:r>
    </w:p>
    <w:p w:rsidR="00B716A3" w:rsidRPr="003F16D1" w:rsidRDefault="00B716A3" w:rsidP="00B716A3">
      <w:pPr>
        <w:pStyle w:val="ListParagraph"/>
        <w:numPr>
          <w:ilvl w:val="2"/>
          <w:numId w:val="3"/>
        </w:numPr>
        <w:spacing w:before="120" w:after="120"/>
        <w:jc w:val="both"/>
        <w:rPr>
          <w:rFonts w:ascii="Times New Roman" w:hAnsi="Times New Roman" w:cs="Times New Roman"/>
          <w:lang w:val="en-US"/>
        </w:rPr>
      </w:pPr>
      <w:r w:rsidRPr="003F16D1">
        <w:rPr>
          <w:rFonts w:ascii="Times New Roman" w:hAnsi="Times New Roman" w:cs="Times New Roman"/>
          <w:lang w:val="en-US"/>
        </w:rPr>
        <w:t xml:space="preserve">Negative attitudes, stigma and stereotypes that prevent persons with disabilities from being included in the community </w:t>
      </w:r>
      <w:r w:rsidR="005D2C39" w:rsidRPr="003F16D1">
        <w:rPr>
          <w:rFonts w:ascii="Times New Roman" w:hAnsi="Times New Roman" w:cs="Times New Roman"/>
          <w:lang w:val="en-US"/>
        </w:rPr>
        <w:t>and accessing available support;</w:t>
      </w:r>
    </w:p>
    <w:p w:rsidR="00A00CD8" w:rsidRPr="003F16D1" w:rsidRDefault="00A00CD8" w:rsidP="00B716A3">
      <w:pPr>
        <w:pStyle w:val="ListParagraph"/>
        <w:numPr>
          <w:ilvl w:val="2"/>
          <w:numId w:val="3"/>
        </w:numPr>
        <w:spacing w:before="120" w:after="120"/>
        <w:jc w:val="both"/>
        <w:rPr>
          <w:rFonts w:ascii="Times New Roman" w:hAnsi="Times New Roman" w:cs="Times New Roman"/>
          <w:lang w:val="en-US"/>
        </w:rPr>
      </w:pPr>
      <w:r w:rsidRPr="003F16D1">
        <w:rPr>
          <w:rFonts w:ascii="Times New Roman" w:hAnsi="Times New Roman" w:cs="Times New Roman"/>
          <w:lang w:val="en-US"/>
        </w:rPr>
        <w:t>Misconceptions about independent living and culture;</w:t>
      </w:r>
    </w:p>
    <w:p w:rsidR="00283EFF" w:rsidRPr="003F16D1" w:rsidRDefault="0087587D" w:rsidP="00283EFF">
      <w:pPr>
        <w:pStyle w:val="ListParagraph"/>
        <w:numPr>
          <w:ilvl w:val="2"/>
          <w:numId w:val="3"/>
        </w:numPr>
        <w:spacing w:before="120" w:after="120"/>
        <w:jc w:val="both"/>
        <w:rPr>
          <w:rFonts w:ascii="Times New Roman" w:hAnsi="Times New Roman" w:cs="Times New Roman"/>
          <w:lang w:val="en-US"/>
        </w:rPr>
      </w:pPr>
      <w:r w:rsidRPr="003F16D1">
        <w:rPr>
          <w:rFonts w:ascii="Times New Roman" w:hAnsi="Times New Roman" w:cs="Times New Roman"/>
          <w:lang w:val="en-US"/>
        </w:rPr>
        <w:t>L</w:t>
      </w:r>
      <w:r w:rsidR="00283EFF" w:rsidRPr="003F16D1">
        <w:rPr>
          <w:rFonts w:ascii="Times New Roman" w:hAnsi="Times New Roman" w:cs="Times New Roman"/>
          <w:lang w:val="en-US"/>
        </w:rPr>
        <w:t xml:space="preserve">ack of available, acceptable, affordable, adaptable and accessible services and facilities within the community, such as transport, health care, schools, </w:t>
      </w:r>
      <w:r w:rsidR="009C62A2" w:rsidRPr="003F16D1">
        <w:rPr>
          <w:rFonts w:ascii="Times New Roman" w:hAnsi="Times New Roman" w:cs="Times New Roman"/>
          <w:lang w:val="en-US"/>
        </w:rPr>
        <w:t>public parks</w:t>
      </w:r>
      <w:r w:rsidR="00FA7D68" w:rsidRPr="003F16D1">
        <w:rPr>
          <w:rFonts w:ascii="Times New Roman" w:hAnsi="Times New Roman" w:cs="Times New Roman"/>
          <w:lang w:val="en-US"/>
        </w:rPr>
        <w:t>/spaces</w:t>
      </w:r>
      <w:r w:rsidR="009C62A2" w:rsidRPr="003F16D1">
        <w:rPr>
          <w:rFonts w:ascii="Times New Roman" w:hAnsi="Times New Roman" w:cs="Times New Roman"/>
          <w:lang w:val="en-US"/>
        </w:rPr>
        <w:t xml:space="preserve">, </w:t>
      </w:r>
      <w:r w:rsidR="00283EFF" w:rsidRPr="003F16D1">
        <w:rPr>
          <w:rFonts w:ascii="Times New Roman" w:hAnsi="Times New Roman" w:cs="Times New Roman"/>
          <w:lang w:val="en-US"/>
        </w:rPr>
        <w:t>housing, theatres, cinemas, shops and public buildings</w:t>
      </w:r>
      <w:r w:rsidR="005D2C39" w:rsidRPr="003F16D1">
        <w:rPr>
          <w:rFonts w:ascii="Times New Roman" w:hAnsi="Times New Roman" w:cs="Times New Roman"/>
          <w:lang w:val="en-US"/>
        </w:rPr>
        <w:t>;</w:t>
      </w:r>
      <w:r w:rsidR="00283EFF" w:rsidRPr="003F16D1">
        <w:rPr>
          <w:rFonts w:ascii="Times New Roman" w:hAnsi="Times New Roman" w:cs="Times New Roman"/>
          <w:lang w:val="en-US"/>
        </w:rPr>
        <w:t xml:space="preserve"> </w:t>
      </w:r>
    </w:p>
    <w:p w:rsidR="00283EFF" w:rsidRPr="003F16D1" w:rsidRDefault="0087587D" w:rsidP="00283EFF">
      <w:pPr>
        <w:pStyle w:val="ListParagraph"/>
        <w:numPr>
          <w:ilvl w:val="2"/>
          <w:numId w:val="3"/>
        </w:numPr>
        <w:spacing w:before="120" w:after="120"/>
        <w:jc w:val="both"/>
        <w:rPr>
          <w:rFonts w:ascii="Times New Roman" w:hAnsi="Times New Roman" w:cs="Times New Roman"/>
          <w:lang w:val="en-US"/>
        </w:rPr>
      </w:pPr>
      <w:r w:rsidRPr="003F16D1">
        <w:rPr>
          <w:rFonts w:ascii="Times New Roman" w:hAnsi="Times New Roman" w:cs="Times New Roman"/>
          <w:lang w:val="en-US"/>
        </w:rPr>
        <w:lastRenderedPageBreak/>
        <w:t>L</w:t>
      </w:r>
      <w:r w:rsidR="00283EFF" w:rsidRPr="003F16D1">
        <w:rPr>
          <w:rFonts w:ascii="Times New Roman" w:hAnsi="Times New Roman" w:cs="Times New Roman"/>
          <w:lang w:val="en-US"/>
        </w:rPr>
        <w:t>ack of adequate monitoring mechanisms for ensuring the appropriate implementation of article 19, including the participation of representative organizations of persons with disabilities</w:t>
      </w:r>
      <w:r w:rsidR="005D2C39" w:rsidRPr="003F16D1">
        <w:rPr>
          <w:rFonts w:ascii="Times New Roman" w:hAnsi="Times New Roman" w:cs="Times New Roman"/>
          <w:lang w:val="en-US"/>
        </w:rPr>
        <w:t>;</w:t>
      </w:r>
    </w:p>
    <w:p w:rsidR="00283EFF" w:rsidRPr="003F16D1" w:rsidRDefault="0087587D" w:rsidP="00283EFF">
      <w:pPr>
        <w:pStyle w:val="ListParagraph"/>
        <w:numPr>
          <w:ilvl w:val="2"/>
          <w:numId w:val="3"/>
        </w:numPr>
        <w:spacing w:before="120" w:after="120"/>
        <w:jc w:val="both"/>
        <w:rPr>
          <w:rFonts w:ascii="Times New Roman" w:hAnsi="Times New Roman" w:cs="Times New Roman"/>
          <w:lang w:val="en-US"/>
        </w:rPr>
      </w:pPr>
      <w:r w:rsidRPr="003F16D1">
        <w:rPr>
          <w:rFonts w:ascii="Times New Roman" w:hAnsi="Times New Roman" w:cs="Times New Roman"/>
          <w:lang w:val="en-US"/>
        </w:rPr>
        <w:t>I</w:t>
      </w:r>
      <w:r w:rsidR="00283EFF" w:rsidRPr="003F16D1">
        <w:rPr>
          <w:rFonts w:ascii="Times New Roman" w:hAnsi="Times New Roman" w:cs="Times New Roman"/>
          <w:lang w:val="en-US"/>
        </w:rPr>
        <w:t>nsufficient mainstreaming of disability in general budget allocations</w:t>
      </w:r>
      <w:r w:rsidR="005D2C39" w:rsidRPr="003F16D1">
        <w:rPr>
          <w:rFonts w:ascii="Times New Roman" w:hAnsi="Times New Roman" w:cs="Times New Roman"/>
          <w:lang w:val="en-US"/>
        </w:rPr>
        <w:t>; and</w:t>
      </w:r>
    </w:p>
    <w:p w:rsidR="00283EFF" w:rsidRPr="003F16D1" w:rsidRDefault="0087587D" w:rsidP="00283EFF">
      <w:pPr>
        <w:pStyle w:val="ListParagraph"/>
        <w:numPr>
          <w:ilvl w:val="2"/>
          <w:numId w:val="3"/>
        </w:numPr>
        <w:spacing w:before="120" w:after="120"/>
        <w:jc w:val="both"/>
        <w:rPr>
          <w:rFonts w:ascii="Times New Roman" w:hAnsi="Times New Roman" w:cs="Times New Roman"/>
          <w:lang w:val="en-US"/>
        </w:rPr>
      </w:pPr>
      <w:r w:rsidRPr="003F16D1">
        <w:rPr>
          <w:rFonts w:ascii="Times New Roman" w:hAnsi="Times New Roman" w:cs="Times New Roman"/>
          <w:lang w:val="en-US"/>
        </w:rPr>
        <w:t>D</w:t>
      </w:r>
      <w:r w:rsidR="00283EFF" w:rsidRPr="003F16D1">
        <w:rPr>
          <w:rFonts w:ascii="Times New Roman" w:hAnsi="Times New Roman" w:cs="Times New Roman"/>
          <w:lang w:val="en-US"/>
        </w:rPr>
        <w:t>ecentralization</w:t>
      </w:r>
      <w:r w:rsidR="00FA7D68" w:rsidRPr="003F16D1">
        <w:rPr>
          <w:rFonts w:ascii="Times New Roman" w:hAnsi="Times New Roman" w:cs="Times New Roman"/>
          <w:lang w:val="en-US"/>
        </w:rPr>
        <w:t>,</w:t>
      </w:r>
      <w:r w:rsidR="00283EFF" w:rsidRPr="003F16D1">
        <w:rPr>
          <w:rFonts w:ascii="Times New Roman" w:hAnsi="Times New Roman" w:cs="Times New Roman"/>
          <w:lang w:val="en-US"/>
        </w:rPr>
        <w:t xml:space="preserve"> resulting in disparities between local authorities and unequal chances of independent and community living in a State party (inappropriate implementation of article 4 (5)). </w:t>
      </w:r>
    </w:p>
    <w:p w:rsidR="00642674" w:rsidRPr="003F16D1" w:rsidRDefault="00642674" w:rsidP="00642674">
      <w:pPr>
        <w:spacing w:before="120" w:after="120"/>
        <w:ind w:left="720"/>
        <w:jc w:val="both"/>
        <w:rPr>
          <w:rFonts w:ascii="Times New Roman" w:hAnsi="Times New Roman" w:cs="Times New Roman"/>
          <w:lang w:val="en-US"/>
        </w:rPr>
      </w:pPr>
    </w:p>
    <w:p w:rsidR="00F81B94" w:rsidRPr="003F16D1" w:rsidRDefault="00283EFF" w:rsidP="00F81B94">
      <w:pPr>
        <w:pStyle w:val="Heading1"/>
        <w:numPr>
          <w:ilvl w:val="0"/>
          <w:numId w:val="1"/>
        </w:numPr>
        <w:rPr>
          <w:color w:val="auto"/>
        </w:rPr>
      </w:pPr>
      <w:r w:rsidRPr="003F16D1">
        <w:rPr>
          <w:color w:val="auto"/>
        </w:rPr>
        <w:t>Normative content of article 19</w:t>
      </w:r>
    </w:p>
    <w:p w:rsidR="00F81B94" w:rsidRPr="003F16D1" w:rsidRDefault="00F81B94" w:rsidP="00F81B94">
      <w:pPr>
        <w:pStyle w:val="ListParagraph"/>
        <w:numPr>
          <w:ilvl w:val="0"/>
          <w:numId w:val="8"/>
        </w:numPr>
        <w:rPr>
          <w:rFonts w:ascii="Times New Roman" w:hAnsi="Times New Roman" w:cs="Times New Roman"/>
          <w:b/>
          <w:sz w:val="24"/>
          <w:szCs w:val="24"/>
          <w:lang w:val="en-US"/>
        </w:rPr>
      </w:pPr>
      <w:r w:rsidRPr="003F16D1">
        <w:rPr>
          <w:rFonts w:ascii="Times New Roman" w:hAnsi="Times New Roman" w:cs="Times New Roman"/>
          <w:b/>
          <w:sz w:val="24"/>
          <w:szCs w:val="24"/>
          <w:lang w:val="en-US"/>
        </w:rPr>
        <w:t>Definitions</w:t>
      </w:r>
    </w:p>
    <w:p w:rsidR="00F81B94" w:rsidRPr="003F16D1" w:rsidRDefault="00F81B94" w:rsidP="00F81B94">
      <w:pPr>
        <w:pStyle w:val="ListParagraph"/>
        <w:ind w:left="1428"/>
        <w:rPr>
          <w:rFonts w:ascii="Times New Roman" w:hAnsi="Times New Roman" w:cs="Times New Roman"/>
          <w:b/>
          <w:sz w:val="24"/>
          <w:szCs w:val="24"/>
          <w:lang w:val="en-US"/>
        </w:rPr>
      </w:pPr>
    </w:p>
    <w:p w:rsidR="00283EFF" w:rsidRPr="003F16D1" w:rsidRDefault="00283EFF" w:rsidP="00DC39F4">
      <w:pPr>
        <w:pStyle w:val="ListParagraph"/>
        <w:numPr>
          <w:ilvl w:val="0"/>
          <w:numId w:val="2"/>
        </w:numPr>
        <w:spacing w:before="120" w:after="120"/>
        <w:ind w:firstLine="357"/>
        <w:jc w:val="both"/>
        <w:rPr>
          <w:rFonts w:ascii="Times New Roman" w:hAnsi="Times New Roman" w:cs="Times New Roman"/>
          <w:b/>
          <w:lang w:val="en-US"/>
        </w:rPr>
      </w:pPr>
      <w:r w:rsidRPr="003F16D1">
        <w:rPr>
          <w:rFonts w:ascii="Times New Roman" w:hAnsi="Times New Roman" w:cs="Times New Roman"/>
          <w:lang w:val="en-US"/>
        </w:rPr>
        <w:t xml:space="preserve">In order </w:t>
      </w:r>
      <w:r w:rsidRPr="00E25805">
        <w:rPr>
          <w:rFonts w:ascii="Times New Roman" w:hAnsi="Times New Roman" w:cs="Times New Roman"/>
          <w:lang w:val="en-US"/>
        </w:rPr>
        <w:t xml:space="preserve">to </w:t>
      </w:r>
      <w:r w:rsidR="00AF0FA0">
        <w:rPr>
          <w:rFonts w:ascii="Times New Roman" w:hAnsi="Times New Roman" w:cs="Times New Roman"/>
          <w:lang w:val="en-US"/>
        </w:rPr>
        <w:t>realise</w:t>
      </w:r>
      <w:r w:rsidR="007F5EB4">
        <w:rPr>
          <w:rFonts w:ascii="Times New Roman" w:hAnsi="Times New Roman" w:cs="Times New Roman"/>
          <w:lang w:val="en-US"/>
        </w:rPr>
        <w:t xml:space="preserve"> </w:t>
      </w:r>
      <w:r w:rsidRPr="003F16D1">
        <w:rPr>
          <w:rFonts w:ascii="Times New Roman" w:hAnsi="Times New Roman" w:cs="Times New Roman"/>
          <w:lang w:val="en-US"/>
        </w:rPr>
        <w:t>a</w:t>
      </w:r>
      <w:r w:rsidR="00DC39F4">
        <w:rPr>
          <w:rFonts w:ascii="Times New Roman" w:hAnsi="Times New Roman" w:cs="Times New Roman"/>
          <w:lang w:val="en-US"/>
        </w:rPr>
        <w:t>ppropriate</w:t>
      </w:r>
      <w:r w:rsidRPr="003F16D1">
        <w:rPr>
          <w:rFonts w:ascii="Times New Roman" w:hAnsi="Times New Roman" w:cs="Times New Roman"/>
          <w:lang w:val="en-US"/>
        </w:rPr>
        <w:t xml:space="preserve"> implementation, the Committee is aware of the ne</w:t>
      </w:r>
      <w:r w:rsidR="001111A5" w:rsidRPr="003F16D1">
        <w:rPr>
          <w:rFonts w:ascii="Times New Roman" w:hAnsi="Times New Roman" w:cs="Times New Roman"/>
          <w:lang w:val="en-US"/>
        </w:rPr>
        <w:t xml:space="preserve">ed </w:t>
      </w:r>
      <w:r w:rsidRPr="003F16D1">
        <w:rPr>
          <w:rFonts w:ascii="Times New Roman" w:hAnsi="Times New Roman" w:cs="Times New Roman"/>
          <w:lang w:val="en-US"/>
        </w:rPr>
        <w:t xml:space="preserve">to </w:t>
      </w:r>
      <w:r w:rsidR="001111A5" w:rsidRPr="003F16D1">
        <w:rPr>
          <w:rFonts w:ascii="Times New Roman" w:hAnsi="Times New Roman" w:cs="Times New Roman"/>
          <w:lang w:val="en-US"/>
        </w:rPr>
        <w:t>define</w:t>
      </w:r>
      <w:r w:rsidRPr="003F16D1">
        <w:rPr>
          <w:rFonts w:ascii="Times New Roman" w:hAnsi="Times New Roman" w:cs="Times New Roman"/>
          <w:lang w:val="en-US"/>
        </w:rPr>
        <w:t xml:space="preserve"> the fundamental concepts of the right to live independently and be included in the community</w:t>
      </w:r>
      <w:r w:rsidR="001111A5" w:rsidRPr="003F16D1">
        <w:rPr>
          <w:rFonts w:ascii="Times New Roman" w:hAnsi="Times New Roman" w:cs="Times New Roman"/>
          <w:lang w:val="en-US"/>
        </w:rPr>
        <w:t>, including the following</w:t>
      </w:r>
      <w:r w:rsidRPr="003F16D1">
        <w:rPr>
          <w:rFonts w:ascii="Times New Roman" w:hAnsi="Times New Roman" w:cs="Times New Roman"/>
          <w:lang w:val="en-US"/>
        </w:rPr>
        <w:t xml:space="preserve">: </w:t>
      </w:r>
    </w:p>
    <w:p w:rsidR="00F81B94" w:rsidRPr="003F16D1" w:rsidRDefault="00F81B94" w:rsidP="00F81B94">
      <w:pPr>
        <w:pStyle w:val="ListParagraph"/>
        <w:spacing w:before="120" w:after="120"/>
        <w:ind w:left="717"/>
        <w:jc w:val="both"/>
        <w:rPr>
          <w:rFonts w:ascii="Times New Roman" w:hAnsi="Times New Roman" w:cs="Times New Roman"/>
          <w:b/>
          <w:lang w:val="en-US"/>
        </w:rPr>
      </w:pPr>
    </w:p>
    <w:p w:rsidR="00FC0D02" w:rsidRPr="003F16D1" w:rsidRDefault="00FC0D02" w:rsidP="00FC0D02">
      <w:pPr>
        <w:pStyle w:val="ListParagraph"/>
        <w:spacing w:before="120" w:after="120"/>
        <w:ind w:left="426" w:firstLine="282"/>
        <w:jc w:val="both"/>
        <w:rPr>
          <w:rFonts w:ascii="Times New Roman" w:hAnsi="Times New Roman" w:cs="Times New Roman"/>
          <w:lang w:val="en-US"/>
        </w:rPr>
      </w:pPr>
      <w:r w:rsidRPr="003F16D1">
        <w:rPr>
          <w:rFonts w:ascii="Times New Roman" w:hAnsi="Times New Roman" w:cs="Times New Roman"/>
          <w:lang w:val="en-US"/>
        </w:rPr>
        <w:t>(a)</w:t>
      </w:r>
      <w:r w:rsidRPr="003F16D1">
        <w:rPr>
          <w:rFonts w:ascii="Times New Roman" w:hAnsi="Times New Roman" w:cs="Times New Roman"/>
          <w:lang w:val="en-US"/>
        </w:rPr>
        <w:tab/>
      </w:r>
      <w:r w:rsidR="00283EFF" w:rsidRPr="003F16D1">
        <w:rPr>
          <w:rFonts w:ascii="Times New Roman" w:hAnsi="Times New Roman" w:cs="Times New Roman"/>
          <w:b/>
          <w:lang w:val="en-US"/>
        </w:rPr>
        <w:t>Independent Living</w:t>
      </w:r>
      <w:r w:rsidR="0037731F" w:rsidRPr="003F16D1">
        <w:rPr>
          <w:rFonts w:ascii="Times New Roman" w:hAnsi="Times New Roman" w:cs="Times New Roman"/>
          <w:lang w:val="en-US"/>
        </w:rPr>
        <w:t>, which</w:t>
      </w:r>
      <w:r w:rsidR="00283EFF" w:rsidRPr="003F16D1">
        <w:rPr>
          <w:rFonts w:ascii="Times New Roman" w:hAnsi="Times New Roman" w:cs="Times New Roman"/>
          <w:lang w:val="en-US"/>
        </w:rPr>
        <w:t xml:space="preserve"> means that individuals with disabilities are enabled to exercise control over their li</w:t>
      </w:r>
      <w:r w:rsidR="001F3A40" w:rsidRPr="003F16D1">
        <w:rPr>
          <w:rFonts w:ascii="Times New Roman" w:hAnsi="Times New Roman" w:cs="Times New Roman"/>
          <w:lang w:val="en-US"/>
        </w:rPr>
        <w:t>ves</w:t>
      </w:r>
      <w:r w:rsidR="00283EFF" w:rsidRPr="003F16D1">
        <w:rPr>
          <w:rFonts w:ascii="Times New Roman" w:hAnsi="Times New Roman" w:cs="Times New Roman"/>
          <w:lang w:val="en-US"/>
        </w:rPr>
        <w:t xml:space="preserve"> and make all decisions that concern their li</w:t>
      </w:r>
      <w:r w:rsidR="001F3A40" w:rsidRPr="003F16D1">
        <w:rPr>
          <w:rFonts w:ascii="Times New Roman" w:hAnsi="Times New Roman" w:cs="Times New Roman"/>
          <w:lang w:val="en-US"/>
        </w:rPr>
        <w:t>ves</w:t>
      </w:r>
      <w:r w:rsidR="00283EFF" w:rsidRPr="003F16D1">
        <w:rPr>
          <w:rFonts w:ascii="Times New Roman" w:hAnsi="Times New Roman" w:cs="Times New Roman"/>
          <w:lang w:val="en-US"/>
        </w:rPr>
        <w:t xml:space="preserve">. </w:t>
      </w:r>
      <w:r w:rsidR="00A35ACC" w:rsidRPr="00D353BE">
        <w:rPr>
          <w:rFonts w:ascii="Times New Roman" w:hAnsi="Times New Roman" w:cs="Times New Roman"/>
          <w:color w:val="FF0000"/>
          <w:lang w:val="en-US"/>
        </w:rPr>
        <w:t>Self-determination is fundament</w:t>
      </w:r>
      <w:r w:rsidR="00D353BE" w:rsidRPr="00D353BE">
        <w:rPr>
          <w:rFonts w:ascii="Times New Roman" w:hAnsi="Times New Roman" w:cs="Times New Roman"/>
          <w:color w:val="FF0000"/>
          <w:lang w:val="en-US"/>
        </w:rPr>
        <w:t>a</w:t>
      </w:r>
      <w:r w:rsidR="00A35ACC" w:rsidRPr="00D353BE">
        <w:rPr>
          <w:rFonts w:ascii="Times New Roman" w:hAnsi="Times New Roman" w:cs="Times New Roman"/>
          <w:color w:val="FF0000"/>
          <w:lang w:val="en-US"/>
        </w:rPr>
        <w:t>l to independent</w:t>
      </w:r>
      <w:r w:rsidR="00D353BE" w:rsidRPr="00D353BE">
        <w:rPr>
          <w:rFonts w:ascii="Times New Roman" w:hAnsi="Times New Roman" w:cs="Times New Roman"/>
          <w:color w:val="FF0000"/>
          <w:lang w:val="en-US"/>
        </w:rPr>
        <w:t xml:space="preserve"> living.</w:t>
      </w:r>
      <w:r w:rsidR="00A35ACC">
        <w:rPr>
          <w:rFonts w:ascii="Times New Roman" w:hAnsi="Times New Roman" w:cs="Times New Roman"/>
          <w:lang w:val="en-US"/>
        </w:rPr>
        <w:t xml:space="preserve"> </w:t>
      </w:r>
      <w:r w:rsidR="00283EFF" w:rsidRPr="003F16D1">
        <w:rPr>
          <w:rFonts w:ascii="Times New Roman" w:hAnsi="Times New Roman" w:cs="Times New Roman"/>
          <w:lang w:val="en-US"/>
        </w:rPr>
        <w:t xml:space="preserve">This includes, but is not limited to: place of residence, daily routine, personal relationships, clothing, nutrition, hygiene and health care, religious, cultural and sexual </w:t>
      </w:r>
      <w:r w:rsidR="00A2198C" w:rsidRPr="003F16D1">
        <w:rPr>
          <w:rFonts w:ascii="Times New Roman" w:hAnsi="Times New Roman" w:cs="Times New Roman"/>
          <w:lang w:val="en-US"/>
        </w:rPr>
        <w:t>and reproductive rights</w:t>
      </w:r>
      <w:r w:rsidR="00283EFF" w:rsidRPr="003F16D1">
        <w:rPr>
          <w:rFonts w:ascii="Times New Roman" w:hAnsi="Times New Roman" w:cs="Times New Roman"/>
          <w:lang w:val="en-US"/>
        </w:rPr>
        <w:t>. All these activities are linked to the development of a person’s identity and personality</w:t>
      </w:r>
      <w:r w:rsidR="001F3A40" w:rsidRPr="003F16D1">
        <w:rPr>
          <w:rFonts w:ascii="Times New Roman" w:hAnsi="Times New Roman" w:cs="Times New Roman"/>
          <w:lang w:val="en-US"/>
        </w:rPr>
        <w:t>:</w:t>
      </w:r>
      <w:r w:rsidR="00283EFF" w:rsidRPr="003F16D1">
        <w:rPr>
          <w:rFonts w:ascii="Times New Roman" w:hAnsi="Times New Roman" w:cs="Times New Roman"/>
          <w:lang w:val="en-US"/>
        </w:rPr>
        <w:t xml:space="preserve"> where we live, with whom, what we eat, whether we like to sleep in or go to bed late at night, be inside or outdoors, have a tablecloth and candles on the table, have pets or listen to music</w:t>
      </w:r>
      <w:r w:rsidR="001F3A40" w:rsidRPr="003F16D1">
        <w:rPr>
          <w:rFonts w:ascii="Times New Roman" w:hAnsi="Times New Roman" w:cs="Times New Roman"/>
          <w:lang w:val="en-US"/>
        </w:rPr>
        <w:t>. T</w:t>
      </w:r>
      <w:r w:rsidR="00283EFF" w:rsidRPr="003F16D1">
        <w:rPr>
          <w:rFonts w:ascii="Times New Roman" w:hAnsi="Times New Roman" w:cs="Times New Roman"/>
          <w:lang w:val="en-US"/>
        </w:rPr>
        <w:t>hese actions and decisions constitute what we are. Thus, the concept of independent living is an essential part of the</w:t>
      </w:r>
      <w:r w:rsidR="008E3457" w:rsidRPr="003F16D1">
        <w:rPr>
          <w:rFonts w:ascii="Times New Roman" w:hAnsi="Times New Roman" w:cs="Times New Roman"/>
          <w:lang w:val="en-US"/>
        </w:rPr>
        <w:t xml:space="preserve"> individual</w:t>
      </w:r>
      <w:r w:rsidR="008708C6" w:rsidRPr="003F16D1">
        <w:rPr>
          <w:rFonts w:ascii="Times New Roman" w:hAnsi="Times New Roman" w:cs="Times New Roman"/>
          <w:lang w:val="en-US"/>
        </w:rPr>
        <w:t>’s</w:t>
      </w:r>
      <w:r w:rsidR="008E3457" w:rsidRPr="003F16D1">
        <w:rPr>
          <w:rFonts w:ascii="Times New Roman" w:hAnsi="Times New Roman" w:cs="Times New Roman"/>
          <w:lang w:val="en-US"/>
        </w:rPr>
        <w:t xml:space="preserve"> </w:t>
      </w:r>
      <w:r w:rsidR="00283EFF" w:rsidRPr="003F16D1">
        <w:rPr>
          <w:rFonts w:ascii="Times New Roman" w:hAnsi="Times New Roman" w:cs="Times New Roman"/>
          <w:lang w:val="en-US"/>
        </w:rPr>
        <w:t xml:space="preserve">autonomy and freedom. Living independently does not necessarily mean living alone; it </w:t>
      </w:r>
      <w:r w:rsidR="008708C6" w:rsidRPr="003F16D1">
        <w:rPr>
          <w:rFonts w:ascii="Times New Roman" w:hAnsi="Times New Roman" w:cs="Times New Roman"/>
          <w:lang w:val="en-US"/>
        </w:rPr>
        <w:t xml:space="preserve">should </w:t>
      </w:r>
      <w:r w:rsidR="00283EFF" w:rsidRPr="003F16D1">
        <w:rPr>
          <w:rFonts w:ascii="Times New Roman" w:hAnsi="Times New Roman" w:cs="Times New Roman"/>
          <w:lang w:val="en-US"/>
        </w:rPr>
        <w:t>also not be interpreted as the ability of carrying out daily activities by oneself. Rather, it should be regarded as the freedom to choice and control, as enshrined in article 3 (a) of the Convention. Independence as a form of autonomy means th</w:t>
      </w:r>
      <w:r w:rsidR="008708C6" w:rsidRPr="003F16D1">
        <w:rPr>
          <w:rFonts w:ascii="Times New Roman" w:hAnsi="Times New Roman" w:cs="Times New Roman"/>
          <w:lang w:val="en-US"/>
        </w:rPr>
        <w:t xml:space="preserve">at the person with disability </w:t>
      </w:r>
      <w:r w:rsidR="00283EFF" w:rsidRPr="003F16D1">
        <w:rPr>
          <w:rFonts w:ascii="Times New Roman" w:hAnsi="Times New Roman" w:cs="Times New Roman"/>
          <w:lang w:val="en-US"/>
        </w:rPr>
        <w:t xml:space="preserve">is not deprived of the opportunity of choice and control regarding personal lifestyle and daily activities.  </w:t>
      </w:r>
    </w:p>
    <w:p w:rsidR="00FC0D02" w:rsidRPr="003F16D1" w:rsidRDefault="00FC0D02" w:rsidP="00FC0D02">
      <w:pPr>
        <w:pStyle w:val="ListParagraph"/>
        <w:spacing w:before="120" w:after="120"/>
        <w:ind w:left="426"/>
        <w:jc w:val="both"/>
        <w:rPr>
          <w:rFonts w:ascii="Times New Roman" w:hAnsi="Times New Roman" w:cs="Times New Roman"/>
          <w:b/>
          <w:lang w:val="en-US"/>
        </w:rPr>
      </w:pPr>
    </w:p>
    <w:p w:rsidR="00FC0D02" w:rsidRPr="003F16D1" w:rsidRDefault="00FC0D02" w:rsidP="00FC0D02">
      <w:pPr>
        <w:pStyle w:val="ListParagraph"/>
        <w:spacing w:before="120" w:after="120"/>
        <w:ind w:left="426" w:firstLine="282"/>
        <w:jc w:val="both"/>
        <w:rPr>
          <w:rFonts w:ascii="Times New Roman" w:hAnsi="Times New Roman" w:cs="Times New Roman"/>
          <w:lang w:val="en-US"/>
        </w:rPr>
      </w:pPr>
      <w:r w:rsidRPr="003F16D1">
        <w:rPr>
          <w:rFonts w:ascii="Times New Roman" w:hAnsi="Times New Roman" w:cs="Times New Roman"/>
          <w:lang w:val="en-US"/>
        </w:rPr>
        <w:t>(b)</w:t>
      </w:r>
      <w:r w:rsidRPr="003F16D1">
        <w:rPr>
          <w:rFonts w:ascii="Times New Roman" w:hAnsi="Times New Roman" w:cs="Times New Roman"/>
          <w:b/>
          <w:lang w:val="en-US"/>
        </w:rPr>
        <w:tab/>
      </w:r>
      <w:r w:rsidR="00283EFF" w:rsidRPr="003F16D1">
        <w:rPr>
          <w:rFonts w:ascii="Times New Roman" w:hAnsi="Times New Roman" w:cs="Times New Roman"/>
          <w:b/>
          <w:lang w:val="en-US"/>
        </w:rPr>
        <w:t>Community livin</w:t>
      </w:r>
      <w:r w:rsidR="00283EFF" w:rsidRPr="0080176F">
        <w:rPr>
          <w:rFonts w:ascii="Times New Roman" w:hAnsi="Times New Roman" w:cs="Times New Roman"/>
          <w:b/>
          <w:lang w:val="en-US"/>
        </w:rPr>
        <w:t>g</w:t>
      </w:r>
      <w:r w:rsidR="008708C6" w:rsidRPr="003F16D1">
        <w:rPr>
          <w:rFonts w:ascii="Times New Roman" w:hAnsi="Times New Roman" w:cs="Times New Roman"/>
          <w:b/>
          <w:lang w:val="en-US"/>
        </w:rPr>
        <w:t>:</w:t>
      </w:r>
      <w:r w:rsidR="0037731F" w:rsidRPr="003F16D1">
        <w:rPr>
          <w:rFonts w:ascii="Times New Roman" w:hAnsi="Times New Roman" w:cs="Times New Roman"/>
          <w:b/>
          <w:lang w:val="en-US"/>
        </w:rPr>
        <w:t xml:space="preserve"> </w:t>
      </w:r>
      <w:r w:rsidR="0037731F" w:rsidRPr="003F16D1">
        <w:rPr>
          <w:rFonts w:ascii="Times New Roman" w:hAnsi="Times New Roman" w:cs="Times New Roman"/>
          <w:lang w:val="en-US"/>
        </w:rPr>
        <w:t>T</w:t>
      </w:r>
      <w:r w:rsidR="00283EFF" w:rsidRPr="003F16D1">
        <w:rPr>
          <w:rFonts w:ascii="Times New Roman" w:hAnsi="Times New Roman" w:cs="Times New Roman"/>
          <w:lang w:val="en-US"/>
        </w:rPr>
        <w:t>he right to be included in the community relates to the principle of full and effective inclusion and participation in soci</w:t>
      </w:r>
      <w:r w:rsidR="0037731F" w:rsidRPr="003F16D1">
        <w:rPr>
          <w:rFonts w:ascii="Times New Roman" w:hAnsi="Times New Roman" w:cs="Times New Roman"/>
          <w:lang w:val="en-US"/>
        </w:rPr>
        <w:t>ety as enshrined in article 3 (</w:t>
      </w:r>
      <w:r w:rsidR="00656AC9" w:rsidRPr="003F16D1">
        <w:rPr>
          <w:rFonts w:ascii="Times New Roman" w:hAnsi="Times New Roman" w:cs="Times New Roman"/>
          <w:lang w:val="en-US"/>
        </w:rPr>
        <w:t>c</w:t>
      </w:r>
      <w:r w:rsidR="00283EFF" w:rsidRPr="003F16D1">
        <w:rPr>
          <w:rFonts w:ascii="Times New Roman" w:hAnsi="Times New Roman" w:cs="Times New Roman"/>
          <w:lang w:val="en-US"/>
        </w:rPr>
        <w:t>) of the Convention. It means being social and having access to all services offered by the community to its members and to specialized services offered to persons with disabilities to enable them to be fully included and to participate in social life. These services can relate to housing, personal care, transportation, shopping, cinemas and all other facilities and services offered to the public. The right to be included in the community also means having access to all measures and events of political and cultural life in the community. These can be elections as well as public meetings of local governments, sport</w:t>
      </w:r>
      <w:r w:rsidR="008708C6" w:rsidRPr="003F16D1">
        <w:rPr>
          <w:rFonts w:ascii="Times New Roman" w:hAnsi="Times New Roman" w:cs="Times New Roman"/>
          <w:lang w:val="en-US"/>
        </w:rPr>
        <w:t>s</w:t>
      </w:r>
      <w:r w:rsidR="00283EFF" w:rsidRPr="003F16D1">
        <w:rPr>
          <w:rFonts w:ascii="Times New Roman" w:hAnsi="Times New Roman" w:cs="Times New Roman"/>
          <w:lang w:val="en-US"/>
        </w:rPr>
        <w:t xml:space="preserve"> events as well as theatre festivals. Although community may primarily be understood as geographic or physical location, it should not be limited to such an understanding</w:t>
      </w:r>
      <w:r w:rsidR="0010228A" w:rsidRPr="003F16D1">
        <w:rPr>
          <w:rFonts w:ascii="Times New Roman" w:hAnsi="Times New Roman" w:cs="Times New Roman"/>
          <w:lang w:val="en-US"/>
        </w:rPr>
        <w:t>.</w:t>
      </w:r>
      <w:r w:rsidR="00656AC9" w:rsidRPr="003F16D1">
        <w:t xml:space="preserve"> </w:t>
      </w:r>
      <w:r w:rsidR="00E60DD6" w:rsidRPr="003F16D1">
        <w:rPr>
          <w:rFonts w:ascii="Times New Roman" w:hAnsi="Times New Roman" w:cs="Times New Roman"/>
          <w:lang w:val="en-US"/>
        </w:rPr>
        <w:t>Community is to be understood as every</w:t>
      </w:r>
      <w:r w:rsidR="00656AC9" w:rsidRPr="003F16D1">
        <w:rPr>
          <w:rFonts w:ascii="Times New Roman" w:hAnsi="Times New Roman" w:cs="Times New Roman"/>
          <w:lang w:val="en-US"/>
        </w:rPr>
        <w:t xml:space="preserve"> </w:t>
      </w:r>
      <w:r w:rsidR="00E60DD6" w:rsidRPr="003F16D1">
        <w:rPr>
          <w:rFonts w:ascii="Times New Roman" w:hAnsi="Times New Roman" w:cs="Times New Roman"/>
          <w:lang w:val="en-US"/>
        </w:rPr>
        <w:t>place of</w:t>
      </w:r>
      <w:r w:rsidR="00656AC9" w:rsidRPr="003F16D1">
        <w:rPr>
          <w:rFonts w:ascii="Times New Roman" w:hAnsi="Times New Roman" w:cs="Times New Roman"/>
          <w:lang w:val="en-US"/>
        </w:rPr>
        <w:t xml:space="preserve"> social interaction and co</w:t>
      </w:r>
      <w:r w:rsidR="00E60DD6" w:rsidRPr="003F16D1">
        <w:rPr>
          <w:rFonts w:ascii="Times New Roman" w:hAnsi="Times New Roman" w:cs="Times New Roman"/>
          <w:lang w:val="en-US"/>
        </w:rPr>
        <w:t>mmunicative relations, and not just as a specific geographic or physical location. Hence</w:t>
      </w:r>
      <w:r w:rsidR="00E44409" w:rsidRPr="003F16D1">
        <w:rPr>
          <w:rFonts w:ascii="Times New Roman" w:hAnsi="Times New Roman" w:cs="Times New Roman"/>
          <w:lang w:val="en-US"/>
        </w:rPr>
        <w:t>,</w:t>
      </w:r>
      <w:r w:rsidR="00E60DD6" w:rsidRPr="003F16D1">
        <w:rPr>
          <w:rFonts w:ascii="Times New Roman" w:hAnsi="Times New Roman" w:cs="Times New Roman"/>
          <w:lang w:val="en-US"/>
        </w:rPr>
        <w:t xml:space="preserve"> persons with disabilities must be entitled to be independent in community everywhere, and for all type of activities.</w:t>
      </w:r>
    </w:p>
    <w:p w:rsidR="00FC0D02" w:rsidRPr="003F16D1" w:rsidRDefault="00FC0D02" w:rsidP="00FC0D02">
      <w:pPr>
        <w:pStyle w:val="ListParagraph"/>
        <w:spacing w:before="120" w:after="120"/>
        <w:ind w:left="426" w:firstLine="282"/>
        <w:jc w:val="both"/>
        <w:rPr>
          <w:rFonts w:ascii="Times New Roman" w:hAnsi="Times New Roman" w:cs="Times New Roman"/>
          <w:lang w:val="en-US"/>
        </w:rPr>
      </w:pPr>
    </w:p>
    <w:p w:rsidR="00FE6A89" w:rsidRDefault="00FC0D02" w:rsidP="00FE6A89">
      <w:pPr>
        <w:pStyle w:val="ListParagraph"/>
        <w:spacing w:before="120" w:after="120"/>
        <w:ind w:left="426" w:firstLine="282"/>
        <w:jc w:val="both"/>
        <w:rPr>
          <w:rFonts w:ascii="Times New Roman" w:hAnsi="Times New Roman" w:cs="Times New Roman"/>
          <w:lang w:val="en-US"/>
        </w:rPr>
      </w:pPr>
      <w:r w:rsidRPr="003F16D1">
        <w:rPr>
          <w:rFonts w:ascii="Times New Roman" w:hAnsi="Times New Roman" w:cs="Times New Roman"/>
          <w:lang w:val="en-US"/>
        </w:rPr>
        <w:t>(c)</w:t>
      </w:r>
      <w:r w:rsidRPr="003F16D1">
        <w:rPr>
          <w:rFonts w:ascii="Times New Roman" w:hAnsi="Times New Roman" w:cs="Times New Roman"/>
          <w:lang w:val="en-US"/>
        </w:rPr>
        <w:tab/>
      </w:r>
      <w:r w:rsidR="00283EFF" w:rsidRPr="003F16D1">
        <w:rPr>
          <w:rFonts w:ascii="Times New Roman" w:hAnsi="Times New Roman" w:cs="Times New Roman"/>
          <w:lang w:val="en-US"/>
        </w:rPr>
        <w:t>Both concepts</w:t>
      </w:r>
      <w:r w:rsidR="008708C6" w:rsidRPr="003F16D1">
        <w:rPr>
          <w:rFonts w:ascii="Times New Roman" w:hAnsi="Times New Roman" w:cs="Times New Roman"/>
          <w:lang w:val="en-US"/>
        </w:rPr>
        <w:t>, i.e.</w:t>
      </w:r>
      <w:r w:rsidR="00283EFF" w:rsidRPr="003F16D1">
        <w:rPr>
          <w:rFonts w:ascii="Times New Roman" w:hAnsi="Times New Roman" w:cs="Times New Roman"/>
          <w:lang w:val="en-US"/>
        </w:rPr>
        <w:t xml:space="preserve">  independent and community living</w:t>
      </w:r>
      <w:r w:rsidR="008708C6" w:rsidRPr="003F16D1">
        <w:rPr>
          <w:rFonts w:ascii="Times New Roman" w:hAnsi="Times New Roman" w:cs="Times New Roman"/>
          <w:lang w:val="en-US"/>
        </w:rPr>
        <w:t>,</w:t>
      </w:r>
      <w:r w:rsidR="00283EFF" w:rsidRPr="003F16D1">
        <w:rPr>
          <w:rFonts w:ascii="Times New Roman" w:hAnsi="Times New Roman" w:cs="Times New Roman"/>
          <w:lang w:val="en-US"/>
        </w:rPr>
        <w:t xml:space="preserve"> </w:t>
      </w:r>
      <w:r w:rsidR="00283EFF" w:rsidRPr="003F16D1">
        <w:rPr>
          <w:rFonts w:ascii="Times New Roman" w:hAnsi="Times New Roman" w:cs="Times New Roman"/>
          <w:lang w:val="en-US"/>
        </w:rPr>
        <w:softHyphen/>
      </w:r>
      <w:r w:rsidR="00283EFF" w:rsidRPr="003F16D1">
        <w:rPr>
          <w:rFonts w:ascii="Times New Roman" w:hAnsi="Times New Roman" w:cs="Times New Roman"/>
          <w:lang w:val="en-US"/>
        </w:rPr>
        <w:softHyphen/>
        <w:t xml:space="preserve"> refer to </w:t>
      </w:r>
      <w:r w:rsidR="00283EFF" w:rsidRPr="003F16D1">
        <w:rPr>
          <w:rFonts w:ascii="Times New Roman" w:hAnsi="Times New Roman" w:cs="Times New Roman"/>
          <w:b/>
          <w:lang w:val="en-US"/>
        </w:rPr>
        <w:t>life settings outside of</w:t>
      </w:r>
      <w:r w:rsidR="00283EFF" w:rsidRPr="003F16D1">
        <w:rPr>
          <w:rFonts w:ascii="Times New Roman" w:hAnsi="Times New Roman" w:cs="Times New Roman"/>
          <w:lang w:val="en-US"/>
        </w:rPr>
        <w:t xml:space="preserve"> </w:t>
      </w:r>
      <w:r w:rsidR="00283EFF" w:rsidRPr="003F16D1">
        <w:rPr>
          <w:rFonts w:ascii="Times New Roman" w:hAnsi="Times New Roman" w:cs="Times New Roman"/>
          <w:b/>
          <w:lang w:val="en-US"/>
        </w:rPr>
        <w:t>institutions</w:t>
      </w:r>
      <w:r w:rsidR="00727EFB" w:rsidRPr="003F16D1">
        <w:rPr>
          <w:rFonts w:ascii="Times New Roman" w:hAnsi="Times New Roman" w:cs="Times New Roman"/>
          <w:b/>
          <w:lang w:val="en-US"/>
        </w:rPr>
        <w:t>,</w:t>
      </w:r>
      <w:r w:rsidR="00283EFF" w:rsidRPr="003F16D1">
        <w:rPr>
          <w:rFonts w:ascii="Times New Roman" w:hAnsi="Times New Roman" w:cs="Times New Roman"/>
          <w:lang w:val="en-US"/>
        </w:rPr>
        <w:t xml:space="preserve"> including </w:t>
      </w:r>
      <w:r w:rsidR="00727EFB" w:rsidRPr="003F16D1">
        <w:rPr>
          <w:rFonts w:ascii="Times New Roman" w:hAnsi="Times New Roman" w:cs="Times New Roman"/>
          <w:lang w:val="en-US"/>
        </w:rPr>
        <w:t xml:space="preserve">large or </w:t>
      </w:r>
      <w:r w:rsidR="00283EFF" w:rsidRPr="003F16D1">
        <w:rPr>
          <w:rFonts w:ascii="Times New Roman" w:hAnsi="Times New Roman" w:cs="Times New Roman"/>
          <w:lang w:val="en-US"/>
        </w:rPr>
        <w:t xml:space="preserve">smaller group homes. Institutionalization is not about living in </w:t>
      </w:r>
      <w:r w:rsidR="00283EFF" w:rsidRPr="003F16D1">
        <w:rPr>
          <w:rFonts w:ascii="Times New Roman" w:hAnsi="Times New Roman" w:cs="Times New Roman"/>
          <w:lang w:val="en-US"/>
        </w:rPr>
        <w:lastRenderedPageBreak/>
        <w:t xml:space="preserve">a particular setting, it is, first and foremost, about losing control as a result of the imposition of a certain living arrangement. Therefore, neither large scale institutions with more than </w:t>
      </w:r>
      <w:r w:rsidR="00CA39C2" w:rsidRPr="003F16D1">
        <w:rPr>
          <w:rFonts w:ascii="Times New Roman" w:hAnsi="Times New Roman" w:cs="Times New Roman"/>
          <w:lang w:val="en-US"/>
        </w:rPr>
        <w:t xml:space="preserve">a hundred </w:t>
      </w:r>
      <w:r w:rsidR="00283EFF" w:rsidRPr="003F16D1">
        <w:rPr>
          <w:rFonts w:ascii="Times New Roman" w:hAnsi="Times New Roman" w:cs="Times New Roman"/>
          <w:lang w:val="en-US"/>
        </w:rPr>
        <w:t>resident</w:t>
      </w:r>
      <w:r w:rsidR="00FE6A89" w:rsidRPr="003F16D1">
        <w:rPr>
          <w:rFonts w:ascii="Times New Roman" w:hAnsi="Times New Roman" w:cs="Times New Roman"/>
          <w:lang w:val="en-US"/>
        </w:rPr>
        <w:t>s nor smaller group homes with five</w:t>
      </w:r>
      <w:r w:rsidR="00283EFF" w:rsidRPr="003F16D1">
        <w:rPr>
          <w:rFonts w:ascii="Times New Roman" w:hAnsi="Times New Roman" w:cs="Times New Roman"/>
          <w:lang w:val="en-US"/>
        </w:rPr>
        <w:t xml:space="preserve"> to </w:t>
      </w:r>
      <w:r w:rsidR="00FE6A89" w:rsidRPr="003F16D1">
        <w:rPr>
          <w:rFonts w:ascii="Times New Roman" w:hAnsi="Times New Roman" w:cs="Times New Roman"/>
          <w:lang w:val="en-US"/>
        </w:rPr>
        <w:t xml:space="preserve">eight </w:t>
      </w:r>
      <w:r w:rsidR="00283EFF" w:rsidRPr="003F16D1">
        <w:rPr>
          <w:rFonts w:ascii="Times New Roman" w:hAnsi="Times New Roman" w:cs="Times New Roman"/>
          <w:lang w:val="en-US"/>
        </w:rPr>
        <w:t>individuals can be called independent living or community living arrangements. Although institutionalized settings can differ in size, name and setup, there are certain defining elements, such as:</w:t>
      </w:r>
      <w:r w:rsidR="009C3097">
        <w:rPr>
          <w:rFonts w:ascii="Times New Roman" w:hAnsi="Times New Roman" w:cs="Times New Roman"/>
          <w:lang w:val="en-US"/>
        </w:rPr>
        <w:t xml:space="preserve"> </w:t>
      </w:r>
      <w:r w:rsidR="009C3097" w:rsidRPr="009C3097">
        <w:rPr>
          <w:rFonts w:ascii="Times New Roman" w:hAnsi="Times New Roman" w:cs="Times New Roman"/>
          <w:color w:val="FF0000"/>
          <w:lang w:val="en-US"/>
        </w:rPr>
        <w:t>forced dependence on assistants who are shared by other residents and no or limited influence over one has to accept assistance from,</w:t>
      </w:r>
      <w:r w:rsidR="00283EFF" w:rsidRPr="003F16D1">
        <w:rPr>
          <w:rFonts w:ascii="Times New Roman" w:hAnsi="Times New Roman" w:cs="Times New Roman"/>
          <w:lang w:val="en-US"/>
        </w:rPr>
        <w:t xml:space="preserve"> isolation and segregation from community life</w:t>
      </w:r>
      <w:r w:rsidR="008708C6" w:rsidRPr="003F16D1">
        <w:rPr>
          <w:rFonts w:ascii="Times New Roman" w:hAnsi="Times New Roman" w:cs="Times New Roman"/>
          <w:lang w:val="en-US"/>
        </w:rPr>
        <w:t>,</w:t>
      </w:r>
      <w:r w:rsidR="00283EFF" w:rsidRPr="003F16D1">
        <w:rPr>
          <w:rFonts w:ascii="Times New Roman" w:hAnsi="Times New Roman" w:cs="Times New Roman"/>
          <w:lang w:val="en-US"/>
        </w:rPr>
        <w:t xml:space="preserve"> lack of control over day-to-day decisions</w:t>
      </w:r>
      <w:r w:rsidR="008708C6" w:rsidRPr="003F16D1">
        <w:rPr>
          <w:rFonts w:ascii="Times New Roman" w:hAnsi="Times New Roman" w:cs="Times New Roman"/>
          <w:lang w:val="en-US"/>
        </w:rPr>
        <w:t>,</w:t>
      </w:r>
      <w:r w:rsidR="00283EFF" w:rsidRPr="003F16D1">
        <w:rPr>
          <w:rFonts w:ascii="Times New Roman" w:hAnsi="Times New Roman" w:cs="Times New Roman"/>
          <w:lang w:val="en-US"/>
        </w:rPr>
        <w:t xml:space="preserve"> lack of choice over whom to live with</w:t>
      </w:r>
      <w:r w:rsidR="008708C6" w:rsidRPr="003F16D1">
        <w:rPr>
          <w:rFonts w:ascii="Times New Roman" w:hAnsi="Times New Roman" w:cs="Times New Roman"/>
          <w:lang w:val="en-US"/>
        </w:rPr>
        <w:t>,</w:t>
      </w:r>
      <w:r w:rsidR="00283EFF" w:rsidRPr="003F16D1">
        <w:rPr>
          <w:rFonts w:ascii="Times New Roman" w:hAnsi="Times New Roman" w:cs="Times New Roman"/>
          <w:lang w:val="en-US"/>
        </w:rPr>
        <w:t xml:space="preserve"> rigidity of routine irrespective of personal will and preferences</w:t>
      </w:r>
      <w:r w:rsidR="008708C6" w:rsidRPr="003F16D1">
        <w:rPr>
          <w:rFonts w:ascii="Times New Roman" w:hAnsi="Times New Roman" w:cs="Times New Roman"/>
          <w:lang w:val="en-US"/>
        </w:rPr>
        <w:t>,</w:t>
      </w:r>
      <w:r w:rsidR="00283EFF" w:rsidRPr="003F16D1">
        <w:rPr>
          <w:rFonts w:ascii="Times New Roman" w:hAnsi="Times New Roman" w:cs="Times New Roman"/>
          <w:lang w:val="en-US"/>
        </w:rPr>
        <w:t xml:space="preserve"> identical activities in the same place for a group of persons under a certain authority</w:t>
      </w:r>
      <w:r w:rsidR="008708C6" w:rsidRPr="003F16D1">
        <w:rPr>
          <w:rFonts w:ascii="Times New Roman" w:hAnsi="Times New Roman" w:cs="Times New Roman"/>
          <w:lang w:val="en-US"/>
        </w:rPr>
        <w:t>,</w:t>
      </w:r>
      <w:r w:rsidR="00283EFF" w:rsidRPr="003F16D1">
        <w:rPr>
          <w:rFonts w:ascii="Times New Roman" w:hAnsi="Times New Roman" w:cs="Times New Roman"/>
          <w:lang w:val="en-US"/>
        </w:rPr>
        <w:t xml:space="preserve"> a paternalistic approach in service provision</w:t>
      </w:r>
      <w:r w:rsidR="008708C6" w:rsidRPr="003F16D1">
        <w:rPr>
          <w:rFonts w:ascii="Times New Roman" w:hAnsi="Times New Roman" w:cs="Times New Roman"/>
          <w:lang w:val="en-US"/>
        </w:rPr>
        <w:t>,</w:t>
      </w:r>
      <w:r w:rsidR="00283EFF" w:rsidRPr="003F16D1">
        <w:rPr>
          <w:rFonts w:ascii="Times New Roman" w:hAnsi="Times New Roman" w:cs="Times New Roman"/>
          <w:lang w:val="en-US"/>
        </w:rPr>
        <w:t xml:space="preserve"> supervision of living arrangements and usually also a disproportion in the number of persons with disabilities living in the same environment.</w:t>
      </w:r>
      <w:r w:rsidR="00283EFF" w:rsidRPr="003F16D1">
        <w:rPr>
          <w:rStyle w:val="FootnoteReference"/>
          <w:rFonts w:ascii="Times New Roman" w:hAnsi="Times New Roman" w:cs="Times New Roman"/>
          <w:lang w:val="en-US"/>
        </w:rPr>
        <w:footnoteReference w:id="3"/>
      </w:r>
      <w:r w:rsidR="00283EFF" w:rsidRPr="003F16D1">
        <w:rPr>
          <w:rFonts w:ascii="Times New Roman" w:hAnsi="Times New Roman" w:cs="Times New Roman"/>
          <w:lang w:val="en-US"/>
        </w:rPr>
        <w:t xml:space="preserve"> Institutional settings may offer</w:t>
      </w:r>
      <w:r w:rsidR="00C37EA5" w:rsidRPr="003F16D1">
        <w:rPr>
          <w:rFonts w:ascii="Times New Roman" w:hAnsi="Times New Roman" w:cs="Times New Roman"/>
          <w:lang w:val="en-US"/>
        </w:rPr>
        <w:t xml:space="preserve"> persons with disabilities</w:t>
      </w:r>
      <w:r w:rsidR="00283EFF" w:rsidRPr="003F16D1">
        <w:rPr>
          <w:rFonts w:ascii="Times New Roman" w:hAnsi="Times New Roman" w:cs="Times New Roman"/>
          <w:lang w:val="en-US"/>
        </w:rPr>
        <w:t xml:space="preserve"> a certain degree of choice and control, however, these choices are limited to specific areas of life and do not change the segregating character of institutions.  </w:t>
      </w:r>
    </w:p>
    <w:p w:rsidR="00FE6A89" w:rsidRPr="003F16D1" w:rsidRDefault="00FE6A89" w:rsidP="00FE6A89">
      <w:pPr>
        <w:pStyle w:val="ListParagraph"/>
        <w:spacing w:before="120" w:after="120"/>
        <w:ind w:left="426" w:firstLine="282"/>
        <w:jc w:val="both"/>
        <w:rPr>
          <w:rFonts w:ascii="Times New Roman" w:hAnsi="Times New Roman" w:cs="Times New Roman"/>
          <w:lang w:val="en-US"/>
        </w:rPr>
      </w:pPr>
    </w:p>
    <w:p w:rsidR="00283EFF" w:rsidRPr="003F16D1" w:rsidRDefault="00FE6A89" w:rsidP="00FE6A89">
      <w:pPr>
        <w:pStyle w:val="ListParagraph"/>
        <w:spacing w:before="120" w:after="120"/>
        <w:ind w:left="426" w:firstLine="282"/>
        <w:jc w:val="both"/>
        <w:rPr>
          <w:rFonts w:ascii="Times New Roman" w:hAnsi="Times New Roman" w:cs="Times New Roman"/>
          <w:lang w:val="en-US"/>
        </w:rPr>
      </w:pPr>
      <w:r w:rsidRPr="003F16D1">
        <w:rPr>
          <w:rFonts w:ascii="Times New Roman" w:hAnsi="Times New Roman" w:cs="Times New Roman"/>
          <w:lang w:val="en-US"/>
        </w:rPr>
        <w:t>(d)</w:t>
      </w:r>
      <w:r w:rsidRPr="003F16D1">
        <w:rPr>
          <w:rFonts w:ascii="Times New Roman" w:hAnsi="Times New Roman" w:cs="Times New Roman"/>
          <w:lang w:val="en-US"/>
        </w:rPr>
        <w:tab/>
      </w:r>
      <w:r w:rsidR="00283EFF" w:rsidRPr="003F16D1">
        <w:rPr>
          <w:rFonts w:ascii="Times New Roman" w:hAnsi="Times New Roman" w:cs="Times New Roman"/>
          <w:b/>
          <w:lang w:val="en-US"/>
        </w:rPr>
        <w:t>Personal assistance</w:t>
      </w:r>
      <w:r w:rsidR="00283EFF" w:rsidRPr="003F16D1">
        <w:rPr>
          <w:rFonts w:ascii="Times New Roman" w:hAnsi="Times New Roman" w:cs="Times New Roman"/>
          <w:lang w:val="en-US"/>
        </w:rPr>
        <w:t xml:space="preserve"> refers to </w:t>
      </w:r>
      <w:r w:rsidR="00D522E6" w:rsidRPr="003F16D1">
        <w:rPr>
          <w:rFonts w:ascii="Times New Roman" w:hAnsi="Times New Roman" w:cs="Times New Roman"/>
          <w:lang w:val="en-US"/>
        </w:rPr>
        <w:t>person-directed/</w:t>
      </w:r>
      <w:r w:rsidR="00283EFF" w:rsidRPr="003F16D1">
        <w:rPr>
          <w:rFonts w:ascii="Times New Roman" w:hAnsi="Times New Roman" w:cs="Times New Roman"/>
          <w:lang w:val="en-US"/>
        </w:rPr>
        <w:t>user-led human support delivered to a person with disability. Personal assistance is a tool for independent living. Although definitions of personal assistance may vary, there are certain elements which distinguish it from other types of support</w:t>
      </w:r>
      <w:r w:rsidR="00D522E6" w:rsidRPr="003F16D1">
        <w:rPr>
          <w:rFonts w:ascii="Times New Roman" w:hAnsi="Times New Roman" w:cs="Times New Roman"/>
          <w:lang w:val="en-US"/>
        </w:rPr>
        <w:t xml:space="preserve">. </w:t>
      </w:r>
      <w:r w:rsidR="00283EFF" w:rsidRPr="003F16D1">
        <w:rPr>
          <w:rFonts w:ascii="Times New Roman" w:hAnsi="Times New Roman" w:cs="Times New Roman"/>
          <w:lang w:val="en-US"/>
        </w:rPr>
        <w:t xml:space="preserve"> </w:t>
      </w:r>
      <w:r w:rsidR="00D522E6" w:rsidRPr="003F16D1">
        <w:rPr>
          <w:rFonts w:ascii="Times New Roman" w:hAnsi="Times New Roman" w:cs="Times New Roman"/>
          <w:lang w:val="en-US"/>
        </w:rPr>
        <w:t>T</w:t>
      </w:r>
      <w:r w:rsidR="00283EFF" w:rsidRPr="003F16D1">
        <w:rPr>
          <w:rFonts w:ascii="Times New Roman" w:hAnsi="Times New Roman" w:cs="Times New Roman"/>
          <w:lang w:val="en-US"/>
        </w:rPr>
        <w:t xml:space="preserve">he funding is </w:t>
      </w:r>
      <w:r w:rsidR="0048142D" w:rsidRPr="003F16D1">
        <w:rPr>
          <w:rFonts w:ascii="Times New Roman" w:hAnsi="Times New Roman" w:cs="Times New Roman"/>
          <w:lang w:val="en-US"/>
        </w:rPr>
        <w:t xml:space="preserve">to be controlled by and </w:t>
      </w:r>
      <w:r w:rsidR="00283EFF" w:rsidRPr="003F16D1">
        <w:rPr>
          <w:rFonts w:ascii="Times New Roman" w:hAnsi="Times New Roman" w:cs="Times New Roman"/>
          <w:lang w:val="en-US"/>
        </w:rPr>
        <w:t xml:space="preserve">allocated to the </w:t>
      </w:r>
      <w:r w:rsidR="00D522E6" w:rsidRPr="003F16D1">
        <w:rPr>
          <w:rFonts w:ascii="Times New Roman" w:hAnsi="Times New Roman" w:cs="Times New Roman"/>
          <w:lang w:val="en-US"/>
        </w:rPr>
        <w:t>person</w:t>
      </w:r>
      <w:r w:rsidR="00C37EA5" w:rsidRPr="003F16D1">
        <w:rPr>
          <w:rFonts w:ascii="Times New Roman" w:hAnsi="Times New Roman" w:cs="Times New Roman"/>
          <w:lang w:val="en-US"/>
        </w:rPr>
        <w:t xml:space="preserve"> with disability </w:t>
      </w:r>
      <w:r w:rsidR="00283EFF" w:rsidRPr="003F16D1">
        <w:rPr>
          <w:rFonts w:ascii="Times New Roman" w:hAnsi="Times New Roman" w:cs="Times New Roman"/>
          <w:lang w:val="en-US"/>
        </w:rPr>
        <w:t xml:space="preserve">with the purpose </w:t>
      </w:r>
      <w:r w:rsidR="00C37EA5" w:rsidRPr="003F16D1">
        <w:rPr>
          <w:rFonts w:ascii="Times New Roman" w:hAnsi="Times New Roman" w:cs="Times New Roman"/>
          <w:lang w:val="en-US"/>
        </w:rPr>
        <w:t xml:space="preserve">of paying </w:t>
      </w:r>
      <w:r w:rsidR="00283EFF" w:rsidRPr="003F16D1">
        <w:rPr>
          <w:rFonts w:ascii="Times New Roman" w:hAnsi="Times New Roman" w:cs="Times New Roman"/>
          <w:lang w:val="en-US"/>
        </w:rPr>
        <w:t xml:space="preserve">for any assistance </w:t>
      </w:r>
      <w:r w:rsidR="00D522E6" w:rsidRPr="003F16D1">
        <w:rPr>
          <w:rFonts w:ascii="Times New Roman" w:hAnsi="Times New Roman" w:cs="Times New Roman"/>
          <w:lang w:val="en-US"/>
        </w:rPr>
        <w:t xml:space="preserve">required. </w:t>
      </w:r>
      <w:r w:rsidR="00283EFF" w:rsidRPr="003F16D1">
        <w:rPr>
          <w:rFonts w:ascii="Times New Roman" w:hAnsi="Times New Roman" w:cs="Times New Roman"/>
          <w:lang w:val="en-US"/>
        </w:rPr>
        <w:t xml:space="preserve"> </w:t>
      </w:r>
      <w:r w:rsidR="00D522E6" w:rsidRPr="003F16D1">
        <w:rPr>
          <w:rFonts w:ascii="Times New Roman" w:hAnsi="Times New Roman" w:cs="Times New Roman"/>
          <w:lang w:val="en-US"/>
        </w:rPr>
        <w:t>I</w:t>
      </w:r>
      <w:r w:rsidR="00283EFF" w:rsidRPr="003F16D1">
        <w:rPr>
          <w:rFonts w:ascii="Times New Roman" w:hAnsi="Times New Roman" w:cs="Times New Roman"/>
          <w:lang w:val="en-US"/>
        </w:rPr>
        <w:t>t is based on an individual needs assessment and a</w:t>
      </w:r>
      <w:r w:rsidR="00C37EA5" w:rsidRPr="003F16D1">
        <w:rPr>
          <w:rFonts w:ascii="Times New Roman" w:hAnsi="Times New Roman" w:cs="Times New Roman"/>
          <w:lang w:val="en-US"/>
        </w:rPr>
        <w:t xml:space="preserve"> </w:t>
      </w:r>
      <w:r w:rsidR="00D522E6" w:rsidRPr="003F16D1">
        <w:rPr>
          <w:rFonts w:ascii="Times New Roman" w:hAnsi="Times New Roman" w:cs="Times New Roman"/>
          <w:lang w:val="en-US"/>
        </w:rPr>
        <w:t>person</w:t>
      </w:r>
      <w:r w:rsidR="00C37EA5" w:rsidRPr="003F16D1">
        <w:rPr>
          <w:rFonts w:ascii="Times New Roman" w:hAnsi="Times New Roman" w:cs="Times New Roman"/>
          <w:lang w:val="en-US"/>
        </w:rPr>
        <w:t>/</w:t>
      </w:r>
      <w:r w:rsidR="00283EFF" w:rsidRPr="003F16D1">
        <w:rPr>
          <w:rFonts w:ascii="Times New Roman" w:hAnsi="Times New Roman" w:cs="Times New Roman"/>
          <w:lang w:val="en-US"/>
        </w:rPr>
        <w:t>user’s life circumstances</w:t>
      </w:r>
      <w:r w:rsidR="00D522E6" w:rsidRPr="003F16D1">
        <w:rPr>
          <w:rFonts w:ascii="Times New Roman" w:hAnsi="Times New Roman" w:cs="Times New Roman"/>
          <w:lang w:val="en-US"/>
        </w:rPr>
        <w:t>.</w:t>
      </w:r>
      <w:r w:rsidR="003757B9">
        <w:rPr>
          <w:rFonts w:ascii="Times New Roman" w:hAnsi="Times New Roman" w:cs="Times New Roman"/>
          <w:lang w:val="en-US"/>
        </w:rPr>
        <w:t xml:space="preserve"> </w:t>
      </w:r>
      <w:r w:rsidR="00620AB4" w:rsidRPr="00B4466F">
        <w:rPr>
          <w:rFonts w:ascii="Times New Roman" w:eastAsia="Times New Roman" w:hAnsi="Times New Roman" w:cs="Times New Roman"/>
          <w:i/>
          <w:color w:val="FF0000"/>
          <w:lang w:val="en-GB"/>
        </w:rPr>
        <w:t xml:space="preserve">Methods of assessing individual needs may be incompatible article 17. The rates allocated to </w:t>
      </w:r>
      <w:r w:rsidR="00620AB4">
        <w:rPr>
          <w:rFonts w:ascii="Times New Roman" w:eastAsia="Times New Roman" w:hAnsi="Times New Roman" w:cs="Times New Roman"/>
          <w:i/>
          <w:color w:val="FF0000"/>
          <w:lang w:val="en-GB"/>
        </w:rPr>
        <w:t>persons with disabilities</w:t>
      </w:r>
      <w:r w:rsidR="00620AB4" w:rsidRPr="00B4466F">
        <w:rPr>
          <w:rFonts w:ascii="Times New Roman" w:eastAsia="Times New Roman" w:hAnsi="Times New Roman" w:cs="Times New Roman"/>
          <w:i/>
          <w:color w:val="FF0000"/>
          <w:lang w:val="en-GB"/>
        </w:rPr>
        <w:t xml:space="preserve"> for personal assistance need to be in line with the current salary rates in each country. Enough resources need to be allocated to cover the salaries of personal assistants and other performance costs, such as all contributions due by the employer, administration costs and peer support for the person who needs assistance.</w:t>
      </w:r>
      <w:r w:rsidR="00D522E6" w:rsidRPr="003F16D1">
        <w:rPr>
          <w:rFonts w:ascii="Times New Roman" w:hAnsi="Times New Roman" w:cs="Times New Roman"/>
          <w:lang w:val="en-US"/>
        </w:rPr>
        <w:t xml:space="preserve"> T</w:t>
      </w:r>
      <w:r w:rsidR="00283EFF" w:rsidRPr="003F16D1">
        <w:rPr>
          <w:rFonts w:ascii="Times New Roman" w:hAnsi="Times New Roman" w:cs="Times New Roman"/>
          <w:lang w:val="en-US"/>
        </w:rPr>
        <w:t>he service is led by the</w:t>
      </w:r>
      <w:r w:rsidR="00C37EA5" w:rsidRPr="003F16D1">
        <w:rPr>
          <w:rFonts w:ascii="Times New Roman" w:hAnsi="Times New Roman" w:cs="Times New Roman"/>
          <w:lang w:val="en-US"/>
        </w:rPr>
        <w:t xml:space="preserve"> person with disability, meaning</w:t>
      </w:r>
      <w:r w:rsidR="00283EFF" w:rsidRPr="003F16D1">
        <w:rPr>
          <w:rFonts w:ascii="Times New Roman" w:hAnsi="Times New Roman" w:cs="Times New Roman"/>
          <w:lang w:val="en-US"/>
        </w:rPr>
        <w:t xml:space="preserve"> that </w:t>
      </w:r>
      <w:r w:rsidR="00C37EA5" w:rsidRPr="003F16D1">
        <w:rPr>
          <w:rFonts w:ascii="Times New Roman" w:hAnsi="Times New Roman" w:cs="Times New Roman"/>
          <w:lang w:val="en-US"/>
        </w:rPr>
        <w:t xml:space="preserve">he or she </w:t>
      </w:r>
      <w:r w:rsidR="00283EFF" w:rsidRPr="003F16D1">
        <w:rPr>
          <w:rFonts w:ascii="Times New Roman" w:hAnsi="Times New Roman" w:cs="Times New Roman"/>
          <w:lang w:val="en-US"/>
        </w:rPr>
        <w:t>can either contract the service from a variety of providers or act as an employer</w:t>
      </w:r>
      <w:r w:rsidR="00D522E6" w:rsidRPr="003F16D1">
        <w:rPr>
          <w:rFonts w:ascii="Times New Roman" w:hAnsi="Times New Roman" w:cs="Times New Roman"/>
          <w:lang w:val="en-US"/>
        </w:rPr>
        <w:t>.</w:t>
      </w:r>
      <w:r w:rsidR="00283EFF" w:rsidRPr="003F16D1">
        <w:rPr>
          <w:rFonts w:ascii="Times New Roman" w:hAnsi="Times New Roman" w:cs="Times New Roman"/>
          <w:lang w:val="en-US"/>
        </w:rPr>
        <w:t xml:space="preserve"> </w:t>
      </w:r>
      <w:r w:rsidR="00C37EA5" w:rsidRPr="003F16D1">
        <w:rPr>
          <w:rFonts w:ascii="Times New Roman" w:hAnsi="Times New Roman" w:cs="Times New Roman"/>
          <w:lang w:val="en-US"/>
        </w:rPr>
        <w:t xml:space="preserve">Persons with disabilities have </w:t>
      </w:r>
      <w:r w:rsidR="00283EFF" w:rsidRPr="003F16D1">
        <w:rPr>
          <w:rFonts w:ascii="Times New Roman" w:hAnsi="Times New Roman" w:cs="Times New Roman"/>
          <w:lang w:val="en-US"/>
        </w:rPr>
        <w:t xml:space="preserve">the option to custom-design his or her own service, i.e. decide by whom, how, when, where and in what way the service is delivered. </w:t>
      </w:r>
      <w:r w:rsidR="00C37EA5" w:rsidRPr="003F16D1">
        <w:rPr>
          <w:rFonts w:ascii="Times New Roman" w:hAnsi="Times New Roman" w:cs="Times New Roman"/>
          <w:lang w:val="en-US"/>
        </w:rPr>
        <w:t xml:space="preserve">Persons with disabilities who require personal </w:t>
      </w:r>
      <w:r w:rsidR="00283EFF" w:rsidRPr="003F16D1">
        <w:rPr>
          <w:rFonts w:ascii="Times New Roman" w:hAnsi="Times New Roman" w:cs="Times New Roman"/>
          <w:lang w:val="en-US"/>
        </w:rPr>
        <w:t>assistance</w:t>
      </w:r>
      <w:r w:rsidR="00C37EA5" w:rsidRPr="003F16D1">
        <w:rPr>
          <w:rFonts w:ascii="Times New Roman" w:hAnsi="Times New Roman" w:cs="Times New Roman"/>
          <w:lang w:val="en-US"/>
        </w:rPr>
        <w:t xml:space="preserve"> </w:t>
      </w:r>
      <w:r w:rsidR="00283EFF" w:rsidRPr="003F16D1">
        <w:rPr>
          <w:rFonts w:ascii="Times New Roman" w:hAnsi="Times New Roman" w:cs="Times New Roman"/>
          <w:lang w:val="en-US"/>
        </w:rPr>
        <w:t xml:space="preserve">can freely choose their preferred degree of personal control over service delivery according to their </w:t>
      </w:r>
      <w:r w:rsidR="00D522E6" w:rsidRPr="003F16D1">
        <w:rPr>
          <w:rFonts w:ascii="Times New Roman" w:hAnsi="Times New Roman" w:cs="Times New Roman"/>
          <w:lang w:val="en-US"/>
        </w:rPr>
        <w:t>requirements</w:t>
      </w:r>
      <w:r w:rsidR="00283EFF" w:rsidRPr="003F16D1">
        <w:rPr>
          <w:rFonts w:ascii="Times New Roman" w:hAnsi="Times New Roman" w:cs="Times New Roman"/>
          <w:lang w:val="en-US"/>
        </w:rPr>
        <w:t xml:space="preserve">, capabilities, life circumstances and preferences. Even if </w:t>
      </w:r>
      <w:r w:rsidR="00D522E6" w:rsidRPr="003F16D1">
        <w:rPr>
          <w:rFonts w:ascii="Times New Roman" w:hAnsi="Times New Roman" w:cs="Times New Roman"/>
          <w:lang w:val="en-US"/>
        </w:rPr>
        <w:t xml:space="preserve">the responsibilities of </w:t>
      </w:r>
      <w:r w:rsidR="00C37EA5" w:rsidRPr="003F16D1">
        <w:rPr>
          <w:rFonts w:ascii="Times New Roman" w:hAnsi="Times New Roman" w:cs="Times New Roman"/>
          <w:lang w:val="en-US"/>
        </w:rPr>
        <w:t xml:space="preserve">the </w:t>
      </w:r>
      <w:r w:rsidR="00283EFF" w:rsidRPr="003F16D1">
        <w:rPr>
          <w:rFonts w:ascii="Times New Roman" w:hAnsi="Times New Roman" w:cs="Times New Roman"/>
          <w:lang w:val="en-US"/>
        </w:rPr>
        <w:t>employer are contracted out, the</w:t>
      </w:r>
      <w:r w:rsidR="00D522E6" w:rsidRPr="003F16D1">
        <w:rPr>
          <w:rFonts w:ascii="Times New Roman" w:hAnsi="Times New Roman" w:cs="Times New Roman"/>
          <w:lang w:val="en-US"/>
        </w:rPr>
        <w:t xml:space="preserve"> person</w:t>
      </w:r>
      <w:r w:rsidR="00C37EA5" w:rsidRPr="003F16D1">
        <w:rPr>
          <w:rFonts w:ascii="Times New Roman" w:hAnsi="Times New Roman" w:cs="Times New Roman"/>
          <w:lang w:val="en-US"/>
        </w:rPr>
        <w:t xml:space="preserve"> with disability </w:t>
      </w:r>
      <w:r w:rsidR="00283EFF" w:rsidRPr="003F16D1">
        <w:rPr>
          <w:rFonts w:ascii="Times New Roman" w:hAnsi="Times New Roman" w:cs="Times New Roman"/>
          <w:lang w:val="en-US"/>
        </w:rPr>
        <w:t xml:space="preserve">always remains at the center of decision-making processes concerning the assistance. </w:t>
      </w:r>
      <w:r w:rsidR="002F7884" w:rsidRPr="003F16D1">
        <w:rPr>
          <w:rFonts w:ascii="Times New Roman" w:hAnsi="Times New Roman" w:cs="Times New Roman"/>
          <w:lang w:val="en-US"/>
        </w:rPr>
        <w:t>The control of the personal assistance can be through supported decision-making.</w:t>
      </w:r>
      <w:r w:rsidR="00283EFF" w:rsidRPr="003F16D1">
        <w:rPr>
          <w:rFonts w:ascii="Times New Roman" w:hAnsi="Times New Roman" w:cs="Times New Roman"/>
          <w:lang w:val="en-US"/>
        </w:rPr>
        <w:t xml:space="preserve"> </w:t>
      </w:r>
    </w:p>
    <w:p w:rsidR="00E1194C" w:rsidRPr="003F16D1" w:rsidRDefault="00E1194C" w:rsidP="00E1194C">
      <w:pPr>
        <w:pStyle w:val="ListParagraph"/>
        <w:spacing w:before="120" w:after="120"/>
        <w:jc w:val="both"/>
        <w:rPr>
          <w:rFonts w:ascii="Times New Roman" w:hAnsi="Times New Roman" w:cs="Times New Roman"/>
          <w:lang w:val="en-US"/>
        </w:rPr>
      </w:pPr>
    </w:p>
    <w:p w:rsidR="00F40E28" w:rsidRPr="00620AB4" w:rsidRDefault="00283EFF" w:rsidP="00620AB4">
      <w:pPr>
        <w:pStyle w:val="ListParagraph"/>
        <w:spacing w:before="120" w:after="120"/>
        <w:ind w:left="426" w:firstLine="282"/>
        <w:jc w:val="both"/>
        <w:rPr>
          <w:rFonts w:ascii="Times New Roman" w:hAnsi="Times New Roman" w:cs="Times New Roman"/>
          <w:lang w:val="en-US"/>
        </w:rPr>
      </w:pPr>
      <w:r w:rsidRPr="003F16D1">
        <w:rPr>
          <w:rFonts w:ascii="Times New Roman" w:hAnsi="Times New Roman" w:cs="Times New Roman"/>
          <w:lang w:val="en-US"/>
        </w:rPr>
        <w:t>Independent and community living as well as personal assistanc</w:t>
      </w:r>
      <w:r w:rsidR="00706E87" w:rsidRPr="003F16D1">
        <w:rPr>
          <w:rFonts w:ascii="Times New Roman" w:hAnsi="Times New Roman" w:cs="Times New Roman"/>
          <w:lang w:val="en-US"/>
        </w:rPr>
        <w:t xml:space="preserve">e have become popular terms </w:t>
      </w:r>
      <w:r w:rsidRPr="003F16D1">
        <w:rPr>
          <w:rFonts w:ascii="Times New Roman" w:hAnsi="Times New Roman" w:cs="Times New Roman"/>
          <w:lang w:val="en-US"/>
        </w:rPr>
        <w:t xml:space="preserve">that nowadays are frequently used by organizations providing residential or institutional support services. </w:t>
      </w:r>
      <w:r w:rsidR="00D522E6" w:rsidRPr="003F16D1">
        <w:rPr>
          <w:rFonts w:ascii="Times New Roman" w:hAnsi="Times New Roman" w:cs="Times New Roman"/>
          <w:lang w:val="en-US"/>
        </w:rPr>
        <w:t>Person-directed/</w:t>
      </w:r>
      <w:r w:rsidRPr="003F16D1">
        <w:rPr>
          <w:rFonts w:ascii="Times New Roman" w:hAnsi="Times New Roman" w:cs="Times New Roman"/>
          <w:lang w:val="en-US"/>
        </w:rPr>
        <w:t xml:space="preserve">User-led disability organizations </w:t>
      </w:r>
      <w:r w:rsidR="00706E87" w:rsidRPr="003F16D1">
        <w:rPr>
          <w:rFonts w:ascii="Times New Roman" w:hAnsi="Times New Roman" w:cs="Times New Roman"/>
          <w:lang w:val="en-US"/>
        </w:rPr>
        <w:t xml:space="preserve">have pointed out the </w:t>
      </w:r>
      <w:r w:rsidRPr="003F16D1">
        <w:rPr>
          <w:rFonts w:ascii="Times New Roman" w:hAnsi="Times New Roman" w:cs="Times New Roman"/>
          <w:lang w:val="en-US"/>
        </w:rPr>
        <w:t>counteractive</w:t>
      </w:r>
      <w:r w:rsidR="00706E87" w:rsidRPr="003F16D1">
        <w:rPr>
          <w:rFonts w:ascii="Times New Roman" w:hAnsi="Times New Roman" w:cs="Times New Roman"/>
          <w:lang w:val="en-US"/>
        </w:rPr>
        <w:t xml:space="preserve"> effect of such practice</w:t>
      </w:r>
      <w:r w:rsidR="00154B97" w:rsidRPr="003F16D1">
        <w:rPr>
          <w:rFonts w:ascii="Times New Roman" w:hAnsi="Times New Roman" w:cs="Times New Roman"/>
          <w:lang w:val="en-US"/>
        </w:rPr>
        <w:t>s that mislead</w:t>
      </w:r>
      <w:r w:rsidR="00857501" w:rsidRPr="003F16D1">
        <w:rPr>
          <w:rFonts w:ascii="Times New Roman" w:hAnsi="Times New Roman" w:cs="Times New Roman"/>
          <w:lang w:val="en-US"/>
        </w:rPr>
        <w:t xml:space="preserve"> assumptions by the p</w:t>
      </w:r>
      <w:r w:rsidR="00154B97" w:rsidRPr="003F16D1">
        <w:rPr>
          <w:rFonts w:ascii="Times New Roman" w:hAnsi="Times New Roman" w:cs="Times New Roman"/>
          <w:lang w:val="en-US"/>
        </w:rPr>
        <w:t>ublic</w:t>
      </w:r>
      <w:r w:rsidR="00D522E6" w:rsidRPr="003F16D1">
        <w:rPr>
          <w:rFonts w:ascii="Times New Roman" w:hAnsi="Times New Roman" w:cs="Times New Roman"/>
          <w:lang w:val="en-US"/>
        </w:rPr>
        <w:t>.</w:t>
      </w:r>
      <w:r w:rsidR="00857501" w:rsidRPr="003F16D1">
        <w:rPr>
          <w:rFonts w:ascii="Times New Roman" w:hAnsi="Times New Roman" w:cs="Times New Roman"/>
          <w:lang w:val="en-US"/>
        </w:rPr>
        <w:t xml:space="preserve"> </w:t>
      </w:r>
      <w:r w:rsidRPr="003F16D1">
        <w:rPr>
          <w:rFonts w:ascii="Times New Roman" w:hAnsi="Times New Roman" w:cs="Times New Roman"/>
          <w:lang w:val="en-US"/>
        </w:rPr>
        <w:t>Residential services, where housing and support are delivered in one package, cannot be counted as personal assistance.</w:t>
      </w:r>
      <w:r w:rsidR="00D26087" w:rsidRPr="003F16D1">
        <w:rPr>
          <w:rFonts w:ascii="Times New Roman" w:hAnsi="Times New Roman" w:cs="Times New Roman"/>
          <w:lang w:val="en-US"/>
        </w:rPr>
        <w:t xml:space="preserve"> Independent and community living can also not be counted as personal assistance if the assistance is only provided within certain arrangements, such as a group home.</w:t>
      </w:r>
      <w:r w:rsidRPr="003F16D1">
        <w:rPr>
          <w:rFonts w:ascii="Times New Roman" w:hAnsi="Times New Roman" w:cs="Times New Roman"/>
          <w:lang w:val="en-US"/>
        </w:rPr>
        <w:t xml:space="preserve"> </w:t>
      </w:r>
    </w:p>
    <w:p w:rsidR="00F40E28" w:rsidRPr="00956821" w:rsidRDefault="00645CC2" w:rsidP="00956821">
      <w:pPr>
        <w:shd w:val="clear" w:color="auto" w:fill="FFFFFF"/>
        <w:spacing w:line="240" w:lineRule="auto"/>
        <w:ind w:left="426"/>
        <w:rPr>
          <w:rFonts w:ascii="Times New Roman" w:eastAsia="Times New Roman" w:hAnsi="Times New Roman" w:cs="Times New Roman"/>
          <w:color w:val="FF0000"/>
        </w:rPr>
      </w:pPr>
      <w:r w:rsidRPr="00956821">
        <w:rPr>
          <w:rFonts w:ascii="Times New Roman" w:eastAsia="Times New Roman" w:hAnsi="Times New Roman" w:cs="Times New Roman"/>
          <w:color w:val="FF0000"/>
        </w:rPr>
        <w:t>The individual’s dependence on and the individual’s lack of control over the shared staff</w:t>
      </w:r>
      <w:r w:rsidR="004D5BDF">
        <w:rPr>
          <w:rFonts w:ascii="Times New Roman" w:eastAsia="Times New Roman" w:hAnsi="Times New Roman" w:cs="Times New Roman"/>
          <w:color w:val="FF0000"/>
        </w:rPr>
        <w:t xml:space="preserve"> </w:t>
      </w:r>
      <w:r w:rsidR="004D5BDF" w:rsidRPr="00956821">
        <w:rPr>
          <w:rFonts w:ascii="Times New Roman" w:eastAsia="Times New Roman" w:hAnsi="Times New Roman" w:cs="Times New Roman"/>
          <w:color w:val="FF0000"/>
        </w:rPr>
        <w:t>are the decisive criteria in the operational definiti</w:t>
      </w:r>
      <w:r w:rsidR="004D5BDF">
        <w:rPr>
          <w:rFonts w:ascii="Times New Roman" w:eastAsia="Times New Roman" w:hAnsi="Times New Roman" w:cs="Times New Roman"/>
          <w:color w:val="FF0000"/>
        </w:rPr>
        <w:t>on of a residential institutio</w:t>
      </w:r>
      <w:r w:rsidR="00EE41B5">
        <w:rPr>
          <w:rFonts w:ascii="Times New Roman" w:eastAsia="Times New Roman" w:hAnsi="Times New Roman" w:cs="Times New Roman"/>
          <w:color w:val="FF0000"/>
        </w:rPr>
        <w:t>n,</w:t>
      </w:r>
      <w:r w:rsidRPr="00956821">
        <w:rPr>
          <w:rFonts w:ascii="Times New Roman" w:eastAsia="Times New Roman" w:hAnsi="Times New Roman" w:cs="Times New Roman"/>
          <w:color w:val="FF0000"/>
        </w:rPr>
        <w:t xml:space="preserve"> not the number of persons with disabilities in the particular living arrangement – one, two or more </w:t>
      </w:r>
      <w:r w:rsidR="00EE41B5">
        <w:rPr>
          <w:rFonts w:ascii="Times New Roman" w:eastAsia="Times New Roman" w:hAnsi="Times New Roman" w:cs="Times New Roman"/>
          <w:color w:val="FF0000"/>
        </w:rPr>
        <w:t xml:space="preserve">persons. </w:t>
      </w:r>
      <w:r w:rsidR="0089692A">
        <w:rPr>
          <w:rFonts w:ascii="Times New Roman" w:eastAsia="Times New Roman" w:hAnsi="Times New Roman" w:cs="Times New Roman"/>
          <w:color w:val="FF0000"/>
        </w:rPr>
        <w:t xml:space="preserve"> T</w:t>
      </w:r>
      <w:r w:rsidR="004D5BDF">
        <w:rPr>
          <w:rFonts w:ascii="Times New Roman" w:hAnsi="Times New Roman" w:cs="Times New Roman"/>
          <w:color w:val="FF0000"/>
          <w:lang w:val="en-US"/>
        </w:rPr>
        <w:t xml:space="preserve">his is in </w:t>
      </w:r>
      <w:r w:rsidR="004D5BDF">
        <w:rPr>
          <w:rFonts w:ascii="Times New Roman" w:hAnsi="Times New Roman" w:cs="Times New Roman"/>
          <w:color w:val="FF0000"/>
          <w:lang w:val="en-US"/>
        </w:rPr>
        <w:lastRenderedPageBreak/>
        <w:t xml:space="preserve">contrast to </w:t>
      </w:r>
      <w:r w:rsidR="0089692A">
        <w:rPr>
          <w:rFonts w:ascii="Times New Roman" w:hAnsi="Times New Roman" w:cs="Times New Roman"/>
          <w:color w:val="FF0000"/>
          <w:lang w:val="en-US"/>
        </w:rPr>
        <w:t xml:space="preserve">personal assistance with </w:t>
      </w:r>
      <w:r w:rsidR="004D5BDF" w:rsidRPr="00956821">
        <w:rPr>
          <w:rFonts w:ascii="Times New Roman" w:hAnsi="Times New Roman" w:cs="Times New Roman"/>
          <w:color w:val="FF0000"/>
          <w:lang w:val="en-US"/>
        </w:rPr>
        <w:t>a one-on-one relationship between one assistance user and an assistant where the assistant is recruited, trained, and supervised by the se</w:t>
      </w:r>
      <w:r w:rsidR="004D5BDF">
        <w:rPr>
          <w:rFonts w:ascii="Times New Roman" w:hAnsi="Times New Roman" w:cs="Times New Roman"/>
          <w:color w:val="FF0000"/>
          <w:lang w:val="en-US"/>
        </w:rPr>
        <w:t>rvice user.</w:t>
      </w:r>
    </w:p>
    <w:p w:rsidR="00857501" w:rsidRPr="003F16D1" w:rsidRDefault="00D522E6" w:rsidP="00F40E28">
      <w:pPr>
        <w:pStyle w:val="ListParagraph"/>
        <w:spacing w:before="120" w:after="120"/>
        <w:ind w:left="0" w:firstLine="426"/>
        <w:jc w:val="both"/>
        <w:rPr>
          <w:rFonts w:ascii="Times New Roman" w:hAnsi="Times New Roman" w:cs="Times New Roman"/>
          <w:lang w:val="en-US"/>
        </w:rPr>
      </w:pPr>
      <w:r w:rsidRPr="003F16D1">
        <w:rPr>
          <w:rFonts w:ascii="Times New Roman" w:hAnsi="Times New Roman" w:cs="Times New Roman"/>
          <w:lang w:val="en-US"/>
        </w:rPr>
        <w:t>I</w:t>
      </w:r>
      <w:r w:rsidR="00283EFF" w:rsidRPr="003F16D1">
        <w:rPr>
          <w:rFonts w:ascii="Times New Roman" w:hAnsi="Times New Roman" w:cs="Times New Roman"/>
          <w:lang w:val="en-US"/>
        </w:rPr>
        <w:t xml:space="preserve">nstitutionalized settings are not compliant with the concepts of independent and community living. </w:t>
      </w:r>
    </w:p>
    <w:p w:rsidR="00857501" w:rsidRPr="003F16D1" w:rsidRDefault="00857501" w:rsidP="00857501">
      <w:pPr>
        <w:pStyle w:val="ListParagraph"/>
        <w:spacing w:before="120" w:after="120"/>
        <w:ind w:left="717"/>
        <w:jc w:val="both"/>
        <w:rPr>
          <w:rFonts w:ascii="Times New Roman" w:hAnsi="Times New Roman" w:cs="Times New Roman"/>
          <w:lang w:val="en-US"/>
        </w:rPr>
      </w:pPr>
    </w:p>
    <w:p w:rsidR="00283EFF" w:rsidRPr="003F16D1" w:rsidRDefault="00283EFF" w:rsidP="00857501">
      <w:pPr>
        <w:pStyle w:val="ListParagraph"/>
        <w:numPr>
          <w:ilvl w:val="0"/>
          <w:numId w:val="8"/>
        </w:numPr>
        <w:spacing w:before="120" w:after="120"/>
        <w:jc w:val="both"/>
        <w:rPr>
          <w:rFonts w:ascii="Times New Roman" w:hAnsi="Times New Roman" w:cs="Times New Roman"/>
          <w:b/>
          <w:sz w:val="26"/>
          <w:szCs w:val="26"/>
          <w:lang w:val="en-US"/>
        </w:rPr>
      </w:pPr>
      <w:r w:rsidRPr="003F16D1">
        <w:rPr>
          <w:rFonts w:ascii="Times New Roman" w:hAnsi="Times New Roman" w:cs="Times New Roman"/>
          <w:b/>
          <w:sz w:val="26"/>
          <w:szCs w:val="26"/>
          <w:lang w:val="en-US"/>
        </w:rPr>
        <w:t>Article 19, chapeau</w:t>
      </w:r>
    </w:p>
    <w:p w:rsidR="00857501" w:rsidRPr="003F16D1" w:rsidRDefault="005D0E15" w:rsidP="00857501">
      <w:pPr>
        <w:pStyle w:val="ListParagraph"/>
        <w:spacing w:before="120" w:after="120"/>
        <w:ind w:left="1428"/>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Wheras </w:t>
      </w:r>
    </w:p>
    <w:p w:rsidR="00283EFF" w:rsidRPr="003F16D1" w:rsidRDefault="00283EFF" w:rsidP="00283EFF">
      <w:pPr>
        <w:pStyle w:val="ListParagraph"/>
        <w:numPr>
          <w:ilvl w:val="0"/>
          <w:numId w:val="2"/>
        </w:numPr>
        <w:spacing w:before="120" w:after="120"/>
        <w:ind w:firstLine="357"/>
        <w:jc w:val="both"/>
        <w:rPr>
          <w:rFonts w:ascii="Times New Roman" w:hAnsi="Times New Roman" w:cs="Times New Roman"/>
          <w:lang w:val="en-US"/>
        </w:rPr>
      </w:pPr>
      <w:r w:rsidRPr="003F16D1">
        <w:rPr>
          <w:rFonts w:ascii="Times New Roman" w:hAnsi="Times New Roman" w:cs="Times New Roman"/>
          <w:lang w:val="en-US"/>
        </w:rPr>
        <w:t xml:space="preserve">Article 19 of the Convention reaffirms non-discrimination and recognition of the equal right of persons with disabilities to live independently in the community. In order for the right to live independently and be included in the community to be realized, state parties have to take effective and appropriate measures to facilitate the full enjoyment of the right and the full inclusion and participation of persons with disabilities in the community. </w:t>
      </w:r>
    </w:p>
    <w:p w:rsidR="00E1194C" w:rsidRPr="003F16D1" w:rsidRDefault="00E1194C" w:rsidP="00E1194C">
      <w:pPr>
        <w:pStyle w:val="ListParagraph"/>
        <w:spacing w:before="120" w:after="120"/>
        <w:ind w:left="717"/>
        <w:jc w:val="both"/>
        <w:rPr>
          <w:rFonts w:ascii="Times New Roman" w:hAnsi="Times New Roman" w:cs="Times New Roman"/>
          <w:lang w:val="en-US"/>
        </w:rPr>
      </w:pPr>
    </w:p>
    <w:p w:rsidR="0055299F" w:rsidRPr="003F16D1" w:rsidRDefault="00283EFF" w:rsidP="00767B91">
      <w:pPr>
        <w:pStyle w:val="ListParagraph"/>
        <w:numPr>
          <w:ilvl w:val="0"/>
          <w:numId w:val="2"/>
        </w:numPr>
        <w:spacing w:before="120" w:after="120"/>
        <w:ind w:firstLine="357"/>
        <w:jc w:val="both"/>
        <w:rPr>
          <w:rFonts w:ascii="Times New Roman" w:hAnsi="Times New Roman" w:cs="Times New Roman"/>
          <w:lang w:val="en-US"/>
        </w:rPr>
      </w:pPr>
      <w:r w:rsidRPr="003F16D1">
        <w:rPr>
          <w:rFonts w:ascii="Times New Roman" w:hAnsi="Times New Roman" w:cs="Times New Roman"/>
          <w:lang w:val="en-US"/>
        </w:rPr>
        <w:t>The article covers two concepts which are only clearly mentioned</w:t>
      </w:r>
      <w:r w:rsidR="00DB2D6A" w:rsidRPr="003F16D1">
        <w:rPr>
          <w:rFonts w:ascii="Times New Roman" w:hAnsi="Times New Roman" w:cs="Times New Roman"/>
          <w:lang w:val="en-US"/>
        </w:rPr>
        <w:t xml:space="preserve"> in</w:t>
      </w:r>
      <w:r w:rsidRPr="003F16D1">
        <w:rPr>
          <w:rFonts w:ascii="Times New Roman" w:hAnsi="Times New Roman" w:cs="Times New Roman"/>
          <w:lang w:val="en-US"/>
        </w:rPr>
        <w:t xml:space="preserve"> its heading: the right to independent living and the right to be included in the community or community living.  Whereas the right to independent living refers to an individual dimension, i.e.</w:t>
      </w:r>
      <w:r w:rsidR="00DB2D6A" w:rsidRPr="003F16D1">
        <w:rPr>
          <w:rFonts w:ascii="Times New Roman" w:hAnsi="Times New Roman" w:cs="Times New Roman"/>
          <w:lang w:val="en-US"/>
        </w:rPr>
        <w:t>,</w:t>
      </w:r>
      <w:r w:rsidRPr="003F16D1">
        <w:rPr>
          <w:rFonts w:ascii="Times New Roman" w:hAnsi="Times New Roman" w:cs="Times New Roman"/>
          <w:lang w:val="en-US"/>
        </w:rPr>
        <w:t xml:space="preserve"> the place of residence, lifestyle</w:t>
      </w:r>
      <w:r w:rsidR="00D94F1B">
        <w:rPr>
          <w:rFonts w:ascii="Times New Roman" w:hAnsi="Times New Roman" w:cs="Times New Roman"/>
          <w:lang w:val="en-US"/>
        </w:rPr>
        <w:t xml:space="preserve">, </w:t>
      </w:r>
      <w:r w:rsidR="00D94F1B">
        <w:rPr>
          <w:rFonts w:ascii="Times New Roman" w:eastAsia="Times New Roman" w:hAnsi="Times New Roman" w:cs="Times New Roman"/>
          <w:i/>
          <w:color w:val="FF0000"/>
          <w:lang w:val="en-GB"/>
        </w:rPr>
        <w:t xml:space="preserve">everyday life </w:t>
      </w:r>
      <w:r w:rsidR="00D94F1B" w:rsidRPr="00B4466F">
        <w:rPr>
          <w:rFonts w:ascii="Times New Roman" w:eastAsia="Times New Roman" w:hAnsi="Times New Roman" w:cs="Times New Roman"/>
          <w:i/>
          <w:color w:val="FF0000"/>
          <w:lang w:val="en-GB"/>
        </w:rPr>
        <w:t>activities</w:t>
      </w:r>
      <w:r w:rsidRPr="003F16D1">
        <w:rPr>
          <w:rFonts w:ascii="Times New Roman" w:hAnsi="Times New Roman" w:cs="Times New Roman"/>
          <w:lang w:val="en-US"/>
        </w:rPr>
        <w:t xml:space="preserve"> and most importantly</w:t>
      </w:r>
      <w:r w:rsidR="00DB2D6A" w:rsidRPr="003F16D1">
        <w:rPr>
          <w:rFonts w:ascii="Times New Roman" w:hAnsi="Times New Roman" w:cs="Times New Roman"/>
          <w:lang w:val="en-US"/>
        </w:rPr>
        <w:t>,</w:t>
      </w:r>
      <w:r w:rsidRPr="003F16D1">
        <w:rPr>
          <w:rFonts w:ascii="Times New Roman" w:hAnsi="Times New Roman" w:cs="Times New Roman"/>
          <w:lang w:val="en-US"/>
        </w:rPr>
        <w:t xml:space="preserve"> the living arrangements of a person, the right to community living entails a social dimension, i.e.</w:t>
      </w:r>
      <w:r w:rsidR="00F804E9" w:rsidRPr="003F16D1">
        <w:rPr>
          <w:rFonts w:ascii="Times New Roman" w:hAnsi="Times New Roman" w:cs="Times New Roman"/>
          <w:lang w:val="en-US"/>
        </w:rPr>
        <w:t>,</w:t>
      </w:r>
      <w:r w:rsidRPr="003F16D1">
        <w:rPr>
          <w:rFonts w:ascii="Times New Roman" w:hAnsi="Times New Roman" w:cs="Times New Roman"/>
          <w:lang w:val="en-US"/>
        </w:rPr>
        <w:t xml:space="preserve"> social i</w:t>
      </w:r>
      <w:r w:rsidR="00596164" w:rsidRPr="003F16D1">
        <w:rPr>
          <w:rFonts w:ascii="Times New Roman" w:hAnsi="Times New Roman" w:cs="Times New Roman"/>
          <w:lang w:val="en-US"/>
        </w:rPr>
        <w:t xml:space="preserve">nteractions with others in the </w:t>
      </w:r>
      <w:r w:rsidRPr="003F16D1">
        <w:rPr>
          <w:rFonts w:ascii="Times New Roman" w:hAnsi="Times New Roman" w:cs="Times New Roman"/>
          <w:lang w:val="en-US"/>
        </w:rPr>
        <w:t>community. The right as enshrined in article 19 covers both concepts.</w:t>
      </w:r>
    </w:p>
    <w:p w:rsidR="0055299F" w:rsidRPr="003F16D1" w:rsidRDefault="0055299F" w:rsidP="0055299F">
      <w:pPr>
        <w:pStyle w:val="ListParagraph"/>
        <w:spacing w:before="120" w:after="120"/>
        <w:ind w:left="1068"/>
        <w:jc w:val="both"/>
        <w:rPr>
          <w:rFonts w:ascii="Times New Roman" w:hAnsi="Times New Roman" w:cs="Times New Roman"/>
          <w:lang w:val="en-US"/>
        </w:rPr>
      </w:pPr>
    </w:p>
    <w:p w:rsidR="0055299F" w:rsidRPr="003F16D1" w:rsidRDefault="0055299F" w:rsidP="0055299F">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Article 19 explicitly refers to all persons with disabilities</w:t>
      </w:r>
      <w:r w:rsidR="00F804E9" w:rsidRPr="003F16D1">
        <w:rPr>
          <w:rFonts w:ascii="Times New Roman" w:hAnsi="Times New Roman" w:cs="Times New Roman"/>
          <w:lang w:val="en-US"/>
        </w:rPr>
        <w:t>;</w:t>
      </w:r>
      <w:r w:rsidRPr="003F16D1">
        <w:rPr>
          <w:rFonts w:ascii="Times New Roman" w:hAnsi="Times New Roman" w:cs="Times New Roman"/>
          <w:lang w:val="en-US"/>
        </w:rPr>
        <w:t xml:space="preserve"> thus neither legal capacity issues nor the level of support </w:t>
      </w:r>
      <w:r w:rsidR="00F804E9" w:rsidRPr="003F16D1">
        <w:rPr>
          <w:rFonts w:ascii="Times New Roman" w:hAnsi="Times New Roman" w:cs="Times New Roman"/>
          <w:lang w:val="en-US"/>
        </w:rPr>
        <w:t xml:space="preserve">required </w:t>
      </w:r>
      <w:r w:rsidRPr="003F16D1">
        <w:rPr>
          <w:rFonts w:ascii="Times New Roman" w:hAnsi="Times New Roman" w:cs="Times New Roman"/>
          <w:lang w:val="en-US"/>
        </w:rPr>
        <w:t xml:space="preserve">may be invoked in order to deny the right to independent and community living to persons with disabilities. </w:t>
      </w:r>
    </w:p>
    <w:p w:rsidR="0055299F" w:rsidRPr="003F16D1" w:rsidRDefault="0055299F" w:rsidP="0055299F">
      <w:pPr>
        <w:pStyle w:val="ListParagraph"/>
        <w:spacing w:before="120" w:after="120"/>
        <w:ind w:left="714"/>
        <w:jc w:val="both"/>
        <w:rPr>
          <w:rFonts w:ascii="Times New Roman" w:hAnsi="Times New Roman" w:cs="Times New Roman"/>
          <w:lang w:val="en-US"/>
        </w:rPr>
      </w:pPr>
    </w:p>
    <w:p w:rsidR="0055299F" w:rsidRPr="003F16D1" w:rsidRDefault="00767B91" w:rsidP="0055299F">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In some State parties,</w:t>
      </w:r>
      <w:r w:rsidR="0055299F" w:rsidRPr="003F16D1">
        <w:rPr>
          <w:rFonts w:ascii="Times New Roman" w:hAnsi="Times New Roman" w:cs="Times New Roman"/>
          <w:lang w:val="en-US"/>
        </w:rPr>
        <w:t xml:space="preserve"> individuals with high demands in personal assistance are sent to institutions if the expected calculated costs for independent and community living exceed a predefined level/amount of institutional costs. Another situation identified by the Committee is the presumption that persons with high support requirements are unable to live independently and be included in the community. Particularly, persons with intellectual impairments</w:t>
      </w:r>
      <w:r w:rsidR="00F804E9" w:rsidRPr="003F16D1">
        <w:rPr>
          <w:rFonts w:ascii="Times New Roman" w:hAnsi="Times New Roman" w:cs="Times New Roman"/>
          <w:lang w:val="en-US"/>
        </w:rPr>
        <w:t>,</w:t>
      </w:r>
      <w:r w:rsidR="0055299F" w:rsidRPr="003F16D1">
        <w:rPr>
          <w:rFonts w:ascii="Times New Roman" w:hAnsi="Times New Roman" w:cs="Times New Roman"/>
          <w:lang w:val="en-US"/>
        </w:rPr>
        <w:t xml:space="preserve"> are often assessed as being unable to live outside of institutionalized settings. Such reasoning opposes article 19 of the Convention which extends the right to live independently and be included in the community to all persons with disabilities, regardless of their level of intellectual capacity, self-functioning or support </w:t>
      </w:r>
      <w:r w:rsidR="00F804E9" w:rsidRPr="003F16D1">
        <w:rPr>
          <w:rFonts w:ascii="Times New Roman" w:hAnsi="Times New Roman" w:cs="Times New Roman"/>
          <w:lang w:val="en-US"/>
        </w:rPr>
        <w:t>requirement</w:t>
      </w:r>
      <w:r w:rsidR="0055299F" w:rsidRPr="003F16D1">
        <w:rPr>
          <w:rFonts w:ascii="Times New Roman" w:hAnsi="Times New Roman" w:cs="Times New Roman"/>
          <w:lang w:val="en-US"/>
        </w:rPr>
        <w:t xml:space="preserve">. </w:t>
      </w:r>
    </w:p>
    <w:p w:rsidR="001C682B" w:rsidRPr="003F16D1" w:rsidRDefault="001C682B" w:rsidP="001C682B">
      <w:pPr>
        <w:pStyle w:val="ListParagraph"/>
        <w:rPr>
          <w:rFonts w:ascii="Times New Roman" w:hAnsi="Times New Roman" w:cs="Times New Roman"/>
          <w:lang w:val="en-US"/>
        </w:rPr>
      </w:pPr>
    </w:p>
    <w:p w:rsidR="00D222FA" w:rsidRPr="003F16D1" w:rsidRDefault="001C682B" w:rsidP="00B01A3E">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Different cultures can also challenge the concept of Independent living in accordance with the Convention. </w:t>
      </w:r>
      <w:r w:rsidR="0027382F" w:rsidRPr="003F16D1">
        <w:rPr>
          <w:rFonts w:ascii="Times New Roman" w:hAnsi="Times New Roman" w:cs="Times New Roman"/>
          <w:lang w:val="en-US"/>
        </w:rPr>
        <w:t xml:space="preserve">When young persons with disabilities are living </w:t>
      </w:r>
      <w:r w:rsidR="002E7A44" w:rsidRPr="003F16D1">
        <w:rPr>
          <w:rFonts w:ascii="Times New Roman" w:hAnsi="Times New Roman" w:cs="Times New Roman"/>
          <w:lang w:val="en-US"/>
        </w:rPr>
        <w:t xml:space="preserve">in institutional settings with elderly persons they may </w:t>
      </w:r>
      <w:r w:rsidR="0027382F" w:rsidRPr="003F16D1">
        <w:rPr>
          <w:rFonts w:ascii="Times New Roman" w:hAnsi="Times New Roman" w:cs="Times New Roman"/>
          <w:lang w:val="en-US"/>
        </w:rPr>
        <w:t xml:space="preserve">face the risk of living in an environment where the culture of support and services </w:t>
      </w:r>
      <w:r w:rsidR="002E7A44" w:rsidRPr="003F16D1">
        <w:rPr>
          <w:rFonts w:ascii="Times New Roman" w:hAnsi="Times New Roman" w:cs="Times New Roman"/>
          <w:lang w:val="en-US"/>
        </w:rPr>
        <w:t>may be</w:t>
      </w:r>
      <w:r w:rsidR="0027382F" w:rsidRPr="003F16D1">
        <w:rPr>
          <w:rFonts w:ascii="Times New Roman" w:hAnsi="Times New Roman" w:cs="Times New Roman"/>
          <w:lang w:val="en-US"/>
        </w:rPr>
        <w:t xml:space="preserve"> determined by the age of the majority</w:t>
      </w:r>
      <w:r w:rsidR="002E7A44" w:rsidRPr="003F16D1">
        <w:rPr>
          <w:rFonts w:ascii="Times New Roman" w:hAnsi="Times New Roman" w:cs="Times New Roman"/>
          <w:lang w:val="en-US"/>
        </w:rPr>
        <w:t>, hence</w:t>
      </w:r>
      <w:r w:rsidR="0027382F" w:rsidRPr="003F16D1">
        <w:rPr>
          <w:rFonts w:ascii="Times New Roman" w:hAnsi="Times New Roman" w:cs="Times New Roman"/>
          <w:lang w:val="en-US"/>
        </w:rPr>
        <w:t xml:space="preserve"> not allowing </w:t>
      </w:r>
      <w:r w:rsidR="00D222FA" w:rsidRPr="003F16D1">
        <w:rPr>
          <w:rFonts w:ascii="Times New Roman" w:hAnsi="Times New Roman" w:cs="Times New Roman"/>
          <w:lang w:val="en-US"/>
        </w:rPr>
        <w:t>young persons with disabiliti</w:t>
      </w:r>
      <w:r w:rsidR="0027382F" w:rsidRPr="003F16D1">
        <w:rPr>
          <w:rFonts w:ascii="Times New Roman" w:hAnsi="Times New Roman" w:cs="Times New Roman"/>
          <w:lang w:val="en-US"/>
        </w:rPr>
        <w:t>es to develop an identity and live</w:t>
      </w:r>
      <w:r w:rsidR="00D35046" w:rsidRPr="003F16D1">
        <w:rPr>
          <w:rFonts w:ascii="Times New Roman" w:hAnsi="Times New Roman" w:cs="Times New Roman"/>
          <w:lang w:val="en-US"/>
        </w:rPr>
        <w:t xml:space="preserve"> their life in an age-appropriate</w:t>
      </w:r>
      <w:r w:rsidR="0027382F" w:rsidRPr="003F16D1">
        <w:rPr>
          <w:rFonts w:ascii="Times New Roman" w:hAnsi="Times New Roman" w:cs="Times New Roman"/>
          <w:lang w:val="en-US"/>
        </w:rPr>
        <w:t xml:space="preserve"> </w:t>
      </w:r>
      <w:r w:rsidR="00D35046" w:rsidRPr="003F16D1">
        <w:rPr>
          <w:rFonts w:ascii="Times New Roman" w:hAnsi="Times New Roman" w:cs="Times New Roman"/>
          <w:lang w:val="en-US"/>
        </w:rPr>
        <w:t>mode -</w:t>
      </w:r>
      <w:r w:rsidR="0027382F" w:rsidRPr="003F16D1">
        <w:rPr>
          <w:rFonts w:ascii="Times New Roman" w:hAnsi="Times New Roman" w:cs="Times New Roman"/>
          <w:lang w:val="en-US"/>
        </w:rPr>
        <w:t xml:space="preserve">as ‘young’. </w:t>
      </w:r>
    </w:p>
    <w:p w:rsidR="00D222FA" w:rsidRPr="003F16D1" w:rsidRDefault="00D222FA" w:rsidP="00D222FA">
      <w:pPr>
        <w:pStyle w:val="ListParagraph"/>
        <w:rPr>
          <w:rFonts w:ascii="Times New Roman" w:hAnsi="Times New Roman" w:cs="Times New Roman"/>
          <w:lang w:val="en-US"/>
        </w:rPr>
      </w:pPr>
    </w:p>
    <w:p w:rsidR="00B01A3E" w:rsidRPr="003F16D1" w:rsidRDefault="00581E73" w:rsidP="00B01A3E">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All persons with disabilities, </w:t>
      </w:r>
      <w:r w:rsidR="007F2775" w:rsidRPr="003F16D1">
        <w:rPr>
          <w:rFonts w:ascii="Times New Roman" w:hAnsi="Times New Roman" w:cs="Times New Roman"/>
          <w:lang w:val="en-US"/>
        </w:rPr>
        <w:t>including</w:t>
      </w:r>
      <w:r w:rsidRPr="003F16D1">
        <w:rPr>
          <w:rFonts w:ascii="Times New Roman" w:hAnsi="Times New Roman" w:cs="Times New Roman"/>
          <w:lang w:val="en-US"/>
        </w:rPr>
        <w:t xml:space="preserve"> </w:t>
      </w:r>
      <w:r w:rsidR="00A769C4" w:rsidRPr="003F16D1">
        <w:rPr>
          <w:rFonts w:ascii="Times New Roman" w:hAnsi="Times New Roman" w:cs="Times New Roman"/>
          <w:lang w:val="en-US"/>
        </w:rPr>
        <w:t xml:space="preserve">the </w:t>
      </w:r>
      <w:r w:rsidRPr="003F16D1">
        <w:rPr>
          <w:rFonts w:ascii="Times New Roman" w:hAnsi="Times New Roman" w:cs="Times New Roman"/>
          <w:lang w:val="en-US"/>
        </w:rPr>
        <w:t>young</w:t>
      </w:r>
      <w:r w:rsidR="007F2775" w:rsidRPr="003F16D1">
        <w:rPr>
          <w:rFonts w:ascii="Times New Roman" w:hAnsi="Times New Roman" w:cs="Times New Roman"/>
          <w:lang w:val="en-US"/>
        </w:rPr>
        <w:t>,</w:t>
      </w:r>
      <w:r w:rsidRPr="003F16D1">
        <w:rPr>
          <w:rFonts w:ascii="Times New Roman" w:hAnsi="Times New Roman" w:cs="Times New Roman"/>
          <w:lang w:val="en-US"/>
        </w:rPr>
        <w:t xml:space="preserve"> should be free to choose being part of the culture</w:t>
      </w:r>
      <w:r w:rsidR="007F2775" w:rsidRPr="003F16D1">
        <w:rPr>
          <w:rFonts w:ascii="Times New Roman" w:hAnsi="Times New Roman" w:cs="Times New Roman"/>
          <w:lang w:val="en-US"/>
        </w:rPr>
        <w:t xml:space="preserve"> they wish. </w:t>
      </w:r>
      <w:r w:rsidRPr="003F16D1">
        <w:rPr>
          <w:rFonts w:ascii="Times New Roman" w:hAnsi="Times New Roman" w:cs="Times New Roman"/>
          <w:lang w:val="en-US"/>
        </w:rPr>
        <w:t>A</w:t>
      </w:r>
      <w:r w:rsidR="00B01A3E" w:rsidRPr="003F16D1">
        <w:rPr>
          <w:rFonts w:ascii="Times New Roman" w:hAnsi="Times New Roman" w:cs="Times New Roman"/>
          <w:lang w:val="en-US"/>
        </w:rPr>
        <w:t>rticle 19 takes into account cultural differences and requires that persons with disabilities have the same choices that other people have in their communities, in all areas of life.</w:t>
      </w:r>
      <w:r w:rsidRPr="003F16D1">
        <w:rPr>
          <w:rFonts w:ascii="Times New Roman" w:hAnsi="Times New Roman" w:cs="Times New Roman"/>
          <w:lang w:val="en-US"/>
        </w:rPr>
        <w:t xml:space="preserve"> </w:t>
      </w:r>
    </w:p>
    <w:p w:rsidR="0055299F" w:rsidRPr="003F16D1" w:rsidRDefault="0055299F" w:rsidP="0055299F">
      <w:pPr>
        <w:pStyle w:val="ListParagraph"/>
        <w:rPr>
          <w:rFonts w:ascii="Times New Roman" w:hAnsi="Times New Roman" w:cs="Times New Roman"/>
          <w:lang w:val="en-US"/>
        </w:rPr>
      </w:pPr>
    </w:p>
    <w:p w:rsidR="00D51EE2" w:rsidRPr="003F16D1" w:rsidRDefault="00BB14EC" w:rsidP="0055299F">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T</w:t>
      </w:r>
      <w:r w:rsidR="0055299F" w:rsidRPr="003F16D1">
        <w:rPr>
          <w:rFonts w:ascii="Times New Roman" w:hAnsi="Times New Roman" w:cs="Times New Roman"/>
          <w:lang w:val="en-US"/>
        </w:rPr>
        <w:t>he paradigm shift from the medical model to the human rights model of disability, which lies at the heart of the Convention, prohibits discrimination and deprivation of human rights based on impairment. Persons with disabilities of all ages fall within the personal scope of the article</w:t>
      </w:r>
      <w:r w:rsidR="00A769C4" w:rsidRPr="003F16D1">
        <w:rPr>
          <w:rFonts w:ascii="Times New Roman" w:hAnsi="Times New Roman" w:cs="Times New Roman"/>
          <w:lang w:val="en-US"/>
        </w:rPr>
        <w:t>. C</w:t>
      </w:r>
      <w:r w:rsidR="0055299F" w:rsidRPr="003F16D1">
        <w:rPr>
          <w:rFonts w:ascii="Times New Roman" w:hAnsi="Times New Roman" w:cs="Times New Roman"/>
          <w:lang w:val="en-US"/>
        </w:rPr>
        <w:t xml:space="preserve">hildren with disabilities, adults and older persons with disabilities are right-holders under article 19. Women and men with disabilities enjoy equal protection under the scope of article 19. Furthermore, the right to living independently and being included in the community encompasses protection of persons with disabilities belonging to ethnic groups, linguistic and/or </w:t>
      </w:r>
      <w:r w:rsidR="00A769C4" w:rsidRPr="003F16D1">
        <w:rPr>
          <w:rFonts w:ascii="Times New Roman" w:hAnsi="Times New Roman" w:cs="Times New Roman"/>
          <w:lang w:val="en-US"/>
        </w:rPr>
        <w:t xml:space="preserve">religious </w:t>
      </w:r>
      <w:r w:rsidR="0055299F" w:rsidRPr="003F16D1">
        <w:rPr>
          <w:rFonts w:ascii="Times New Roman" w:hAnsi="Times New Roman" w:cs="Times New Roman"/>
          <w:lang w:val="en-US"/>
        </w:rPr>
        <w:t>minorities. Article 19 should also be ensured irrespective of migrant, asylum-seeking and refugee status. Migrants with disabilities and/or their children who live with disabilit</w:t>
      </w:r>
      <w:r w:rsidR="00FD37F5" w:rsidRPr="003F16D1">
        <w:rPr>
          <w:rFonts w:ascii="Times New Roman" w:hAnsi="Times New Roman" w:cs="Times New Roman"/>
          <w:lang w:val="en-US"/>
        </w:rPr>
        <w:t>ies</w:t>
      </w:r>
      <w:r w:rsidR="0055299F" w:rsidRPr="003F16D1">
        <w:rPr>
          <w:rFonts w:ascii="Times New Roman" w:hAnsi="Times New Roman" w:cs="Times New Roman"/>
          <w:lang w:val="en-US"/>
        </w:rPr>
        <w:t xml:space="preserve"> should have equal access to social protection and support.</w:t>
      </w:r>
    </w:p>
    <w:p w:rsidR="00D51EE2" w:rsidRPr="003F16D1" w:rsidRDefault="00D51EE2" w:rsidP="00D51EE2">
      <w:pPr>
        <w:pStyle w:val="ListParagraph"/>
        <w:spacing w:before="120" w:after="120"/>
        <w:ind w:left="717"/>
        <w:jc w:val="both"/>
        <w:rPr>
          <w:rFonts w:ascii="Times New Roman" w:hAnsi="Times New Roman" w:cs="Times New Roman"/>
          <w:lang w:val="en-US"/>
        </w:rPr>
      </w:pPr>
    </w:p>
    <w:p w:rsidR="00283EFF" w:rsidRPr="003F16D1" w:rsidRDefault="00283EFF" w:rsidP="00D51EE2">
      <w:pPr>
        <w:pStyle w:val="ListParagraph"/>
        <w:numPr>
          <w:ilvl w:val="0"/>
          <w:numId w:val="8"/>
        </w:numPr>
        <w:spacing w:before="120" w:after="120"/>
        <w:jc w:val="both"/>
        <w:rPr>
          <w:rFonts w:ascii="Times New Roman" w:hAnsi="Times New Roman" w:cs="Times New Roman"/>
          <w:b/>
          <w:sz w:val="26"/>
          <w:szCs w:val="26"/>
          <w:lang w:val="en-US"/>
        </w:rPr>
      </w:pPr>
      <w:r w:rsidRPr="003F16D1">
        <w:rPr>
          <w:rFonts w:ascii="Times New Roman" w:hAnsi="Times New Roman" w:cs="Times New Roman"/>
          <w:b/>
          <w:sz w:val="26"/>
          <w:szCs w:val="26"/>
          <w:lang w:val="en-US"/>
        </w:rPr>
        <w:t>Article 19 (a)</w:t>
      </w:r>
    </w:p>
    <w:p w:rsidR="00D51EE2" w:rsidRPr="003F16D1" w:rsidRDefault="00D51EE2" w:rsidP="00D51EE2">
      <w:pPr>
        <w:pStyle w:val="ListParagraph"/>
        <w:spacing w:before="120" w:after="120"/>
        <w:ind w:left="1428"/>
        <w:jc w:val="both"/>
        <w:rPr>
          <w:rFonts w:ascii="Times New Roman" w:hAnsi="Times New Roman" w:cs="Times New Roman"/>
          <w:b/>
          <w:sz w:val="26"/>
          <w:szCs w:val="26"/>
          <w:lang w:val="en-US"/>
        </w:rPr>
      </w:pPr>
    </w:p>
    <w:p w:rsidR="00283EFF" w:rsidRPr="003F16D1" w:rsidRDefault="00283EFF" w:rsidP="00283EFF">
      <w:pPr>
        <w:pStyle w:val="ListParagraph"/>
        <w:numPr>
          <w:ilvl w:val="0"/>
          <w:numId w:val="2"/>
        </w:numPr>
        <w:spacing w:before="120" w:after="120"/>
        <w:ind w:firstLine="357"/>
        <w:jc w:val="both"/>
        <w:rPr>
          <w:rFonts w:ascii="Times New Roman" w:hAnsi="Times New Roman" w:cs="Times New Roman"/>
          <w:lang w:val="en-US"/>
        </w:rPr>
      </w:pPr>
      <w:r w:rsidRPr="003F16D1">
        <w:rPr>
          <w:rFonts w:ascii="Times New Roman" w:hAnsi="Times New Roman" w:cs="Times New Roman"/>
          <w:lang w:val="en-US"/>
        </w:rPr>
        <w:t>To choose one’s place of residence and to decide how, where and with whom to live is the central idea of the right to live independently and be included in the community. Individual choice</w:t>
      </w:r>
      <w:r w:rsidR="00AD6C1D" w:rsidRPr="003F16D1">
        <w:rPr>
          <w:rFonts w:ascii="Times New Roman" w:hAnsi="Times New Roman" w:cs="Times New Roman"/>
          <w:lang w:val="en-US"/>
        </w:rPr>
        <w:t>,</w:t>
      </w:r>
      <w:r w:rsidRPr="003F16D1">
        <w:rPr>
          <w:rFonts w:ascii="Times New Roman" w:hAnsi="Times New Roman" w:cs="Times New Roman"/>
          <w:lang w:val="en-US"/>
        </w:rPr>
        <w:t xml:space="preserve"> therefore</w:t>
      </w:r>
      <w:r w:rsidR="00AD6C1D" w:rsidRPr="003F16D1">
        <w:rPr>
          <w:rFonts w:ascii="Times New Roman" w:hAnsi="Times New Roman" w:cs="Times New Roman"/>
          <w:lang w:val="en-US"/>
        </w:rPr>
        <w:t>,</w:t>
      </w:r>
      <w:r w:rsidRPr="003F16D1">
        <w:rPr>
          <w:rFonts w:ascii="Times New Roman" w:hAnsi="Times New Roman" w:cs="Times New Roman"/>
          <w:lang w:val="en-US"/>
        </w:rPr>
        <w:t xml:space="preserve"> is not limited to the place of residence but includes all aspects of a person’s living arrangements: daily schedule and routine as well as way of life and lifestyle of a person</w:t>
      </w:r>
      <w:r w:rsidR="00AD6C1D" w:rsidRPr="003F16D1">
        <w:rPr>
          <w:rFonts w:ascii="Times New Roman" w:hAnsi="Times New Roman" w:cs="Times New Roman"/>
          <w:lang w:val="en-US"/>
        </w:rPr>
        <w:t>,</w:t>
      </w:r>
      <w:r w:rsidRPr="003F16D1">
        <w:rPr>
          <w:rFonts w:ascii="Times New Roman" w:hAnsi="Times New Roman" w:cs="Times New Roman"/>
          <w:lang w:val="en-US"/>
        </w:rPr>
        <w:t xml:space="preserve"> covering private and public sphere</w:t>
      </w:r>
      <w:r w:rsidR="00AD6C1D" w:rsidRPr="003F16D1">
        <w:rPr>
          <w:rFonts w:ascii="Times New Roman" w:hAnsi="Times New Roman" w:cs="Times New Roman"/>
          <w:lang w:val="en-US"/>
        </w:rPr>
        <w:t>s</w:t>
      </w:r>
      <w:r w:rsidRPr="003F16D1">
        <w:rPr>
          <w:rFonts w:ascii="Times New Roman" w:hAnsi="Times New Roman" w:cs="Times New Roman"/>
          <w:lang w:val="en-US"/>
        </w:rPr>
        <w:t xml:space="preserve"> in a daily</w:t>
      </w:r>
      <w:r w:rsidR="00AD6C1D" w:rsidRPr="003F16D1">
        <w:rPr>
          <w:rFonts w:ascii="Times New Roman" w:hAnsi="Times New Roman" w:cs="Times New Roman"/>
          <w:lang w:val="en-US"/>
        </w:rPr>
        <w:t xml:space="preserve"> and long term</w:t>
      </w:r>
      <w:r w:rsidRPr="003F16D1">
        <w:rPr>
          <w:rFonts w:ascii="Times New Roman" w:hAnsi="Times New Roman" w:cs="Times New Roman"/>
          <w:lang w:val="en-US"/>
        </w:rPr>
        <w:t xml:space="preserve"> dimension</w:t>
      </w:r>
      <w:r w:rsidR="00AD6C1D" w:rsidRPr="003F16D1">
        <w:rPr>
          <w:rFonts w:ascii="Times New Roman" w:hAnsi="Times New Roman" w:cs="Times New Roman"/>
          <w:lang w:val="en-US"/>
        </w:rPr>
        <w:t>.</w:t>
      </w:r>
      <w:r w:rsidRPr="003F16D1">
        <w:rPr>
          <w:rFonts w:ascii="Times New Roman" w:hAnsi="Times New Roman" w:cs="Times New Roman"/>
          <w:lang w:val="en-US"/>
        </w:rPr>
        <w:t xml:space="preserve"> </w:t>
      </w:r>
    </w:p>
    <w:p w:rsidR="005A05A3" w:rsidRPr="003F16D1" w:rsidRDefault="005A05A3" w:rsidP="005A05A3">
      <w:pPr>
        <w:pStyle w:val="ListParagraph"/>
        <w:spacing w:before="120" w:after="120"/>
        <w:ind w:left="717"/>
        <w:jc w:val="both"/>
        <w:rPr>
          <w:rFonts w:ascii="Times New Roman" w:hAnsi="Times New Roman" w:cs="Times New Roman"/>
          <w:lang w:val="en-US"/>
        </w:rPr>
      </w:pPr>
    </w:p>
    <w:p w:rsidR="00B54C49" w:rsidRPr="003F16D1" w:rsidRDefault="00283EFF" w:rsidP="006C65DD">
      <w:pPr>
        <w:pStyle w:val="ListParagraph"/>
        <w:numPr>
          <w:ilvl w:val="0"/>
          <w:numId w:val="2"/>
        </w:numPr>
        <w:spacing w:before="120" w:after="120"/>
        <w:ind w:firstLine="357"/>
        <w:jc w:val="both"/>
        <w:rPr>
          <w:rFonts w:ascii="Times New Roman" w:hAnsi="Times New Roman" w:cs="Times New Roman"/>
          <w:lang w:val="en-US"/>
        </w:rPr>
      </w:pPr>
      <w:r w:rsidRPr="003F16D1">
        <w:rPr>
          <w:rFonts w:ascii="Times New Roman" w:hAnsi="Times New Roman" w:cs="Times New Roman"/>
          <w:lang w:val="en-US"/>
        </w:rPr>
        <w:t>Often, persons with disabilities cannot exercise choice because there is a lack of options to choose from</w:t>
      </w:r>
      <w:r w:rsidR="00AD6C1D" w:rsidRPr="003F16D1">
        <w:rPr>
          <w:rFonts w:ascii="Times New Roman" w:hAnsi="Times New Roman" w:cs="Times New Roman"/>
          <w:lang w:val="en-US"/>
        </w:rPr>
        <w:t>.</w:t>
      </w:r>
      <w:r w:rsidRPr="003F16D1">
        <w:rPr>
          <w:rFonts w:ascii="Times New Roman" w:hAnsi="Times New Roman" w:cs="Times New Roman"/>
          <w:lang w:val="en-US"/>
        </w:rPr>
        <w:t xml:space="preserve"> This is the case</w:t>
      </w:r>
      <w:r w:rsidR="00AD6C1D" w:rsidRPr="003F16D1">
        <w:rPr>
          <w:rFonts w:ascii="Times New Roman" w:hAnsi="Times New Roman" w:cs="Times New Roman"/>
          <w:lang w:val="en-US"/>
        </w:rPr>
        <w:t>,</w:t>
      </w:r>
      <w:r w:rsidRPr="003F16D1">
        <w:rPr>
          <w:rFonts w:ascii="Times New Roman" w:hAnsi="Times New Roman" w:cs="Times New Roman"/>
          <w:lang w:val="en-US"/>
        </w:rPr>
        <w:t xml:space="preserve"> for instance</w:t>
      </w:r>
      <w:r w:rsidR="00AD6C1D" w:rsidRPr="003F16D1">
        <w:rPr>
          <w:rFonts w:ascii="Times New Roman" w:hAnsi="Times New Roman" w:cs="Times New Roman"/>
          <w:lang w:val="en-US"/>
        </w:rPr>
        <w:t>,</w:t>
      </w:r>
      <w:r w:rsidRPr="003F16D1">
        <w:rPr>
          <w:rFonts w:ascii="Times New Roman" w:hAnsi="Times New Roman" w:cs="Times New Roman"/>
          <w:lang w:val="en-US"/>
        </w:rPr>
        <w:t xml:space="preserve"> if informal support by the family is the only option, if support is unavailable outside of institutions, if housing is inaccessible or support is not provided in the community</w:t>
      </w:r>
      <w:r w:rsidR="00AD6C1D" w:rsidRPr="003F16D1">
        <w:rPr>
          <w:rFonts w:ascii="Times New Roman" w:hAnsi="Times New Roman" w:cs="Times New Roman"/>
          <w:lang w:val="en-US"/>
        </w:rPr>
        <w:t xml:space="preserve"> and when support</w:t>
      </w:r>
      <w:r w:rsidR="00B33DCD" w:rsidRPr="003F16D1">
        <w:rPr>
          <w:rFonts w:ascii="Times New Roman" w:hAnsi="Times New Roman" w:cs="Times New Roman"/>
          <w:lang w:val="en-US"/>
        </w:rPr>
        <w:t xml:space="preserve"> is only provided within specified forms of residence like group homes or institutions</w:t>
      </w:r>
      <w:r w:rsidRPr="003F16D1">
        <w:rPr>
          <w:rFonts w:ascii="Times New Roman" w:hAnsi="Times New Roman" w:cs="Times New Roman"/>
          <w:lang w:val="en-US"/>
        </w:rPr>
        <w:t xml:space="preserve">. Furthermore, they might not be allowed to exercise legal capacity due to legal restrictions deriving from guardianship laws or similar legal norms or decisions which do not allow persons with disabilities to exercise legal capacity. Even if no formal laws are in place, others, like families or caregivers, sometimes exercise control and restrict an individual’s choices by acting as substitute decision-makers. </w:t>
      </w:r>
    </w:p>
    <w:p w:rsidR="00B54C49" w:rsidRPr="003F16D1" w:rsidRDefault="00B54C49" w:rsidP="00B54C49">
      <w:pPr>
        <w:pStyle w:val="ListParagraph"/>
        <w:spacing w:before="120" w:after="120" w:line="240" w:lineRule="auto"/>
        <w:ind w:left="717"/>
        <w:jc w:val="both"/>
        <w:rPr>
          <w:rFonts w:ascii="Times New Roman" w:hAnsi="Times New Roman" w:cs="Times New Roman"/>
          <w:lang w:val="en-US"/>
        </w:rPr>
      </w:pPr>
    </w:p>
    <w:p w:rsidR="00283EFF" w:rsidRPr="003F16D1" w:rsidRDefault="00283EFF" w:rsidP="00283EFF">
      <w:pPr>
        <w:pStyle w:val="ListParagraph"/>
        <w:numPr>
          <w:ilvl w:val="0"/>
          <w:numId w:val="2"/>
        </w:numPr>
        <w:spacing w:before="120" w:after="120"/>
        <w:ind w:firstLine="357"/>
        <w:jc w:val="both"/>
        <w:rPr>
          <w:rFonts w:ascii="Times New Roman" w:hAnsi="Times New Roman" w:cs="Times New Roman"/>
          <w:lang w:val="en-US"/>
        </w:rPr>
      </w:pPr>
      <w:r w:rsidRPr="003F16D1">
        <w:rPr>
          <w:rFonts w:ascii="Times New Roman" w:hAnsi="Times New Roman" w:cs="Times New Roman"/>
          <w:lang w:val="en-US"/>
        </w:rPr>
        <w:t>Legal capacity and equal recognition before the law are the basis of the realization of independent and community living for adults with disabilities</w:t>
      </w:r>
      <w:r w:rsidR="00AD6C1D" w:rsidRPr="003F16D1">
        <w:rPr>
          <w:rFonts w:ascii="Times New Roman" w:hAnsi="Times New Roman" w:cs="Times New Roman"/>
          <w:lang w:val="en-US"/>
        </w:rPr>
        <w:t>. A</w:t>
      </w:r>
      <w:r w:rsidRPr="003F16D1">
        <w:rPr>
          <w:rFonts w:ascii="Times New Roman" w:hAnsi="Times New Roman" w:cs="Times New Roman"/>
          <w:lang w:val="en-US"/>
        </w:rPr>
        <w:t>rticle 19 is therefore linked to the recognition and exercise of legal capacity as enshrined in article 12 of the Convention</w:t>
      </w:r>
      <w:r w:rsidR="006C40DC" w:rsidRPr="003F16D1">
        <w:rPr>
          <w:rFonts w:ascii="Times New Roman" w:hAnsi="Times New Roman" w:cs="Times New Roman"/>
          <w:lang w:val="en-US"/>
        </w:rPr>
        <w:t xml:space="preserve"> and further explain</w:t>
      </w:r>
      <w:r w:rsidR="00D51EE2" w:rsidRPr="003F16D1">
        <w:rPr>
          <w:rFonts w:ascii="Times New Roman" w:hAnsi="Times New Roman" w:cs="Times New Roman"/>
          <w:lang w:val="en-US"/>
        </w:rPr>
        <w:t xml:space="preserve">ed in General Comment </w:t>
      </w:r>
      <w:r w:rsidR="00AD6C1D" w:rsidRPr="003F16D1">
        <w:rPr>
          <w:rFonts w:ascii="Times New Roman" w:hAnsi="Times New Roman" w:cs="Times New Roman"/>
          <w:lang w:val="en-US"/>
        </w:rPr>
        <w:t xml:space="preserve">No. </w:t>
      </w:r>
      <w:r w:rsidR="00D51EE2" w:rsidRPr="003F16D1">
        <w:rPr>
          <w:rFonts w:ascii="Times New Roman" w:hAnsi="Times New Roman" w:cs="Times New Roman"/>
          <w:lang w:val="en-US"/>
        </w:rPr>
        <w:t>1</w:t>
      </w:r>
      <w:r w:rsidR="00FA4477" w:rsidRPr="003F16D1">
        <w:rPr>
          <w:rFonts w:ascii="Times New Roman" w:hAnsi="Times New Roman" w:cs="Times New Roman"/>
          <w:lang w:val="en-US"/>
        </w:rPr>
        <w:t xml:space="preserve"> Legal Capacity (2014)</w:t>
      </w:r>
      <w:r w:rsidR="00D51EE2" w:rsidRPr="003F16D1">
        <w:rPr>
          <w:rFonts w:ascii="Times New Roman" w:hAnsi="Times New Roman" w:cs="Times New Roman"/>
          <w:lang w:val="en-US"/>
        </w:rPr>
        <w:t xml:space="preserve"> to the C</w:t>
      </w:r>
      <w:r w:rsidR="006C40DC" w:rsidRPr="003F16D1">
        <w:rPr>
          <w:rFonts w:ascii="Times New Roman" w:hAnsi="Times New Roman" w:cs="Times New Roman"/>
          <w:lang w:val="en-US"/>
        </w:rPr>
        <w:t>onvention</w:t>
      </w:r>
      <w:r w:rsidRPr="003F16D1">
        <w:rPr>
          <w:rFonts w:ascii="Times New Roman" w:hAnsi="Times New Roman" w:cs="Times New Roman"/>
          <w:lang w:val="en-US"/>
        </w:rPr>
        <w:t>. The recognition of choices and decisions of an individual is a precondition for living independently and being included in the community</w:t>
      </w:r>
      <w:r w:rsidR="00AD6C1D" w:rsidRPr="003F16D1">
        <w:rPr>
          <w:rFonts w:ascii="Times New Roman" w:hAnsi="Times New Roman" w:cs="Times New Roman"/>
          <w:lang w:val="en-US"/>
        </w:rPr>
        <w:t>. A</w:t>
      </w:r>
      <w:r w:rsidRPr="003F16D1">
        <w:rPr>
          <w:rFonts w:ascii="Times New Roman" w:hAnsi="Times New Roman" w:cs="Times New Roman"/>
          <w:lang w:val="en-US"/>
        </w:rPr>
        <w:t>t the same time</w:t>
      </w:r>
      <w:r w:rsidR="00AD6C1D" w:rsidRPr="003F16D1">
        <w:rPr>
          <w:rFonts w:ascii="Times New Roman" w:hAnsi="Times New Roman" w:cs="Times New Roman"/>
          <w:lang w:val="en-US"/>
        </w:rPr>
        <w:t>,</w:t>
      </w:r>
      <w:r w:rsidRPr="003F16D1">
        <w:rPr>
          <w:rFonts w:ascii="Times New Roman" w:hAnsi="Times New Roman" w:cs="Times New Roman"/>
          <w:lang w:val="en-US"/>
        </w:rPr>
        <w:t xml:space="preserve"> decisions, will and preferences and the exercise of legal capacity</w:t>
      </w:r>
      <w:r w:rsidR="00AD6C1D" w:rsidRPr="003F16D1">
        <w:rPr>
          <w:rFonts w:ascii="Times New Roman" w:hAnsi="Times New Roman" w:cs="Times New Roman"/>
          <w:lang w:val="en-US"/>
        </w:rPr>
        <w:t>,</w:t>
      </w:r>
      <w:r w:rsidRPr="003F16D1">
        <w:rPr>
          <w:rFonts w:ascii="Times New Roman" w:hAnsi="Times New Roman" w:cs="Times New Roman"/>
          <w:lang w:val="en-US"/>
        </w:rPr>
        <w:t xml:space="preserve"> are always bound to social interactions, to others within the respective community where one lives and can freely pursue one’s personal development and fulfilment. </w:t>
      </w:r>
    </w:p>
    <w:p w:rsidR="005A05A3" w:rsidRPr="003F16D1" w:rsidRDefault="005A05A3" w:rsidP="005A05A3">
      <w:pPr>
        <w:pStyle w:val="ListParagraph"/>
        <w:spacing w:before="120" w:after="120"/>
        <w:ind w:left="717"/>
        <w:jc w:val="both"/>
        <w:rPr>
          <w:rFonts w:ascii="Times New Roman" w:hAnsi="Times New Roman" w:cs="Times New Roman"/>
          <w:lang w:val="en-US"/>
        </w:rPr>
      </w:pPr>
    </w:p>
    <w:p w:rsidR="00283EFF" w:rsidRPr="003F16D1" w:rsidRDefault="00283EFF" w:rsidP="00FA4052">
      <w:pPr>
        <w:pStyle w:val="ListParagraph"/>
        <w:numPr>
          <w:ilvl w:val="0"/>
          <w:numId w:val="8"/>
        </w:numPr>
        <w:spacing w:before="120" w:after="120"/>
        <w:jc w:val="both"/>
        <w:rPr>
          <w:rFonts w:ascii="Times New Roman" w:hAnsi="Times New Roman" w:cs="Times New Roman"/>
          <w:b/>
          <w:sz w:val="26"/>
          <w:szCs w:val="26"/>
          <w:lang w:val="en-US"/>
        </w:rPr>
      </w:pPr>
      <w:r w:rsidRPr="003F16D1">
        <w:rPr>
          <w:rFonts w:ascii="Times New Roman" w:hAnsi="Times New Roman" w:cs="Times New Roman"/>
          <w:b/>
          <w:sz w:val="26"/>
          <w:szCs w:val="26"/>
          <w:lang w:val="en-US"/>
        </w:rPr>
        <w:t>Article 19 (b)</w:t>
      </w:r>
    </w:p>
    <w:p w:rsidR="005A05A3" w:rsidRPr="003F16D1" w:rsidRDefault="005A05A3" w:rsidP="00283EFF">
      <w:pPr>
        <w:pStyle w:val="ListParagraph"/>
        <w:spacing w:before="120" w:after="120"/>
        <w:ind w:left="0" w:firstLine="357"/>
        <w:jc w:val="both"/>
        <w:rPr>
          <w:rFonts w:ascii="Times New Roman" w:hAnsi="Times New Roman" w:cs="Times New Roman"/>
          <w:b/>
          <w:sz w:val="26"/>
          <w:szCs w:val="26"/>
          <w:lang w:val="en-US"/>
        </w:rPr>
      </w:pPr>
    </w:p>
    <w:p w:rsidR="00283EFF" w:rsidRPr="003F16D1" w:rsidRDefault="00283EFF" w:rsidP="00283EFF">
      <w:pPr>
        <w:pStyle w:val="ListParagraph"/>
        <w:numPr>
          <w:ilvl w:val="0"/>
          <w:numId w:val="2"/>
        </w:numPr>
        <w:spacing w:before="120" w:after="120"/>
        <w:ind w:firstLine="357"/>
        <w:jc w:val="both"/>
        <w:rPr>
          <w:rFonts w:ascii="Times New Roman" w:hAnsi="Times New Roman" w:cs="Times New Roman"/>
          <w:lang w:val="en-US"/>
        </w:rPr>
      </w:pPr>
      <w:r w:rsidRPr="003F16D1">
        <w:rPr>
          <w:rFonts w:ascii="Times New Roman" w:hAnsi="Times New Roman" w:cs="Times New Roman"/>
          <w:lang w:val="en-US"/>
        </w:rPr>
        <w:t xml:space="preserve">Article 19 (b) has to be interpreted in </w:t>
      </w:r>
      <w:r w:rsidR="004B38CA" w:rsidRPr="003F16D1">
        <w:rPr>
          <w:rFonts w:ascii="Times New Roman" w:hAnsi="Times New Roman" w:cs="Times New Roman"/>
          <w:lang w:val="en-US"/>
        </w:rPr>
        <w:t>line with</w:t>
      </w:r>
      <w:r w:rsidRPr="003F16D1">
        <w:rPr>
          <w:rFonts w:ascii="Times New Roman" w:hAnsi="Times New Roman" w:cs="Times New Roman"/>
          <w:lang w:val="en-US"/>
        </w:rPr>
        <w:t xml:space="preserve"> the human rights model of</w:t>
      </w:r>
      <w:r w:rsidR="000F6CEC">
        <w:rPr>
          <w:rFonts w:ascii="Times New Roman" w:hAnsi="Times New Roman" w:cs="Times New Roman"/>
          <w:lang w:val="en-US"/>
        </w:rPr>
        <w:t xml:space="preserve"> disability. Hence, individualis</w:t>
      </w:r>
      <w:r w:rsidRPr="003F16D1">
        <w:rPr>
          <w:rFonts w:ascii="Times New Roman" w:hAnsi="Times New Roman" w:cs="Times New Roman"/>
          <w:lang w:val="en-US"/>
        </w:rPr>
        <w:t>ed support services must be considered a right instead of a form of medical care or charity. For many persons with disabilities, access to a range of</w:t>
      </w:r>
      <w:r w:rsidR="006C40DC" w:rsidRPr="003F16D1">
        <w:rPr>
          <w:rFonts w:ascii="Times New Roman" w:hAnsi="Times New Roman" w:cs="Times New Roman"/>
          <w:lang w:val="en-US"/>
        </w:rPr>
        <w:t xml:space="preserve"> individualised</w:t>
      </w:r>
      <w:r w:rsidRPr="003F16D1">
        <w:rPr>
          <w:rFonts w:ascii="Times New Roman" w:hAnsi="Times New Roman" w:cs="Times New Roman"/>
          <w:lang w:val="en-US"/>
        </w:rPr>
        <w:t xml:space="preserve"> support services is a precondition for independent and community living. Persons with disabilities have the right to choose services and service providers according to their individual requirements and personal preferences. </w:t>
      </w:r>
    </w:p>
    <w:p w:rsidR="00041377" w:rsidRPr="003F16D1" w:rsidRDefault="00041377" w:rsidP="00041377">
      <w:pPr>
        <w:pStyle w:val="ListParagraph"/>
        <w:spacing w:before="120" w:after="120"/>
        <w:ind w:left="717"/>
        <w:jc w:val="both"/>
        <w:rPr>
          <w:rFonts w:ascii="Times New Roman" w:hAnsi="Times New Roman" w:cs="Times New Roman"/>
          <w:lang w:val="en-US"/>
        </w:rPr>
      </w:pPr>
    </w:p>
    <w:p w:rsidR="00B54C49" w:rsidRPr="000F6CEC" w:rsidRDefault="00283EFF" w:rsidP="000F6CEC">
      <w:pPr>
        <w:pStyle w:val="ListParagraph"/>
        <w:numPr>
          <w:ilvl w:val="0"/>
          <w:numId w:val="2"/>
        </w:numPr>
        <w:spacing w:before="120" w:after="120"/>
        <w:ind w:firstLine="357"/>
        <w:jc w:val="both"/>
        <w:rPr>
          <w:rFonts w:ascii="Times New Roman" w:hAnsi="Times New Roman" w:cs="Times New Roman"/>
          <w:lang w:val="en-US"/>
        </w:rPr>
      </w:pPr>
      <w:r w:rsidRPr="003F16D1">
        <w:rPr>
          <w:rFonts w:ascii="Times New Roman" w:hAnsi="Times New Roman" w:cs="Times New Roman"/>
          <w:lang w:val="en-US"/>
        </w:rPr>
        <w:t>L</w:t>
      </w:r>
      <w:r w:rsidR="004B38CA" w:rsidRPr="003F16D1">
        <w:rPr>
          <w:rFonts w:ascii="Times New Roman" w:hAnsi="Times New Roman" w:cs="Times New Roman"/>
          <w:lang w:val="en-US"/>
        </w:rPr>
        <w:t xml:space="preserve">iteral </w:t>
      </w:r>
      <w:r w:rsidRPr="003F16D1">
        <w:rPr>
          <w:rFonts w:ascii="Times New Roman" w:hAnsi="Times New Roman" w:cs="Times New Roman"/>
          <w:lang w:val="en-US"/>
        </w:rPr>
        <w:t>(b</w:t>
      </w:r>
      <w:r w:rsidR="000F6CEC">
        <w:rPr>
          <w:rFonts w:ascii="Times New Roman" w:hAnsi="Times New Roman" w:cs="Times New Roman"/>
          <w:lang w:val="en-US"/>
        </w:rPr>
        <w:t>) specifies various individualis</w:t>
      </w:r>
      <w:r w:rsidRPr="003F16D1">
        <w:rPr>
          <w:rFonts w:ascii="Times New Roman" w:hAnsi="Times New Roman" w:cs="Times New Roman"/>
          <w:lang w:val="en-US"/>
        </w:rPr>
        <w:t xml:space="preserve">ed services which fall within this category of support services. In-home services are services which are delivered to the home of the </w:t>
      </w:r>
      <w:r w:rsidR="00F94A90" w:rsidRPr="003F16D1">
        <w:rPr>
          <w:rFonts w:ascii="Times New Roman" w:hAnsi="Times New Roman" w:cs="Times New Roman"/>
          <w:lang w:val="en-US"/>
        </w:rPr>
        <w:t>person.</w:t>
      </w:r>
      <w:r w:rsidRPr="003F16D1">
        <w:rPr>
          <w:rFonts w:ascii="Times New Roman" w:hAnsi="Times New Roman" w:cs="Times New Roman"/>
          <w:lang w:val="en-US"/>
        </w:rPr>
        <w:t xml:space="preserve"> Residential services are services which offer pe</w:t>
      </w:r>
      <w:r w:rsidR="004B38CA" w:rsidRPr="003F16D1">
        <w:rPr>
          <w:rFonts w:ascii="Times New Roman" w:hAnsi="Times New Roman" w:cs="Times New Roman"/>
          <w:lang w:val="en-US"/>
        </w:rPr>
        <w:t xml:space="preserve">rsons </w:t>
      </w:r>
      <w:r w:rsidRPr="003F16D1">
        <w:rPr>
          <w:rFonts w:ascii="Times New Roman" w:hAnsi="Times New Roman" w:cs="Times New Roman"/>
          <w:lang w:val="en-US"/>
        </w:rPr>
        <w:t xml:space="preserve">with disabilities support as well as a place to live. They can be useful when persons with disabilities make the transition from institutions to independent and community living and might be necessary for persons who have lived in institutional settings for a long time and need to find out how they prefer to live. Other community support services include personal assistance services or similar </w:t>
      </w:r>
      <w:r w:rsidR="00F94A90" w:rsidRPr="003F16D1">
        <w:rPr>
          <w:rFonts w:ascii="Times New Roman" w:hAnsi="Times New Roman" w:cs="Times New Roman"/>
          <w:lang w:val="en-US"/>
        </w:rPr>
        <w:t>person-directed/user</w:t>
      </w:r>
      <w:r w:rsidRPr="003F16D1">
        <w:rPr>
          <w:rFonts w:ascii="Times New Roman" w:hAnsi="Times New Roman" w:cs="Times New Roman"/>
          <w:lang w:val="en-US"/>
        </w:rPr>
        <w:t xml:space="preserve">-led support. </w:t>
      </w:r>
    </w:p>
    <w:p w:rsidR="00E53FDA" w:rsidRPr="003F16D1" w:rsidRDefault="00E53FDA" w:rsidP="00E53FDA">
      <w:pPr>
        <w:pStyle w:val="ListParagraph"/>
        <w:rPr>
          <w:rFonts w:ascii="Times New Roman" w:hAnsi="Times New Roman" w:cs="Times New Roman"/>
          <w:lang w:val="en-US"/>
        </w:rPr>
      </w:pPr>
    </w:p>
    <w:p w:rsidR="00B54C49" w:rsidRPr="003F16D1" w:rsidRDefault="0097535A" w:rsidP="00E53FDA">
      <w:pPr>
        <w:pStyle w:val="ListParagraph"/>
        <w:numPr>
          <w:ilvl w:val="0"/>
          <w:numId w:val="2"/>
        </w:numPr>
        <w:spacing w:before="120" w:after="120"/>
        <w:ind w:firstLine="357"/>
        <w:jc w:val="both"/>
        <w:rPr>
          <w:rFonts w:ascii="Times New Roman" w:hAnsi="Times New Roman" w:cs="Times New Roman"/>
          <w:lang w:val="en-US"/>
        </w:rPr>
      </w:pPr>
      <w:r>
        <w:rPr>
          <w:rFonts w:ascii="Times New Roman" w:hAnsi="Times New Roman" w:cs="Times New Roman"/>
          <w:lang w:val="en-US"/>
        </w:rPr>
        <w:t>Individualis</w:t>
      </w:r>
      <w:r w:rsidR="00B54C49" w:rsidRPr="003F16D1">
        <w:rPr>
          <w:rFonts w:ascii="Times New Roman" w:hAnsi="Times New Roman" w:cs="Times New Roman"/>
          <w:lang w:val="en-US"/>
        </w:rPr>
        <w:t>ed services encompass a whole range of personalized services, some of which have been exemplified under article 19 (b). In addition to personal assistance, these services might include personal readers or sign language interpreters, guide dogs</w:t>
      </w:r>
      <w:r w:rsidR="00302A68" w:rsidRPr="003F16D1">
        <w:rPr>
          <w:rFonts w:ascii="Times New Roman" w:hAnsi="Times New Roman" w:cs="Times New Roman"/>
          <w:lang w:val="en-US"/>
        </w:rPr>
        <w:t>/</w:t>
      </w:r>
      <w:r w:rsidR="00B54C49" w:rsidRPr="003F16D1">
        <w:rPr>
          <w:rFonts w:ascii="Times New Roman" w:hAnsi="Times New Roman" w:cs="Times New Roman"/>
          <w:lang w:val="en-US"/>
        </w:rPr>
        <w:t xml:space="preserve"> service dogs, social work services, but also technical aids such as ICT software and equipment, wheelchairs, dressing aids,</w:t>
      </w:r>
      <w:r w:rsidR="00302A68" w:rsidRPr="003F16D1">
        <w:rPr>
          <w:rFonts w:ascii="Times New Roman" w:hAnsi="Times New Roman" w:cs="Times New Roman"/>
          <w:lang w:val="en-US"/>
        </w:rPr>
        <w:t xml:space="preserve"> guide</w:t>
      </w:r>
      <w:r w:rsidR="00B54C49" w:rsidRPr="003F16D1">
        <w:rPr>
          <w:rFonts w:ascii="Times New Roman" w:hAnsi="Times New Roman" w:cs="Times New Roman"/>
          <w:lang w:val="en-US"/>
        </w:rPr>
        <w:t xml:space="preserve"> canes and similar equipment. They are not restricted to services inside the home</w:t>
      </w:r>
      <w:r w:rsidR="00302A68" w:rsidRPr="003F16D1">
        <w:rPr>
          <w:rFonts w:ascii="Times New Roman" w:hAnsi="Times New Roman" w:cs="Times New Roman"/>
          <w:lang w:val="en-US"/>
        </w:rPr>
        <w:t>,</w:t>
      </w:r>
      <w:r w:rsidR="00B54C49" w:rsidRPr="003F16D1">
        <w:rPr>
          <w:rFonts w:ascii="Times New Roman" w:hAnsi="Times New Roman" w:cs="Times New Roman"/>
          <w:lang w:val="en-US"/>
        </w:rPr>
        <w:t xml:space="preserve"> but must also be able to extend to the s</w:t>
      </w:r>
      <w:r w:rsidR="003B4B46">
        <w:rPr>
          <w:rFonts w:ascii="Times New Roman" w:hAnsi="Times New Roman" w:cs="Times New Roman"/>
          <w:lang w:val="en-US"/>
        </w:rPr>
        <w:t xml:space="preserve">pheres of employment, education, </w:t>
      </w:r>
      <w:r w:rsidR="003B4B46" w:rsidRPr="000F0AAC">
        <w:rPr>
          <w:rFonts w:ascii="Times New Roman" w:eastAsia="Times New Roman" w:hAnsi="Times New Roman" w:cs="Times New Roman"/>
          <w:color w:val="FF0000"/>
          <w:lang w:val="en-GB"/>
        </w:rPr>
        <w:t>assistance with raising one’s small children, attending to aging relatives,</w:t>
      </w:r>
      <w:r w:rsidR="003B4B46" w:rsidRPr="00B4466F">
        <w:rPr>
          <w:rFonts w:ascii="Times New Roman" w:eastAsia="Times New Roman" w:hAnsi="Times New Roman" w:cs="Times New Roman"/>
          <w:lang w:val="en-GB"/>
        </w:rPr>
        <w:t xml:space="preserve"> </w:t>
      </w:r>
      <w:r w:rsidR="000F0AAC" w:rsidRPr="000F0AAC">
        <w:rPr>
          <w:rFonts w:ascii="Times New Roman" w:eastAsia="Times New Roman" w:hAnsi="Times New Roman" w:cs="Times New Roman"/>
          <w:color w:val="FF0000"/>
          <w:lang w:val="en-GB"/>
        </w:rPr>
        <w:t xml:space="preserve">participation in </w:t>
      </w:r>
      <w:r w:rsidR="003B4B46" w:rsidRPr="000F0AAC">
        <w:rPr>
          <w:rFonts w:ascii="Times New Roman" w:eastAsia="Times New Roman" w:hAnsi="Times New Roman" w:cs="Times New Roman"/>
          <w:color w:val="FF0000"/>
          <w:lang w:val="en-GB"/>
        </w:rPr>
        <w:t>political and cultural</w:t>
      </w:r>
      <w:r w:rsidR="000F0AAC" w:rsidRPr="000F0AAC">
        <w:rPr>
          <w:rFonts w:ascii="Times New Roman" w:eastAsia="Times New Roman" w:hAnsi="Times New Roman" w:cs="Times New Roman"/>
          <w:color w:val="FF0000"/>
          <w:lang w:val="en-GB"/>
        </w:rPr>
        <w:t xml:space="preserve"> life</w:t>
      </w:r>
      <w:r w:rsidR="003B4B46" w:rsidRPr="000F0AAC">
        <w:rPr>
          <w:rFonts w:ascii="Times New Roman" w:eastAsia="Times New Roman" w:hAnsi="Times New Roman" w:cs="Times New Roman"/>
          <w:color w:val="FF0000"/>
          <w:lang w:val="en-GB"/>
        </w:rPr>
        <w:t xml:space="preserve">, </w:t>
      </w:r>
      <w:r w:rsidR="000F0AAC" w:rsidRPr="000F0AAC">
        <w:rPr>
          <w:rFonts w:ascii="Times New Roman" w:eastAsia="Times New Roman" w:hAnsi="Times New Roman" w:cs="Times New Roman"/>
          <w:color w:val="FF0000"/>
          <w:lang w:val="en-GB"/>
        </w:rPr>
        <w:t xml:space="preserve">one’s interests, </w:t>
      </w:r>
      <w:r w:rsidR="003B4B46" w:rsidRPr="00AF2614">
        <w:rPr>
          <w:rFonts w:ascii="Times New Roman" w:eastAsia="Times New Roman" w:hAnsi="Times New Roman" w:cs="Times New Roman"/>
          <w:color w:val="FF0000"/>
          <w:lang w:val="en-GB"/>
        </w:rPr>
        <w:t>travel</w:t>
      </w:r>
      <w:r w:rsidR="000F0AAC">
        <w:rPr>
          <w:rFonts w:ascii="Times New Roman" w:eastAsia="Times New Roman" w:hAnsi="Times New Roman" w:cs="Times New Roman"/>
          <w:lang w:val="en-GB"/>
        </w:rPr>
        <w:t xml:space="preserve"> </w:t>
      </w:r>
      <w:r w:rsidR="003B4B46" w:rsidRPr="00B4466F">
        <w:rPr>
          <w:rFonts w:ascii="Times New Roman" w:eastAsia="Times New Roman" w:hAnsi="Times New Roman" w:cs="Times New Roman"/>
          <w:i/>
          <w:color w:val="FF0000"/>
          <w:lang w:val="en-GB"/>
        </w:rPr>
        <w:t>as well as recreation</w:t>
      </w:r>
      <w:r w:rsidR="003B4B46" w:rsidRPr="00B4466F">
        <w:rPr>
          <w:rFonts w:ascii="Times New Roman" w:eastAsia="Times New Roman" w:hAnsi="Times New Roman" w:cs="Times New Roman"/>
          <w:lang w:val="en-GB"/>
        </w:rPr>
        <w:t>.</w:t>
      </w:r>
      <w:r w:rsidR="00B54C49" w:rsidRPr="003F16D1">
        <w:rPr>
          <w:rFonts w:ascii="Times New Roman" w:hAnsi="Times New Roman" w:cs="Times New Roman"/>
          <w:lang w:val="en-US"/>
        </w:rPr>
        <w:t xml:space="preserve"> </w:t>
      </w:r>
    </w:p>
    <w:p w:rsidR="00A0609D" w:rsidRPr="003F16D1" w:rsidRDefault="00A0609D" w:rsidP="00A0609D">
      <w:pPr>
        <w:pStyle w:val="ListParagraph"/>
        <w:spacing w:before="120" w:after="120"/>
        <w:ind w:left="717"/>
        <w:jc w:val="both"/>
        <w:rPr>
          <w:rFonts w:ascii="Times New Roman" w:hAnsi="Times New Roman" w:cs="Times New Roman"/>
          <w:lang w:val="en-US"/>
        </w:rPr>
      </w:pPr>
    </w:p>
    <w:p w:rsidR="00952160" w:rsidRPr="003F16D1" w:rsidRDefault="00283EFF" w:rsidP="004B7A2C">
      <w:pPr>
        <w:pStyle w:val="ListParagraph"/>
        <w:numPr>
          <w:ilvl w:val="0"/>
          <w:numId w:val="2"/>
        </w:numPr>
        <w:spacing w:before="120" w:after="120"/>
        <w:ind w:firstLine="357"/>
        <w:jc w:val="both"/>
        <w:rPr>
          <w:rFonts w:ascii="Times New Roman" w:hAnsi="Times New Roman" w:cs="Times New Roman"/>
          <w:lang w:val="en-US"/>
        </w:rPr>
      </w:pPr>
      <w:r w:rsidRPr="003F16D1">
        <w:rPr>
          <w:rFonts w:ascii="Times New Roman" w:hAnsi="Times New Roman" w:cs="Times New Roman"/>
          <w:lang w:val="en-US"/>
        </w:rPr>
        <w:t>The text does not specify other services</w:t>
      </w:r>
      <w:r w:rsidR="002440FA" w:rsidRPr="003F16D1">
        <w:rPr>
          <w:rFonts w:ascii="Times New Roman" w:hAnsi="Times New Roman" w:cs="Times New Roman"/>
          <w:lang w:val="en-US"/>
        </w:rPr>
        <w:t>.</w:t>
      </w:r>
      <w:r w:rsidRPr="003F16D1">
        <w:rPr>
          <w:rFonts w:ascii="Times New Roman" w:hAnsi="Times New Roman" w:cs="Times New Roman"/>
          <w:lang w:val="en-US"/>
        </w:rPr>
        <w:t xml:space="preserve"> While</w:t>
      </w:r>
      <w:r w:rsidR="004B38CA" w:rsidRPr="003F16D1">
        <w:rPr>
          <w:rFonts w:ascii="Times New Roman" w:hAnsi="Times New Roman" w:cs="Times New Roman"/>
          <w:lang w:val="en-US"/>
        </w:rPr>
        <w:t xml:space="preserve"> community support services</w:t>
      </w:r>
      <w:r w:rsidRPr="003F16D1">
        <w:rPr>
          <w:rFonts w:ascii="Times New Roman" w:hAnsi="Times New Roman" w:cs="Times New Roman"/>
          <w:lang w:val="en-US"/>
        </w:rPr>
        <w:t xml:space="preserve"> </w:t>
      </w:r>
      <w:r w:rsidR="004B38CA" w:rsidRPr="003F16D1">
        <w:rPr>
          <w:rFonts w:ascii="Times New Roman" w:hAnsi="Times New Roman" w:cs="Times New Roman"/>
          <w:lang w:val="en-US"/>
        </w:rPr>
        <w:t xml:space="preserve">may </w:t>
      </w:r>
      <w:r w:rsidRPr="003F16D1">
        <w:rPr>
          <w:rFonts w:ascii="Times New Roman" w:hAnsi="Times New Roman" w:cs="Times New Roman"/>
          <w:lang w:val="en-US"/>
        </w:rPr>
        <w:t xml:space="preserve">vary in </w:t>
      </w:r>
      <w:r w:rsidR="006C40DC" w:rsidRPr="003F16D1">
        <w:rPr>
          <w:rFonts w:ascii="Times New Roman" w:hAnsi="Times New Roman" w:cs="Times New Roman"/>
          <w:lang w:val="en-US"/>
        </w:rPr>
        <w:t>name</w:t>
      </w:r>
      <w:r w:rsidRPr="003F16D1">
        <w:rPr>
          <w:rFonts w:ascii="Times New Roman" w:hAnsi="Times New Roman" w:cs="Times New Roman"/>
          <w:lang w:val="en-US"/>
        </w:rPr>
        <w:t xml:space="preserve">, </w:t>
      </w:r>
      <w:r w:rsidR="006C40DC" w:rsidRPr="003F16D1">
        <w:rPr>
          <w:rFonts w:ascii="Times New Roman" w:hAnsi="Times New Roman" w:cs="Times New Roman"/>
          <w:lang w:val="en-US"/>
        </w:rPr>
        <w:t>type</w:t>
      </w:r>
      <w:r w:rsidRPr="003F16D1">
        <w:rPr>
          <w:rFonts w:ascii="Times New Roman" w:hAnsi="Times New Roman" w:cs="Times New Roman"/>
          <w:lang w:val="en-US"/>
        </w:rPr>
        <w:t xml:space="preserve"> or kind according to the cultural, economic and geographic specifics of the State party, all services must be designed “to support living and inclusion in the community and to prevent isolation or segregation from the community”. They may be named respite services, supported parenting or parent’s night out services in one country and individual or group counselling services or community work services in another. It is important that the purpose of these services is the realization of full independent and community living</w:t>
      </w:r>
      <w:r w:rsidR="002126B8" w:rsidRPr="003F16D1">
        <w:rPr>
          <w:rFonts w:ascii="Times New Roman" w:hAnsi="Times New Roman" w:cs="Times New Roman"/>
          <w:lang w:val="en-US"/>
        </w:rPr>
        <w:t>.</w:t>
      </w:r>
      <w:r w:rsidRPr="003F16D1">
        <w:rPr>
          <w:rFonts w:ascii="Times New Roman" w:hAnsi="Times New Roman" w:cs="Times New Roman"/>
          <w:lang w:val="en-US"/>
        </w:rPr>
        <w:t xml:space="preserve"> </w:t>
      </w:r>
      <w:r w:rsidR="002126B8" w:rsidRPr="003F16D1">
        <w:rPr>
          <w:rFonts w:ascii="Times New Roman" w:hAnsi="Times New Roman" w:cs="Times New Roman"/>
          <w:lang w:val="en-US"/>
        </w:rPr>
        <w:t>T</w:t>
      </w:r>
      <w:r w:rsidRPr="003F16D1">
        <w:rPr>
          <w:rFonts w:ascii="Times New Roman" w:hAnsi="Times New Roman" w:cs="Times New Roman"/>
          <w:lang w:val="en-US"/>
        </w:rPr>
        <w:t>herefore</w:t>
      </w:r>
      <w:r w:rsidR="002126B8" w:rsidRPr="003F16D1">
        <w:rPr>
          <w:rFonts w:ascii="Times New Roman" w:hAnsi="Times New Roman" w:cs="Times New Roman"/>
          <w:lang w:val="en-US"/>
        </w:rPr>
        <w:t>,</w:t>
      </w:r>
      <w:r w:rsidR="006C40DC" w:rsidRPr="003F16D1">
        <w:rPr>
          <w:rFonts w:ascii="Times New Roman" w:hAnsi="Times New Roman" w:cs="Times New Roman"/>
          <w:lang w:val="en-US"/>
        </w:rPr>
        <w:t xml:space="preserve"> any</w:t>
      </w:r>
      <w:r w:rsidRPr="003F16D1">
        <w:rPr>
          <w:rFonts w:ascii="Times New Roman" w:hAnsi="Times New Roman" w:cs="Times New Roman"/>
          <w:lang w:val="en-US"/>
        </w:rPr>
        <w:t xml:space="preserve"> institutional </w:t>
      </w:r>
      <w:r w:rsidR="006C40DC" w:rsidRPr="003F16D1">
        <w:rPr>
          <w:rFonts w:ascii="Times New Roman" w:hAnsi="Times New Roman" w:cs="Times New Roman"/>
          <w:lang w:val="en-US"/>
        </w:rPr>
        <w:t>form</w:t>
      </w:r>
      <w:r w:rsidRPr="003F16D1">
        <w:rPr>
          <w:rFonts w:ascii="Times New Roman" w:hAnsi="Times New Roman" w:cs="Times New Roman"/>
          <w:lang w:val="en-US"/>
        </w:rPr>
        <w:t xml:space="preserve"> of support </w:t>
      </w:r>
      <w:r w:rsidR="006C40DC" w:rsidRPr="003F16D1">
        <w:rPr>
          <w:rFonts w:ascii="Times New Roman" w:hAnsi="Times New Roman" w:cs="Times New Roman"/>
          <w:lang w:val="en-US"/>
        </w:rPr>
        <w:t>is not</w:t>
      </w:r>
      <w:r w:rsidRPr="003F16D1">
        <w:rPr>
          <w:rFonts w:ascii="Times New Roman" w:hAnsi="Times New Roman" w:cs="Times New Roman"/>
          <w:lang w:val="en-US"/>
        </w:rPr>
        <w:t xml:space="preserve"> covered by article 19 (b). </w:t>
      </w:r>
    </w:p>
    <w:p w:rsidR="00490C2E" w:rsidRPr="003F16D1" w:rsidRDefault="00490C2E" w:rsidP="00490C2E">
      <w:pPr>
        <w:pStyle w:val="ListParagraph"/>
        <w:rPr>
          <w:rFonts w:ascii="Times New Roman" w:hAnsi="Times New Roman" w:cs="Times New Roman"/>
          <w:lang w:val="en-US"/>
        </w:rPr>
      </w:pPr>
    </w:p>
    <w:p w:rsidR="00952160" w:rsidRPr="003F16D1" w:rsidRDefault="00952160" w:rsidP="004B7A2C">
      <w:pPr>
        <w:pStyle w:val="ListParagraph"/>
        <w:numPr>
          <w:ilvl w:val="0"/>
          <w:numId w:val="2"/>
        </w:numPr>
        <w:spacing w:before="120" w:after="120"/>
        <w:ind w:firstLine="357"/>
        <w:jc w:val="both"/>
        <w:rPr>
          <w:rFonts w:ascii="Times New Roman" w:hAnsi="Times New Roman" w:cs="Times New Roman"/>
          <w:lang w:val="en-US"/>
        </w:rPr>
      </w:pPr>
      <w:r w:rsidRPr="003F16D1">
        <w:rPr>
          <w:rFonts w:ascii="Times New Roman" w:hAnsi="Times New Roman" w:cs="Times New Roman"/>
          <w:lang w:val="en-US"/>
        </w:rPr>
        <w:t xml:space="preserve"> It is also relevant to kee</w:t>
      </w:r>
      <w:r w:rsidR="00561EBA">
        <w:rPr>
          <w:rFonts w:ascii="Times New Roman" w:hAnsi="Times New Roman" w:cs="Times New Roman"/>
          <w:lang w:val="en-US"/>
        </w:rPr>
        <w:t>p in mind that both individualis</w:t>
      </w:r>
      <w:r w:rsidRPr="003F16D1">
        <w:rPr>
          <w:rFonts w:ascii="Times New Roman" w:hAnsi="Times New Roman" w:cs="Times New Roman"/>
          <w:lang w:val="en-US"/>
        </w:rPr>
        <w:t>ed and general services have to be designed and delivered in a mode which supports the overall purpose of the norm: full and effective inclusion and participation.</w:t>
      </w:r>
      <w:r w:rsidR="004B7A2C" w:rsidRPr="003F16D1">
        <w:rPr>
          <w:rFonts w:ascii="Times New Roman" w:hAnsi="Times New Roman" w:cs="Times New Roman"/>
          <w:lang w:val="en-US"/>
        </w:rPr>
        <w:t xml:space="preserve"> </w:t>
      </w:r>
    </w:p>
    <w:p w:rsidR="00A0609D" w:rsidRPr="003F16D1" w:rsidRDefault="00A0609D" w:rsidP="00A0609D">
      <w:pPr>
        <w:pStyle w:val="ListParagraph"/>
        <w:spacing w:before="120" w:after="120"/>
        <w:ind w:left="717"/>
        <w:jc w:val="both"/>
        <w:rPr>
          <w:rFonts w:ascii="Times New Roman" w:hAnsi="Times New Roman" w:cs="Times New Roman"/>
          <w:lang w:val="en-US"/>
        </w:rPr>
      </w:pPr>
    </w:p>
    <w:p w:rsidR="00283EFF" w:rsidRPr="003F16D1" w:rsidRDefault="00283EFF" w:rsidP="00C457E1">
      <w:pPr>
        <w:pStyle w:val="ListParagraph"/>
        <w:numPr>
          <w:ilvl w:val="0"/>
          <w:numId w:val="8"/>
        </w:numPr>
        <w:spacing w:before="120" w:after="120"/>
        <w:jc w:val="both"/>
        <w:rPr>
          <w:rFonts w:ascii="Times New Roman" w:hAnsi="Times New Roman" w:cs="Times New Roman"/>
          <w:b/>
          <w:sz w:val="26"/>
          <w:szCs w:val="26"/>
          <w:lang w:val="en-US"/>
        </w:rPr>
      </w:pPr>
      <w:r w:rsidRPr="003F16D1">
        <w:rPr>
          <w:rFonts w:ascii="Times New Roman" w:hAnsi="Times New Roman" w:cs="Times New Roman"/>
          <w:b/>
          <w:sz w:val="26"/>
          <w:szCs w:val="26"/>
          <w:lang w:val="en-US"/>
        </w:rPr>
        <w:t>Article 19 (c)</w:t>
      </w:r>
    </w:p>
    <w:p w:rsidR="00A0609D" w:rsidRPr="003F16D1" w:rsidRDefault="00A0609D" w:rsidP="00283EFF">
      <w:pPr>
        <w:pStyle w:val="ListParagraph"/>
        <w:spacing w:before="120" w:after="120"/>
        <w:ind w:left="0" w:firstLine="357"/>
        <w:jc w:val="both"/>
        <w:rPr>
          <w:rFonts w:ascii="Times New Roman" w:hAnsi="Times New Roman" w:cs="Times New Roman"/>
          <w:b/>
          <w:sz w:val="26"/>
          <w:szCs w:val="26"/>
          <w:lang w:val="en-US"/>
        </w:rPr>
      </w:pPr>
    </w:p>
    <w:p w:rsidR="005A494C" w:rsidRPr="003F16D1" w:rsidRDefault="00283EFF" w:rsidP="005A494C">
      <w:pPr>
        <w:pStyle w:val="ListParagraph"/>
        <w:numPr>
          <w:ilvl w:val="0"/>
          <w:numId w:val="2"/>
        </w:numPr>
        <w:spacing w:before="120" w:after="120"/>
        <w:ind w:firstLine="357"/>
        <w:jc w:val="both"/>
        <w:rPr>
          <w:rFonts w:ascii="Times New Roman" w:hAnsi="Times New Roman" w:cs="Times New Roman"/>
          <w:lang w:val="en-US"/>
        </w:rPr>
      </w:pPr>
      <w:r w:rsidRPr="003F16D1">
        <w:rPr>
          <w:rFonts w:ascii="Times New Roman" w:hAnsi="Times New Roman" w:cs="Times New Roman"/>
          <w:lang w:val="en-US"/>
        </w:rPr>
        <w:t>Services</w:t>
      </w:r>
      <w:r w:rsidR="00BD2E3B" w:rsidRPr="003F16D1">
        <w:rPr>
          <w:rFonts w:ascii="Times New Roman" w:hAnsi="Times New Roman" w:cs="Times New Roman"/>
          <w:lang w:val="en-US"/>
        </w:rPr>
        <w:t xml:space="preserve"> and facilities</w:t>
      </w:r>
      <w:r w:rsidRPr="003F16D1">
        <w:rPr>
          <w:rFonts w:ascii="Times New Roman" w:hAnsi="Times New Roman" w:cs="Times New Roman"/>
          <w:lang w:val="en-US"/>
        </w:rPr>
        <w:t xml:space="preserve"> mentioned in this section of the article are non-disability specific community services and facilities</w:t>
      </w:r>
      <w:r w:rsidR="00BD2E3B" w:rsidRPr="003F16D1">
        <w:rPr>
          <w:rFonts w:ascii="Times New Roman" w:hAnsi="Times New Roman" w:cs="Times New Roman"/>
          <w:lang w:val="en-US"/>
        </w:rPr>
        <w:t xml:space="preserve">, which persons in the community who do not have disabilities use. They cover a wide range of services, </w:t>
      </w:r>
      <w:r w:rsidRPr="003F16D1">
        <w:rPr>
          <w:rFonts w:ascii="Times New Roman" w:hAnsi="Times New Roman" w:cs="Times New Roman"/>
          <w:lang w:val="en-US"/>
        </w:rPr>
        <w:t>such as public libraries, hospitals, schools, transport, shops</w:t>
      </w:r>
      <w:r w:rsidR="001F1744" w:rsidRPr="003F16D1">
        <w:rPr>
          <w:rFonts w:ascii="Times New Roman" w:hAnsi="Times New Roman" w:cs="Times New Roman"/>
          <w:lang w:val="en-US"/>
        </w:rPr>
        <w:t>,</w:t>
      </w:r>
      <w:r w:rsidRPr="003F16D1">
        <w:rPr>
          <w:rFonts w:ascii="Times New Roman" w:hAnsi="Times New Roman" w:cs="Times New Roman"/>
          <w:lang w:val="en-US"/>
        </w:rPr>
        <w:t xml:space="preserve"> markets</w:t>
      </w:r>
      <w:r w:rsidR="008E648A" w:rsidRPr="003F16D1">
        <w:rPr>
          <w:rFonts w:ascii="Times New Roman" w:hAnsi="Times New Roman" w:cs="Times New Roman"/>
          <w:lang w:val="en-US"/>
        </w:rPr>
        <w:t xml:space="preserve">, museums </w:t>
      </w:r>
      <w:r w:rsidRPr="003F16D1">
        <w:rPr>
          <w:rFonts w:ascii="Times New Roman" w:hAnsi="Times New Roman" w:cs="Times New Roman"/>
          <w:lang w:val="en-US"/>
        </w:rPr>
        <w:t xml:space="preserve">and similar facilities and services. These must be accessible on an equal basis with others, available, affordable and acceptable for all persons with disabilities as well as adaptable </w:t>
      </w:r>
      <w:r w:rsidR="00506AF4" w:rsidRPr="003F16D1">
        <w:rPr>
          <w:rFonts w:ascii="Times New Roman" w:hAnsi="Times New Roman" w:cs="Times New Roman"/>
          <w:lang w:val="en-US"/>
        </w:rPr>
        <w:t xml:space="preserve">and </w:t>
      </w:r>
      <w:r w:rsidRPr="003F16D1">
        <w:rPr>
          <w:rFonts w:ascii="Times New Roman" w:hAnsi="Times New Roman" w:cs="Times New Roman"/>
          <w:lang w:val="en-US"/>
        </w:rPr>
        <w:t xml:space="preserve">responsive to the </w:t>
      </w:r>
      <w:r w:rsidR="00506AF4" w:rsidRPr="003F16D1">
        <w:rPr>
          <w:rFonts w:ascii="Times New Roman" w:hAnsi="Times New Roman" w:cs="Times New Roman"/>
          <w:lang w:val="en-US"/>
        </w:rPr>
        <w:t xml:space="preserve">requirements </w:t>
      </w:r>
      <w:r w:rsidRPr="003F16D1">
        <w:rPr>
          <w:rFonts w:ascii="Times New Roman" w:hAnsi="Times New Roman" w:cs="Times New Roman"/>
          <w:lang w:val="en-US"/>
        </w:rPr>
        <w:t>of persons with disabilities in a given community.</w:t>
      </w:r>
    </w:p>
    <w:p w:rsidR="005A494C" w:rsidRPr="003F16D1" w:rsidRDefault="005A494C" w:rsidP="005A494C">
      <w:pPr>
        <w:pStyle w:val="ListParagraph"/>
        <w:spacing w:before="120" w:after="120"/>
        <w:ind w:left="717"/>
        <w:jc w:val="both"/>
        <w:rPr>
          <w:rFonts w:ascii="Times New Roman" w:hAnsi="Times New Roman" w:cs="Times New Roman"/>
          <w:lang w:val="en-US"/>
        </w:rPr>
      </w:pPr>
    </w:p>
    <w:p w:rsidR="00EF18E4" w:rsidRPr="003F16D1" w:rsidRDefault="00283EFF" w:rsidP="005A494C">
      <w:pPr>
        <w:pStyle w:val="ListParagraph"/>
        <w:numPr>
          <w:ilvl w:val="0"/>
          <w:numId w:val="2"/>
        </w:numPr>
        <w:spacing w:before="120" w:after="120"/>
        <w:ind w:firstLine="357"/>
        <w:jc w:val="both"/>
        <w:rPr>
          <w:rFonts w:ascii="Times New Roman" w:hAnsi="Times New Roman" w:cs="Times New Roman"/>
          <w:lang w:val="en-US"/>
        </w:rPr>
      </w:pPr>
      <w:r w:rsidRPr="003F16D1">
        <w:rPr>
          <w:rFonts w:ascii="Times New Roman" w:hAnsi="Times New Roman" w:cs="Times New Roman"/>
          <w:lang w:val="en-US"/>
        </w:rPr>
        <w:t>Accessibility of community facilities, goods and services</w:t>
      </w:r>
      <w:r w:rsidR="00194778" w:rsidRPr="003F16D1">
        <w:rPr>
          <w:rFonts w:ascii="Times New Roman" w:hAnsi="Times New Roman" w:cs="Times New Roman"/>
          <w:lang w:val="en-US"/>
        </w:rPr>
        <w:t xml:space="preserve">, </w:t>
      </w:r>
      <w:r w:rsidR="00B9415E" w:rsidRPr="003F16D1">
        <w:rPr>
          <w:rFonts w:ascii="Times New Roman" w:hAnsi="Times New Roman" w:cs="Times New Roman"/>
          <w:lang w:val="en-US"/>
        </w:rPr>
        <w:t>as well as</w:t>
      </w:r>
      <w:r w:rsidR="00194778" w:rsidRPr="003F16D1">
        <w:rPr>
          <w:rFonts w:ascii="Times New Roman" w:hAnsi="Times New Roman" w:cs="Times New Roman"/>
          <w:lang w:val="en-US"/>
        </w:rPr>
        <w:t xml:space="preserve"> inclusive education</w:t>
      </w:r>
      <w:r w:rsidRPr="003F16D1">
        <w:rPr>
          <w:rFonts w:ascii="Times New Roman" w:hAnsi="Times New Roman" w:cs="Times New Roman"/>
          <w:lang w:val="en-US"/>
        </w:rPr>
        <w:t xml:space="preserve"> </w:t>
      </w:r>
      <w:r w:rsidR="00194778" w:rsidRPr="003F16D1">
        <w:rPr>
          <w:rFonts w:ascii="Times New Roman" w:hAnsi="Times New Roman" w:cs="Times New Roman"/>
          <w:lang w:val="en-US"/>
        </w:rPr>
        <w:t xml:space="preserve">and health </w:t>
      </w:r>
      <w:r w:rsidR="00B9415E" w:rsidRPr="003F16D1">
        <w:rPr>
          <w:rFonts w:ascii="Times New Roman" w:hAnsi="Times New Roman" w:cs="Times New Roman"/>
          <w:lang w:val="en-US"/>
        </w:rPr>
        <w:t xml:space="preserve">are </w:t>
      </w:r>
      <w:r w:rsidRPr="003F16D1">
        <w:rPr>
          <w:rFonts w:ascii="Times New Roman" w:hAnsi="Times New Roman" w:cs="Times New Roman"/>
          <w:lang w:val="en-US"/>
        </w:rPr>
        <w:t>a sine-qua-non</w:t>
      </w:r>
      <w:r w:rsidR="005044B3" w:rsidRPr="003F16D1">
        <w:rPr>
          <w:rFonts w:ascii="Times New Roman" w:hAnsi="Times New Roman" w:cs="Times New Roman"/>
          <w:lang w:val="en-US"/>
        </w:rPr>
        <w:t xml:space="preserve"> </w:t>
      </w:r>
      <w:r w:rsidRPr="003F16D1">
        <w:rPr>
          <w:rFonts w:ascii="Times New Roman" w:hAnsi="Times New Roman" w:cs="Times New Roman"/>
          <w:lang w:val="en-US"/>
        </w:rPr>
        <w:t>for inclusion and participation of persons with disabilities in the community. Various de-institutionalization programs have shown that the closure of residential institutions, regardless of their size and the relocation of inhabitants in the community or with their families</w:t>
      </w:r>
      <w:r w:rsidR="00B9415E" w:rsidRPr="003F16D1">
        <w:rPr>
          <w:rFonts w:ascii="Times New Roman" w:hAnsi="Times New Roman" w:cs="Times New Roman"/>
          <w:lang w:val="en-US"/>
        </w:rPr>
        <w:t>,</w:t>
      </w:r>
      <w:r w:rsidRPr="003F16D1">
        <w:rPr>
          <w:rFonts w:ascii="Times New Roman" w:hAnsi="Times New Roman" w:cs="Times New Roman"/>
          <w:lang w:val="en-US"/>
        </w:rPr>
        <w:t xml:space="preserve"> in itself is not enough. Unless such reforms are accompanied by comprehensive service and community development programs</w:t>
      </w:r>
      <w:r w:rsidR="005044B3" w:rsidRPr="003F16D1">
        <w:rPr>
          <w:rFonts w:ascii="Times New Roman" w:hAnsi="Times New Roman" w:cs="Times New Roman"/>
          <w:lang w:val="en-US"/>
        </w:rPr>
        <w:t>, including awareness programs</w:t>
      </w:r>
      <w:r w:rsidRPr="003F16D1">
        <w:rPr>
          <w:rFonts w:ascii="Times New Roman" w:hAnsi="Times New Roman" w:cs="Times New Roman"/>
          <w:lang w:val="en-US"/>
        </w:rPr>
        <w:t xml:space="preserve">, they largely fail. </w:t>
      </w:r>
    </w:p>
    <w:p w:rsidR="00EF18E4" w:rsidRPr="003F16D1" w:rsidRDefault="00EF18E4" w:rsidP="00EF18E4">
      <w:pPr>
        <w:spacing w:before="120" w:after="120"/>
        <w:jc w:val="both"/>
        <w:rPr>
          <w:rFonts w:ascii="Times New Roman" w:hAnsi="Times New Roman" w:cs="Times New Roman"/>
          <w:lang w:val="en-US"/>
        </w:rPr>
      </w:pPr>
    </w:p>
    <w:p w:rsidR="00283EFF" w:rsidRPr="003F16D1" w:rsidRDefault="00283EFF" w:rsidP="00283EFF">
      <w:pPr>
        <w:pStyle w:val="ListParagraph"/>
        <w:numPr>
          <w:ilvl w:val="0"/>
          <w:numId w:val="2"/>
        </w:numPr>
        <w:spacing w:before="120" w:after="120"/>
        <w:ind w:firstLine="357"/>
        <w:jc w:val="both"/>
        <w:rPr>
          <w:rFonts w:ascii="Times New Roman" w:hAnsi="Times New Roman" w:cs="Times New Roman"/>
          <w:lang w:val="en-US"/>
        </w:rPr>
      </w:pPr>
      <w:r w:rsidRPr="003F16D1">
        <w:rPr>
          <w:rFonts w:ascii="Times New Roman" w:hAnsi="Times New Roman" w:cs="Times New Roman"/>
          <w:lang w:val="en-US"/>
        </w:rPr>
        <w:t xml:space="preserve">Adaptability means that accessibility planning and implementation needs to be responsive to the </w:t>
      </w:r>
      <w:r w:rsidR="00225AFD" w:rsidRPr="003F16D1">
        <w:rPr>
          <w:rFonts w:ascii="Times New Roman" w:hAnsi="Times New Roman" w:cs="Times New Roman"/>
          <w:lang w:val="en-US"/>
        </w:rPr>
        <w:t>requirements</w:t>
      </w:r>
      <w:r w:rsidRPr="003F16D1">
        <w:rPr>
          <w:rFonts w:ascii="Times New Roman" w:hAnsi="Times New Roman" w:cs="Times New Roman"/>
          <w:lang w:val="en-US"/>
        </w:rPr>
        <w:t xml:space="preserve"> of pe</w:t>
      </w:r>
      <w:r w:rsidR="00225AFD" w:rsidRPr="003F16D1">
        <w:rPr>
          <w:rFonts w:ascii="Times New Roman" w:hAnsi="Times New Roman" w:cs="Times New Roman"/>
          <w:lang w:val="en-US"/>
        </w:rPr>
        <w:t xml:space="preserve">rsons </w:t>
      </w:r>
      <w:r w:rsidRPr="003F16D1">
        <w:rPr>
          <w:rFonts w:ascii="Times New Roman" w:hAnsi="Times New Roman" w:cs="Times New Roman"/>
          <w:lang w:val="en-US"/>
        </w:rPr>
        <w:t xml:space="preserve">with disabilities </w:t>
      </w:r>
      <w:r w:rsidR="005044B3" w:rsidRPr="003F16D1">
        <w:rPr>
          <w:rFonts w:ascii="Times New Roman" w:hAnsi="Times New Roman" w:cs="Times New Roman"/>
          <w:lang w:val="en-US"/>
        </w:rPr>
        <w:t>in general and particularly responsive to specific groups of pe</w:t>
      </w:r>
      <w:r w:rsidR="00225AFD" w:rsidRPr="003F16D1">
        <w:rPr>
          <w:rFonts w:ascii="Times New Roman" w:hAnsi="Times New Roman" w:cs="Times New Roman"/>
          <w:lang w:val="en-US"/>
        </w:rPr>
        <w:t xml:space="preserve">rsons </w:t>
      </w:r>
      <w:r w:rsidR="005044B3" w:rsidRPr="003F16D1">
        <w:rPr>
          <w:rFonts w:ascii="Times New Roman" w:hAnsi="Times New Roman" w:cs="Times New Roman"/>
          <w:lang w:val="en-US"/>
        </w:rPr>
        <w:t xml:space="preserve">with disabilities </w:t>
      </w:r>
      <w:r w:rsidRPr="003F16D1">
        <w:rPr>
          <w:rFonts w:ascii="Times New Roman" w:hAnsi="Times New Roman" w:cs="Times New Roman"/>
          <w:lang w:val="en-US"/>
        </w:rPr>
        <w:t xml:space="preserve">living in a given community. For example, in one community, a larger share of the population may be deaf-blind whereas in another, there might be a high percentage of </w:t>
      </w:r>
      <w:r w:rsidR="00225AFD" w:rsidRPr="003F16D1">
        <w:rPr>
          <w:rFonts w:ascii="Times New Roman" w:hAnsi="Times New Roman" w:cs="Times New Roman"/>
          <w:lang w:val="en-US"/>
        </w:rPr>
        <w:t xml:space="preserve">children and </w:t>
      </w:r>
      <w:r w:rsidRPr="003F16D1">
        <w:rPr>
          <w:rFonts w:ascii="Times New Roman" w:hAnsi="Times New Roman" w:cs="Times New Roman"/>
          <w:lang w:val="en-US"/>
        </w:rPr>
        <w:t>students with disabilities or old</w:t>
      </w:r>
      <w:r w:rsidR="009401C8" w:rsidRPr="003F16D1">
        <w:rPr>
          <w:rFonts w:ascii="Times New Roman" w:hAnsi="Times New Roman" w:cs="Times New Roman"/>
          <w:lang w:val="en-US"/>
        </w:rPr>
        <w:t>er</w:t>
      </w:r>
      <w:r w:rsidRPr="003F16D1">
        <w:rPr>
          <w:rFonts w:ascii="Times New Roman" w:hAnsi="Times New Roman" w:cs="Times New Roman"/>
          <w:lang w:val="en-US"/>
        </w:rPr>
        <w:t xml:space="preserve"> </w:t>
      </w:r>
      <w:r w:rsidR="009401C8" w:rsidRPr="003F16D1">
        <w:rPr>
          <w:rFonts w:ascii="Times New Roman" w:hAnsi="Times New Roman" w:cs="Times New Roman"/>
          <w:lang w:val="en-US"/>
        </w:rPr>
        <w:t xml:space="preserve">persons </w:t>
      </w:r>
      <w:r w:rsidRPr="003F16D1">
        <w:rPr>
          <w:rFonts w:ascii="Times New Roman" w:hAnsi="Times New Roman" w:cs="Times New Roman"/>
          <w:lang w:val="en-US"/>
        </w:rPr>
        <w:t xml:space="preserve">with disabilities. These groups may </w:t>
      </w:r>
      <w:r w:rsidR="009401C8" w:rsidRPr="003F16D1">
        <w:rPr>
          <w:rFonts w:ascii="Times New Roman" w:hAnsi="Times New Roman" w:cs="Times New Roman"/>
          <w:lang w:val="en-US"/>
        </w:rPr>
        <w:t xml:space="preserve">face </w:t>
      </w:r>
      <w:r w:rsidRPr="003F16D1">
        <w:rPr>
          <w:rFonts w:ascii="Times New Roman" w:hAnsi="Times New Roman" w:cs="Times New Roman"/>
          <w:lang w:val="en-US"/>
        </w:rPr>
        <w:t xml:space="preserve">different accessibility </w:t>
      </w:r>
      <w:r w:rsidR="009401C8" w:rsidRPr="003F16D1">
        <w:rPr>
          <w:rFonts w:ascii="Times New Roman" w:hAnsi="Times New Roman" w:cs="Times New Roman"/>
          <w:lang w:val="en-US"/>
        </w:rPr>
        <w:t xml:space="preserve">barriers </w:t>
      </w:r>
      <w:r w:rsidRPr="003F16D1">
        <w:rPr>
          <w:rFonts w:ascii="Times New Roman" w:hAnsi="Times New Roman" w:cs="Times New Roman"/>
          <w:lang w:val="en-US"/>
        </w:rPr>
        <w:t xml:space="preserve">which need to be addressed. Therefore, effective data collection </w:t>
      </w:r>
      <w:r w:rsidR="002349CE" w:rsidRPr="003F16D1">
        <w:rPr>
          <w:rFonts w:ascii="Times New Roman" w:hAnsi="Times New Roman" w:cs="Times New Roman"/>
          <w:lang w:val="en-US"/>
        </w:rPr>
        <w:t>disaggregated by age, sex, ethnic background, so</w:t>
      </w:r>
      <w:r w:rsidR="00225807" w:rsidRPr="003F16D1">
        <w:rPr>
          <w:rFonts w:ascii="Times New Roman" w:hAnsi="Times New Roman" w:cs="Times New Roman"/>
          <w:lang w:val="en-US"/>
        </w:rPr>
        <w:t>cial condition, refugee, asylum-</w:t>
      </w:r>
      <w:r w:rsidR="002349CE" w:rsidRPr="003F16D1">
        <w:rPr>
          <w:rFonts w:ascii="Times New Roman" w:hAnsi="Times New Roman" w:cs="Times New Roman"/>
          <w:lang w:val="en-US"/>
        </w:rPr>
        <w:t>seeking, migra</w:t>
      </w:r>
      <w:r w:rsidR="00225807" w:rsidRPr="003F16D1">
        <w:rPr>
          <w:rFonts w:ascii="Times New Roman" w:hAnsi="Times New Roman" w:cs="Times New Roman"/>
          <w:lang w:val="en-US"/>
        </w:rPr>
        <w:t xml:space="preserve">nt </w:t>
      </w:r>
      <w:r w:rsidR="002349CE" w:rsidRPr="003F16D1">
        <w:rPr>
          <w:rFonts w:ascii="Times New Roman" w:hAnsi="Times New Roman" w:cs="Times New Roman"/>
          <w:lang w:val="en-US"/>
        </w:rPr>
        <w:t xml:space="preserve">situation </w:t>
      </w:r>
      <w:r w:rsidRPr="003F16D1">
        <w:rPr>
          <w:rFonts w:ascii="Times New Roman" w:hAnsi="Times New Roman" w:cs="Times New Roman"/>
          <w:lang w:val="en-US"/>
        </w:rPr>
        <w:t>and analysis are of paramount importance.</w:t>
      </w:r>
    </w:p>
    <w:p w:rsidR="00A0609D" w:rsidRPr="003F16D1" w:rsidRDefault="00A0609D" w:rsidP="00A0609D">
      <w:pPr>
        <w:pStyle w:val="ListParagraph"/>
        <w:spacing w:before="120" w:after="120"/>
        <w:ind w:left="717"/>
        <w:jc w:val="both"/>
        <w:rPr>
          <w:rFonts w:ascii="Times New Roman" w:hAnsi="Times New Roman" w:cs="Times New Roman"/>
          <w:lang w:val="en-US"/>
        </w:rPr>
      </w:pPr>
    </w:p>
    <w:p w:rsidR="00490C2E" w:rsidRPr="003F16D1" w:rsidRDefault="00490C2E" w:rsidP="00A424C8">
      <w:pPr>
        <w:pStyle w:val="ListParagraph"/>
        <w:numPr>
          <w:ilvl w:val="0"/>
          <w:numId w:val="2"/>
        </w:numPr>
        <w:spacing w:before="120" w:after="120"/>
        <w:jc w:val="both"/>
        <w:rPr>
          <w:rFonts w:ascii="Times New Roman" w:hAnsi="Times New Roman" w:cs="Times New Roman"/>
          <w:lang w:val="en-US"/>
        </w:rPr>
      </w:pPr>
      <w:r w:rsidRPr="003F16D1">
        <w:rPr>
          <w:rFonts w:ascii="Times New Roman" w:hAnsi="Times New Roman" w:cs="Times New Roman"/>
          <w:lang w:val="en-US"/>
        </w:rPr>
        <w:t>In terms of material scope, article 19 covers access to housing, individual services and community facilities and services</w:t>
      </w:r>
      <w:r w:rsidR="00DA69BE" w:rsidRPr="003F16D1">
        <w:rPr>
          <w:rFonts w:ascii="Times New Roman" w:hAnsi="Times New Roman" w:cs="Times New Roman"/>
          <w:lang w:val="en-US"/>
        </w:rPr>
        <w:t>.</w:t>
      </w:r>
      <w:r w:rsidRPr="003F16D1">
        <w:rPr>
          <w:rFonts w:ascii="Times New Roman" w:hAnsi="Times New Roman" w:cs="Times New Roman"/>
          <w:lang w:val="en-US"/>
        </w:rPr>
        <w:t xml:space="preserve"> Access to housing means having the option to live in the community</w:t>
      </w:r>
      <w:r w:rsidR="002665F5">
        <w:rPr>
          <w:rFonts w:ascii="Times New Roman" w:hAnsi="Times New Roman" w:cs="Times New Roman"/>
          <w:lang w:val="en-US"/>
        </w:rPr>
        <w:t>,</w:t>
      </w:r>
      <w:r w:rsidR="002665F5" w:rsidRPr="002665F5">
        <w:rPr>
          <w:rFonts w:ascii="Times New Roman" w:hAnsi="Times New Roman" w:cs="Times New Roman"/>
          <w:color w:val="FF0000"/>
          <w:lang w:val="en-US"/>
        </w:rPr>
        <w:t xml:space="preserve"> </w:t>
      </w:r>
      <w:r w:rsidRPr="003F16D1">
        <w:rPr>
          <w:rFonts w:ascii="Times New Roman" w:hAnsi="Times New Roman" w:cs="Times New Roman"/>
          <w:lang w:val="en-US"/>
        </w:rPr>
        <w:t xml:space="preserve">just like persons without disabilities. Article 19 is not properly implemented if housing is only provided in specifically designed areas and arranged in a way that </w:t>
      </w:r>
      <w:r w:rsidRPr="007267CA">
        <w:rPr>
          <w:rFonts w:ascii="Times New Roman" w:hAnsi="Times New Roman" w:cs="Times New Roman"/>
          <w:strike/>
          <w:color w:val="FF0000"/>
          <w:lang w:val="en-US"/>
        </w:rPr>
        <w:t>many</w:t>
      </w:r>
      <w:r w:rsidRPr="003F16D1">
        <w:rPr>
          <w:rFonts w:ascii="Times New Roman" w:hAnsi="Times New Roman" w:cs="Times New Roman"/>
          <w:lang w:val="en-US"/>
        </w:rPr>
        <w:t xml:space="preserve"> people with disabilities have to live in the same building, complex or neighborhood. Accessible housing</w:t>
      </w:r>
      <w:r w:rsidR="00DA69BE" w:rsidRPr="003F16D1">
        <w:rPr>
          <w:rFonts w:ascii="Times New Roman" w:hAnsi="Times New Roman" w:cs="Times New Roman"/>
          <w:lang w:val="en-US"/>
        </w:rPr>
        <w:t>,</w:t>
      </w:r>
      <w:r w:rsidRPr="003F16D1">
        <w:rPr>
          <w:rFonts w:ascii="Times New Roman" w:hAnsi="Times New Roman" w:cs="Times New Roman"/>
          <w:lang w:val="en-US"/>
        </w:rPr>
        <w:t xml:space="preserve"> providing accommodation to persons with disabilities, who live as singles or as a part of a family, must be available in sufficient number</w:t>
      </w:r>
      <w:r w:rsidR="00700021">
        <w:rPr>
          <w:rFonts w:ascii="Times New Roman" w:hAnsi="Times New Roman" w:cs="Times New Roman"/>
          <w:lang w:val="en-US"/>
        </w:rPr>
        <w:t xml:space="preserve"> </w:t>
      </w:r>
      <w:r w:rsidR="00700021" w:rsidRPr="00700021">
        <w:rPr>
          <w:rFonts w:ascii="Times New Roman" w:eastAsia="Times New Roman" w:hAnsi="Times New Roman" w:cs="Times New Roman"/>
          <w:i/>
          <w:color w:val="FF0000"/>
          <w:lang w:val="en-GB"/>
        </w:rPr>
        <w:t xml:space="preserve">throughout the community, </w:t>
      </w:r>
      <w:r w:rsidR="00700021" w:rsidRPr="00700021">
        <w:rPr>
          <w:rFonts w:ascii="Times New Roman" w:eastAsia="Times New Roman" w:hAnsi="Times New Roman" w:cs="Times New Roman"/>
          <w:color w:val="FF0000"/>
          <w:lang w:val="en-GB"/>
        </w:rPr>
        <w:t xml:space="preserve">to </w:t>
      </w:r>
      <w:r w:rsidR="00700021" w:rsidRPr="00700021">
        <w:rPr>
          <w:rFonts w:ascii="Times New Roman" w:eastAsia="Times New Roman" w:hAnsi="Times New Roman" w:cs="Times New Roman"/>
          <w:i/>
          <w:color w:val="FF0000"/>
          <w:lang w:val="en-GB"/>
        </w:rPr>
        <w:t>ensure</w:t>
      </w:r>
      <w:r w:rsidR="00700021" w:rsidRPr="00700021">
        <w:rPr>
          <w:rFonts w:ascii="Times New Roman" w:eastAsia="Times New Roman" w:hAnsi="Times New Roman" w:cs="Times New Roman"/>
          <w:i/>
          <w:strike/>
          <w:color w:val="FF0000"/>
          <w:lang w:val="en-GB"/>
        </w:rPr>
        <w:t xml:space="preserve"> </w:t>
      </w:r>
      <w:r w:rsidR="00700021" w:rsidRPr="00700021">
        <w:rPr>
          <w:rFonts w:ascii="Times New Roman" w:eastAsia="Times New Roman" w:hAnsi="Times New Roman" w:cs="Times New Roman"/>
          <w:i/>
          <w:color w:val="FF0000"/>
          <w:lang w:val="en-GB"/>
        </w:rPr>
        <w:t>the same degree of choice in the housing market that the non-disabled population enjoys</w:t>
      </w:r>
      <w:r w:rsidR="00700021" w:rsidRPr="00490C37">
        <w:rPr>
          <w:rFonts w:ascii="Times New Roman" w:eastAsia="Times New Roman" w:hAnsi="Times New Roman" w:cs="Times New Roman"/>
          <w:i/>
          <w:color w:val="00B050"/>
          <w:lang w:val="en-GB"/>
        </w:rPr>
        <w:t>.</w:t>
      </w:r>
      <w:r w:rsidRPr="003F16D1">
        <w:rPr>
          <w:rFonts w:ascii="Times New Roman" w:hAnsi="Times New Roman" w:cs="Times New Roman"/>
          <w:lang w:val="en-US"/>
        </w:rPr>
        <w:t xml:space="preserve"> </w:t>
      </w:r>
      <w:r w:rsidR="00A424C8" w:rsidRPr="00754AA2">
        <w:rPr>
          <w:rFonts w:ascii="Times New Roman" w:hAnsi="Times New Roman" w:cs="Times New Roman"/>
          <w:color w:val="FF0000"/>
          <w:lang w:val="en-US"/>
        </w:rPr>
        <w:t>T</w:t>
      </w:r>
      <w:r w:rsidR="00A424C8" w:rsidRPr="00A424C8">
        <w:rPr>
          <w:rFonts w:ascii="Times New Roman" w:hAnsi="Times New Roman" w:cs="Times New Roman"/>
          <w:color w:val="FF0000"/>
          <w:lang w:val="en-US"/>
        </w:rPr>
        <w:t xml:space="preserve">o this end, barrier-free residential new construction and the barrier-free retrofitting of existing residential structures are required. </w:t>
      </w:r>
      <w:r w:rsidRPr="003F16D1">
        <w:rPr>
          <w:rFonts w:ascii="Times New Roman" w:hAnsi="Times New Roman" w:cs="Times New Roman"/>
          <w:lang w:val="en-US"/>
        </w:rPr>
        <w:t xml:space="preserve">In addition, housing must be </w:t>
      </w:r>
      <w:r w:rsidR="00FF7942" w:rsidRPr="00B4466F">
        <w:rPr>
          <w:rFonts w:ascii="Times New Roman" w:eastAsia="Times New Roman" w:hAnsi="Times New Roman" w:cs="Times New Roman"/>
          <w:i/>
          <w:color w:val="FF0000"/>
          <w:lang w:val="en-GB"/>
        </w:rPr>
        <w:t>made</w:t>
      </w:r>
      <w:r w:rsidR="00FF7942" w:rsidRPr="00B4466F">
        <w:rPr>
          <w:rFonts w:ascii="Times New Roman" w:eastAsia="Times New Roman" w:hAnsi="Times New Roman" w:cs="Times New Roman"/>
          <w:i/>
          <w:lang w:val="en-GB"/>
        </w:rPr>
        <w:t xml:space="preserve"> </w:t>
      </w:r>
      <w:r w:rsidRPr="003F16D1">
        <w:rPr>
          <w:rFonts w:ascii="Times New Roman" w:hAnsi="Times New Roman" w:cs="Times New Roman"/>
          <w:lang w:val="en-US"/>
        </w:rPr>
        <w:t>affordable to pe</w:t>
      </w:r>
      <w:r w:rsidR="00DA69BE" w:rsidRPr="003F16D1">
        <w:rPr>
          <w:rFonts w:ascii="Times New Roman" w:hAnsi="Times New Roman" w:cs="Times New Roman"/>
          <w:lang w:val="en-US"/>
        </w:rPr>
        <w:t xml:space="preserve">rsons </w:t>
      </w:r>
      <w:r w:rsidRPr="003F16D1">
        <w:rPr>
          <w:rFonts w:ascii="Times New Roman" w:hAnsi="Times New Roman" w:cs="Times New Roman"/>
          <w:lang w:val="en-US"/>
        </w:rPr>
        <w:t>with disabilities, which o</w:t>
      </w:r>
      <w:r w:rsidR="00561EBA">
        <w:rPr>
          <w:rFonts w:ascii="Times New Roman" w:hAnsi="Times New Roman" w:cs="Times New Roman"/>
          <w:lang w:val="en-US"/>
        </w:rPr>
        <w:t>ften means individually subsidis</w:t>
      </w:r>
      <w:r w:rsidRPr="003F16D1">
        <w:rPr>
          <w:rFonts w:ascii="Times New Roman" w:hAnsi="Times New Roman" w:cs="Times New Roman"/>
          <w:lang w:val="en-US"/>
        </w:rPr>
        <w:t>ed, as persons with disabilities tend to have less income compared to others.</w:t>
      </w:r>
    </w:p>
    <w:p w:rsidR="00490C2E" w:rsidRPr="003F16D1" w:rsidRDefault="00490C2E" w:rsidP="00A0609D">
      <w:pPr>
        <w:pStyle w:val="ListParagraph"/>
        <w:spacing w:before="120" w:after="120"/>
        <w:ind w:left="717"/>
        <w:jc w:val="both"/>
        <w:rPr>
          <w:rFonts w:ascii="Times New Roman" w:hAnsi="Times New Roman" w:cs="Times New Roman"/>
          <w:lang w:val="en-US"/>
        </w:rPr>
      </w:pPr>
    </w:p>
    <w:p w:rsidR="007E1A98" w:rsidRPr="003F16D1" w:rsidRDefault="00283EFF" w:rsidP="00952160">
      <w:pPr>
        <w:pStyle w:val="ListParagraph"/>
        <w:numPr>
          <w:ilvl w:val="0"/>
          <w:numId w:val="2"/>
        </w:numPr>
        <w:spacing w:before="120" w:after="120"/>
        <w:ind w:firstLine="357"/>
        <w:jc w:val="both"/>
        <w:rPr>
          <w:rFonts w:ascii="Times New Roman" w:hAnsi="Times New Roman" w:cs="Times New Roman"/>
          <w:lang w:val="en-US"/>
        </w:rPr>
      </w:pPr>
      <w:r w:rsidRPr="003F16D1">
        <w:rPr>
          <w:rFonts w:ascii="Times New Roman" w:hAnsi="Times New Roman" w:cs="Times New Roman"/>
          <w:lang w:val="en-US"/>
        </w:rPr>
        <w:t>Community services also must be available, i.e.</w:t>
      </w:r>
      <w:r w:rsidR="00DB5463" w:rsidRPr="003F16D1">
        <w:rPr>
          <w:rFonts w:ascii="Times New Roman" w:hAnsi="Times New Roman" w:cs="Times New Roman"/>
          <w:lang w:val="en-US"/>
        </w:rPr>
        <w:t>,</w:t>
      </w:r>
      <w:r w:rsidRPr="003F16D1">
        <w:rPr>
          <w:rFonts w:ascii="Times New Roman" w:hAnsi="Times New Roman" w:cs="Times New Roman"/>
          <w:lang w:val="en-US"/>
        </w:rPr>
        <w:t xml:space="preserve"> within safe physical and geographical reach to all p</w:t>
      </w:r>
      <w:r w:rsidR="00E852AE" w:rsidRPr="003F16D1">
        <w:rPr>
          <w:rFonts w:ascii="Times New Roman" w:hAnsi="Times New Roman" w:cs="Times New Roman"/>
          <w:lang w:val="en-US"/>
        </w:rPr>
        <w:t>ersons with disabilities living</w:t>
      </w:r>
      <w:r w:rsidRPr="003F16D1">
        <w:rPr>
          <w:rFonts w:ascii="Times New Roman" w:hAnsi="Times New Roman" w:cs="Times New Roman"/>
          <w:lang w:val="en-US"/>
        </w:rPr>
        <w:t xml:space="preserve"> in urban or rural areas. They have to be affordable, taking into account that persons with disabilities often have low income. They also need to be acceptable which means that they must be of the same quality as services provided to the general public and be gender, age and culturally sensitive. </w:t>
      </w:r>
    </w:p>
    <w:p w:rsidR="007E1A98" w:rsidRPr="003F16D1" w:rsidRDefault="007E1A98" w:rsidP="007E1A98">
      <w:pPr>
        <w:pStyle w:val="ListParagraph"/>
        <w:spacing w:before="120" w:after="120"/>
        <w:ind w:left="717"/>
        <w:jc w:val="both"/>
        <w:rPr>
          <w:rFonts w:ascii="Times New Roman" w:hAnsi="Times New Roman" w:cs="Times New Roman"/>
          <w:lang w:val="en-US"/>
        </w:rPr>
      </w:pPr>
    </w:p>
    <w:p w:rsidR="004B7A2C" w:rsidRPr="0008771C" w:rsidRDefault="004B7A2C" w:rsidP="004B7A2C">
      <w:pPr>
        <w:pStyle w:val="ListParagraph"/>
        <w:numPr>
          <w:ilvl w:val="0"/>
          <w:numId w:val="2"/>
        </w:numPr>
        <w:spacing w:before="120" w:after="120"/>
        <w:ind w:firstLine="357"/>
        <w:jc w:val="both"/>
        <w:rPr>
          <w:rFonts w:ascii="Times New Roman" w:hAnsi="Times New Roman" w:cs="Times New Roman"/>
          <w:color w:val="FF0000"/>
          <w:lang w:val="en-US"/>
        </w:rPr>
      </w:pPr>
      <w:r w:rsidRPr="003F16D1">
        <w:rPr>
          <w:rFonts w:ascii="Times New Roman" w:hAnsi="Times New Roman" w:cs="Times New Roman"/>
          <w:lang w:val="en-US"/>
        </w:rPr>
        <w:t xml:space="preserve">It is important to mention that there is a logical link between the </w:t>
      </w:r>
      <w:r w:rsidR="003951AF" w:rsidRPr="003F16D1">
        <w:rPr>
          <w:rFonts w:ascii="Times New Roman" w:hAnsi="Times New Roman" w:cs="Times New Roman"/>
          <w:lang w:val="en-US"/>
        </w:rPr>
        <w:t xml:space="preserve">requirement </w:t>
      </w:r>
      <w:r w:rsidRPr="003F16D1">
        <w:rPr>
          <w:rFonts w:ascii="Times New Roman" w:hAnsi="Times New Roman" w:cs="Times New Roman"/>
          <w:lang w:val="en-US"/>
        </w:rPr>
        <w:t>for individualized s</w:t>
      </w:r>
      <w:r w:rsidR="005469D3">
        <w:rPr>
          <w:rFonts w:ascii="Times New Roman" w:hAnsi="Times New Roman" w:cs="Times New Roman"/>
          <w:lang w:val="en-US"/>
        </w:rPr>
        <w:t>upport and the accessibility of</w:t>
      </w:r>
      <w:r w:rsidRPr="005469D3">
        <w:rPr>
          <w:rFonts w:ascii="Times New Roman" w:hAnsi="Times New Roman" w:cs="Times New Roman"/>
          <w:color w:val="FF0000"/>
          <w:lang w:val="en-US"/>
        </w:rPr>
        <w:t xml:space="preserve"> </w:t>
      </w:r>
      <w:r w:rsidR="00FF7942" w:rsidRPr="005469D3">
        <w:rPr>
          <w:rFonts w:ascii="Times New Roman" w:hAnsi="Times New Roman" w:cs="Times New Roman"/>
          <w:color w:val="FF0000"/>
          <w:lang w:val="en-US"/>
        </w:rPr>
        <w:t>infrastructure,</w:t>
      </w:r>
      <w:r w:rsidR="00FF7942">
        <w:rPr>
          <w:rFonts w:ascii="Times New Roman" w:hAnsi="Times New Roman" w:cs="Times New Roman"/>
          <w:lang w:val="en-US"/>
        </w:rPr>
        <w:t xml:space="preserve"> </w:t>
      </w:r>
      <w:r w:rsidR="005469D3" w:rsidRPr="005469D3">
        <w:rPr>
          <w:rFonts w:ascii="Times New Roman" w:hAnsi="Times New Roman" w:cs="Times New Roman"/>
          <w:color w:val="FF0000"/>
          <w:lang w:val="en-US"/>
        </w:rPr>
        <w:t>community</w:t>
      </w:r>
      <w:r w:rsidR="005469D3">
        <w:rPr>
          <w:rFonts w:ascii="Times New Roman" w:hAnsi="Times New Roman" w:cs="Times New Roman"/>
          <w:lang w:val="en-US"/>
        </w:rPr>
        <w:t xml:space="preserve"> </w:t>
      </w:r>
      <w:r w:rsidRPr="003F16D1">
        <w:rPr>
          <w:rFonts w:ascii="Times New Roman" w:hAnsi="Times New Roman" w:cs="Times New Roman"/>
          <w:lang w:val="en-US"/>
        </w:rPr>
        <w:t xml:space="preserve">services and facilities. </w:t>
      </w:r>
      <w:r w:rsidR="005469D3" w:rsidRPr="0008771C">
        <w:rPr>
          <w:rFonts w:ascii="Times New Roman" w:hAnsi="Times New Roman" w:cs="Times New Roman"/>
          <w:color w:val="FF0000"/>
          <w:lang w:val="en-US"/>
        </w:rPr>
        <w:t>An accessible built environment w</w:t>
      </w:r>
      <w:r w:rsidR="0008771C" w:rsidRPr="0008771C">
        <w:rPr>
          <w:rFonts w:ascii="Times New Roman" w:hAnsi="Times New Roman" w:cs="Times New Roman"/>
          <w:color w:val="FF0000"/>
          <w:lang w:val="en-US"/>
        </w:rPr>
        <w:t>ill greatly reduce the need for</w:t>
      </w:r>
      <w:r w:rsidRPr="0008771C">
        <w:rPr>
          <w:rFonts w:ascii="Times New Roman" w:hAnsi="Times New Roman" w:cs="Times New Roman"/>
          <w:color w:val="FF0000"/>
          <w:lang w:val="en-US"/>
        </w:rPr>
        <w:t xml:space="preserve"> individualiz</w:t>
      </w:r>
      <w:r w:rsidR="0008771C" w:rsidRPr="0008771C">
        <w:rPr>
          <w:rFonts w:ascii="Times New Roman" w:hAnsi="Times New Roman" w:cs="Times New Roman"/>
          <w:color w:val="FF0000"/>
          <w:lang w:val="en-US"/>
        </w:rPr>
        <w:t>ed services and support</w:t>
      </w:r>
      <w:r w:rsidR="003951AF" w:rsidRPr="0008771C">
        <w:rPr>
          <w:rFonts w:ascii="Times New Roman" w:hAnsi="Times New Roman" w:cs="Times New Roman"/>
          <w:color w:val="FF0000"/>
          <w:lang w:val="en-US"/>
        </w:rPr>
        <w:t xml:space="preserve"> by </w:t>
      </w:r>
      <w:r w:rsidRPr="0008771C">
        <w:rPr>
          <w:rFonts w:ascii="Times New Roman" w:hAnsi="Times New Roman" w:cs="Times New Roman"/>
          <w:color w:val="FF0000"/>
          <w:lang w:val="en-US"/>
        </w:rPr>
        <w:t>the individual.</w:t>
      </w:r>
    </w:p>
    <w:p w:rsidR="004B7A2C" w:rsidRPr="003F16D1" w:rsidRDefault="004B7A2C" w:rsidP="004B7A2C">
      <w:pPr>
        <w:pStyle w:val="ListParagraph"/>
        <w:rPr>
          <w:rFonts w:ascii="Times New Roman" w:hAnsi="Times New Roman" w:cs="Times New Roman"/>
          <w:lang w:val="en-US"/>
        </w:rPr>
      </w:pPr>
    </w:p>
    <w:p w:rsidR="004B7A2C" w:rsidRPr="003F16D1" w:rsidRDefault="004B7A2C" w:rsidP="004B7A2C">
      <w:pPr>
        <w:pStyle w:val="ListParagraph"/>
        <w:numPr>
          <w:ilvl w:val="0"/>
          <w:numId w:val="2"/>
        </w:numPr>
        <w:spacing w:before="120" w:after="120"/>
        <w:ind w:firstLine="357"/>
        <w:jc w:val="both"/>
        <w:rPr>
          <w:rFonts w:ascii="Times New Roman" w:hAnsi="Times New Roman" w:cs="Times New Roman"/>
          <w:lang w:val="en-US"/>
        </w:rPr>
      </w:pPr>
      <w:r w:rsidRPr="003F16D1">
        <w:rPr>
          <w:rFonts w:ascii="Times New Roman" w:hAnsi="Times New Roman" w:cs="Times New Roman"/>
          <w:lang w:val="en-US"/>
        </w:rPr>
        <w:t>Neit</w:t>
      </w:r>
      <w:r w:rsidR="00561EBA">
        <w:rPr>
          <w:rFonts w:ascii="Times New Roman" w:hAnsi="Times New Roman" w:cs="Times New Roman"/>
          <w:lang w:val="en-US"/>
        </w:rPr>
        <w:t>her are packages of individualis</w:t>
      </w:r>
      <w:r w:rsidRPr="003F16D1">
        <w:rPr>
          <w:rFonts w:ascii="Times New Roman" w:hAnsi="Times New Roman" w:cs="Times New Roman"/>
          <w:lang w:val="en-US"/>
        </w:rPr>
        <w:t>ed services which do not allow choice and control, nor are segregated community services such as special schools, special shops or special transportation</w:t>
      </w:r>
      <w:r w:rsidR="003951AF" w:rsidRPr="003F16D1">
        <w:rPr>
          <w:rFonts w:ascii="Times New Roman" w:hAnsi="Times New Roman" w:cs="Times New Roman"/>
          <w:lang w:val="en-US"/>
        </w:rPr>
        <w:t>,</w:t>
      </w:r>
      <w:r w:rsidRPr="003F16D1">
        <w:rPr>
          <w:rFonts w:ascii="Times New Roman" w:hAnsi="Times New Roman" w:cs="Times New Roman"/>
          <w:lang w:val="en-US"/>
        </w:rPr>
        <w:t xml:space="preserve"> effective measures to prevent isolation or segregation from the community and to fully enable independent and community </w:t>
      </w:r>
      <w:r w:rsidR="00561EBA">
        <w:rPr>
          <w:rFonts w:ascii="Times New Roman" w:hAnsi="Times New Roman" w:cs="Times New Roman"/>
          <w:lang w:val="en-US"/>
        </w:rPr>
        <w:t>living. Packages of individualis</w:t>
      </w:r>
      <w:r w:rsidRPr="003F16D1">
        <w:rPr>
          <w:rFonts w:ascii="Times New Roman" w:hAnsi="Times New Roman" w:cs="Times New Roman"/>
          <w:lang w:val="en-US"/>
        </w:rPr>
        <w:t>ed services, such as combined residential and personal assistance services</w:t>
      </w:r>
      <w:r w:rsidR="003951AF" w:rsidRPr="003F16D1">
        <w:rPr>
          <w:rFonts w:ascii="Times New Roman" w:hAnsi="Times New Roman" w:cs="Times New Roman"/>
          <w:lang w:val="en-US"/>
        </w:rPr>
        <w:t>,</w:t>
      </w:r>
      <w:r w:rsidRPr="003F16D1">
        <w:rPr>
          <w:rFonts w:ascii="Times New Roman" w:hAnsi="Times New Roman" w:cs="Times New Roman"/>
          <w:lang w:val="en-US"/>
        </w:rPr>
        <w:t xml:space="preserve"> are sometimes offered on the premise of cost efficiency. However, while this premise itself can be rebutted economically,</w:t>
      </w:r>
      <w:r w:rsidRPr="003F16D1">
        <w:rPr>
          <w:rStyle w:val="FootnoteReference"/>
          <w:rFonts w:ascii="Times New Roman" w:hAnsi="Times New Roman" w:cs="Times New Roman"/>
          <w:lang w:val="en-US"/>
        </w:rPr>
        <w:footnoteReference w:id="4"/>
      </w:r>
      <w:r w:rsidRPr="003F16D1">
        <w:rPr>
          <w:rFonts w:ascii="Times New Roman" w:hAnsi="Times New Roman" w:cs="Times New Roman"/>
          <w:lang w:val="en-US"/>
        </w:rPr>
        <w:t xml:space="preserve"> aspects of cost efficiency must not override the core of the human right at stake. The possibility to choose is one of the three key elements of the right to live independently and be included in the community.</w:t>
      </w:r>
    </w:p>
    <w:p w:rsidR="004B7A2C" w:rsidRPr="003F16D1" w:rsidRDefault="004B7A2C" w:rsidP="004B7A2C">
      <w:pPr>
        <w:spacing w:before="120" w:after="120"/>
        <w:jc w:val="both"/>
        <w:rPr>
          <w:rFonts w:ascii="Times New Roman" w:hAnsi="Times New Roman" w:cs="Times New Roman"/>
          <w:lang w:val="en-US"/>
        </w:rPr>
      </w:pPr>
    </w:p>
    <w:p w:rsidR="00BD2E3B" w:rsidRPr="003F16D1" w:rsidRDefault="00283EFF" w:rsidP="00952160">
      <w:pPr>
        <w:pStyle w:val="ListParagraph"/>
        <w:numPr>
          <w:ilvl w:val="0"/>
          <w:numId w:val="2"/>
        </w:numPr>
        <w:spacing w:before="120" w:after="120"/>
        <w:ind w:firstLine="357"/>
        <w:jc w:val="both"/>
        <w:rPr>
          <w:rFonts w:ascii="Times New Roman" w:hAnsi="Times New Roman" w:cs="Times New Roman"/>
          <w:lang w:val="en-US"/>
        </w:rPr>
      </w:pPr>
      <w:r w:rsidRPr="003F16D1">
        <w:rPr>
          <w:rFonts w:ascii="Times New Roman" w:hAnsi="Times New Roman" w:cs="Times New Roman"/>
          <w:lang w:val="en-US"/>
        </w:rPr>
        <w:t>The right to equal community services corresponds with the duty to ensure participation and involvement of persons with disabilities in processes related to community facilities and services in order to ensure that they are responsive to specific requirement</w:t>
      </w:r>
      <w:r w:rsidR="00B67D34" w:rsidRPr="003F16D1">
        <w:rPr>
          <w:rFonts w:ascii="Times New Roman" w:hAnsi="Times New Roman" w:cs="Times New Roman"/>
          <w:lang w:val="en-US"/>
        </w:rPr>
        <w:t>s and gender and age sensitive, and they must be available to allow for spontaneous participation by people with disabilities within the community.</w:t>
      </w:r>
    </w:p>
    <w:p w:rsidR="000A702C" w:rsidRPr="003F16D1" w:rsidRDefault="000A702C" w:rsidP="00B54C49">
      <w:pPr>
        <w:spacing w:before="120" w:after="120"/>
        <w:jc w:val="both"/>
        <w:rPr>
          <w:rFonts w:ascii="Times New Roman" w:hAnsi="Times New Roman" w:cs="Times New Roman"/>
          <w:lang w:val="en-US"/>
        </w:rPr>
      </w:pPr>
    </w:p>
    <w:p w:rsidR="00A0609D" w:rsidRPr="003F16D1" w:rsidRDefault="00283EFF" w:rsidP="000A702C">
      <w:pPr>
        <w:pStyle w:val="ListParagraph"/>
        <w:numPr>
          <w:ilvl w:val="0"/>
          <w:numId w:val="8"/>
        </w:numPr>
        <w:spacing w:before="120" w:after="120"/>
        <w:jc w:val="both"/>
        <w:rPr>
          <w:rFonts w:ascii="Times New Roman" w:hAnsi="Times New Roman" w:cs="Times New Roman"/>
          <w:b/>
          <w:sz w:val="26"/>
          <w:szCs w:val="26"/>
          <w:lang w:val="en-US"/>
        </w:rPr>
      </w:pPr>
      <w:r w:rsidRPr="003F16D1">
        <w:rPr>
          <w:rFonts w:ascii="Times New Roman" w:hAnsi="Times New Roman" w:cs="Times New Roman"/>
          <w:b/>
          <w:sz w:val="26"/>
          <w:szCs w:val="26"/>
          <w:lang w:val="en-US"/>
        </w:rPr>
        <w:t xml:space="preserve">Core elements </w:t>
      </w:r>
    </w:p>
    <w:p w:rsidR="00A0609D" w:rsidRPr="003F16D1" w:rsidRDefault="00A0609D" w:rsidP="00A0609D">
      <w:pPr>
        <w:pStyle w:val="ListParagraph"/>
        <w:spacing w:before="120" w:after="120"/>
        <w:ind w:left="0" w:firstLine="357"/>
        <w:jc w:val="both"/>
        <w:rPr>
          <w:rFonts w:ascii="Times New Roman" w:hAnsi="Times New Roman" w:cs="Times New Roman"/>
          <w:b/>
          <w:sz w:val="26"/>
          <w:szCs w:val="26"/>
          <w:lang w:val="en-US"/>
        </w:rPr>
      </w:pPr>
    </w:p>
    <w:p w:rsidR="00DA5FE2" w:rsidRPr="003F16D1" w:rsidRDefault="00283EFF" w:rsidP="00DA5FE2">
      <w:pPr>
        <w:pStyle w:val="ListParagraph"/>
        <w:numPr>
          <w:ilvl w:val="0"/>
          <w:numId w:val="2"/>
        </w:numPr>
        <w:spacing w:before="120" w:after="120"/>
        <w:ind w:firstLine="357"/>
        <w:jc w:val="both"/>
        <w:rPr>
          <w:rFonts w:ascii="Times New Roman" w:hAnsi="Times New Roman" w:cs="Times New Roman"/>
          <w:lang w:val="en-US"/>
        </w:rPr>
      </w:pPr>
      <w:r w:rsidRPr="003F16D1">
        <w:rPr>
          <w:rFonts w:ascii="Times New Roman" w:hAnsi="Times New Roman" w:cs="Times New Roman"/>
          <w:lang w:val="en-US"/>
        </w:rPr>
        <w:t xml:space="preserve">The Committee finds it important to identify core elements of article 19 in order to ensure that the realization of a minimum essential level of the right to live independently and be included in the community is incumbent upon every State party. </w:t>
      </w:r>
      <w:r w:rsidR="000A702C" w:rsidRPr="003F16D1">
        <w:rPr>
          <w:rFonts w:ascii="Times New Roman" w:hAnsi="Times New Roman" w:cs="Times New Roman"/>
          <w:lang w:val="en-US"/>
        </w:rPr>
        <w:t>States parties should ensure that core elements of article 19 are always respected, particularly in times of financial or economic cr</w:t>
      </w:r>
      <w:r w:rsidR="00676273" w:rsidRPr="003F16D1">
        <w:rPr>
          <w:rFonts w:ascii="Times New Roman" w:hAnsi="Times New Roman" w:cs="Times New Roman"/>
          <w:lang w:val="en-US"/>
        </w:rPr>
        <w:t xml:space="preserve">isis. These core elements are: </w:t>
      </w:r>
    </w:p>
    <w:p w:rsidR="00DA5FE2" w:rsidRPr="003F16D1" w:rsidRDefault="00DA5FE2" w:rsidP="00DA5FE2">
      <w:pPr>
        <w:pStyle w:val="ListParagraph"/>
        <w:spacing w:before="120" w:after="120"/>
        <w:ind w:left="717"/>
        <w:jc w:val="both"/>
        <w:rPr>
          <w:rFonts w:ascii="Times New Roman" w:hAnsi="Times New Roman" w:cs="Times New Roman"/>
          <w:lang w:val="en-US"/>
        </w:rPr>
      </w:pPr>
    </w:p>
    <w:p w:rsidR="007233BF" w:rsidRPr="003F16D1" w:rsidRDefault="0010510D" w:rsidP="0010510D">
      <w:pPr>
        <w:pStyle w:val="ListParagraph"/>
        <w:spacing w:before="120" w:after="120"/>
        <w:ind w:left="567" w:firstLine="141"/>
        <w:jc w:val="both"/>
        <w:rPr>
          <w:rFonts w:ascii="Times New Roman" w:hAnsi="Times New Roman" w:cs="Times New Roman"/>
          <w:lang w:val="en-US"/>
        </w:rPr>
      </w:pPr>
      <w:r w:rsidRPr="003F16D1">
        <w:rPr>
          <w:rFonts w:ascii="Times New Roman" w:hAnsi="Times New Roman" w:cs="Times New Roman"/>
          <w:lang w:val="en-US"/>
        </w:rPr>
        <w:t xml:space="preserve">(a) </w:t>
      </w:r>
      <w:r w:rsidR="003F40B1" w:rsidRPr="003F16D1">
        <w:rPr>
          <w:rFonts w:ascii="Times New Roman" w:hAnsi="Times New Roman" w:cs="Times New Roman"/>
          <w:lang w:val="en-US"/>
        </w:rPr>
        <w:tab/>
      </w:r>
      <w:r w:rsidR="004B7A2C" w:rsidRPr="003F16D1">
        <w:rPr>
          <w:rFonts w:ascii="Times New Roman" w:hAnsi="Times New Roman" w:cs="Times New Roman"/>
          <w:lang w:val="en-US"/>
        </w:rPr>
        <w:t>T</w:t>
      </w:r>
      <w:r w:rsidR="00676273" w:rsidRPr="003F16D1">
        <w:rPr>
          <w:rFonts w:ascii="Times New Roman" w:hAnsi="Times New Roman" w:cs="Times New Roman"/>
          <w:lang w:val="en-US"/>
        </w:rPr>
        <w:t>o have legal capacity to decide where and with whom and how to live</w:t>
      </w:r>
      <w:r w:rsidR="004B7A2C" w:rsidRPr="003F16D1">
        <w:rPr>
          <w:rFonts w:ascii="Times New Roman" w:hAnsi="Times New Roman" w:cs="Times New Roman"/>
          <w:lang w:val="en-US"/>
        </w:rPr>
        <w:t xml:space="preserve"> is a right for all persons with disabilities</w:t>
      </w:r>
      <w:r w:rsidR="007233BF" w:rsidRPr="003F16D1">
        <w:rPr>
          <w:rFonts w:ascii="Times New Roman" w:hAnsi="Times New Roman" w:cs="Times New Roman"/>
          <w:lang w:val="en-US"/>
        </w:rPr>
        <w:t>,</w:t>
      </w:r>
      <w:r w:rsidR="004B7A2C" w:rsidRPr="003F16D1">
        <w:rPr>
          <w:rFonts w:ascii="Times New Roman" w:hAnsi="Times New Roman" w:cs="Times New Roman"/>
          <w:lang w:val="en-US"/>
        </w:rPr>
        <w:t xml:space="preserve"> irrespective of impairment</w:t>
      </w:r>
      <w:r w:rsidR="00676273" w:rsidRPr="003F16D1">
        <w:rPr>
          <w:rFonts w:ascii="Times New Roman" w:hAnsi="Times New Roman" w:cs="Times New Roman"/>
          <w:lang w:val="en-US"/>
        </w:rPr>
        <w:t>;</w:t>
      </w:r>
    </w:p>
    <w:p w:rsidR="007233BF" w:rsidRPr="003F16D1" w:rsidRDefault="007233BF" w:rsidP="0010510D">
      <w:pPr>
        <w:pStyle w:val="ListParagraph"/>
        <w:spacing w:before="120" w:after="120"/>
        <w:ind w:left="567"/>
        <w:jc w:val="both"/>
        <w:rPr>
          <w:rFonts w:ascii="Times New Roman" w:hAnsi="Times New Roman" w:cs="Times New Roman"/>
          <w:lang w:val="en-US"/>
        </w:rPr>
      </w:pPr>
    </w:p>
    <w:p w:rsidR="00676273" w:rsidRPr="003F16D1" w:rsidRDefault="007233BF" w:rsidP="0010510D">
      <w:pPr>
        <w:pStyle w:val="ListParagraph"/>
        <w:spacing w:before="120" w:after="120"/>
        <w:ind w:left="567" w:firstLine="141"/>
        <w:jc w:val="both"/>
        <w:rPr>
          <w:rFonts w:ascii="Times New Roman" w:hAnsi="Times New Roman" w:cs="Times New Roman"/>
          <w:lang w:val="en-US"/>
        </w:rPr>
      </w:pPr>
      <w:r w:rsidRPr="003F16D1">
        <w:rPr>
          <w:rFonts w:ascii="Times New Roman" w:hAnsi="Times New Roman" w:cs="Times New Roman"/>
          <w:lang w:val="en-US"/>
        </w:rPr>
        <w:t>(</w:t>
      </w:r>
      <w:r w:rsidR="004B7A2C" w:rsidRPr="003F16D1">
        <w:rPr>
          <w:rFonts w:ascii="Times New Roman" w:hAnsi="Times New Roman" w:cs="Times New Roman"/>
          <w:lang w:val="en-US"/>
        </w:rPr>
        <w:t>b</w:t>
      </w:r>
      <w:r w:rsidRPr="003F16D1">
        <w:rPr>
          <w:rFonts w:ascii="Times New Roman" w:hAnsi="Times New Roman" w:cs="Times New Roman"/>
          <w:lang w:val="en-US"/>
        </w:rPr>
        <w:t>)</w:t>
      </w:r>
      <w:r w:rsidR="00DA5FE2" w:rsidRPr="003F16D1">
        <w:rPr>
          <w:rFonts w:ascii="Times New Roman" w:hAnsi="Times New Roman" w:cs="Times New Roman"/>
          <w:lang w:val="en-US"/>
        </w:rPr>
        <w:tab/>
      </w:r>
      <w:r w:rsidRPr="003F16D1">
        <w:rPr>
          <w:rFonts w:ascii="Times New Roman" w:hAnsi="Times New Roman" w:cs="Times New Roman"/>
          <w:lang w:val="en-US"/>
        </w:rPr>
        <w:t xml:space="preserve">The right to choose where to live requires a realistic option of accessible housing to choose </w:t>
      </w:r>
      <w:r w:rsidR="003F40B1" w:rsidRPr="003F16D1">
        <w:rPr>
          <w:rFonts w:ascii="Times New Roman" w:hAnsi="Times New Roman" w:cs="Times New Roman"/>
          <w:lang w:val="en-US"/>
        </w:rPr>
        <w:t>from</w:t>
      </w:r>
      <w:r w:rsidRPr="003F16D1">
        <w:rPr>
          <w:rFonts w:ascii="Times New Roman" w:hAnsi="Times New Roman" w:cs="Times New Roman"/>
          <w:lang w:val="en-US"/>
        </w:rPr>
        <w:t xml:space="preserve">; </w:t>
      </w:r>
    </w:p>
    <w:p w:rsidR="00676273" w:rsidRPr="003F16D1" w:rsidRDefault="007233BF" w:rsidP="0010510D">
      <w:pPr>
        <w:pStyle w:val="ListParagraph"/>
        <w:spacing w:before="120" w:after="120"/>
        <w:ind w:left="708"/>
        <w:jc w:val="both"/>
        <w:rPr>
          <w:rFonts w:ascii="Times New Roman" w:hAnsi="Times New Roman" w:cs="Times New Roman"/>
          <w:lang w:val="en-US"/>
        </w:rPr>
      </w:pPr>
      <w:r w:rsidRPr="003F16D1">
        <w:rPr>
          <w:rFonts w:ascii="Times New Roman" w:hAnsi="Times New Roman" w:cs="Times New Roman"/>
          <w:lang w:val="en-US"/>
        </w:rPr>
        <w:br/>
        <w:t>(c)</w:t>
      </w:r>
      <w:r w:rsidR="004B7A2C" w:rsidRPr="003F16D1">
        <w:rPr>
          <w:rFonts w:ascii="Times New Roman" w:hAnsi="Times New Roman" w:cs="Times New Roman"/>
          <w:lang w:val="en-US"/>
        </w:rPr>
        <w:t xml:space="preserve"> </w:t>
      </w:r>
      <w:r w:rsidR="0010510D" w:rsidRPr="003F16D1">
        <w:rPr>
          <w:rFonts w:ascii="Times New Roman" w:hAnsi="Times New Roman" w:cs="Times New Roman"/>
          <w:lang w:val="en-US"/>
        </w:rPr>
        <w:tab/>
      </w:r>
      <w:r w:rsidRPr="003F16D1">
        <w:rPr>
          <w:rFonts w:ascii="Times New Roman" w:hAnsi="Times New Roman" w:cs="Times New Roman"/>
          <w:lang w:val="en-US"/>
        </w:rPr>
        <w:t xml:space="preserve">The right to live independently </w:t>
      </w:r>
      <w:r w:rsidR="003F40B1" w:rsidRPr="003F16D1">
        <w:rPr>
          <w:rFonts w:ascii="Times New Roman" w:hAnsi="Times New Roman" w:cs="Times New Roman"/>
          <w:lang w:val="en-US"/>
        </w:rPr>
        <w:t xml:space="preserve">does not </w:t>
      </w:r>
      <w:r w:rsidRPr="003F16D1">
        <w:rPr>
          <w:rFonts w:ascii="Times New Roman" w:hAnsi="Times New Roman" w:cs="Times New Roman"/>
          <w:lang w:val="en-US"/>
        </w:rPr>
        <w:t>entail</w:t>
      </w:r>
      <w:r w:rsidR="003F40B1" w:rsidRPr="003F16D1">
        <w:rPr>
          <w:rFonts w:ascii="Times New Roman" w:hAnsi="Times New Roman" w:cs="Times New Roman"/>
          <w:lang w:val="en-US"/>
        </w:rPr>
        <w:t xml:space="preserve"> dependence on </w:t>
      </w:r>
      <w:r w:rsidR="00676273" w:rsidRPr="003F16D1">
        <w:rPr>
          <w:rFonts w:ascii="Times New Roman" w:hAnsi="Times New Roman" w:cs="Times New Roman"/>
          <w:lang w:val="en-US"/>
        </w:rPr>
        <w:t>informal support from family and friends;</w:t>
      </w:r>
    </w:p>
    <w:p w:rsidR="00676273" w:rsidRPr="003F16D1" w:rsidRDefault="007233BF" w:rsidP="0010510D">
      <w:pPr>
        <w:pStyle w:val="ListParagraph"/>
        <w:spacing w:before="120" w:after="120"/>
        <w:ind w:left="708"/>
        <w:jc w:val="both"/>
        <w:rPr>
          <w:rFonts w:ascii="Times New Roman" w:hAnsi="Times New Roman" w:cs="Times New Roman"/>
          <w:lang w:val="en-US"/>
        </w:rPr>
      </w:pPr>
      <w:r w:rsidRPr="003F16D1">
        <w:rPr>
          <w:rFonts w:ascii="Times New Roman" w:hAnsi="Times New Roman" w:cs="Times New Roman"/>
          <w:lang w:val="en-US"/>
        </w:rPr>
        <w:br/>
        <w:t>(d)</w:t>
      </w:r>
      <w:r w:rsidRPr="003F16D1">
        <w:rPr>
          <w:rFonts w:ascii="Times New Roman" w:hAnsi="Times New Roman" w:cs="Times New Roman"/>
          <w:lang w:val="en-US"/>
        </w:rPr>
        <w:tab/>
        <w:t xml:space="preserve"> T</w:t>
      </w:r>
      <w:r w:rsidR="00676273" w:rsidRPr="003F16D1">
        <w:rPr>
          <w:rFonts w:ascii="Times New Roman" w:hAnsi="Times New Roman" w:cs="Times New Roman"/>
          <w:lang w:val="en-US"/>
        </w:rPr>
        <w:t>o have access to basi</w:t>
      </w:r>
      <w:r w:rsidR="00561EBA">
        <w:rPr>
          <w:rFonts w:ascii="Times New Roman" w:hAnsi="Times New Roman" w:cs="Times New Roman"/>
          <w:lang w:val="en-US"/>
        </w:rPr>
        <w:t>c personalis</w:t>
      </w:r>
      <w:r w:rsidRPr="003F16D1">
        <w:rPr>
          <w:rFonts w:ascii="Times New Roman" w:hAnsi="Times New Roman" w:cs="Times New Roman"/>
          <w:lang w:val="en-US"/>
        </w:rPr>
        <w:t>ed and human rights-</w:t>
      </w:r>
      <w:r w:rsidR="00676273" w:rsidRPr="003F16D1">
        <w:rPr>
          <w:rFonts w:ascii="Times New Roman" w:hAnsi="Times New Roman" w:cs="Times New Roman"/>
          <w:lang w:val="en-US"/>
        </w:rPr>
        <w:t>based disability specific services;</w:t>
      </w:r>
    </w:p>
    <w:p w:rsidR="00676273" w:rsidRPr="003F16D1" w:rsidRDefault="007233BF" w:rsidP="0010510D">
      <w:pPr>
        <w:pStyle w:val="ListParagraph"/>
        <w:spacing w:before="120" w:after="120"/>
        <w:ind w:left="708"/>
        <w:jc w:val="both"/>
        <w:rPr>
          <w:rFonts w:ascii="Times New Roman" w:hAnsi="Times New Roman" w:cs="Times New Roman"/>
          <w:lang w:val="en-US"/>
        </w:rPr>
      </w:pPr>
      <w:r w:rsidRPr="003F16D1">
        <w:rPr>
          <w:rFonts w:ascii="Times New Roman" w:hAnsi="Times New Roman" w:cs="Times New Roman"/>
          <w:lang w:val="en-US"/>
        </w:rPr>
        <w:br/>
        <w:t>(e)</w:t>
      </w:r>
      <w:r w:rsidRPr="003F16D1">
        <w:rPr>
          <w:rFonts w:ascii="Times New Roman" w:hAnsi="Times New Roman" w:cs="Times New Roman"/>
          <w:lang w:val="en-US"/>
        </w:rPr>
        <w:tab/>
        <w:t>T</w:t>
      </w:r>
      <w:r w:rsidR="00676273" w:rsidRPr="003F16D1">
        <w:rPr>
          <w:rFonts w:ascii="Times New Roman" w:hAnsi="Times New Roman" w:cs="Times New Roman"/>
          <w:lang w:val="en-US"/>
        </w:rPr>
        <w:t>o have access to basic mainstream community-based services</w:t>
      </w:r>
      <w:r w:rsidR="004B7A2C" w:rsidRPr="003F16D1">
        <w:rPr>
          <w:rFonts w:ascii="Times New Roman" w:hAnsi="Times New Roman" w:cs="Times New Roman"/>
          <w:lang w:val="en-US"/>
        </w:rPr>
        <w:t xml:space="preserve"> and support</w:t>
      </w:r>
      <w:r w:rsidR="00676273" w:rsidRPr="003F16D1">
        <w:rPr>
          <w:rFonts w:ascii="Times New Roman" w:hAnsi="Times New Roman" w:cs="Times New Roman"/>
          <w:lang w:val="en-US"/>
        </w:rPr>
        <w:t xml:space="preserve"> on an equal basis with others</w:t>
      </w:r>
      <w:r w:rsidRPr="003F16D1">
        <w:rPr>
          <w:rFonts w:ascii="Times New Roman" w:hAnsi="Times New Roman" w:cs="Times New Roman"/>
          <w:lang w:val="en-US"/>
        </w:rPr>
        <w:t>;</w:t>
      </w:r>
      <w:r w:rsidR="00DA5FE2" w:rsidRPr="003F16D1">
        <w:rPr>
          <w:rFonts w:ascii="Times New Roman" w:hAnsi="Times New Roman" w:cs="Times New Roman"/>
          <w:lang w:val="en-US"/>
        </w:rPr>
        <w:t xml:space="preserve"> and</w:t>
      </w:r>
    </w:p>
    <w:p w:rsidR="00676273" w:rsidRPr="003F16D1" w:rsidRDefault="00676273" w:rsidP="0010510D">
      <w:pPr>
        <w:pStyle w:val="ListParagraph"/>
        <w:spacing w:before="120" w:after="120"/>
        <w:ind w:left="567"/>
        <w:jc w:val="both"/>
        <w:rPr>
          <w:rFonts w:ascii="Times New Roman" w:hAnsi="Times New Roman" w:cs="Times New Roman"/>
          <w:lang w:val="en-US"/>
        </w:rPr>
      </w:pPr>
    </w:p>
    <w:p w:rsidR="00676273" w:rsidRPr="003F16D1" w:rsidRDefault="007233BF" w:rsidP="0010510D">
      <w:pPr>
        <w:pStyle w:val="ListParagraph"/>
        <w:spacing w:before="120" w:after="120"/>
        <w:ind w:left="567" w:firstLine="141"/>
        <w:jc w:val="both"/>
        <w:rPr>
          <w:rFonts w:ascii="Times New Roman" w:hAnsi="Times New Roman" w:cs="Times New Roman"/>
          <w:lang w:val="en-US"/>
        </w:rPr>
      </w:pPr>
      <w:r w:rsidRPr="003F16D1">
        <w:rPr>
          <w:rFonts w:ascii="Times New Roman" w:hAnsi="Times New Roman" w:cs="Times New Roman"/>
          <w:lang w:val="en-US"/>
        </w:rPr>
        <w:t>(f)</w:t>
      </w:r>
      <w:r w:rsidRPr="003F16D1">
        <w:rPr>
          <w:rFonts w:ascii="Times New Roman" w:hAnsi="Times New Roman" w:cs="Times New Roman"/>
          <w:lang w:val="en-US"/>
        </w:rPr>
        <w:tab/>
      </w:r>
      <w:r w:rsidR="00DA5FE2" w:rsidRPr="003F16D1">
        <w:rPr>
          <w:rFonts w:ascii="Times New Roman" w:hAnsi="Times New Roman" w:cs="Times New Roman"/>
          <w:lang w:val="en-US"/>
        </w:rPr>
        <w:t xml:space="preserve">The possibility of living independently must not be negatively affected by measures taken to respond to economic constraints. </w:t>
      </w:r>
    </w:p>
    <w:p w:rsidR="00283EFF" w:rsidRPr="003F16D1" w:rsidRDefault="00283EFF" w:rsidP="00952160">
      <w:pPr>
        <w:pStyle w:val="ListParagraph"/>
        <w:spacing w:before="120" w:after="120"/>
        <w:ind w:left="717"/>
        <w:jc w:val="both"/>
        <w:rPr>
          <w:rFonts w:ascii="Times New Roman" w:hAnsi="Times New Roman" w:cs="Times New Roman"/>
          <w:lang w:val="en-US"/>
        </w:rPr>
      </w:pPr>
    </w:p>
    <w:p w:rsidR="00283EFF" w:rsidRPr="003F16D1" w:rsidRDefault="00283EFF" w:rsidP="00283EFF">
      <w:pPr>
        <w:pStyle w:val="Heading1"/>
        <w:numPr>
          <w:ilvl w:val="0"/>
          <w:numId w:val="1"/>
        </w:numPr>
        <w:rPr>
          <w:color w:val="auto"/>
        </w:rPr>
      </w:pPr>
      <w:r w:rsidRPr="003F16D1">
        <w:rPr>
          <w:color w:val="auto"/>
        </w:rPr>
        <w:t>Obligations of States parties</w:t>
      </w:r>
    </w:p>
    <w:p w:rsidR="00283EFF" w:rsidRPr="003F16D1" w:rsidRDefault="00283EFF" w:rsidP="00283EFF">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States parties obligations have to reflect the hybrid legal character of the norm</w:t>
      </w:r>
      <w:r w:rsidR="003F40B1" w:rsidRPr="003F16D1">
        <w:rPr>
          <w:rFonts w:ascii="Times New Roman" w:hAnsi="Times New Roman" w:cs="Times New Roman"/>
          <w:lang w:val="en-US"/>
        </w:rPr>
        <w:t>.</w:t>
      </w:r>
      <w:r w:rsidRPr="003F16D1">
        <w:rPr>
          <w:rFonts w:ascii="Times New Roman" w:hAnsi="Times New Roman" w:cs="Times New Roman"/>
          <w:lang w:val="en-US"/>
        </w:rPr>
        <w:t xml:space="preserve"> </w:t>
      </w:r>
      <w:r w:rsidR="003F40B1" w:rsidRPr="003F16D1">
        <w:rPr>
          <w:rFonts w:ascii="Times New Roman" w:hAnsi="Times New Roman" w:cs="Times New Roman"/>
          <w:lang w:val="en-US"/>
        </w:rPr>
        <w:t>A</w:t>
      </w:r>
      <w:r w:rsidRPr="003F16D1">
        <w:rPr>
          <w:rFonts w:ascii="Times New Roman" w:hAnsi="Times New Roman" w:cs="Times New Roman"/>
          <w:lang w:val="en-US"/>
        </w:rPr>
        <w:t>s a civil right, article 19 (a), the right to choose one’s residence and where</w:t>
      </w:r>
      <w:r w:rsidR="000F3CBA" w:rsidRPr="003F16D1">
        <w:rPr>
          <w:rFonts w:ascii="Times New Roman" w:hAnsi="Times New Roman" w:cs="Times New Roman"/>
          <w:lang w:val="en-US"/>
        </w:rPr>
        <w:t>, how</w:t>
      </w:r>
      <w:r w:rsidRPr="003F16D1">
        <w:rPr>
          <w:rFonts w:ascii="Times New Roman" w:hAnsi="Times New Roman" w:cs="Times New Roman"/>
          <w:lang w:val="en-US"/>
        </w:rPr>
        <w:t xml:space="preserve"> and with whom to live, is immediately applicable. Article 19 (b), the right to access</w:t>
      </w:r>
      <w:r w:rsidR="00561EBA">
        <w:rPr>
          <w:rFonts w:ascii="Times New Roman" w:hAnsi="Times New Roman" w:cs="Times New Roman"/>
          <w:lang w:val="en-US"/>
        </w:rPr>
        <w:t xml:space="preserve"> individualis</w:t>
      </w:r>
      <w:r w:rsidR="000F3CBA" w:rsidRPr="003F16D1">
        <w:rPr>
          <w:rFonts w:ascii="Times New Roman" w:hAnsi="Times New Roman" w:cs="Times New Roman"/>
          <w:lang w:val="en-US"/>
        </w:rPr>
        <w:t xml:space="preserve">ed assessed </w:t>
      </w:r>
      <w:r w:rsidRPr="003F16D1">
        <w:rPr>
          <w:rFonts w:ascii="Times New Roman" w:hAnsi="Times New Roman" w:cs="Times New Roman"/>
          <w:lang w:val="en-US"/>
        </w:rPr>
        <w:t>disability support services, is a classic social right. Article 19 (c), the right to avail community services and facilities, is a social and a cultural right, given that many community services, such as</w:t>
      </w:r>
      <w:r w:rsidR="000F3CBA" w:rsidRPr="003F16D1">
        <w:rPr>
          <w:rFonts w:ascii="Times New Roman" w:hAnsi="Times New Roman" w:cs="Times New Roman"/>
          <w:lang w:val="en-US"/>
        </w:rPr>
        <w:t xml:space="preserve"> cinemas,</w:t>
      </w:r>
      <w:r w:rsidRPr="003F16D1">
        <w:rPr>
          <w:rFonts w:ascii="Times New Roman" w:hAnsi="Times New Roman" w:cs="Times New Roman"/>
          <w:lang w:val="en-US"/>
        </w:rPr>
        <w:t xml:space="preserve"> </w:t>
      </w:r>
      <w:r w:rsidR="00C05891" w:rsidRPr="003F16D1">
        <w:rPr>
          <w:rFonts w:ascii="Times New Roman" w:hAnsi="Times New Roman" w:cs="Times New Roman"/>
          <w:lang w:val="en-US"/>
        </w:rPr>
        <w:t xml:space="preserve">public parks, </w:t>
      </w:r>
      <w:r w:rsidRPr="003F16D1">
        <w:rPr>
          <w:rFonts w:ascii="Times New Roman" w:hAnsi="Times New Roman" w:cs="Times New Roman"/>
          <w:lang w:val="en-US"/>
        </w:rPr>
        <w:t>theatres and sports facilities,</w:t>
      </w:r>
      <w:r w:rsidR="003F40B1" w:rsidRPr="003F16D1">
        <w:rPr>
          <w:rFonts w:ascii="Times New Roman" w:hAnsi="Times New Roman" w:cs="Times New Roman"/>
          <w:lang w:val="en-US"/>
        </w:rPr>
        <w:t xml:space="preserve"> </w:t>
      </w:r>
      <w:r w:rsidRPr="003F16D1">
        <w:rPr>
          <w:rFonts w:ascii="Times New Roman" w:hAnsi="Times New Roman" w:cs="Times New Roman"/>
          <w:lang w:val="en-US"/>
        </w:rPr>
        <w:t xml:space="preserve">serve cultural purposes. Social and cultural rights are subject to progressive realization. </w:t>
      </w:r>
    </w:p>
    <w:p w:rsidR="00791C55" w:rsidRPr="003F16D1" w:rsidRDefault="00791C55" w:rsidP="00791C55">
      <w:pPr>
        <w:pStyle w:val="ListParagraph"/>
        <w:spacing w:before="120" w:after="120"/>
        <w:ind w:left="714"/>
        <w:jc w:val="both"/>
        <w:rPr>
          <w:rFonts w:ascii="Times New Roman" w:hAnsi="Times New Roman" w:cs="Times New Roman"/>
          <w:lang w:val="en-US"/>
        </w:rPr>
      </w:pPr>
    </w:p>
    <w:p w:rsidR="00E134CC" w:rsidRPr="003F16D1" w:rsidRDefault="00C05891" w:rsidP="0055532C">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In order to </w:t>
      </w:r>
      <w:r w:rsidR="00283EFF" w:rsidRPr="003F16D1">
        <w:rPr>
          <w:rFonts w:ascii="Times New Roman" w:hAnsi="Times New Roman" w:cs="Times New Roman"/>
          <w:lang w:val="en-US"/>
        </w:rPr>
        <w:t>achiev</w:t>
      </w:r>
      <w:r w:rsidRPr="003F16D1">
        <w:rPr>
          <w:rFonts w:ascii="Times New Roman" w:hAnsi="Times New Roman" w:cs="Times New Roman"/>
          <w:lang w:val="en-US"/>
        </w:rPr>
        <w:t xml:space="preserve">e </w:t>
      </w:r>
      <w:r w:rsidR="00283EFF" w:rsidRPr="003F16D1">
        <w:rPr>
          <w:rFonts w:ascii="Times New Roman" w:hAnsi="Times New Roman" w:cs="Times New Roman"/>
          <w:lang w:val="en-US"/>
        </w:rPr>
        <w:t>the realization of social and cultural rights, States parties must take steps to the maximum of their available resources (art. 2 (1) ICESC). While full realization of the goals may be achieved progressively, steps towards it must be taken immediately or within a reasonably short period of time. Such steps should be deliberate, concrete, targeted and use all appropriate means.</w:t>
      </w:r>
      <w:r w:rsidR="00283EFF" w:rsidRPr="003F16D1">
        <w:rPr>
          <w:rStyle w:val="FootnoteReference"/>
          <w:rFonts w:ascii="Times New Roman" w:hAnsi="Times New Roman" w:cs="Times New Roman"/>
          <w:lang w:val="en-US"/>
        </w:rPr>
        <w:footnoteReference w:id="5"/>
      </w:r>
      <w:r w:rsidR="00283EFF" w:rsidRPr="003F16D1">
        <w:rPr>
          <w:rFonts w:ascii="Times New Roman" w:hAnsi="Times New Roman" w:cs="Times New Roman"/>
          <w:lang w:val="en-US"/>
        </w:rPr>
        <w:t xml:space="preserve"> The systematic realization of the right to independent and community living requires structural changes. In particular, this applies to de-institutionalization</w:t>
      </w:r>
      <w:r w:rsidR="000D5382" w:rsidRPr="003F16D1">
        <w:rPr>
          <w:rFonts w:ascii="Times New Roman" w:hAnsi="Times New Roman" w:cs="Times New Roman"/>
          <w:lang w:val="en-US"/>
        </w:rPr>
        <w:t xml:space="preserve"> in all its forms</w:t>
      </w:r>
      <w:r w:rsidR="00283EFF" w:rsidRPr="003F16D1">
        <w:rPr>
          <w:rFonts w:ascii="Times New Roman" w:hAnsi="Times New Roman" w:cs="Times New Roman"/>
          <w:lang w:val="en-US"/>
        </w:rPr>
        <w:t xml:space="preserve">. In this regard, States parties </w:t>
      </w:r>
      <w:r w:rsidR="0055532C" w:rsidRPr="003F16D1">
        <w:rPr>
          <w:rFonts w:ascii="Times New Roman" w:hAnsi="Times New Roman" w:cs="Times New Roman"/>
          <w:lang w:val="en-US"/>
        </w:rPr>
        <w:t>have the</w:t>
      </w:r>
      <w:r w:rsidR="00283EFF" w:rsidRPr="003F16D1">
        <w:rPr>
          <w:rFonts w:ascii="Times New Roman" w:hAnsi="Times New Roman" w:cs="Times New Roman"/>
          <w:lang w:val="en-US"/>
        </w:rPr>
        <w:t xml:space="preserve"> immediate </w:t>
      </w:r>
      <w:r w:rsidR="0055532C" w:rsidRPr="003F16D1">
        <w:rPr>
          <w:rFonts w:ascii="Times New Roman" w:hAnsi="Times New Roman" w:cs="Times New Roman"/>
          <w:lang w:val="en-US"/>
        </w:rPr>
        <w:t>obligation</w:t>
      </w:r>
      <w:r w:rsidR="00283EFF" w:rsidRPr="003F16D1">
        <w:rPr>
          <w:rFonts w:ascii="Times New Roman" w:hAnsi="Times New Roman" w:cs="Times New Roman"/>
          <w:lang w:val="en-US"/>
        </w:rPr>
        <w:t xml:space="preserve"> to enter into strategic planning in</w:t>
      </w:r>
      <w:r w:rsidR="00C97AC9" w:rsidRPr="003F16D1">
        <w:rPr>
          <w:rFonts w:ascii="Times New Roman" w:hAnsi="Times New Roman" w:cs="Times New Roman"/>
          <w:lang w:val="en-US"/>
        </w:rPr>
        <w:t xml:space="preserve"> close and respectful</w:t>
      </w:r>
      <w:r w:rsidR="00283EFF" w:rsidRPr="003F16D1">
        <w:rPr>
          <w:rFonts w:ascii="Times New Roman" w:hAnsi="Times New Roman" w:cs="Times New Roman"/>
          <w:lang w:val="en-US"/>
        </w:rPr>
        <w:t xml:space="preserve"> consultation with representative organizations of persons with disabilities to replace </w:t>
      </w:r>
      <w:r w:rsidR="00C97AC9" w:rsidRPr="003F16D1">
        <w:rPr>
          <w:rFonts w:ascii="Times New Roman" w:hAnsi="Times New Roman" w:cs="Times New Roman"/>
          <w:lang w:val="en-US"/>
        </w:rPr>
        <w:t xml:space="preserve">any </w:t>
      </w:r>
      <w:r w:rsidR="00283EFF" w:rsidRPr="003F16D1">
        <w:rPr>
          <w:rFonts w:ascii="Times New Roman" w:hAnsi="Times New Roman" w:cs="Times New Roman"/>
          <w:lang w:val="en-US"/>
        </w:rPr>
        <w:t>institutionalized settings with independent living and community-based services that comply with all general principles of article 3</w:t>
      </w:r>
      <w:r w:rsidR="0055532C" w:rsidRPr="003F16D1">
        <w:rPr>
          <w:rFonts w:ascii="Times New Roman" w:hAnsi="Times New Roman" w:cs="Times New Roman"/>
          <w:lang w:val="en-US"/>
        </w:rPr>
        <w:t xml:space="preserve"> of the Convention</w:t>
      </w:r>
      <w:r w:rsidR="00283EFF" w:rsidRPr="003F16D1">
        <w:rPr>
          <w:rFonts w:ascii="Times New Roman" w:hAnsi="Times New Roman" w:cs="Times New Roman"/>
          <w:lang w:val="en-US"/>
        </w:rPr>
        <w:t xml:space="preserve">. The margin of appreciation of States parties is related to the mode of services but not to the question of replacement. </w:t>
      </w:r>
    </w:p>
    <w:p w:rsidR="00E134CC" w:rsidRPr="003F16D1" w:rsidRDefault="00E134CC" w:rsidP="00E134CC">
      <w:pPr>
        <w:pStyle w:val="ListParagraph"/>
        <w:spacing w:before="120" w:after="120"/>
        <w:ind w:left="714"/>
        <w:jc w:val="both"/>
        <w:rPr>
          <w:rFonts w:ascii="Times New Roman" w:hAnsi="Times New Roman" w:cs="Times New Roman"/>
          <w:lang w:val="en-US"/>
        </w:rPr>
      </w:pPr>
    </w:p>
    <w:p w:rsidR="00283EFF" w:rsidRPr="003F16D1" w:rsidRDefault="00283EFF" w:rsidP="00283EFF">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An exemption from progressive realization regarding article 19 (b) and (c) is the “minimum core obligation to ensure the satisfaction of, at the very least, minimum essential levels of each of the rights” incumbent upon the States parties.</w:t>
      </w:r>
      <w:r w:rsidRPr="003F16D1">
        <w:rPr>
          <w:rStyle w:val="FootnoteReference"/>
          <w:rFonts w:ascii="Times New Roman" w:hAnsi="Times New Roman" w:cs="Times New Roman"/>
          <w:lang w:val="en-US"/>
        </w:rPr>
        <w:footnoteReference w:id="6"/>
      </w:r>
      <w:r w:rsidRPr="003F16D1">
        <w:rPr>
          <w:rFonts w:ascii="Times New Roman" w:hAnsi="Times New Roman" w:cs="Times New Roman"/>
          <w:lang w:val="en-US"/>
        </w:rPr>
        <w:t xml:space="preserve"> If persons with disabilities are deprived of the core elements of independent and community </w:t>
      </w:r>
      <w:r w:rsidR="00F44433" w:rsidRPr="003F16D1">
        <w:rPr>
          <w:rFonts w:ascii="Times New Roman" w:hAnsi="Times New Roman" w:cs="Times New Roman"/>
          <w:lang w:val="en-US"/>
        </w:rPr>
        <w:t xml:space="preserve">living as listed in </w:t>
      </w:r>
      <w:r w:rsidR="00284C45" w:rsidRPr="003F16D1">
        <w:rPr>
          <w:rFonts w:ascii="Times New Roman" w:hAnsi="Times New Roman" w:cs="Times New Roman"/>
          <w:lang w:val="en-US"/>
        </w:rPr>
        <w:t xml:space="preserve">paragraph </w:t>
      </w:r>
      <w:r w:rsidR="0010510D" w:rsidRPr="003F16D1">
        <w:rPr>
          <w:rFonts w:ascii="Times New Roman" w:hAnsi="Times New Roman" w:cs="Times New Roman"/>
          <w:lang w:val="en-US"/>
        </w:rPr>
        <w:t>40</w:t>
      </w:r>
      <w:r w:rsidRPr="003F16D1">
        <w:rPr>
          <w:rFonts w:ascii="Times New Roman" w:hAnsi="Times New Roman" w:cs="Times New Roman"/>
          <w:lang w:val="en-US"/>
        </w:rPr>
        <w:t xml:space="preserve"> of this General Comment, this counts as a failure to fulfill States parties’ obligations. States parties can only attribute the failure to meet the obligations to a lack of resources if they demonstrate having made every effort to use all resources at their dispo</w:t>
      </w:r>
      <w:r w:rsidR="00477263" w:rsidRPr="003F16D1">
        <w:rPr>
          <w:rFonts w:ascii="Times New Roman" w:hAnsi="Times New Roman" w:cs="Times New Roman"/>
          <w:lang w:val="en-US"/>
        </w:rPr>
        <w:t>sal</w:t>
      </w:r>
      <w:r w:rsidRPr="003F16D1">
        <w:rPr>
          <w:rFonts w:ascii="Times New Roman" w:hAnsi="Times New Roman" w:cs="Times New Roman"/>
          <w:lang w:val="en-US"/>
        </w:rPr>
        <w:t xml:space="preserve"> in order to satisfy those minimum obligations as a matter of priority.</w:t>
      </w:r>
      <w:r w:rsidRPr="003F16D1">
        <w:rPr>
          <w:rStyle w:val="FootnoteReference"/>
          <w:rFonts w:ascii="Times New Roman" w:hAnsi="Times New Roman" w:cs="Times New Roman"/>
          <w:lang w:val="en-US"/>
        </w:rPr>
        <w:footnoteReference w:id="7"/>
      </w:r>
    </w:p>
    <w:p w:rsidR="00E134CC" w:rsidRPr="003F16D1" w:rsidRDefault="00E134CC" w:rsidP="00E134CC">
      <w:pPr>
        <w:pStyle w:val="ListParagraph"/>
        <w:spacing w:before="120" w:after="120"/>
        <w:ind w:left="714"/>
        <w:jc w:val="both"/>
        <w:rPr>
          <w:rFonts w:ascii="Times New Roman" w:hAnsi="Times New Roman" w:cs="Times New Roman"/>
          <w:lang w:val="en-US"/>
        </w:rPr>
      </w:pPr>
    </w:p>
    <w:p w:rsidR="00B112C9" w:rsidRPr="003F16D1" w:rsidRDefault="00283EFF" w:rsidP="00283EFF">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The duty of progressive realization also entails a presumption against retrogressive measures in the enjoyment of economic, social and cultural rights. Retrogressive measures only should be adopted after careful consideration of all alternatives, if they are duly justified by references to the totality of the rights provided for in the Convention, in the context of the use of the maximum available resources of the State party.</w:t>
      </w:r>
      <w:r w:rsidRPr="003F16D1">
        <w:rPr>
          <w:rStyle w:val="FootnoteReference"/>
          <w:rFonts w:ascii="Times New Roman" w:hAnsi="Times New Roman" w:cs="Times New Roman"/>
          <w:lang w:val="en-US"/>
        </w:rPr>
        <w:footnoteReference w:id="8"/>
      </w:r>
      <w:r w:rsidRPr="003F16D1">
        <w:rPr>
          <w:rFonts w:ascii="Times New Roman" w:hAnsi="Times New Roman" w:cs="Times New Roman"/>
          <w:lang w:val="en-US"/>
        </w:rPr>
        <w:t xml:space="preserve"> </w:t>
      </w:r>
    </w:p>
    <w:p w:rsidR="00B112C9" w:rsidRPr="003F16D1" w:rsidRDefault="00B112C9" w:rsidP="00B112C9">
      <w:pPr>
        <w:pStyle w:val="ListParagraph"/>
        <w:rPr>
          <w:rFonts w:ascii="Times New Roman" w:hAnsi="Times New Roman" w:cs="Times New Roman"/>
          <w:lang w:val="en-US"/>
        </w:rPr>
      </w:pPr>
    </w:p>
    <w:p w:rsidR="00B112C9" w:rsidRPr="003F16D1" w:rsidRDefault="00283EFF" w:rsidP="005F45AA">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States parties are prohibited from taking retrogressive measures with respect to the core elements of the right to independent and community living listed in paragraph </w:t>
      </w:r>
      <w:r w:rsidR="0010510D" w:rsidRPr="003F16D1">
        <w:rPr>
          <w:rFonts w:ascii="Times New Roman" w:hAnsi="Times New Roman" w:cs="Times New Roman"/>
          <w:lang w:val="en-US"/>
        </w:rPr>
        <w:t>40</w:t>
      </w:r>
      <w:r w:rsidRPr="003F16D1">
        <w:rPr>
          <w:rFonts w:ascii="Times New Roman" w:hAnsi="Times New Roman" w:cs="Times New Roman"/>
          <w:lang w:val="en-US"/>
        </w:rPr>
        <w:t xml:space="preserve"> of this General Comment. While the Committee notes that many States parties face serious </w:t>
      </w:r>
      <w:r w:rsidR="00C97AC9" w:rsidRPr="003F16D1">
        <w:rPr>
          <w:rFonts w:ascii="Times New Roman" w:hAnsi="Times New Roman" w:cs="Times New Roman"/>
          <w:lang w:val="en-US"/>
        </w:rPr>
        <w:t xml:space="preserve">financial </w:t>
      </w:r>
      <w:r w:rsidRPr="003F16D1">
        <w:rPr>
          <w:rFonts w:ascii="Times New Roman" w:hAnsi="Times New Roman" w:cs="Times New Roman"/>
          <w:lang w:val="en-US"/>
        </w:rPr>
        <w:t>burdens as a result of the global financial crisis</w:t>
      </w:r>
      <w:r w:rsidR="00C97AC9" w:rsidRPr="003F16D1">
        <w:rPr>
          <w:rFonts w:ascii="Times New Roman" w:hAnsi="Times New Roman" w:cs="Times New Roman"/>
          <w:lang w:val="en-US"/>
        </w:rPr>
        <w:t xml:space="preserve"> (2008)</w:t>
      </w:r>
      <w:r w:rsidRPr="003F16D1">
        <w:rPr>
          <w:rFonts w:ascii="Times New Roman" w:hAnsi="Times New Roman" w:cs="Times New Roman"/>
          <w:lang w:val="en-US"/>
        </w:rPr>
        <w:t xml:space="preserve">, </w:t>
      </w:r>
      <w:r w:rsidR="00676273" w:rsidRPr="003F16D1">
        <w:rPr>
          <w:rFonts w:ascii="Times New Roman" w:hAnsi="Times New Roman" w:cs="Times New Roman"/>
          <w:lang w:val="en-US"/>
        </w:rPr>
        <w:t xml:space="preserve">they </w:t>
      </w:r>
      <w:r w:rsidR="00774821" w:rsidRPr="003F16D1">
        <w:rPr>
          <w:rFonts w:ascii="Times New Roman" w:hAnsi="Times New Roman" w:cs="Times New Roman"/>
          <w:lang w:val="en-US"/>
        </w:rPr>
        <w:t>should</w:t>
      </w:r>
      <w:r w:rsidRPr="003F16D1">
        <w:rPr>
          <w:rFonts w:ascii="Times New Roman" w:hAnsi="Times New Roman" w:cs="Times New Roman"/>
          <w:lang w:val="en-US"/>
        </w:rPr>
        <w:t xml:space="preserve"> ensure that persons with disabilities are protected against social cutbacks because the effects </w:t>
      </w:r>
      <w:r w:rsidR="00C97AC9" w:rsidRPr="003F16D1">
        <w:rPr>
          <w:rFonts w:ascii="Times New Roman" w:hAnsi="Times New Roman" w:cs="Times New Roman"/>
          <w:lang w:val="en-US"/>
        </w:rPr>
        <w:t>affects them</w:t>
      </w:r>
      <w:r w:rsidRPr="003F16D1">
        <w:rPr>
          <w:rFonts w:ascii="Times New Roman" w:hAnsi="Times New Roman" w:cs="Times New Roman"/>
          <w:lang w:val="en-US"/>
        </w:rPr>
        <w:t xml:space="preserve"> harder than the general population.</w:t>
      </w:r>
      <w:r w:rsidRPr="003F16D1">
        <w:rPr>
          <w:rStyle w:val="FootnoteReference"/>
          <w:rFonts w:ascii="Times New Roman" w:hAnsi="Times New Roman" w:cs="Times New Roman"/>
          <w:lang w:val="en-US"/>
        </w:rPr>
        <w:footnoteReference w:id="9"/>
      </w:r>
      <w:r w:rsidRPr="003F16D1">
        <w:rPr>
          <w:rFonts w:ascii="Times New Roman" w:hAnsi="Times New Roman" w:cs="Times New Roman"/>
          <w:lang w:val="en-US"/>
        </w:rPr>
        <w:t xml:space="preserve">  </w:t>
      </w:r>
    </w:p>
    <w:p w:rsidR="00B112C9" w:rsidRPr="003F16D1" w:rsidRDefault="00B112C9" w:rsidP="00B112C9">
      <w:pPr>
        <w:pStyle w:val="ListParagraph"/>
        <w:spacing w:before="120" w:after="120"/>
        <w:ind w:left="714"/>
        <w:jc w:val="both"/>
        <w:rPr>
          <w:rFonts w:ascii="Times New Roman" w:hAnsi="Times New Roman" w:cs="Times New Roman"/>
          <w:lang w:val="en-US"/>
        </w:rPr>
      </w:pPr>
    </w:p>
    <w:p w:rsidR="00283EFF" w:rsidRPr="003F16D1" w:rsidRDefault="00283EFF" w:rsidP="00283EFF">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The obligation to take measures to overcome discrimination on the basis of disability and to achieve de facto equality of persons with disabilities also is</w:t>
      </w:r>
      <w:r w:rsidR="00477263" w:rsidRPr="003F16D1">
        <w:rPr>
          <w:rFonts w:ascii="Times New Roman" w:hAnsi="Times New Roman" w:cs="Times New Roman"/>
          <w:lang w:val="en-US"/>
        </w:rPr>
        <w:t xml:space="preserve"> also</w:t>
      </w:r>
      <w:r w:rsidRPr="003F16D1">
        <w:rPr>
          <w:rFonts w:ascii="Times New Roman" w:hAnsi="Times New Roman" w:cs="Times New Roman"/>
          <w:lang w:val="en-US"/>
        </w:rPr>
        <w:t xml:space="preserve"> exempt from progressive realization (art. 4 (1) CRPD). States parties are under immediate obligation to eliminate discrimination against individuals or groups of persons with disabilities and to guarantee their equal right to independent and community living</w:t>
      </w:r>
      <w:r w:rsidR="00C97AC9" w:rsidRPr="003F16D1">
        <w:rPr>
          <w:rFonts w:ascii="Times New Roman" w:hAnsi="Times New Roman" w:cs="Times New Roman"/>
          <w:lang w:val="en-US"/>
        </w:rPr>
        <w:t xml:space="preserve"> and participation</w:t>
      </w:r>
      <w:r w:rsidRPr="003F16D1">
        <w:rPr>
          <w:rFonts w:ascii="Times New Roman" w:hAnsi="Times New Roman" w:cs="Times New Roman"/>
          <w:lang w:val="en-US"/>
        </w:rPr>
        <w:t xml:space="preserve">. This requires States parties to repeal or reform laws, policies and practices that prevent persons with disabilities from, for example, choosing their place of residence, from access to housing, from renting accommodation or from accessing general community facilities and services on an equal basis with others. The duty to provide reasonable accommodation (art. 5 (3) CRPD) is also not subjected to progressive realization.   </w:t>
      </w:r>
    </w:p>
    <w:p w:rsidR="00E134CC" w:rsidRPr="003F16D1" w:rsidRDefault="00E134CC" w:rsidP="00E134CC">
      <w:pPr>
        <w:pStyle w:val="ListParagraph"/>
        <w:spacing w:before="120" w:after="120"/>
        <w:ind w:left="714"/>
        <w:jc w:val="both"/>
        <w:rPr>
          <w:rFonts w:ascii="Times New Roman" w:hAnsi="Times New Roman" w:cs="Times New Roman"/>
          <w:lang w:val="en-US"/>
        </w:rPr>
      </w:pPr>
    </w:p>
    <w:p w:rsidR="00283EFF" w:rsidRPr="003F16D1" w:rsidRDefault="00283EFF" w:rsidP="00283EFF">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The right to decide where</w:t>
      </w:r>
      <w:r w:rsidR="00C97AC9" w:rsidRPr="003F16D1">
        <w:rPr>
          <w:rFonts w:ascii="Times New Roman" w:hAnsi="Times New Roman" w:cs="Times New Roman"/>
          <w:lang w:val="en-US"/>
        </w:rPr>
        <w:t>, how</w:t>
      </w:r>
      <w:r w:rsidRPr="003F16D1">
        <w:rPr>
          <w:rFonts w:ascii="Times New Roman" w:hAnsi="Times New Roman" w:cs="Times New Roman"/>
          <w:lang w:val="en-US"/>
        </w:rPr>
        <w:t xml:space="preserve"> and with whom to reside also embraces the decision to live in institutional care settings, because there is no obligation to live under a particular living arrangement. However, as article 19 of the Convention is about being included in the community, the right to choose a residential, institutional setting does not correspond with a state</w:t>
      </w:r>
      <w:r w:rsidR="00477263" w:rsidRPr="003F16D1">
        <w:rPr>
          <w:rFonts w:ascii="Times New Roman" w:hAnsi="Times New Roman" w:cs="Times New Roman"/>
          <w:lang w:val="en-US"/>
        </w:rPr>
        <w:t>s’ party</w:t>
      </w:r>
      <w:r w:rsidRPr="003F16D1">
        <w:rPr>
          <w:rFonts w:ascii="Times New Roman" w:hAnsi="Times New Roman" w:cs="Times New Roman"/>
          <w:lang w:val="en-US"/>
        </w:rPr>
        <w:t xml:space="preserve"> duty to maintain institutions or to ensure the availability of residential support services. </w:t>
      </w:r>
      <w:r w:rsidR="006E4F31" w:rsidRPr="00FF2D14">
        <w:rPr>
          <w:rFonts w:ascii="Times New Roman" w:eastAsia="Times New Roman" w:hAnsi="Times New Roman" w:cs="Times New Roman"/>
          <w:color w:val="FF0000"/>
          <w:lang w:val="en-GB"/>
        </w:rPr>
        <w:t>States parties must not allocate resources into living arrangements that do not respect the freedom of choice and autonomy of persons with disabilities. As long as a person who lives in such an arrangement is not free and able to do what she or he wants, to live with his or her partner or other persons who she or he wants to live with, that living arrangement will be an example of an institution.</w:t>
      </w:r>
    </w:p>
    <w:p w:rsidR="00E134CC" w:rsidRPr="003F16D1" w:rsidRDefault="00E134CC" w:rsidP="00283EFF">
      <w:pPr>
        <w:spacing w:before="120" w:after="120"/>
        <w:ind w:firstLine="357"/>
        <w:jc w:val="both"/>
        <w:rPr>
          <w:rFonts w:ascii="Times New Roman" w:hAnsi="Times New Roman" w:cs="Times New Roman"/>
          <w:b/>
          <w:sz w:val="26"/>
          <w:szCs w:val="26"/>
          <w:lang w:val="en-US"/>
        </w:rPr>
      </w:pPr>
    </w:p>
    <w:p w:rsidR="00283EFF" w:rsidRPr="003F16D1" w:rsidRDefault="00283EFF" w:rsidP="00AD4778">
      <w:pPr>
        <w:pStyle w:val="ListParagraph"/>
        <w:numPr>
          <w:ilvl w:val="0"/>
          <w:numId w:val="9"/>
        </w:numPr>
        <w:spacing w:before="120" w:after="120"/>
        <w:jc w:val="both"/>
        <w:rPr>
          <w:rFonts w:ascii="Times New Roman" w:hAnsi="Times New Roman" w:cs="Times New Roman"/>
          <w:b/>
          <w:sz w:val="26"/>
          <w:szCs w:val="26"/>
          <w:lang w:val="en-US"/>
        </w:rPr>
      </w:pPr>
      <w:r w:rsidRPr="003F16D1">
        <w:rPr>
          <w:rFonts w:ascii="Times New Roman" w:hAnsi="Times New Roman" w:cs="Times New Roman"/>
          <w:b/>
          <w:sz w:val="26"/>
          <w:szCs w:val="26"/>
          <w:lang w:val="en-US"/>
        </w:rPr>
        <w:t>Obligation to respect</w:t>
      </w:r>
    </w:p>
    <w:p w:rsidR="00AD4778" w:rsidRPr="003F16D1" w:rsidRDefault="00AD4778" w:rsidP="00AD4778">
      <w:pPr>
        <w:pStyle w:val="ListParagraph"/>
        <w:spacing w:before="120" w:after="120"/>
        <w:ind w:left="717"/>
        <w:jc w:val="both"/>
        <w:rPr>
          <w:rFonts w:ascii="Times New Roman" w:hAnsi="Times New Roman" w:cs="Times New Roman"/>
          <w:b/>
          <w:sz w:val="26"/>
          <w:szCs w:val="26"/>
          <w:lang w:val="en-US"/>
        </w:rPr>
      </w:pPr>
    </w:p>
    <w:p w:rsidR="00BC2107" w:rsidRPr="00BC2107" w:rsidRDefault="00283EFF" w:rsidP="00BC2107">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The obligation to respect requires States</w:t>
      </w:r>
      <w:r w:rsidR="00477263" w:rsidRPr="003F16D1">
        <w:rPr>
          <w:rFonts w:ascii="Times New Roman" w:hAnsi="Times New Roman" w:cs="Times New Roman"/>
          <w:lang w:val="en-US"/>
        </w:rPr>
        <w:t xml:space="preserve"> parties</w:t>
      </w:r>
      <w:r w:rsidRPr="003F16D1">
        <w:rPr>
          <w:rFonts w:ascii="Times New Roman" w:hAnsi="Times New Roman" w:cs="Times New Roman"/>
          <w:lang w:val="en-US"/>
        </w:rPr>
        <w:t xml:space="preserve"> to refrain from directly or indirectly interfering with the individual exercise of the right to living independently and being included in the community. States parties </w:t>
      </w:r>
      <w:r w:rsidR="00E57315" w:rsidRPr="003F16D1">
        <w:rPr>
          <w:rFonts w:ascii="Times New Roman" w:hAnsi="Times New Roman" w:cs="Times New Roman"/>
          <w:lang w:val="en-US"/>
        </w:rPr>
        <w:t>should</w:t>
      </w:r>
      <w:r w:rsidRPr="003F16D1">
        <w:rPr>
          <w:rFonts w:ascii="Times New Roman" w:hAnsi="Times New Roman" w:cs="Times New Roman"/>
          <w:lang w:val="en-US"/>
        </w:rPr>
        <w:t xml:space="preserve"> not limit or deny anyone access to independent and community living, including through laws which directly or indirectly affect </w:t>
      </w:r>
      <w:r w:rsidR="00477263" w:rsidRPr="003F16D1">
        <w:rPr>
          <w:rFonts w:ascii="Times New Roman" w:hAnsi="Times New Roman" w:cs="Times New Roman"/>
          <w:lang w:val="en-US"/>
        </w:rPr>
        <w:t xml:space="preserve">the autonomy and options of </w:t>
      </w:r>
      <w:r w:rsidRPr="003F16D1">
        <w:rPr>
          <w:rFonts w:ascii="Times New Roman" w:hAnsi="Times New Roman" w:cs="Times New Roman"/>
          <w:lang w:val="en-US"/>
        </w:rPr>
        <w:t>persons with disabilities autonomy and options to choose their place of residence or where, how and with whom to live. States</w:t>
      </w:r>
      <w:r w:rsidR="00477263" w:rsidRPr="003F16D1">
        <w:rPr>
          <w:rFonts w:ascii="Times New Roman" w:hAnsi="Times New Roman" w:cs="Times New Roman"/>
          <w:lang w:val="en-US"/>
        </w:rPr>
        <w:t xml:space="preserve"> parties</w:t>
      </w:r>
      <w:r w:rsidRPr="003F16D1">
        <w:rPr>
          <w:rFonts w:ascii="Times New Roman" w:hAnsi="Times New Roman" w:cs="Times New Roman"/>
          <w:lang w:val="en-US"/>
        </w:rPr>
        <w:t xml:space="preserve"> </w:t>
      </w:r>
      <w:r w:rsidR="00E57315" w:rsidRPr="003F16D1">
        <w:rPr>
          <w:rFonts w:ascii="Times New Roman" w:hAnsi="Times New Roman" w:cs="Times New Roman"/>
          <w:lang w:val="en-US"/>
        </w:rPr>
        <w:t>should</w:t>
      </w:r>
      <w:r w:rsidRPr="003F16D1">
        <w:rPr>
          <w:rFonts w:ascii="Times New Roman" w:hAnsi="Times New Roman" w:cs="Times New Roman"/>
          <w:lang w:val="en-US"/>
        </w:rPr>
        <w:t xml:space="preserve"> reform laws that impede the exercise of the rights enshrined in article 19 of the Convention. Examples include guardianship and mental health laws which force persons with disabilities to live in institutions as well as laws on social protection or building law which prioritize residential or institutional services. </w:t>
      </w:r>
    </w:p>
    <w:p w:rsidR="00BC2107" w:rsidRPr="00E11A81" w:rsidRDefault="00BC2107" w:rsidP="00C70D4D">
      <w:pPr>
        <w:pBdr>
          <w:left w:val="nil"/>
        </w:pBdr>
        <w:shd w:val="clear" w:color="auto" w:fill="FFFFFF"/>
        <w:spacing w:after="0" w:line="360" w:lineRule="auto"/>
        <w:ind w:left="357"/>
        <w:rPr>
          <w:rFonts w:ascii="Times New Roman" w:eastAsia="Times New Roman" w:hAnsi="Times New Roman" w:cs="Times New Roman"/>
          <w:color w:val="FF0000"/>
          <w:lang w:val="en-GB"/>
        </w:rPr>
      </w:pPr>
      <w:r w:rsidRPr="00E11A81">
        <w:rPr>
          <w:rFonts w:ascii="Times New Roman" w:eastAsia="Times New Roman" w:hAnsi="Times New Roman" w:cs="Times New Roman"/>
          <w:color w:val="FF0000"/>
          <w:lang w:val="en-GB"/>
        </w:rPr>
        <w:t xml:space="preserve">As "particular living arrangements" are phased out progressively, individual support services in the community, such as personal assistance or other forms of user-led-support, and barrier-free housing in existing housing stock and new residential construction are to be phased in instead. </w:t>
      </w:r>
      <w:r w:rsidR="009C77A6" w:rsidRPr="00E11A81">
        <w:rPr>
          <w:rFonts w:ascii="Times New Roman" w:eastAsia="Times New Roman" w:hAnsi="Times New Roman" w:cs="Times New Roman"/>
          <w:color w:val="FF0000"/>
          <w:lang w:val="en-GB"/>
        </w:rPr>
        <w:t xml:space="preserve">To this end, State Parties are to issue comprehensive plans with specific targets, timetable, budget and monitoring mechanisms including sanctions for non-compliance. </w:t>
      </w:r>
      <w:r w:rsidR="00867D0C" w:rsidRPr="00E11A81">
        <w:rPr>
          <w:rFonts w:ascii="Times New Roman" w:eastAsia="Times New Roman" w:hAnsi="Times New Roman" w:cs="Times New Roman"/>
          <w:color w:val="FF0000"/>
        </w:rPr>
        <w:t xml:space="preserve">Phasing out means no new construction of residential institutions, no additions to nor renovation of existing residential institutions beyond the most urgent measures necessary to safeguard residents' physical safety. No new persons are to be placed in a residential institution. As previously institutionalized residents move into the community, the vacant places they leave behind are to remain vacant. State parties are to closely monitor this particular requirement without compensating residential institutions' owners and operators for any resulting increased costs. </w:t>
      </w:r>
    </w:p>
    <w:p w:rsidR="00BC2107" w:rsidRPr="00E11A81" w:rsidRDefault="00BC2107" w:rsidP="00C70D4D">
      <w:pPr>
        <w:pStyle w:val="ListParagraph"/>
        <w:spacing w:after="0" w:line="360" w:lineRule="auto"/>
        <w:ind w:left="357"/>
        <w:jc w:val="both"/>
        <w:rPr>
          <w:rFonts w:ascii="Times New Roman" w:eastAsia="Times New Roman" w:hAnsi="Times New Roman" w:cs="Times New Roman"/>
          <w:color w:val="FF0000"/>
          <w:lang w:val="en-GB"/>
        </w:rPr>
      </w:pPr>
      <w:r w:rsidRPr="00E11A81">
        <w:rPr>
          <w:rFonts w:ascii="Times New Roman" w:eastAsia="Times New Roman" w:hAnsi="Times New Roman" w:cs="Times New Roman"/>
          <w:color w:val="FF0000"/>
          <w:lang w:val="en-GB"/>
        </w:rPr>
        <w:t>Residents of existing institutions are to be offered information and advice as well as trial periods with support and training of several different community-based alternatives.</w:t>
      </w:r>
      <w:r w:rsidR="00AB3AC1" w:rsidRPr="00E11A81">
        <w:rPr>
          <w:rFonts w:ascii="Times New Roman" w:eastAsia="Times New Roman" w:hAnsi="Times New Roman" w:cs="Times New Roman"/>
          <w:color w:val="FF0000"/>
          <w:lang w:val="en-GB"/>
        </w:rPr>
        <w:t xml:space="preserve"> Residents who still are not prepared to</w:t>
      </w:r>
      <w:r w:rsidRPr="00E11A81">
        <w:rPr>
          <w:rFonts w:ascii="Times New Roman" w:eastAsia="Times New Roman" w:hAnsi="Times New Roman" w:cs="Times New Roman"/>
          <w:color w:val="FF0000"/>
          <w:lang w:val="en-GB"/>
        </w:rPr>
        <w:t xml:space="preserve"> move</w:t>
      </w:r>
      <w:r w:rsidR="00AB3AC1" w:rsidRPr="00E11A81">
        <w:rPr>
          <w:rFonts w:ascii="Times New Roman" w:eastAsia="Times New Roman" w:hAnsi="Times New Roman" w:cs="Times New Roman"/>
          <w:color w:val="FF0000"/>
          <w:lang w:val="en-GB"/>
        </w:rPr>
        <w:t xml:space="preserve"> out to the community</w:t>
      </w:r>
      <w:r w:rsidRPr="00E11A81">
        <w:rPr>
          <w:rFonts w:ascii="Times New Roman" w:eastAsia="Times New Roman" w:hAnsi="Times New Roman" w:cs="Times New Roman"/>
          <w:color w:val="FF0000"/>
          <w:lang w:val="en-GB"/>
        </w:rPr>
        <w:t>, shall not be forced to leave institutional settings. The individual informed choice, with supported decision-making</w:t>
      </w:r>
      <w:r w:rsidR="00AB3AC1" w:rsidRPr="00E11A81">
        <w:rPr>
          <w:rFonts w:ascii="Times New Roman" w:eastAsia="Times New Roman" w:hAnsi="Times New Roman" w:cs="Times New Roman"/>
          <w:color w:val="FF0000"/>
          <w:lang w:val="en-GB"/>
        </w:rPr>
        <w:t xml:space="preserve">, if wanted and needed, </w:t>
      </w:r>
      <w:r w:rsidRPr="00E11A81">
        <w:rPr>
          <w:rFonts w:ascii="Times New Roman" w:eastAsia="Times New Roman" w:hAnsi="Times New Roman" w:cs="Times New Roman"/>
          <w:color w:val="FF0000"/>
          <w:lang w:val="en-GB"/>
        </w:rPr>
        <w:t>free from any undue influence, must be decisive on the choice of living arrangements</w:t>
      </w:r>
      <w:r w:rsidR="00AB3AC1" w:rsidRPr="00E11A81">
        <w:rPr>
          <w:rFonts w:ascii="Times New Roman" w:eastAsia="Times New Roman" w:hAnsi="Times New Roman" w:cs="Times New Roman"/>
          <w:color w:val="FF0000"/>
          <w:lang w:val="en-GB"/>
        </w:rPr>
        <w:t>.</w:t>
      </w:r>
    </w:p>
    <w:p w:rsidR="002C2065" w:rsidRPr="00E11A81" w:rsidRDefault="002C2065" w:rsidP="00C70D4D">
      <w:pPr>
        <w:pStyle w:val="ListParagraph"/>
        <w:spacing w:after="0" w:line="360" w:lineRule="auto"/>
        <w:ind w:left="357"/>
        <w:jc w:val="both"/>
        <w:rPr>
          <w:rFonts w:ascii="Times New Roman" w:eastAsia="Times New Roman" w:hAnsi="Times New Roman" w:cs="Times New Roman"/>
          <w:color w:val="FF0000"/>
          <w:lang w:val="en-GB"/>
        </w:rPr>
      </w:pPr>
    </w:p>
    <w:p w:rsidR="002C2065" w:rsidRPr="00E11A81" w:rsidRDefault="002C2065" w:rsidP="00C70D4D">
      <w:pPr>
        <w:pStyle w:val="ListParagraph"/>
        <w:spacing w:after="0" w:line="360" w:lineRule="auto"/>
        <w:ind w:left="357"/>
        <w:jc w:val="both"/>
        <w:rPr>
          <w:rFonts w:ascii="Times New Roman" w:hAnsi="Times New Roman" w:cs="Times New Roman"/>
          <w:color w:val="FF0000"/>
          <w:lang w:val="en-US"/>
        </w:rPr>
      </w:pPr>
      <w:r w:rsidRPr="00E11A81">
        <w:rPr>
          <w:rFonts w:ascii="Times New Roman" w:hAnsi="Times New Roman" w:cs="Times New Roman"/>
          <w:color w:val="FF0000"/>
          <w:lang w:val="en-US"/>
        </w:rPr>
        <w:t>Persons with disabilities have the right to choose to live by themselves or together with other persons without or with disabilities. Regardless of whether an individual lives alone or together with other persons, State parties are responsible for providing the individual with a disability with the quantity and quality of individualized support services, such as personal assistance, that enable the individual to live independently and in self-determination in the community pursuing one’s interests, exercising one’s rights and fulfilling one’s duties as citizen.</w:t>
      </w:r>
    </w:p>
    <w:p w:rsidR="00C029F4" w:rsidRPr="00E11A81" w:rsidRDefault="00C029F4" w:rsidP="00C70D4D">
      <w:pPr>
        <w:pStyle w:val="ListParagraph"/>
        <w:spacing w:after="0" w:line="360" w:lineRule="auto"/>
        <w:ind w:left="714"/>
        <w:jc w:val="both"/>
        <w:rPr>
          <w:rFonts w:ascii="Times New Roman" w:hAnsi="Times New Roman" w:cs="Times New Roman"/>
          <w:lang w:val="en-US"/>
        </w:rPr>
      </w:pPr>
    </w:p>
    <w:p w:rsidR="00AD4778" w:rsidRPr="003F16D1" w:rsidRDefault="00283EFF" w:rsidP="00343B30">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The obligation to respect also requires States to repeal and refrain from enacting </w:t>
      </w:r>
      <w:r w:rsidR="006255B4" w:rsidRPr="003F16D1">
        <w:rPr>
          <w:rFonts w:ascii="Times New Roman" w:hAnsi="Times New Roman" w:cs="Times New Roman"/>
          <w:lang w:val="en-US"/>
        </w:rPr>
        <w:t>laws, policies and structures</w:t>
      </w:r>
      <w:r w:rsidRPr="003F16D1">
        <w:rPr>
          <w:rFonts w:ascii="Times New Roman" w:hAnsi="Times New Roman" w:cs="Times New Roman"/>
          <w:lang w:val="en-US"/>
        </w:rPr>
        <w:t xml:space="preserve"> that create barriers in access to disability support services as well as general community facilities and services. </w:t>
      </w:r>
    </w:p>
    <w:p w:rsidR="00D854F4" w:rsidRPr="003F16D1" w:rsidRDefault="00D854F4" w:rsidP="00D854F4">
      <w:pPr>
        <w:spacing w:before="120" w:after="120"/>
        <w:jc w:val="both"/>
        <w:rPr>
          <w:rFonts w:ascii="Times New Roman" w:hAnsi="Times New Roman" w:cs="Times New Roman"/>
          <w:lang w:val="en-US"/>
        </w:rPr>
      </w:pPr>
    </w:p>
    <w:p w:rsidR="00E134CC" w:rsidRPr="003F16D1" w:rsidRDefault="00283EFF" w:rsidP="00AD4778">
      <w:pPr>
        <w:pStyle w:val="ListParagraph"/>
        <w:numPr>
          <w:ilvl w:val="0"/>
          <w:numId w:val="9"/>
        </w:numPr>
        <w:spacing w:before="120" w:after="120"/>
        <w:jc w:val="both"/>
        <w:rPr>
          <w:rFonts w:ascii="Times New Roman" w:hAnsi="Times New Roman" w:cs="Times New Roman"/>
          <w:b/>
          <w:sz w:val="26"/>
          <w:szCs w:val="26"/>
          <w:lang w:val="en-US"/>
        </w:rPr>
      </w:pPr>
      <w:r w:rsidRPr="003F16D1">
        <w:rPr>
          <w:rFonts w:ascii="Times New Roman" w:hAnsi="Times New Roman" w:cs="Times New Roman"/>
          <w:b/>
          <w:sz w:val="26"/>
          <w:szCs w:val="26"/>
          <w:lang w:val="en-US"/>
        </w:rPr>
        <w:t>Obligation to protect</w:t>
      </w:r>
    </w:p>
    <w:p w:rsidR="00AD4778" w:rsidRPr="003F16D1" w:rsidRDefault="00AD4778" w:rsidP="00AD4778">
      <w:pPr>
        <w:pStyle w:val="ListParagraph"/>
        <w:spacing w:before="120" w:after="120"/>
        <w:ind w:left="1068"/>
        <w:jc w:val="both"/>
        <w:rPr>
          <w:rFonts w:ascii="Times New Roman" w:hAnsi="Times New Roman" w:cs="Times New Roman"/>
          <w:b/>
          <w:sz w:val="26"/>
          <w:szCs w:val="26"/>
          <w:lang w:val="en-US"/>
        </w:rPr>
      </w:pPr>
    </w:p>
    <w:p w:rsidR="00A923BE" w:rsidRPr="003F16D1" w:rsidRDefault="00283EFF" w:rsidP="00283EFF">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The obligation to protect requires States</w:t>
      </w:r>
      <w:r w:rsidR="003D76BF" w:rsidRPr="003F16D1">
        <w:rPr>
          <w:rFonts w:ascii="Times New Roman" w:hAnsi="Times New Roman" w:cs="Times New Roman"/>
          <w:lang w:val="en-US"/>
        </w:rPr>
        <w:t xml:space="preserve"> parties</w:t>
      </w:r>
      <w:r w:rsidRPr="003F16D1">
        <w:rPr>
          <w:rFonts w:ascii="Times New Roman" w:hAnsi="Times New Roman" w:cs="Times New Roman"/>
          <w:lang w:val="en-US"/>
        </w:rPr>
        <w:t xml:space="preserve"> to take measures to prevent third parties from directly or indirectly interfering with the enjoyment of the right to independent and community living. The duty to protect requires States</w:t>
      </w:r>
      <w:r w:rsidR="003C02C3" w:rsidRPr="003F16D1">
        <w:rPr>
          <w:rFonts w:ascii="Times New Roman" w:hAnsi="Times New Roman" w:cs="Times New Roman"/>
          <w:lang w:val="en-US"/>
        </w:rPr>
        <w:t xml:space="preserve"> parties</w:t>
      </w:r>
      <w:r w:rsidRPr="003F16D1">
        <w:rPr>
          <w:rFonts w:ascii="Times New Roman" w:hAnsi="Times New Roman" w:cs="Times New Roman"/>
          <w:lang w:val="en-US"/>
        </w:rPr>
        <w:t xml:space="preserve"> to put in place and implement laws and policies prohibiting conduct by third parties, such as families, service-providers, landlords or providers of general community services, which undermines the full enjoyment of the right. If support services are not provided directly by States parties, they have to ensure that they are in line with the rights enshrined in article 19 of the Convention. </w:t>
      </w:r>
    </w:p>
    <w:p w:rsidR="00A923BE" w:rsidRPr="003F16D1" w:rsidRDefault="00A923BE" w:rsidP="00A923BE">
      <w:pPr>
        <w:pStyle w:val="ListParagraph"/>
        <w:spacing w:before="120" w:after="120"/>
        <w:ind w:left="714"/>
        <w:jc w:val="both"/>
        <w:rPr>
          <w:rFonts w:ascii="Times New Roman" w:hAnsi="Times New Roman" w:cs="Times New Roman"/>
          <w:lang w:val="en-US"/>
        </w:rPr>
      </w:pPr>
    </w:p>
    <w:p w:rsidR="00283EFF" w:rsidRPr="003F16D1" w:rsidRDefault="00283EFF" w:rsidP="00283EFF">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Support should always be based on the individual</w:t>
      </w:r>
      <w:r w:rsidR="00A923BE" w:rsidRPr="003F16D1">
        <w:rPr>
          <w:rFonts w:ascii="Times New Roman" w:hAnsi="Times New Roman" w:cs="Times New Roman"/>
          <w:lang w:val="en-US"/>
        </w:rPr>
        <w:t xml:space="preserve"> requirements</w:t>
      </w:r>
      <w:r w:rsidRPr="003F16D1">
        <w:rPr>
          <w:rFonts w:ascii="Times New Roman" w:hAnsi="Times New Roman" w:cs="Times New Roman"/>
          <w:lang w:val="en-US"/>
        </w:rPr>
        <w:t>, not the interest of the service provider. States parties</w:t>
      </w:r>
      <w:r w:rsidR="00A923BE" w:rsidRPr="003F16D1">
        <w:rPr>
          <w:rFonts w:ascii="Times New Roman" w:hAnsi="Times New Roman" w:cs="Times New Roman"/>
          <w:lang w:val="en-US"/>
        </w:rPr>
        <w:t xml:space="preserve"> </w:t>
      </w:r>
      <w:r w:rsidR="00C72060" w:rsidRPr="003F16D1">
        <w:rPr>
          <w:rFonts w:ascii="Times New Roman" w:hAnsi="Times New Roman" w:cs="Times New Roman"/>
          <w:lang w:val="en-US"/>
        </w:rPr>
        <w:t>should</w:t>
      </w:r>
      <w:r w:rsidRPr="003F16D1">
        <w:rPr>
          <w:rFonts w:ascii="Times New Roman" w:hAnsi="Times New Roman" w:cs="Times New Roman"/>
          <w:lang w:val="en-US"/>
        </w:rPr>
        <w:t xml:space="preserve"> establish monitoring </w:t>
      </w:r>
      <w:r w:rsidR="00C72060" w:rsidRPr="003F16D1">
        <w:rPr>
          <w:rFonts w:ascii="Times New Roman" w:hAnsi="Times New Roman" w:cs="Times New Roman"/>
          <w:lang w:val="en-US"/>
        </w:rPr>
        <w:t xml:space="preserve">mechanisms </w:t>
      </w:r>
      <w:r w:rsidRPr="003F16D1">
        <w:rPr>
          <w:rFonts w:ascii="Times New Roman" w:hAnsi="Times New Roman" w:cs="Times New Roman"/>
          <w:lang w:val="en-US"/>
        </w:rPr>
        <w:t>of service providers, adopt measures which protect persons with disabilities from being hidden in the family or isolated in institutions, protect children from being abandoned or institutionalized on the grounds of disability and establish appropriate mechanisms to detect situations of violence against persons with disabilities by third parties.</w:t>
      </w:r>
      <w:r w:rsidR="00C72060" w:rsidRPr="003F16D1">
        <w:rPr>
          <w:rFonts w:ascii="Times New Roman" w:hAnsi="Times New Roman" w:cs="Times New Roman"/>
          <w:lang w:val="en-US"/>
        </w:rPr>
        <w:t xml:space="preserve"> States parties should also prohibit that</w:t>
      </w:r>
      <w:r w:rsidRPr="003F16D1">
        <w:rPr>
          <w:rFonts w:ascii="Times New Roman" w:hAnsi="Times New Roman" w:cs="Times New Roman"/>
          <w:lang w:val="en-US"/>
        </w:rPr>
        <w:t xml:space="preserve"> </w:t>
      </w:r>
      <w:r w:rsidR="006255B4" w:rsidRPr="003F16D1">
        <w:rPr>
          <w:rFonts w:ascii="Times New Roman" w:hAnsi="Times New Roman" w:cs="Times New Roman"/>
          <w:lang w:val="en-US"/>
        </w:rPr>
        <w:t>directors</w:t>
      </w:r>
      <w:r w:rsidR="00C72060" w:rsidRPr="003F16D1">
        <w:rPr>
          <w:rFonts w:ascii="Times New Roman" w:hAnsi="Times New Roman" w:cs="Times New Roman"/>
          <w:lang w:val="en-US"/>
        </w:rPr>
        <w:t xml:space="preserve"> and/or m</w:t>
      </w:r>
      <w:r w:rsidR="006255B4" w:rsidRPr="003F16D1">
        <w:rPr>
          <w:rFonts w:ascii="Times New Roman" w:hAnsi="Times New Roman" w:cs="Times New Roman"/>
          <w:lang w:val="en-US"/>
        </w:rPr>
        <w:t>anagers</w:t>
      </w:r>
      <w:r w:rsidRPr="003F16D1">
        <w:rPr>
          <w:rFonts w:ascii="Times New Roman" w:hAnsi="Times New Roman" w:cs="Times New Roman"/>
          <w:lang w:val="en-US"/>
        </w:rPr>
        <w:t xml:space="preserve"> of residential institutions become </w:t>
      </w:r>
      <w:r w:rsidR="00C72060" w:rsidRPr="003F16D1">
        <w:rPr>
          <w:rFonts w:ascii="Times New Roman" w:hAnsi="Times New Roman" w:cs="Times New Roman"/>
          <w:lang w:val="en-US"/>
        </w:rPr>
        <w:t>guardians of the residents.</w:t>
      </w:r>
    </w:p>
    <w:p w:rsidR="00A923BE" w:rsidRPr="003F16D1" w:rsidRDefault="00A923BE" w:rsidP="00A923BE">
      <w:pPr>
        <w:pStyle w:val="ListParagraph"/>
        <w:spacing w:before="120" w:after="120"/>
        <w:ind w:left="714"/>
        <w:jc w:val="both"/>
        <w:rPr>
          <w:rFonts w:ascii="Times New Roman" w:hAnsi="Times New Roman" w:cs="Times New Roman"/>
          <w:lang w:val="en-US"/>
        </w:rPr>
      </w:pPr>
    </w:p>
    <w:p w:rsidR="00C029F4" w:rsidRPr="003F16D1" w:rsidRDefault="00283EFF" w:rsidP="00C029F4">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The duty to protect also includes the prohibition of discriminatory practices, such as the exclusion of individuals or groups from the provision of certain services. States parties </w:t>
      </w:r>
      <w:r w:rsidR="004B3A90" w:rsidRPr="003F16D1">
        <w:rPr>
          <w:rFonts w:ascii="Times New Roman" w:hAnsi="Times New Roman" w:cs="Times New Roman"/>
          <w:lang w:val="en-US"/>
        </w:rPr>
        <w:t>should</w:t>
      </w:r>
      <w:r w:rsidRPr="003F16D1">
        <w:rPr>
          <w:rFonts w:ascii="Times New Roman" w:hAnsi="Times New Roman" w:cs="Times New Roman"/>
          <w:lang w:val="en-US"/>
        </w:rPr>
        <w:t xml:space="preserve"> prohibit and prevent third parties from imposing practical or procedural barriers to living independently and being included in the community, such as ensuring that services provided are in line with independent and community living and that persons with disabilities are not denied the possibility to rent or disadvantaged in the housing market.  </w:t>
      </w:r>
      <w:r w:rsidR="008D144D" w:rsidRPr="003F16D1">
        <w:rPr>
          <w:rFonts w:ascii="Times New Roman" w:hAnsi="Times New Roman" w:cs="Times New Roman"/>
          <w:lang w:val="en-US"/>
        </w:rPr>
        <w:t>G</w:t>
      </w:r>
      <w:r w:rsidRPr="003F16D1">
        <w:rPr>
          <w:rFonts w:ascii="Times New Roman" w:hAnsi="Times New Roman" w:cs="Times New Roman"/>
          <w:lang w:val="en-US"/>
        </w:rPr>
        <w:t>eneral community services</w:t>
      </w:r>
      <w:r w:rsidR="006255B4" w:rsidRPr="003F16D1">
        <w:rPr>
          <w:rFonts w:ascii="Times New Roman" w:hAnsi="Times New Roman" w:cs="Times New Roman"/>
          <w:lang w:val="en-US"/>
        </w:rPr>
        <w:t xml:space="preserve"> open to the public</w:t>
      </w:r>
      <w:r w:rsidRPr="003F16D1">
        <w:rPr>
          <w:rFonts w:ascii="Times New Roman" w:hAnsi="Times New Roman" w:cs="Times New Roman"/>
          <w:lang w:val="en-US"/>
        </w:rPr>
        <w:t xml:space="preserve"> such as libraries, swimming pools, </w:t>
      </w:r>
      <w:r w:rsidR="008D144D" w:rsidRPr="003F16D1">
        <w:rPr>
          <w:rFonts w:ascii="Times New Roman" w:hAnsi="Times New Roman" w:cs="Times New Roman"/>
          <w:lang w:val="en-US"/>
        </w:rPr>
        <w:t xml:space="preserve">public parks/spaces, </w:t>
      </w:r>
      <w:r w:rsidRPr="003F16D1">
        <w:rPr>
          <w:rFonts w:ascii="Times New Roman" w:hAnsi="Times New Roman" w:cs="Times New Roman"/>
          <w:lang w:val="en-US"/>
        </w:rPr>
        <w:t xml:space="preserve">shops, post offices or cinemas must be accessible and responsive to the </w:t>
      </w:r>
      <w:r w:rsidR="00676273" w:rsidRPr="003F16D1">
        <w:rPr>
          <w:rFonts w:ascii="Times New Roman" w:hAnsi="Times New Roman" w:cs="Times New Roman"/>
          <w:lang w:val="en-US"/>
        </w:rPr>
        <w:t xml:space="preserve">requirements </w:t>
      </w:r>
      <w:r w:rsidRPr="003F16D1">
        <w:rPr>
          <w:rFonts w:ascii="Times New Roman" w:hAnsi="Times New Roman" w:cs="Times New Roman"/>
          <w:lang w:val="en-US"/>
        </w:rPr>
        <w:t>of persons with disabilities</w:t>
      </w:r>
      <w:r w:rsidR="006255B4" w:rsidRPr="003F16D1">
        <w:rPr>
          <w:rFonts w:ascii="Times New Roman" w:hAnsi="Times New Roman" w:cs="Times New Roman"/>
          <w:lang w:val="en-US"/>
        </w:rPr>
        <w:t xml:space="preserve">, as </w:t>
      </w:r>
      <w:r w:rsidR="008D144D" w:rsidRPr="003F16D1">
        <w:rPr>
          <w:rFonts w:ascii="Times New Roman" w:hAnsi="Times New Roman" w:cs="Times New Roman"/>
          <w:lang w:val="en-US"/>
        </w:rPr>
        <w:t xml:space="preserve">enshrined </w:t>
      </w:r>
      <w:r w:rsidR="006255B4" w:rsidRPr="003F16D1">
        <w:rPr>
          <w:rFonts w:ascii="Times New Roman" w:hAnsi="Times New Roman" w:cs="Times New Roman"/>
          <w:lang w:val="en-US"/>
        </w:rPr>
        <w:t xml:space="preserve">in General Comment </w:t>
      </w:r>
      <w:r w:rsidR="008D144D" w:rsidRPr="003F16D1">
        <w:rPr>
          <w:rFonts w:ascii="Times New Roman" w:hAnsi="Times New Roman" w:cs="Times New Roman"/>
          <w:lang w:val="en-US"/>
        </w:rPr>
        <w:t xml:space="preserve">No. </w:t>
      </w:r>
      <w:r w:rsidR="006255B4" w:rsidRPr="003F16D1">
        <w:rPr>
          <w:rFonts w:ascii="Times New Roman" w:hAnsi="Times New Roman" w:cs="Times New Roman"/>
          <w:lang w:val="en-US"/>
        </w:rPr>
        <w:t>2</w:t>
      </w:r>
      <w:r w:rsidR="00300906" w:rsidRPr="003F16D1">
        <w:rPr>
          <w:rFonts w:ascii="Times New Roman" w:hAnsi="Times New Roman" w:cs="Times New Roman"/>
          <w:lang w:val="en-US"/>
        </w:rPr>
        <w:t xml:space="preserve"> </w:t>
      </w:r>
      <w:r w:rsidR="00FA4477" w:rsidRPr="003F16D1">
        <w:rPr>
          <w:rFonts w:ascii="Times New Roman" w:hAnsi="Times New Roman" w:cs="Times New Roman"/>
          <w:lang w:val="en-US"/>
        </w:rPr>
        <w:t>Accessibility (2014)</w:t>
      </w:r>
      <w:r w:rsidR="00FA4477" w:rsidRPr="003F16D1">
        <w:rPr>
          <w:rStyle w:val="FootnoteReference"/>
          <w:rFonts w:ascii="Times New Roman" w:eastAsia="Malgun Gothic" w:hAnsi="Times New Roman" w:cs="Times New Roman"/>
          <w:lang w:val="en-US"/>
        </w:rPr>
        <w:t xml:space="preserve"> </w:t>
      </w:r>
      <w:r w:rsidR="00FA4477" w:rsidRPr="003F16D1">
        <w:rPr>
          <w:rStyle w:val="FootnoteReference"/>
          <w:rFonts w:ascii="Times New Roman" w:eastAsia="Malgun Gothic" w:hAnsi="Times New Roman" w:cs="Times New Roman"/>
          <w:lang w:val="en-US"/>
        </w:rPr>
        <w:footnoteReference w:id="10"/>
      </w:r>
      <w:r w:rsidR="00FA4477" w:rsidRPr="003F16D1">
        <w:rPr>
          <w:rFonts w:ascii="Times New Roman" w:hAnsi="Times New Roman" w:cs="Times New Roman"/>
          <w:lang w:val="en-US"/>
        </w:rPr>
        <w:t xml:space="preserve"> </w:t>
      </w:r>
      <w:r w:rsidR="00300906" w:rsidRPr="003F16D1">
        <w:rPr>
          <w:rFonts w:ascii="Times New Roman" w:hAnsi="Times New Roman" w:cs="Times New Roman"/>
          <w:lang w:val="en-US"/>
        </w:rPr>
        <w:t>to the Convention</w:t>
      </w:r>
      <w:r w:rsidRPr="003F16D1">
        <w:rPr>
          <w:rFonts w:ascii="Times New Roman" w:hAnsi="Times New Roman" w:cs="Times New Roman"/>
          <w:lang w:val="en-US"/>
        </w:rPr>
        <w:t xml:space="preserve">. </w:t>
      </w:r>
    </w:p>
    <w:p w:rsidR="00C029F4" w:rsidRPr="003F16D1" w:rsidRDefault="00C029F4" w:rsidP="00C029F4">
      <w:pPr>
        <w:pStyle w:val="ListParagraph"/>
        <w:rPr>
          <w:rFonts w:ascii="Times New Roman" w:hAnsi="Times New Roman" w:cs="Times New Roman"/>
          <w:lang w:val="en-US"/>
        </w:rPr>
      </w:pPr>
    </w:p>
    <w:p w:rsidR="00C029F4" w:rsidRPr="003F16D1" w:rsidRDefault="00C029F4" w:rsidP="00B628B7">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States parties should also ensure that autonomy and self-determination of persons with disabilities concerning their living arrangements prevail and are protected in family contexts. </w:t>
      </w:r>
      <w:r w:rsidR="007A18D7" w:rsidRPr="003F16D1">
        <w:rPr>
          <w:rFonts w:ascii="Times New Roman" w:hAnsi="Times New Roman" w:cs="Times New Roman"/>
          <w:lang w:val="en-US"/>
        </w:rPr>
        <w:t>Families can contribute to the realization of the right to independent living but their role does not replace State</w:t>
      </w:r>
      <w:r w:rsidR="008D144D" w:rsidRPr="003F16D1">
        <w:rPr>
          <w:rFonts w:ascii="Times New Roman" w:hAnsi="Times New Roman" w:cs="Times New Roman"/>
          <w:lang w:val="en-US"/>
        </w:rPr>
        <w:t>s</w:t>
      </w:r>
      <w:r w:rsidR="007A18D7" w:rsidRPr="003F16D1">
        <w:rPr>
          <w:rFonts w:ascii="Times New Roman" w:hAnsi="Times New Roman" w:cs="Times New Roman"/>
          <w:lang w:val="en-US"/>
        </w:rPr>
        <w:t xml:space="preserve"> parties obligations in the exercise of the right to living independently and being included in the community. </w:t>
      </w:r>
      <w:r w:rsidRPr="003F16D1">
        <w:rPr>
          <w:rFonts w:ascii="Times New Roman" w:hAnsi="Times New Roman" w:cs="Times New Roman"/>
          <w:lang w:val="en-US"/>
        </w:rPr>
        <w:t>States parties should prevent and combat de facto guardianship</w:t>
      </w:r>
      <w:r w:rsidR="000603D9" w:rsidRPr="003F16D1">
        <w:rPr>
          <w:rStyle w:val="FootnoteReference"/>
          <w:rFonts w:ascii="Times New Roman" w:hAnsi="Times New Roman" w:cs="Times New Roman"/>
          <w:lang w:val="en-US"/>
        </w:rPr>
        <w:footnoteReference w:id="11"/>
      </w:r>
      <w:r w:rsidRPr="003F16D1">
        <w:rPr>
          <w:rFonts w:ascii="Times New Roman" w:hAnsi="Times New Roman" w:cs="Times New Roman"/>
          <w:lang w:val="en-US"/>
        </w:rPr>
        <w:t xml:space="preserve"> of persons with disabilities </w:t>
      </w:r>
      <w:r w:rsidR="007A18D7" w:rsidRPr="003F16D1">
        <w:rPr>
          <w:rFonts w:ascii="Times New Roman" w:hAnsi="Times New Roman" w:cs="Times New Roman"/>
          <w:lang w:val="en-US"/>
        </w:rPr>
        <w:t xml:space="preserve">by members of the </w:t>
      </w:r>
      <w:r w:rsidRPr="003F16D1">
        <w:rPr>
          <w:rFonts w:ascii="Times New Roman" w:hAnsi="Times New Roman" w:cs="Times New Roman"/>
          <w:lang w:val="en-US"/>
        </w:rPr>
        <w:t>famil</w:t>
      </w:r>
      <w:r w:rsidR="007A18D7" w:rsidRPr="003F16D1">
        <w:rPr>
          <w:rFonts w:ascii="Times New Roman" w:hAnsi="Times New Roman" w:cs="Times New Roman"/>
          <w:lang w:val="en-US"/>
        </w:rPr>
        <w:t>y</w:t>
      </w:r>
      <w:r w:rsidR="00BF4C0E" w:rsidRPr="003F16D1">
        <w:rPr>
          <w:rFonts w:ascii="Times New Roman" w:hAnsi="Times New Roman" w:cs="Times New Roman"/>
          <w:lang w:val="en-US"/>
        </w:rPr>
        <w:t>,</w:t>
      </w:r>
      <w:r w:rsidR="007A18D7" w:rsidRPr="003F16D1">
        <w:rPr>
          <w:rFonts w:ascii="Times New Roman" w:hAnsi="Times New Roman" w:cs="Times New Roman"/>
          <w:lang w:val="en-US"/>
        </w:rPr>
        <w:t xml:space="preserve"> as well as r</w:t>
      </w:r>
      <w:r w:rsidRPr="003F16D1">
        <w:rPr>
          <w:rFonts w:ascii="Times New Roman" w:hAnsi="Times New Roman" w:cs="Times New Roman"/>
          <w:lang w:val="en-US"/>
        </w:rPr>
        <w:t>aise awareness</w:t>
      </w:r>
      <w:r w:rsidR="007A18D7" w:rsidRPr="003F16D1">
        <w:rPr>
          <w:rFonts w:ascii="Times New Roman" w:hAnsi="Times New Roman" w:cs="Times New Roman"/>
          <w:lang w:val="en-US"/>
        </w:rPr>
        <w:t xml:space="preserve"> and build capacity among families and community</w:t>
      </w:r>
      <w:r w:rsidR="003A0435" w:rsidRPr="003F16D1">
        <w:rPr>
          <w:rFonts w:ascii="Times New Roman" w:hAnsi="Times New Roman" w:cs="Times New Roman"/>
          <w:lang w:val="en-US"/>
        </w:rPr>
        <w:t xml:space="preserve"> networks</w:t>
      </w:r>
      <w:r w:rsidR="007A18D7" w:rsidRPr="003F16D1">
        <w:rPr>
          <w:rFonts w:ascii="Times New Roman" w:hAnsi="Times New Roman" w:cs="Times New Roman"/>
          <w:lang w:val="en-US"/>
        </w:rPr>
        <w:t xml:space="preserve"> </w:t>
      </w:r>
      <w:r w:rsidRPr="003F16D1">
        <w:rPr>
          <w:rFonts w:ascii="Times New Roman" w:hAnsi="Times New Roman" w:cs="Times New Roman"/>
          <w:lang w:val="en-US"/>
        </w:rPr>
        <w:t xml:space="preserve">about </w:t>
      </w:r>
      <w:r w:rsidR="008D144D" w:rsidRPr="003F16D1">
        <w:rPr>
          <w:rFonts w:ascii="Times New Roman" w:hAnsi="Times New Roman" w:cs="Times New Roman"/>
          <w:lang w:val="en-US"/>
        </w:rPr>
        <w:t xml:space="preserve">the individual autonomy of </w:t>
      </w:r>
      <w:r w:rsidRPr="003F16D1">
        <w:rPr>
          <w:rFonts w:ascii="Times New Roman" w:hAnsi="Times New Roman" w:cs="Times New Roman"/>
          <w:lang w:val="en-US"/>
        </w:rPr>
        <w:t>persons with disabilities, in</w:t>
      </w:r>
      <w:r w:rsidR="007A18D7" w:rsidRPr="003F16D1">
        <w:rPr>
          <w:rFonts w:ascii="Times New Roman" w:hAnsi="Times New Roman" w:cs="Times New Roman"/>
          <w:lang w:val="en-US"/>
        </w:rPr>
        <w:t>cluding the freedom to make own</w:t>
      </w:r>
      <w:r w:rsidRPr="003F16D1">
        <w:rPr>
          <w:rFonts w:ascii="Times New Roman" w:hAnsi="Times New Roman" w:cs="Times New Roman"/>
          <w:lang w:val="en-US"/>
        </w:rPr>
        <w:t xml:space="preserve"> choices, and independence concerning place of residence, how and with whom to live. </w:t>
      </w:r>
    </w:p>
    <w:p w:rsidR="00AD4778" w:rsidRDefault="00AD4778" w:rsidP="00AD4778">
      <w:pPr>
        <w:pStyle w:val="ListParagraph"/>
        <w:spacing w:before="120" w:after="120"/>
        <w:ind w:left="714"/>
        <w:jc w:val="both"/>
        <w:rPr>
          <w:rFonts w:ascii="Times New Roman" w:hAnsi="Times New Roman" w:cs="Times New Roman"/>
          <w:lang w:val="en-US"/>
        </w:rPr>
      </w:pPr>
    </w:p>
    <w:p w:rsidR="003F16D1" w:rsidRDefault="003F16D1" w:rsidP="00AD4778">
      <w:pPr>
        <w:pStyle w:val="ListParagraph"/>
        <w:spacing w:before="120" w:after="120"/>
        <w:ind w:left="714"/>
        <w:jc w:val="both"/>
        <w:rPr>
          <w:rFonts w:ascii="Times New Roman" w:hAnsi="Times New Roman" w:cs="Times New Roman"/>
          <w:lang w:val="en-US"/>
        </w:rPr>
      </w:pPr>
    </w:p>
    <w:p w:rsidR="003F16D1" w:rsidRPr="003F16D1" w:rsidRDefault="003F16D1" w:rsidP="00AD4778">
      <w:pPr>
        <w:pStyle w:val="ListParagraph"/>
        <w:spacing w:before="120" w:after="120"/>
        <w:ind w:left="714"/>
        <w:jc w:val="both"/>
        <w:rPr>
          <w:rFonts w:ascii="Times New Roman" w:hAnsi="Times New Roman" w:cs="Times New Roman"/>
          <w:lang w:val="en-US"/>
        </w:rPr>
      </w:pPr>
    </w:p>
    <w:p w:rsidR="00283EFF" w:rsidRPr="003F16D1" w:rsidRDefault="00283EFF" w:rsidP="00AD4778">
      <w:pPr>
        <w:pStyle w:val="ListParagraph"/>
        <w:numPr>
          <w:ilvl w:val="0"/>
          <w:numId w:val="9"/>
        </w:numPr>
        <w:spacing w:before="120" w:after="120"/>
        <w:jc w:val="both"/>
        <w:rPr>
          <w:rFonts w:ascii="Times New Roman" w:hAnsi="Times New Roman" w:cs="Times New Roman"/>
          <w:b/>
          <w:sz w:val="26"/>
          <w:szCs w:val="26"/>
          <w:lang w:val="en-US"/>
        </w:rPr>
      </w:pPr>
      <w:r w:rsidRPr="003F16D1">
        <w:rPr>
          <w:rFonts w:ascii="Times New Roman" w:hAnsi="Times New Roman" w:cs="Times New Roman"/>
          <w:b/>
          <w:sz w:val="26"/>
          <w:szCs w:val="26"/>
          <w:lang w:val="en-US"/>
        </w:rPr>
        <w:t>Obligation to fulfill</w:t>
      </w:r>
    </w:p>
    <w:p w:rsidR="00AD4778" w:rsidRPr="003F16D1" w:rsidRDefault="00AD4778" w:rsidP="00AD4778">
      <w:pPr>
        <w:pStyle w:val="ListParagraph"/>
        <w:spacing w:before="120" w:after="120"/>
        <w:ind w:left="1068"/>
        <w:jc w:val="both"/>
        <w:rPr>
          <w:rFonts w:ascii="Times New Roman" w:hAnsi="Times New Roman" w:cs="Times New Roman"/>
          <w:b/>
          <w:sz w:val="26"/>
          <w:szCs w:val="26"/>
          <w:lang w:val="en-US"/>
        </w:rPr>
      </w:pPr>
    </w:p>
    <w:p w:rsidR="00283EFF" w:rsidRPr="003F16D1" w:rsidRDefault="00283EFF" w:rsidP="00283EFF">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The obligation to fulfill requires States to adopt appropriate legislative, administrative, budgetary, judicial, promotional and other measures to ensure the full realization of the right to live independently and be included in the community as enshrined in the Convention. The obligation to fulfill also requires States</w:t>
      </w:r>
      <w:r w:rsidR="000A345B" w:rsidRPr="003F16D1">
        <w:rPr>
          <w:rFonts w:ascii="Times New Roman" w:hAnsi="Times New Roman" w:cs="Times New Roman"/>
          <w:lang w:val="en-US"/>
        </w:rPr>
        <w:t xml:space="preserve"> parties</w:t>
      </w:r>
      <w:r w:rsidRPr="003F16D1">
        <w:rPr>
          <w:rFonts w:ascii="Times New Roman" w:hAnsi="Times New Roman" w:cs="Times New Roman"/>
          <w:lang w:val="en-US"/>
        </w:rPr>
        <w:t xml:space="preserve"> to take measures to eradicate practical barriers to the full realization of the right to independent and community living, such as inaccessible housing, limited access to disability support services, inaccessible facilities and services in the community and prejudices against persons with disabilities. </w:t>
      </w:r>
    </w:p>
    <w:p w:rsidR="00CF180B" w:rsidRPr="003F16D1" w:rsidRDefault="00CF180B" w:rsidP="00CF180B">
      <w:pPr>
        <w:pStyle w:val="ListParagraph"/>
        <w:spacing w:before="120" w:after="120"/>
        <w:ind w:left="714"/>
        <w:jc w:val="both"/>
        <w:rPr>
          <w:rFonts w:ascii="Times New Roman" w:hAnsi="Times New Roman" w:cs="Times New Roman"/>
          <w:lang w:val="en-US"/>
        </w:rPr>
      </w:pPr>
    </w:p>
    <w:p w:rsidR="00AD4778" w:rsidRPr="003F16D1" w:rsidRDefault="00283EFF" w:rsidP="00AD4778">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While implementing legislation, policies and programs, States parties must closely consult and actively involve a diverse range of people with disabilities </w:t>
      </w:r>
      <w:r w:rsidR="00500199" w:rsidRPr="003F16D1">
        <w:rPr>
          <w:rFonts w:ascii="Times New Roman" w:hAnsi="Times New Roman" w:cs="Times New Roman"/>
          <w:lang w:val="en-US"/>
        </w:rPr>
        <w:t>through</w:t>
      </w:r>
      <w:r w:rsidRPr="003F16D1">
        <w:rPr>
          <w:rFonts w:ascii="Times New Roman" w:hAnsi="Times New Roman" w:cs="Times New Roman"/>
          <w:lang w:val="en-US"/>
        </w:rPr>
        <w:t xml:space="preserve"> their representative organizations on all aspects concerning independent and community living, in particular</w:t>
      </w:r>
      <w:r w:rsidR="000A345B" w:rsidRPr="003F16D1">
        <w:rPr>
          <w:rFonts w:ascii="Times New Roman" w:hAnsi="Times New Roman" w:cs="Times New Roman"/>
          <w:lang w:val="en-US"/>
        </w:rPr>
        <w:t>,</w:t>
      </w:r>
      <w:r w:rsidRPr="003F16D1">
        <w:rPr>
          <w:rFonts w:ascii="Times New Roman" w:hAnsi="Times New Roman" w:cs="Times New Roman"/>
          <w:lang w:val="en-US"/>
        </w:rPr>
        <w:t xml:space="preserve"> when it comes to developing support services and investing resources in support services within the community. </w:t>
      </w:r>
    </w:p>
    <w:p w:rsidR="00AD4778" w:rsidRPr="003F16D1" w:rsidRDefault="00AD4778" w:rsidP="00AD4778">
      <w:pPr>
        <w:pStyle w:val="ListParagraph"/>
        <w:rPr>
          <w:rFonts w:ascii="Times New Roman" w:hAnsi="Times New Roman" w:cs="Times New Roman"/>
          <w:lang w:val="en-US"/>
        </w:rPr>
      </w:pPr>
    </w:p>
    <w:p w:rsidR="00442A10" w:rsidRPr="003F16D1" w:rsidRDefault="00283EFF" w:rsidP="00AD4778">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States parties </w:t>
      </w:r>
      <w:r w:rsidR="004A79C0" w:rsidRPr="003F16D1">
        <w:rPr>
          <w:rFonts w:ascii="Times New Roman" w:hAnsi="Times New Roman" w:cs="Times New Roman"/>
          <w:lang w:val="en-US"/>
        </w:rPr>
        <w:t>should</w:t>
      </w:r>
      <w:r w:rsidRPr="003F16D1">
        <w:rPr>
          <w:rFonts w:ascii="Times New Roman" w:hAnsi="Times New Roman" w:cs="Times New Roman"/>
          <w:lang w:val="en-US"/>
        </w:rPr>
        <w:t xml:space="preserve"> adopt a strategy for de-institutionalization</w:t>
      </w:r>
      <w:r w:rsidR="000A345B" w:rsidRPr="003F16D1">
        <w:rPr>
          <w:rFonts w:ascii="Times New Roman" w:hAnsi="Times New Roman" w:cs="Times New Roman"/>
          <w:lang w:val="en-US"/>
        </w:rPr>
        <w:t>.</w:t>
      </w:r>
      <w:r w:rsidRPr="003F16D1">
        <w:rPr>
          <w:rFonts w:ascii="Times New Roman" w:hAnsi="Times New Roman" w:cs="Times New Roman"/>
          <w:lang w:val="en-US"/>
        </w:rPr>
        <w:t xml:space="preserve"> De-institutionalization includes the duty to implement structural reforms. It requires a systemic transformation which goes beyond the closure of institutional settings and</w:t>
      </w:r>
      <w:r w:rsidR="00B93F31" w:rsidRPr="003F16D1">
        <w:rPr>
          <w:rFonts w:ascii="Times New Roman" w:hAnsi="Times New Roman" w:cs="Times New Roman"/>
          <w:lang w:val="en-US"/>
        </w:rPr>
        <w:t xml:space="preserve"> requires the establishment of</w:t>
      </w:r>
      <w:r w:rsidRPr="003F16D1">
        <w:rPr>
          <w:rFonts w:ascii="Times New Roman" w:hAnsi="Times New Roman" w:cs="Times New Roman"/>
          <w:lang w:val="en-US"/>
        </w:rPr>
        <w:t xml:space="preserve"> a range of individualized support services as well as inclusive community services. Therefore, a coordinated, cross-government approach which ensures reforms on all levels and sectors of government</w:t>
      </w:r>
      <w:r w:rsidR="000A345B" w:rsidRPr="003F16D1">
        <w:rPr>
          <w:rFonts w:ascii="Times New Roman" w:hAnsi="Times New Roman" w:cs="Times New Roman"/>
          <w:lang w:val="en-US"/>
        </w:rPr>
        <w:t>,</w:t>
      </w:r>
      <w:r w:rsidRPr="003F16D1">
        <w:rPr>
          <w:rFonts w:ascii="Times New Roman" w:hAnsi="Times New Roman" w:cs="Times New Roman"/>
          <w:lang w:val="en-US"/>
        </w:rPr>
        <w:t xml:space="preserve"> including local authorities</w:t>
      </w:r>
      <w:r w:rsidR="000A345B" w:rsidRPr="003F16D1">
        <w:rPr>
          <w:rFonts w:ascii="Times New Roman" w:hAnsi="Times New Roman" w:cs="Times New Roman"/>
          <w:lang w:val="en-US"/>
        </w:rPr>
        <w:t>,</w:t>
      </w:r>
      <w:r w:rsidRPr="003F16D1">
        <w:rPr>
          <w:rFonts w:ascii="Times New Roman" w:hAnsi="Times New Roman" w:cs="Times New Roman"/>
          <w:lang w:val="en-US"/>
        </w:rPr>
        <w:t xml:space="preserve"> is necessary. It is also important that resources are allocated to community support services and that the creation of new institutions or </w:t>
      </w:r>
      <w:r w:rsidRPr="00682219">
        <w:rPr>
          <w:rFonts w:ascii="Times New Roman" w:hAnsi="Times New Roman" w:cs="Times New Roman"/>
          <w:color w:val="FF0000"/>
          <w:lang w:val="en-US"/>
        </w:rPr>
        <w:t>the</w:t>
      </w:r>
      <w:r w:rsidR="00682219" w:rsidRPr="00682219">
        <w:rPr>
          <w:rFonts w:ascii="Times New Roman" w:hAnsi="Times New Roman" w:cs="Times New Roman"/>
          <w:color w:val="FF0000"/>
          <w:lang w:val="en-US"/>
        </w:rPr>
        <w:t xml:space="preserve"> enlargement or</w:t>
      </w:r>
      <w:r w:rsidRPr="003F16D1">
        <w:rPr>
          <w:rFonts w:ascii="Times New Roman" w:hAnsi="Times New Roman" w:cs="Times New Roman"/>
          <w:lang w:val="en-US"/>
        </w:rPr>
        <w:t xml:space="preserve"> structural refurbishment of existing institutions is ended. If support services do not exist, it is relevant for States</w:t>
      </w:r>
      <w:r w:rsidR="000A345B" w:rsidRPr="003F16D1">
        <w:rPr>
          <w:rFonts w:ascii="Times New Roman" w:hAnsi="Times New Roman" w:cs="Times New Roman"/>
          <w:lang w:val="en-US"/>
        </w:rPr>
        <w:t xml:space="preserve"> parties</w:t>
      </w:r>
      <w:r w:rsidRPr="003F16D1">
        <w:rPr>
          <w:rFonts w:ascii="Times New Roman" w:hAnsi="Times New Roman" w:cs="Times New Roman"/>
          <w:lang w:val="en-US"/>
        </w:rPr>
        <w:t xml:space="preserve"> not to reproduce outdated models or create institutions</w:t>
      </w:r>
      <w:r w:rsidR="000A345B" w:rsidRPr="003F16D1">
        <w:rPr>
          <w:rFonts w:ascii="Times New Roman" w:hAnsi="Times New Roman" w:cs="Times New Roman"/>
          <w:lang w:val="en-US"/>
        </w:rPr>
        <w:t>,</w:t>
      </w:r>
      <w:r w:rsidRPr="003F16D1">
        <w:rPr>
          <w:rFonts w:ascii="Times New Roman" w:hAnsi="Times New Roman" w:cs="Times New Roman"/>
          <w:lang w:val="en-US"/>
        </w:rPr>
        <w:t xml:space="preserve"> but rather implement approaches which enable persons with disabilities to independent and community living. </w:t>
      </w:r>
    </w:p>
    <w:p w:rsidR="00442A10" w:rsidRPr="003F16D1" w:rsidRDefault="00442A10" w:rsidP="00442A10">
      <w:pPr>
        <w:pStyle w:val="ListParagraph"/>
        <w:rPr>
          <w:rFonts w:ascii="Times New Roman" w:hAnsi="Times New Roman" w:cs="Times New Roman"/>
          <w:lang w:val="en-US"/>
        </w:rPr>
      </w:pPr>
    </w:p>
    <w:p w:rsidR="00CF180B" w:rsidRPr="003F16D1" w:rsidRDefault="00283EFF" w:rsidP="00AD4778">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Programs and </w:t>
      </w:r>
      <w:r w:rsidR="00F7436D" w:rsidRPr="003F16D1">
        <w:rPr>
          <w:rFonts w:ascii="Times New Roman" w:hAnsi="Times New Roman" w:cs="Times New Roman"/>
          <w:lang w:val="en-US"/>
        </w:rPr>
        <w:t>entitlements</w:t>
      </w:r>
      <w:r w:rsidRPr="003F16D1">
        <w:rPr>
          <w:rFonts w:ascii="Times New Roman" w:hAnsi="Times New Roman" w:cs="Times New Roman"/>
          <w:lang w:val="en-US"/>
        </w:rPr>
        <w:t xml:space="preserve"> to support living in the community must cover disability-related costs. Furthermore, ensuring the availability of </w:t>
      </w:r>
      <w:r w:rsidR="00434C0C" w:rsidRPr="003F16D1">
        <w:rPr>
          <w:rFonts w:ascii="Times New Roman" w:hAnsi="Times New Roman" w:cs="Times New Roman"/>
          <w:lang w:val="en-US"/>
        </w:rPr>
        <w:t xml:space="preserve">sufficient number of </w:t>
      </w:r>
      <w:r w:rsidRPr="003F16D1">
        <w:rPr>
          <w:rFonts w:ascii="Times New Roman" w:hAnsi="Times New Roman" w:cs="Times New Roman"/>
          <w:lang w:val="en-US"/>
        </w:rPr>
        <w:t>accessible and affordable housing is central for de-institutionalization</w:t>
      </w:r>
      <w:r w:rsidR="00434C0C" w:rsidRPr="003F16D1">
        <w:rPr>
          <w:rFonts w:ascii="Times New Roman" w:hAnsi="Times New Roman" w:cs="Times New Roman"/>
          <w:lang w:val="en-US"/>
        </w:rPr>
        <w:t>, including housing for families</w:t>
      </w:r>
      <w:r w:rsidRPr="003F16D1">
        <w:rPr>
          <w:rFonts w:ascii="Times New Roman" w:hAnsi="Times New Roman" w:cs="Times New Roman"/>
          <w:lang w:val="en-US"/>
        </w:rPr>
        <w:t>. It is also important that access to housing is not made conditional upon requirements that reduce autonomy and independence of persons with disabilities</w:t>
      </w:r>
      <w:r w:rsidR="00682219">
        <w:rPr>
          <w:rFonts w:ascii="Times New Roman" w:hAnsi="Times New Roman" w:cs="Times New Roman"/>
          <w:lang w:val="en-US"/>
        </w:rPr>
        <w:t xml:space="preserve"> </w:t>
      </w:r>
      <w:r w:rsidR="00682219" w:rsidRPr="00682219">
        <w:rPr>
          <w:rFonts w:ascii="Times New Roman" w:hAnsi="Times New Roman" w:cs="Times New Roman"/>
          <w:color w:val="FF0000"/>
          <w:lang w:val="en-US"/>
        </w:rPr>
        <w:t>or reduce their geographical mobility</w:t>
      </w:r>
      <w:r w:rsidRPr="003F16D1">
        <w:rPr>
          <w:rFonts w:ascii="Times New Roman" w:hAnsi="Times New Roman" w:cs="Times New Roman"/>
          <w:lang w:val="en-US"/>
        </w:rPr>
        <w:t>. Public buildings and spaces</w:t>
      </w:r>
      <w:r w:rsidR="00434C0C" w:rsidRPr="003F16D1">
        <w:rPr>
          <w:rFonts w:ascii="Times New Roman" w:hAnsi="Times New Roman" w:cs="Times New Roman"/>
          <w:lang w:val="en-US"/>
        </w:rPr>
        <w:t xml:space="preserve"> and all forms of transport</w:t>
      </w:r>
      <w:r w:rsidRPr="003F16D1">
        <w:rPr>
          <w:rFonts w:ascii="Times New Roman" w:hAnsi="Times New Roman" w:cs="Times New Roman"/>
          <w:lang w:val="en-US"/>
        </w:rPr>
        <w:t xml:space="preserve"> </w:t>
      </w:r>
      <w:r w:rsidR="00434C0C" w:rsidRPr="003F16D1">
        <w:rPr>
          <w:rFonts w:ascii="Times New Roman" w:hAnsi="Times New Roman" w:cs="Times New Roman"/>
          <w:lang w:val="en-US"/>
        </w:rPr>
        <w:t>must</w:t>
      </w:r>
      <w:r w:rsidRPr="003F16D1">
        <w:rPr>
          <w:rFonts w:ascii="Times New Roman" w:hAnsi="Times New Roman" w:cs="Times New Roman"/>
          <w:lang w:val="en-US"/>
        </w:rPr>
        <w:t xml:space="preserve"> be designed in</w:t>
      </w:r>
      <w:r w:rsidR="00EA1E05" w:rsidRPr="003F16D1">
        <w:rPr>
          <w:rFonts w:ascii="Times New Roman" w:hAnsi="Times New Roman" w:cs="Times New Roman"/>
          <w:lang w:val="en-US"/>
        </w:rPr>
        <w:t xml:space="preserve"> a</w:t>
      </w:r>
      <w:r w:rsidRPr="003F16D1">
        <w:rPr>
          <w:rFonts w:ascii="Times New Roman" w:hAnsi="Times New Roman" w:cs="Times New Roman"/>
          <w:lang w:val="en-US"/>
        </w:rPr>
        <w:t xml:space="preserve"> way to accommodate the requirements of all persons with disabilities. </w:t>
      </w:r>
    </w:p>
    <w:p w:rsidR="00283EFF" w:rsidRPr="003F16D1" w:rsidRDefault="00283EFF" w:rsidP="00CF180B">
      <w:pPr>
        <w:pStyle w:val="ListParagraph"/>
        <w:spacing w:before="120" w:after="120"/>
        <w:ind w:left="714"/>
        <w:jc w:val="both"/>
        <w:rPr>
          <w:rFonts w:ascii="Times New Roman" w:hAnsi="Times New Roman" w:cs="Times New Roman"/>
          <w:lang w:val="en-US"/>
        </w:rPr>
      </w:pPr>
      <w:r w:rsidRPr="003F16D1">
        <w:rPr>
          <w:rFonts w:ascii="Times New Roman" w:hAnsi="Times New Roman" w:cs="Times New Roman"/>
          <w:lang w:val="en-US"/>
        </w:rPr>
        <w:t xml:space="preserve"> </w:t>
      </w:r>
    </w:p>
    <w:p w:rsidR="008D0F0B" w:rsidRPr="003F16D1" w:rsidRDefault="00283EFF" w:rsidP="008D0F0B">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Disability support services must be available, accessible and acceptable to all persons with disabilities and be sensitive to different living and identity circumstances, such as</w:t>
      </w:r>
      <w:r w:rsidR="00442A10" w:rsidRPr="003F16D1">
        <w:rPr>
          <w:rFonts w:ascii="Times New Roman" w:hAnsi="Times New Roman" w:cs="Times New Roman"/>
          <w:lang w:val="en-US"/>
        </w:rPr>
        <w:t xml:space="preserve"> sex,</w:t>
      </w:r>
      <w:r w:rsidRPr="003F16D1">
        <w:rPr>
          <w:rFonts w:ascii="Times New Roman" w:hAnsi="Times New Roman" w:cs="Times New Roman"/>
          <w:lang w:val="en-US"/>
        </w:rPr>
        <w:t xml:space="preserve"> age, religion and sexual identity. A human rights-based approach to support also means that support systems, including personal assistance, do not exclude persons with disabilities because of their impairment or the kind of support they </w:t>
      </w:r>
      <w:r w:rsidR="00442A10" w:rsidRPr="003F16D1">
        <w:rPr>
          <w:rFonts w:ascii="Times New Roman" w:hAnsi="Times New Roman" w:cs="Times New Roman"/>
          <w:lang w:val="en-US"/>
        </w:rPr>
        <w:t>require</w:t>
      </w:r>
      <w:r w:rsidRPr="003F16D1">
        <w:rPr>
          <w:rFonts w:ascii="Times New Roman" w:hAnsi="Times New Roman" w:cs="Times New Roman"/>
          <w:lang w:val="en-US"/>
        </w:rPr>
        <w:t xml:space="preserve">. This is especially important for persons with intellectual </w:t>
      </w:r>
      <w:r w:rsidR="00442A10" w:rsidRPr="003F16D1">
        <w:rPr>
          <w:rFonts w:ascii="Times New Roman" w:hAnsi="Times New Roman" w:cs="Times New Roman"/>
          <w:lang w:val="en-US"/>
        </w:rPr>
        <w:t>and/</w:t>
      </w:r>
      <w:r w:rsidRPr="003F16D1">
        <w:rPr>
          <w:rFonts w:ascii="Times New Roman" w:hAnsi="Times New Roman" w:cs="Times New Roman"/>
          <w:lang w:val="en-US"/>
        </w:rPr>
        <w:t xml:space="preserve">or psychosocial impairments or complex support </w:t>
      </w:r>
      <w:r w:rsidR="00442A10" w:rsidRPr="003F16D1">
        <w:rPr>
          <w:rFonts w:ascii="Times New Roman" w:hAnsi="Times New Roman" w:cs="Times New Roman"/>
          <w:lang w:val="en-US"/>
        </w:rPr>
        <w:t>requirements</w:t>
      </w:r>
      <w:r w:rsidRPr="003F16D1">
        <w:rPr>
          <w:rFonts w:ascii="Times New Roman" w:hAnsi="Times New Roman" w:cs="Times New Roman"/>
          <w:lang w:val="en-US"/>
        </w:rPr>
        <w:t xml:space="preserve">. Furthermore, support </w:t>
      </w:r>
      <w:r w:rsidR="00F7436D" w:rsidRPr="003F16D1">
        <w:rPr>
          <w:rFonts w:ascii="Times New Roman" w:hAnsi="Times New Roman" w:cs="Times New Roman"/>
          <w:lang w:val="en-US"/>
        </w:rPr>
        <w:t>should</w:t>
      </w:r>
      <w:r w:rsidRPr="003F16D1">
        <w:rPr>
          <w:rFonts w:ascii="Times New Roman" w:hAnsi="Times New Roman" w:cs="Times New Roman"/>
          <w:lang w:val="en-US"/>
        </w:rPr>
        <w:t xml:space="preserve"> not be limited to a number of pre-established activities</w:t>
      </w:r>
      <w:r w:rsidR="00394B0D" w:rsidRPr="003F16D1">
        <w:rPr>
          <w:rFonts w:ascii="Times New Roman" w:hAnsi="Times New Roman" w:cs="Times New Roman"/>
          <w:lang w:val="en-US"/>
        </w:rPr>
        <w:t xml:space="preserve">, </w:t>
      </w:r>
      <w:r w:rsidR="00F7436D" w:rsidRPr="003F16D1">
        <w:rPr>
          <w:rFonts w:ascii="Times New Roman" w:hAnsi="Times New Roman" w:cs="Times New Roman"/>
          <w:lang w:val="en-US"/>
        </w:rPr>
        <w:t xml:space="preserve">should </w:t>
      </w:r>
      <w:r w:rsidRPr="003F16D1">
        <w:rPr>
          <w:rFonts w:ascii="Times New Roman" w:hAnsi="Times New Roman" w:cs="Times New Roman"/>
          <w:lang w:val="en-US"/>
        </w:rPr>
        <w:t xml:space="preserve">not be tied to specific living arrangements, must be provided irrespective of persons with disabilities having a family or the income </w:t>
      </w:r>
      <w:r w:rsidR="00D31A33" w:rsidRPr="00D31A33">
        <w:rPr>
          <w:rFonts w:ascii="Times New Roman" w:hAnsi="Times New Roman" w:cs="Times New Roman"/>
          <w:color w:val="FF0000"/>
          <w:lang w:val="en-US"/>
        </w:rPr>
        <w:t xml:space="preserve">or property </w:t>
      </w:r>
      <w:r w:rsidRPr="003F16D1">
        <w:rPr>
          <w:rFonts w:ascii="Times New Roman" w:hAnsi="Times New Roman" w:cs="Times New Roman"/>
          <w:lang w:val="en-US"/>
        </w:rPr>
        <w:t>of the</w:t>
      </w:r>
      <w:r w:rsidR="00434C0C" w:rsidRPr="003F16D1">
        <w:rPr>
          <w:rFonts w:ascii="Times New Roman" w:hAnsi="Times New Roman" w:cs="Times New Roman"/>
          <w:lang w:val="en-US"/>
        </w:rPr>
        <w:t xml:space="preserve"> individual or</w:t>
      </w:r>
      <w:r w:rsidRPr="003F16D1">
        <w:rPr>
          <w:rFonts w:ascii="Times New Roman" w:hAnsi="Times New Roman" w:cs="Times New Roman"/>
          <w:lang w:val="en-US"/>
        </w:rPr>
        <w:t xml:space="preserve"> family and </w:t>
      </w:r>
      <w:r w:rsidR="00F7436D" w:rsidRPr="003F16D1">
        <w:rPr>
          <w:rFonts w:ascii="Times New Roman" w:hAnsi="Times New Roman" w:cs="Times New Roman"/>
          <w:lang w:val="en-US"/>
        </w:rPr>
        <w:t xml:space="preserve">should </w:t>
      </w:r>
      <w:r w:rsidRPr="003F16D1">
        <w:rPr>
          <w:rFonts w:ascii="Times New Roman" w:hAnsi="Times New Roman" w:cs="Times New Roman"/>
          <w:lang w:val="en-US"/>
        </w:rPr>
        <w:t>be delivered on the ground</w:t>
      </w:r>
      <w:r w:rsidR="00B74ED2" w:rsidRPr="003F16D1">
        <w:rPr>
          <w:rFonts w:ascii="Times New Roman" w:hAnsi="Times New Roman" w:cs="Times New Roman"/>
          <w:lang w:val="en-US"/>
        </w:rPr>
        <w:t>s</w:t>
      </w:r>
      <w:r w:rsidRPr="003F16D1">
        <w:rPr>
          <w:rFonts w:ascii="Times New Roman" w:hAnsi="Times New Roman" w:cs="Times New Roman"/>
          <w:lang w:val="en-US"/>
        </w:rPr>
        <w:t xml:space="preserve"> of free and informed consent. </w:t>
      </w:r>
      <w:r w:rsidR="00434C0C" w:rsidRPr="003F16D1">
        <w:rPr>
          <w:rFonts w:ascii="Times New Roman" w:hAnsi="Times New Roman" w:cs="Times New Roman"/>
          <w:lang w:val="en-US"/>
        </w:rPr>
        <w:t xml:space="preserve">Independent living is about the right to live independently and not about maintaining the regime of </w:t>
      </w:r>
      <w:r w:rsidR="00B74ED2" w:rsidRPr="003F16D1">
        <w:rPr>
          <w:rFonts w:ascii="Times New Roman" w:hAnsi="Times New Roman" w:cs="Times New Roman"/>
          <w:lang w:val="en-US"/>
        </w:rPr>
        <w:t>‘</w:t>
      </w:r>
      <w:r w:rsidR="00185792" w:rsidRPr="003F16D1">
        <w:rPr>
          <w:rFonts w:ascii="Times New Roman" w:hAnsi="Times New Roman" w:cs="Times New Roman"/>
          <w:lang w:val="en-US"/>
        </w:rPr>
        <w:t>C</w:t>
      </w:r>
      <w:r w:rsidR="00434C0C" w:rsidRPr="003F16D1">
        <w:rPr>
          <w:rFonts w:ascii="Times New Roman" w:hAnsi="Times New Roman" w:cs="Times New Roman"/>
          <w:lang w:val="en-US"/>
        </w:rPr>
        <w:t>are</w:t>
      </w:r>
      <w:r w:rsidR="00B74ED2" w:rsidRPr="003F16D1">
        <w:rPr>
          <w:rFonts w:ascii="Times New Roman" w:hAnsi="Times New Roman" w:cs="Times New Roman"/>
          <w:lang w:val="en-US"/>
        </w:rPr>
        <w:t>’</w:t>
      </w:r>
      <w:r w:rsidR="00434C0C" w:rsidRPr="003F16D1">
        <w:rPr>
          <w:rFonts w:ascii="Times New Roman" w:hAnsi="Times New Roman" w:cs="Times New Roman"/>
          <w:lang w:val="en-US"/>
        </w:rPr>
        <w:t>.</w:t>
      </w:r>
    </w:p>
    <w:p w:rsidR="008D0F0B" w:rsidRPr="003F16D1" w:rsidRDefault="008D0F0B" w:rsidP="008D0F0B">
      <w:pPr>
        <w:pStyle w:val="ListParagraph"/>
        <w:rPr>
          <w:rFonts w:ascii="Times New Roman" w:hAnsi="Times New Roman" w:cs="Times New Roman"/>
          <w:lang w:val="en-US"/>
        </w:rPr>
      </w:pPr>
    </w:p>
    <w:p w:rsidR="00C04D7B" w:rsidRPr="003F16D1" w:rsidRDefault="00283EFF" w:rsidP="008D0F0B">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States</w:t>
      </w:r>
      <w:r w:rsidR="00394B0D" w:rsidRPr="003F16D1">
        <w:rPr>
          <w:rFonts w:ascii="Times New Roman" w:hAnsi="Times New Roman" w:cs="Times New Roman"/>
          <w:lang w:val="en-US"/>
        </w:rPr>
        <w:t xml:space="preserve"> parties</w:t>
      </w:r>
      <w:r w:rsidRPr="003F16D1">
        <w:rPr>
          <w:rFonts w:ascii="Times New Roman" w:hAnsi="Times New Roman" w:cs="Times New Roman"/>
          <w:lang w:val="en-US"/>
        </w:rPr>
        <w:t xml:space="preserve"> </w:t>
      </w:r>
      <w:r w:rsidR="0023482E" w:rsidRPr="003F16D1">
        <w:rPr>
          <w:rFonts w:ascii="Times New Roman" w:hAnsi="Times New Roman" w:cs="Times New Roman"/>
          <w:lang w:val="en-US"/>
        </w:rPr>
        <w:t>should</w:t>
      </w:r>
      <w:r w:rsidRPr="003F16D1">
        <w:rPr>
          <w:rFonts w:ascii="Times New Roman" w:hAnsi="Times New Roman" w:cs="Times New Roman"/>
          <w:lang w:val="en-US"/>
        </w:rPr>
        <w:t xml:space="preserve"> ensure that </w:t>
      </w:r>
      <w:r w:rsidR="0023482E" w:rsidRPr="003F16D1">
        <w:rPr>
          <w:rFonts w:ascii="Times New Roman" w:hAnsi="Times New Roman" w:cs="Times New Roman"/>
          <w:lang w:val="en-US"/>
        </w:rPr>
        <w:t xml:space="preserve">eligibility criteria for </w:t>
      </w:r>
      <w:r w:rsidRPr="003F16D1">
        <w:rPr>
          <w:rFonts w:ascii="Times New Roman" w:hAnsi="Times New Roman" w:cs="Times New Roman"/>
          <w:lang w:val="en-US"/>
        </w:rPr>
        <w:t xml:space="preserve">access to support </w:t>
      </w:r>
      <w:r w:rsidR="0023482E" w:rsidRPr="003F16D1">
        <w:rPr>
          <w:rFonts w:ascii="Times New Roman" w:hAnsi="Times New Roman" w:cs="Times New Roman"/>
          <w:lang w:val="en-US"/>
        </w:rPr>
        <w:t>incorporate</w:t>
      </w:r>
      <w:r w:rsidR="00394B0D" w:rsidRPr="003F16D1">
        <w:rPr>
          <w:rFonts w:ascii="Times New Roman" w:hAnsi="Times New Roman" w:cs="Times New Roman"/>
          <w:lang w:val="en-US"/>
        </w:rPr>
        <w:t>s</w:t>
      </w:r>
      <w:r w:rsidR="0023482E" w:rsidRPr="003F16D1">
        <w:rPr>
          <w:rFonts w:ascii="Times New Roman" w:hAnsi="Times New Roman" w:cs="Times New Roman"/>
          <w:lang w:val="en-US"/>
        </w:rPr>
        <w:t xml:space="preserve"> the following elements: </w:t>
      </w:r>
      <w:r w:rsidRPr="003F16D1">
        <w:rPr>
          <w:rFonts w:ascii="Times New Roman" w:hAnsi="Times New Roman" w:cs="Times New Roman"/>
          <w:lang w:val="en-US"/>
        </w:rPr>
        <w:t>The assessment should be based on a human righ</w:t>
      </w:r>
      <w:r w:rsidR="0023482E" w:rsidRPr="003F16D1">
        <w:rPr>
          <w:rFonts w:ascii="Times New Roman" w:hAnsi="Times New Roman" w:cs="Times New Roman"/>
          <w:lang w:val="en-US"/>
        </w:rPr>
        <w:t>ts approach to disability</w:t>
      </w:r>
      <w:r w:rsidR="00394B0D" w:rsidRPr="003F16D1">
        <w:rPr>
          <w:rFonts w:ascii="Times New Roman" w:hAnsi="Times New Roman" w:cs="Times New Roman"/>
          <w:lang w:val="en-US"/>
        </w:rPr>
        <w:t>,</w:t>
      </w:r>
      <w:r w:rsidR="0023482E" w:rsidRPr="003F16D1">
        <w:rPr>
          <w:rFonts w:ascii="Times New Roman" w:hAnsi="Times New Roman" w:cs="Times New Roman"/>
          <w:lang w:val="en-US"/>
        </w:rPr>
        <w:t xml:space="preserve"> </w:t>
      </w:r>
      <w:r w:rsidRPr="003F16D1">
        <w:rPr>
          <w:rFonts w:ascii="Times New Roman" w:hAnsi="Times New Roman" w:cs="Times New Roman"/>
          <w:lang w:val="en-US"/>
        </w:rPr>
        <w:t xml:space="preserve">focus on the </w:t>
      </w:r>
      <w:r w:rsidR="00676273" w:rsidRPr="003F16D1">
        <w:rPr>
          <w:rFonts w:ascii="Times New Roman" w:hAnsi="Times New Roman" w:cs="Times New Roman"/>
          <w:lang w:val="en-US"/>
        </w:rPr>
        <w:t>requirements</w:t>
      </w:r>
      <w:r w:rsidRPr="003F16D1">
        <w:rPr>
          <w:rFonts w:ascii="Times New Roman" w:hAnsi="Times New Roman" w:cs="Times New Roman"/>
          <w:lang w:val="en-US"/>
        </w:rPr>
        <w:t xml:space="preserve"> of the person </w:t>
      </w:r>
      <w:r w:rsidR="006066A3" w:rsidRPr="003F16D1">
        <w:rPr>
          <w:rFonts w:ascii="Times New Roman" w:hAnsi="Times New Roman" w:cs="Times New Roman"/>
          <w:lang w:val="en-US"/>
        </w:rPr>
        <w:t xml:space="preserve">because of barriers within society </w:t>
      </w:r>
      <w:r w:rsidR="0023482E" w:rsidRPr="003F16D1">
        <w:rPr>
          <w:rFonts w:ascii="Times New Roman" w:hAnsi="Times New Roman" w:cs="Times New Roman"/>
          <w:lang w:val="en-US"/>
        </w:rPr>
        <w:t>rather than the impairment</w:t>
      </w:r>
      <w:r w:rsidR="003F529D" w:rsidRPr="00CB74EA">
        <w:rPr>
          <w:rFonts w:ascii="Times New Roman" w:hAnsi="Times New Roman" w:cs="Times New Roman"/>
          <w:color w:val="FF0000"/>
          <w:lang w:val="en-US"/>
        </w:rPr>
        <w:t>;</w:t>
      </w:r>
      <w:r w:rsidRPr="003F16D1">
        <w:rPr>
          <w:rFonts w:ascii="Times New Roman" w:hAnsi="Times New Roman" w:cs="Times New Roman"/>
          <w:lang w:val="en-US"/>
        </w:rPr>
        <w:t xml:space="preserve"> take into account a person’s will</w:t>
      </w:r>
      <w:r w:rsidR="00D31A33">
        <w:rPr>
          <w:rFonts w:ascii="Times New Roman" w:hAnsi="Times New Roman" w:cs="Times New Roman"/>
          <w:lang w:val="en-US"/>
        </w:rPr>
        <w:t xml:space="preserve">, </w:t>
      </w:r>
      <w:r w:rsidR="003F529D" w:rsidRPr="003F529D">
        <w:rPr>
          <w:rFonts w:ascii="Times New Roman" w:hAnsi="Times New Roman" w:cs="Times New Roman"/>
          <w:color w:val="FF0000"/>
          <w:lang w:val="en-US"/>
        </w:rPr>
        <w:t xml:space="preserve">interests, </w:t>
      </w:r>
      <w:r w:rsidRPr="003F529D">
        <w:rPr>
          <w:rFonts w:ascii="Times New Roman" w:hAnsi="Times New Roman" w:cs="Times New Roman"/>
          <w:color w:val="FF0000"/>
          <w:lang w:val="en-US"/>
        </w:rPr>
        <w:t xml:space="preserve">and </w:t>
      </w:r>
      <w:r w:rsidR="003F529D" w:rsidRPr="003F529D">
        <w:rPr>
          <w:rFonts w:ascii="Times New Roman" w:hAnsi="Times New Roman" w:cs="Times New Roman"/>
          <w:color w:val="FF0000"/>
          <w:lang w:val="en-US"/>
        </w:rPr>
        <w:t>individual</w:t>
      </w:r>
      <w:r w:rsidR="003F529D">
        <w:rPr>
          <w:rFonts w:ascii="Times New Roman" w:hAnsi="Times New Roman" w:cs="Times New Roman"/>
          <w:lang w:val="en-US"/>
        </w:rPr>
        <w:t xml:space="preserve"> </w:t>
      </w:r>
      <w:r w:rsidRPr="003F16D1">
        <w:rPr>
          <w:rFonts w:ascii="Times New Roman" w:hAnsi="Times New Roman" w:cs="Times New Roman"/>
          <w:lang w:val="en-US"/>
        </w:rPr>
        <w:t>preferences</w:t>
      </w:r>
      <w:r w:rsidR="00CB74EA">
        <w:rPr>
          <w:rFonts w:ascii="Times New Roman" w:hAnsi="Times New Roman" w:cs="Times New Roman"/>
          <w:lang w:val="en-US"/>
        </w:rPr>
        <w:t xml:space="preserve">; </w:t>
      </w:r>
      <w:r w:rsidR="00CB74EA" w:rsidRPr="00214AE6">
        <w:rPr>
          <w:rFonts w:ascii="Times New Roman" w:hAnsi="Times New Roman" w:cs="Times New Roman"/>
          <w:color w:val="FF0000"/>
          <w:lang w:val="en-US"/>
        </w:rPr>
        <w:t xml:space="preserve">respect the individual’s dignity and uniqueness </w:t>
      </w:r>
      <w:r w:rsidR="00214AE6" w:rsidRPr="00214AE6">
        <w:rPr>
          <w:rFonts w:ascii="Times New Roman" w:hAnsi="Times New Roman" w:cs="Times New Roman"/>
          <w:color w:val="FF0000"/>
          <w:lang w:val="en-US"/>
        </w:rPr>
        <w:t>as a human being</w:t>
      </w:r>
      <w:r w:rsidR="00CB74EA" w:rsidRPr="00214AE6">
        <w:rPr>
          <w:rFonts w:ascii="Times New Roman" w:hAnsi="Times New Roman" w:cs="Times New Roman"/>
          <w:color w:val="FF0000"/>
          <w:lang w:val="en-US"/>
        </w:rPr>
        <w:t xml:space="preserve"> rather than </w:t>
      </w:r>
      <w:r w:rsidR="00214AE6">
        <w:rPr>
          <w:rFonts w:ascii="Times New Roman" w:hAnsi="Times New Roman" w:cs="Times New Roman"/>
          <w:color w:val="FF0000"/>
          <w:lang w:val="en-US"/>
        </w:rPr>
        <w:t>associating him or her with</w:t>
      </w:r>
      <w:r w:rsidR="00214AE6" w:rsidRPr="00214AE6">
        <w:rPr>
          <w:rFonts w:ascii="Times New Roman" w:hAnsi="Times New Roman" w:cs="Times New Roman"/>
          <w:color w:val="FF0000"/>
          <w:lang w:val="en-US"/>
        </w:rPr>
        <w:t xml:space="preserve"> a group;</w:t>
      </w:r>
      <w:r w:rsidR="00214AE6">
        <w:rPr>
          <w:rFonts w:ascii="Times New Roman" w:hAnsi="Times New Roman" w:cs="Times New Roman"/>
          <w:lang w:val="en-US"/>
        </w:rPr>
        <w:t xml:space="preserve"> </w:t>
      </w:r>
      <w:r w:rsidRPr="003F16D1">
        <w:rPr>
          <w:rFonts w:ascii="Times New Roman" w:hAnsi="Times New Roman" w:cs="Times New Roman"/>
          <w:lang w:val="en-US"/>
        </w:rPr>
        <w:t xml:space="preserve">and ensure the participation of persons with disabilities in the decision-making process. It is important to adopt an open concept of disability compliant with article 1 of the Convention. </w:t>
      </w:r>
    </w:p>
    <w:p w:rsidR="00C04D7B" w:rsidRPr="003F16D1" w:rsidRDefault="00C04D7B" w:rsidP="00C04D7B">
      <w:pPr>
        <w:pStyle w:val="ListParagraph"/>
        <w:rPr>
          <w:rFonts w:ascii="Times New Roman" w:hAnsi="Times New Roman" w:cs="Times New Roman"/>
          <w:b/>
          <w:lang w:val="en-US"/>
        </w:rPr>
      </w:pPr>
    </w:p>
    <w:p w:rsidR="000A5312" w:rsidRPr="003F16D1" w:rsidRDefault="000A5312" w:rsidP="000A5312">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Cash transfers such as disability allowances represent one of the forms in which States parties provide support for persons with disabilities in line with article</w:t>
      </w:r>
      <w:r w:rsidR="00394B0D" w:rsidRPr="003F16D1">
        <w:rPr>
          <w:rFonts w:ascii="Times New Roman" w:hAnsi="Times New Roman" w:cs="Times New Roman"/>
          <w:lang w:val="en-US"/>
        </w:rPr>
        <w:t>s</w:t>
      </w:r>
      <w:r w:rsidRPr="003F16D1">
        <w:rPr>
          <w:rFonts w:ascii="Times New Roman" w:hAnsi="Times New Roman" w:cs="Times New Roman"/>
          <w:lang w:val="en-US"/>
        </w:rPr>
        <w:t xml:space="preserve"> 19 and 28 of the Convention. Such cash transfers often recognis</w:t>
      </w:r>
      <w:r w:rsidR="00394B0D" w:rsidRPr="003F16D1">
        <w:rPr>
          <w:rFonts w:ascii="Times New Roman" w:hAnsi="Times New Roman" w:cs="Times New Roman"/>
          <w:lang w:val="en-US"/>
        </w:rPr>
        <w:t>e</w:t>
      </w:r>
      <w:r w:rsidRPr="003F16D1">
        <w:rPr>
          <w:rFonts w:ascii="Times New Roman" w:hAnsi="Times New Roman" w:cs="Times New Roman"/>
          <w:lang w:val="en-US"/>
        </w:rPr>
        <w:t xml:space="preserve"> disability-related expenses and </w:t>
      </w:r>
      <w:r w:rsidR="00394B0D" w:rsidRPr="003F16D1">
        <w:rPr>
          <w:rFonts w:ascii="Times New Roman" w:hAnsi="Times New Roman" w:cs="Times New Roman"/>
          <w:lang w:val="en-US"/>
        </w:rPr>
        <w:t xml:space="preserve">facilitate the inclusion of </w:t>
      </w:r>
      <w:r w:rsidRPr="003F16D1">
        <w:rPr>
          <w:rFonts w:ascii="Times New Roman" w:hAnsi="Times New Roman" w:cs="Times New Roman"/>
          <w:lang w:val="en-US"/>
        </w:rPr>
        <w:t xml:space="preserve">persons with disabilities in the community. Cash transfers </w:t>
      </w:r>
      <w:r w:rsidR="00394B0D" w:rsidRPr="003F16D1">
        <w:rPr>
          <w:rFonts w:ascii="Times New Roman" w:hAnsi="Times New Roman" w:cs="Times New Roman"/>
          <w:lang w:val="en-US"/>
        </w:rPr>
        <w:t xml:space="preserve">also </w:t>
      </w:r>
      <w:r w:rsidRPr="003F16D1">
        <w:rPr>
          <w:rFonts w:ascii="Times New Roman" w:hAnsi="Times New Roman" w:cs="Times New Roman"/>
          <w:lang w:val="en-US"/>
        </w:rPr>
        <w:t>tackle situations of poverty and extreme poverty that persons with disabilities may face. States parties should</w:t>
      </w:r>
      <w:r w:rsidR="00394B0D" w:rsidRPr="003F16D1">
        <w:rPr>
          <w:rFonts w:ascii="Times New Roman" w:hAnsi="Times New Roman" w:cs="Times New Roman"/>
          <w:lang w:val="en-US"/>
        </w:rPr>
        <w:t xml:space="preserve"> not add to the hardship faced by persons </w:t>
      </w:r>
      <w:r w:rsidRPr="003F16D1">
        <w:rPr>
          <w:rFonts w:ascii="Times New Roman" w:hAnsi="Times New Roman" w:cs="Times New Roman"/>
          <w:lang w:val="en-US"/>
        </w:rPr>
        <w:t>with disabilities</w:t>
      </w:r>
      <w:r w:rsidR="00394B0D" w:rsidRPr="003F16D1">
        <w:rPr>
          <w:rFonts w:ascii="Times New Roman" w:hAnsi="Times New Roman" w:cs="Times New Roman"/>
          <w:lang w:val="en-US"/>
        </w:rPr>
        <w:t xml:space="preserve">, by reducing their income in this period of austerity measures. </w:t>
      </w:r>
      <w:r w:rsidR="00561EBA">
        <w:rPr>
          <w:rFonts w:ascii="Times New Roman" w:hAnsi="Times New Roman" w:cs="Times New Roman"/>
          <w:lang w:val="en-US"/>
        </w:rPr>
        <w:t xml:space="preserve"> </w:t>
      </w:r>
    </w:p>
    <w:p w:rsidR="000A5312" w:rsidRPr="003F16D1" w:rsidRDefault="000A5312" w:rsidP="000A5312">
      <w:pPr>
        <w:pStyle w:val="ListParagraph"/>
        <w:rPr>
          <w:rFonts w:ascii="Times New Roman" w:hAnsi="Times New Roman" w:cs="Times New Roman"/>
          <w:b/>
          <w:lang w:val="en-US"/>
        </w:rPr>
      </w:pPr>
    </w:p>
    <w:p w:rsidR="000A5312" w:rsidRPr="003F16D1" w:rsidRDefault="00C04D7B" w:rsidP="000A5312">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Cash transfers could be subjected to a conditionality regime and respond to</w:t>
      </w:r>
      <w:r w:rsidR="004A31EA" w:rsidRPr="003F16D1">
        <w:rPr>
          <w:rFonts w:ascii="Times New Roman" w:hAnsi="Times New Roman" w:cs="Times New Roman"/>
          <w:lang w:val="en-US"/>
        </w:rPr>
        <w:t xml:space="preserve"> </w:t>
      </w:r>
      <w:r w:rsidR="00394B0D" w:rsidRPr="003F16D1">
        <w:rPr>
          <w:rFonts w:ascii="Times New Roman" w:hAnsi="Times New Roman" w:cs="Times New Roman"/>
          <w:lang w:val="en-US"/>
        </w:rPr>
        <w:t xml:space="preserve">a </w:t>
      </w:r>
      <w:r w:rsidRPr="003F16D1">
        <w:rPr>
          <w:rFonts w:ascii="Times New Roman" w:hAnsi="Times New Roman" w:cs="Times New Roman"/>
          <w:lang w:val="en-US"/>
        </w:rPr>
        <w:t>distribution criteria in the State</w:t>
      </w:r>
      <w:r w:rsidR="00394B0D" w:rsidRPr="003F16D1">
        <w:rPr>
          <w:rFonts w:ascii="Times New Roman" w:hAnsi="Times New Roman" w:cs="Times New Roman"/>
          <w:lang w:val="en-US"/>
        </w:rPr>
        <w:t>s</w:t>
      </w:r>
      <w:r w:rsidRPr="003F16D1">
        <w:rPr>
          <w:rFonts w:ascii="Times New Roman" w:hAnsi="Times New Roman" w:cs="Times New Roman"/>
          <w:lang w:val="en-US"/>
        </w:rPr>
        <w:t xml:space="preserve"> party. However, State</w:t>
      </w:r>
      <w:r w:rsidR="00394B0D" w:rsidRPr="003F16D1">
        <w:rPr>
          <w:rFonts w:ascii="Times New Roman" w:hAnsi="Times New Roman" w:cs="Times New Roman"/>
          <w:lang w:val="en-US"/>
        </w:rPr>
        <w:t>s</w:t>
      </w:r>
      <w:r w:rsidRPr="003F16D1">
        <w:rPr>
          <w:rFonts w:ascii="Times New Roman" w:hAnsi="Times New Roman" w:cs="Times New Roman"/>
          <w:lang w:val="en-US"/>
        </w:rPr>
        <w:t xml:space="preserve"> parties should ensure that </w:t>
      </w:r>
      <w:r w:rsidR="00394B0D" w:rsidRPr="003F16D1">
        <w:rPr>
          <w:rFonts w:ascii="Times New Roman" w:hAnsi="Times New Roman" w:cs="Times New Roman"/>
          <w:lang w:val="en-US"/>
        </w:rPr>
        <w:t xml:space="preserve">the </w:t>
      </w:r>
      <w:r w:rsidRPr="003F16D1">
        <w:rPr>
          <w:rFonts w:ascii="Times New Roman" w:hAnsi="Times New Roman" w:cs="Times New Roman"/>
          <w:lang w:val="en-US"/>
        </w:rPr>
        <w:t xml:space="preserve">conditionality regime is in line with the human rights model </w:t>
      </w:r>
      <w:r w:rsidR="00394B0D" w:rsidRPr="003F16D1">
        <w:rPr>
          <w:rFonts w:ascii="Times New Roman" w:hAnsi="Times New Roman" w:cs="Times New Roman"/>
          <w:lang w:val="en-US"/>
        </w:rPr>
        <w:t>of</w:t>
      </w:r>
      <w:r w:rsidRPr="003F16D1">
        <w:rPr>
          <w:rFonts w:ascii="Times New Roman" w:hAnsi="Times New Roman" w:cs="Times New Roman"/>
          <w:lang w:val="en-US"/>
        </w:rPr>
        <w:t xml:space="preserve"> disability. </w:t>
      </w:r>
      <w:r w:rsidR="00394B0D" w:rsidRPr="003F16D1">
        <w:rPr>
          <w:rFonts w:ascii="Times New Roman" w:hAnsi="Times New Roman" w:cs="Times New Roman"/>
          <w:lang w:val="en-US"/>
        </w:rPr>
        <w:t>When assessing persons with disabilities the focus should be on the disabilities that hinder their participation in society rather than on impairments</w:t>
      </w:r>
      <w:r w:rsidRPr="003F16D1">
        <w:rPr>
          <w:rFonts w:ascii="Times New Roman" w:hAnsi="Times New Roman" w:cs="Times New Roman"/>
          <w:lang w:val="en-US"/>
        </w:rPr>
        <w:t>. Prioritization on the basis of impairment could adversely affect persons with disabilities who are not being supported to the extent that they require. States parties should ensure that the conditionality regime does not curtail the provision of support and the ability of persons with disabilities to take part in community life.</w:t>
      </w:r>
    </w:p>
    <w:p w:rsidR="000A5312" w:rsidRPr="003F16D1" w:rsidRDefault="000A5312" w:rsidP="000A5312">
      <w:pPr>
        <w:pStyle w:val="ListParagraph"/>
        <w:rPr>
          <w:rFonts w:ascii="Times New Roman" w:hAnsi="Times New Roman" w:cs="Times New Roman"/>
          <w:b/>
          <w:lang w:val="en-US"/>
        </w:rPr>
      </w:pPr>
    </w:p>
    <w:p w:rsidR="000A5312" w:rsidRPr="003F16D1" w:rsidRDefault="000A5312" w:rsidP="000A5312">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Personalization</w:t>
      </w:r>
      <w:r w:rsidR="00394B0D" w:rsidRPr="003F16D1">
        <w:rPr>
          <w:rFonts w:ascii="Times New Roman" w:hAnsi="Times New Roman" w:cs="Times New Roman"/>
          <w:lang w:val="en-US"/>
        </w:rPr>
        <w:t xml:space="preserve">: </w:t>
      </w:r>
      <w:r w:rsidRPr="003F16D1">
        <w:rPr>
          <w:rFonts w:ascii="Times New Roman" w:hAnsi="Times New Roman" w:cs="Times New Roman"/>
          <w:lang w:val="en-US"/>
        </w:rPr>
        <w:t xml:space="preserve">Support for persons with disabilities should be tailored to the specific situations and actual barriers that persons with disabilities face </w:t>
      </w:r>
      <w:r w:rsidR="00394B0D" w:rsidRPr="003F16D1">
        <w:rPr>
          <w:rFonts w:ascii="Times New Roman" w:hAnsi="Times New Roman" w:cs="Times New Roman"/>
          <w:lang w:val="en-US"/>
        </w:rPr>
        <w:t xml:space="preserve">in </w:t>
      </w:r>
      <w:r w:rsidRPr="003F16D1">
        <w:rPr>
          <w:rFonts w:ascii="Times New Roman" w:hAnsi="Times New Roman" w:cs="Times New Roman"/>
          <w:lang w:val="en-US"/>
        </w:rPr>
        <w:t>being included in the community. State</w:t>
      </w:r>
      <w:r w:rsidR="00394B0D" w:rsidRPr="003F16D1">
        <w:rPr>
          <w:rFonts w:ascii="Times New Roman" w:hAnsi="Times New Roman" w:cs="Times New Roman"/>
          <w:lang w:val="en-US"/>
        </w:rPr>
        <w:t>s</w:t>
      </w:r>
      <w:r w:rsidRPr="003F16D1">
        <w:rPr>
          <w:rFonts w:ascii="Times New Roman" w:hAnsi="Times New Roman" w:cs="Times New Roman"/>
          <w:lang w:val="en-US"/>
        </w:rPr>
        <w:t xml:space="preserve"> parties have allocated resources to recognise personal budgets for persons with disabilities with the purpose of facilitating access to community support, including personal assistance. However, the Committee has observed that in some cases, personal budgets do not necessarily allow persons with disabilities to have access and control over community support services. States parties should ensure that persons with disabilities are entitled to access personal budgets </w:t>
      </w:r>
      <w:r w:rsidR="003B58C7" w:rsidRPr="003F16D1">
        <w:rPr>
          <w:rFonts w:ascii="Times New Roman" w:hAnsi="Times New Roman" w:cs="Times New Roman"/>
          <w:lang w:val="en-US"/>
        </w:rPr>
        <w:t>irrespective of their age, sex,</w:t>
      </w:r>
      <w:r w:rsidRPr="003F16D1">
        <w:rPr>
          <w:rFonts w:ascii="Times New Roman" w:hAnsi="Times New Roman" w:cs="Times New Roman"/>
          <w:lang w:val="en-US"/>
        </w:rPr>
        <w:t xml:space="preserve"> ethnic background, language, social condition, migrant, asylum</w:t>
      </w:r>
      <w:r w:rsidR="00394B0D" w:rsidRPr="003F16D1">
        <w:rPr>
          <w:rFonts w:ascii="Times New Roman" w:hAnsi="Times New Roman" w:cs="Times New Roman"/>
          <w:lang w:val="en-US"/>
        </w:rPr>
        <w:t>-</w:t>
      </w:r>
      <w:r w:rsidRPr="003F16D1">
        <w:rPr>
          <w:rFonts w:ascii="Times New Roman" w:hAnsi="Times New Roman" w:cs="Times New Roman"/>
          <w:lang w:val="en-US"/>
        </w:rPr>
        <w:t xml:space="preserve">seeking or refugee status. States </w:t>
      </w:r>
      <w:r w:rsidR="00394B0D" w:rsidRPr="003F16D1">
        <w:rPr>
          <w:rFonts w:ascii="Times New Roman" w:hAnsi="Times New Roman" w:cs="Times New Roman"/>
          <w:lang w:val="en-US"/>
        </w:rPr>
        <w:t xml:space="preserve">parties </w:t>
      </w:r>
      <w:r w:rsidRPr="003F16D1">
        <w:rPr>
          <w:rFonts w:ascii="Times New Roman" w:hAnsi="Times New Roman" w:cs="Times New Roman"/>
          <w:lang w:val="en-US"/>
        </w:rPr>
        <w:t>should ensure that personalization of support, including personal budgets</w:t>
      </w:r>
      <w:r w:rsidR="00394B0D" w:rsidRPr="003F16D1">
        <w:rPr>
          <w:rFonts w:ascii="Times New Roman" w:hAnsi="Times New Roman" w:cs="Times New Roman"/>
          <w:lang w:val="en-US"/>
        </w:rPr>
        <w:t>,</w:t>
      </w:r>
      <w:r w:rsidRPr="003F16D1">
        <w:rPr>
          <w:rFonts w:ascii="Times New Roman" w:hAnsi="Times New Roman" w:cs="Times New Roman"/>
          <w:lang w:val="en-US"/>
        </w:rPr>
        <w:t xml:space="preserve"> take into account and address the challenges that persons with disabilities face</w:t>
      </w:r>
      <w:r w:rsidR="00215BFB" w:rsidRPr="003F16D1">
        <w:rPr>
          <w:rFonts w:ascii="Times New Roman" w:hAnsi="Times New Roman" w:cs="Times New Roman"/>
          <w:lang w:val="en-US"/>
        </w:rPr>
        <w:t xml:space="preserve"> when</w:t>
      </w:r>
      <w:r w:rsidRPr="003F16D1">
        <w:rPr>
          <w:rFonts w:ascii="Times New Roman" w:hAnsi="Times New Roman" w:cs="Times New Roman"/>
          <w:lang w:val="en-US"/>
        </w:rPr>
        <w:t xml:space="preserve"> living in rural and or urban areas.</w:t>
      </w:r>
      <w:r w:rsidRPr="003F16D1">
        <w:rPr>
          <w:lang w:val="en-US"/>
        </w:rPr>
        <w:t xml:space="preserve"> </w:t>
      </w:r>
    </w:p>
    <w:p w:rsidR="000A5312" w:rsidRPr="003F16D1" w:rsidRDefault="000A5312" w:rsidP="000A5312">
      <w:pPr>
        <w:pStyle w:val="ListParagraph"/>
        <w:rPr>
          <w:rFonts w:ascii="Times New Roman" w:hAnsi="Times New Roman" w:cs="Times New Roman"/>
          <w:lang w:val="en-US"/>
        </w:rPr>
      </w:pPr>
    </w:p>
    <w:p w:rsidR="0004421D" w:rsidRPr="003F16D1" w:rsidRDefault="00283EFF" w:rsidP="000A5312">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States parties </w:t>
      </w:r>
      <w:r w:rsidR="00B76C4F" w:rsidRPr="003F16D1">
        <w:rPr>
          <w:rFonts w:ascii="Times New Roman" w:hAnsi="Times New Roman" w:cs="Times New Roman"/>
          <w:lang w:val="en-US"/>
        </w:rPr>
        <w:t xml:space="preserve">should </w:t>
      </w:r>
      <w:r w:rsidRPr="003F16D1">
        <w:rPr>
          <w:rFonts w:ascii="Times New Roman" w:hAnsi="Times New Roman" w:cs="Times New Roman"/>
          <w:lang w:val="en-US"/>
        </w:rPr>
        <w:t>provide and disseminate timely up to date and accurate information essential for informed decision-making on choices of independent living and support services in the community in</w:t>
      </w:r>
      <w:r w:rsidR="0080176F">
        <w:rPr>
          <w:rFonts w:ascii="Times New Roman" w:hAnsi="Times New Roman" w:cs="Times New Roman"/>
          <w:lang w:val="en-US"/>
        </w:rPr>
        <w:t xml:space="preserve"> accessible formats, including b</w:t>
      </w:r>
      <w:r w:rsidRPr="003F16D1">
        <w:rPr>
          <w:rFonts w:ascii="Times New Roman" w:hAnsi="Times New Roman" w:cs="Times New Roman"/>
          <w:lang w:val="en-US"/>
        </w:rPr>
        <w:t>raille, sign language</w:t>
      </w:r>
      <w:r w:rsidR="006066A3" w:rsidRPr="003F16D1">
        <w:rPr>
          <w:rFonts w:ascii="Times New Roman" w:hAnsi="Times New Roman" w:cs="Times New Roman"/>
          <w:lang w:val="en-US"/>
        </w:rPr>
        <w:t>, tactile</w:t>
      </w:r>
      <w:r w:rsidRPr="003F16D1">
        <w:rPr>
          <w:rFonts w:ascii="Times New Roman" w:hAnsi="Times New Roman" w:cs="Times New Roman"/>
          <w:lang w:val="en-US"/>
        </w:rPr>
        <w:t>, easy to read formats and alternative and augmentative modes of communication.</w:t>
      </w:r>
    </w:p>
    <w:p w:rsidR="0004421D" w:rsidRPr="003F16D1" w:rsidRDefault="0004421D" w:rsidP="0004421D">
      <w:pPr>
        <w:pStyle w:val="ListParagraph"/>
        <w:spacing w:before="120" w:after="120"/>
        <w:ind w:left="714"/>
        <w:jc w:val="both"/>
        <w:rPr>
          <w:rFonts w:ascii="Times New Roman" w:hAnsi="Times New Roman" w:cs="Times New Roman"/>
          <w:lang w:val="en-US"/>
        </w:rPr>
      </w:pPr>
    </w:p>
    <w:p w:rsidR="00283EFF" w:rsidRPr="003F16D1" w:rsidRDefault="00283EFF" w:rsidP="00283EFF">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States </w:t>
      </w:r>
      <w:r w:rsidR="00CB1CF3" w:rsidRPr="003F16D1">
        <w:rPr>
          <w:rFonts w:ascii="Times New Roman" w:hAnsi="Times New Roman" w:cs="Times New Roman"/>
          <w:lang w:val="en-US"/>
        </w:rPr>
        <w:t>should</w:t>
      </w:r>
      <w:r w:rsidRPr="003F16D1">
        <w:rPr>
          <w:rFonts w:ascii="Times New Roman" w:hAnsi="Times New Roman" w:cs="Times New Roman"/>
          <w:lang w:val="en-US"/>
        </w:rPr>
        <w:t xml:space="preserve"> ensure that professionals are adequately trained on independent and community living. In certain contexts, professional training is essential in order to ensure that support is provided according to the standards of the Convention and respects the individual’s will and preferences. Training should also be directed at professionals who formerly worked or currently work in residential institutions to ensure that they actively contribute to de-institutionalization and the transformation of support services.</w:t>
      </w:r>
    </w:p>
    <w:p w:rsidR="0004421D" w:rsidRPr="003F16D1" w:rsidRDefault="0004421D" w:rsidP="0004421D">
      <w:pPr>
        <w:pStyle w:val="ListParagraph"/>
        <w:spacing w:before="120" w:after="120"/>
        <w:ind w:left="714"/>
        <w:jc w:val="both"/>
        <w:rPr>
          <w:rFonts w:ascii="Times New Roman" w:hAnsi="Times New Roman" w:cs="Times New Roman"/>
          <w:lang w:val="en-US"/>
        </w:rPr>
      </w:pPr>
    </w:p>
    <w:p w:rsidR="00327CD5" w:rsidRPr="003F16D1" w:rsidRDefault="00283EFF" w:rsidP="00327CD5">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Often, the right to living independently and being included in the community is violated not because resources are not available, but because they have been misallocated. Misallocation of resources into institutionalized support services is a clear violation of article 19. State</w:t>
      </w:r>
      <w:r w:rsidR="00733F35" w:rsidRPr="003F16D1">
        <w:rPr>
          <w:rFonts w:ascii="Times New Roman" w:hAnsi="Times New Roman" w:cs="Times New Roman"/>
          <w:lang w:val="en-US"/>
        </w:rPr>
        <w:t>s</w:t>
      </w:r>
      <w:r w:rsidRPr="003F16D1">
        <w:rPr>
          <w:rFonts w:ascii="Times New Roman" w:hAnsi="Times New Roman" w:cs="Times New Roman"/>
          <w:lang w:val="en-US"/>
        </w:rPr>
        <w:t xml:space="preserve"> parties </w:t>
      </w:r>
      <w:r w:rsidR="006066A3" w:rsidRPr="003F16D1">
        <w:rPr>
          <w:rFonts w:ascii="Times New Roman" w:hAnsi="Times New Roman" w:cs="Times New Roman"/>
          <w:lang w:val="en-US"/>
        </w:rPr>
        <w:t>must</w:t>
      </w:r>
      <w:r w:rsidRPr="003F16D1">
        <w:rPr>
          <w:rFonts w:ascii="Times New Roman" w:hAnsi="Times New Roman" w:cs="Times New Roman"/>
          <w:lang w:val="en-US"/>
        </w:rPr>
        <w:t xml:space="preserve"> take deliberate and immediate steps to reallocate funding into independent and community living programs and phase out funding for institutional care.</w:t>
      </w:r>
    </w:p>
    <w:p w:rsidR="00327CD5" w:rsidRPr="003F16D1" w:rsidRDefault="00327CD5" w:rsidP="00327CD5">
      <w:pPr>
        <w:pStyle w:val="ListParagraph"/>
        <w:rPr>
          <w:rFonts w:ascii="Times New Roman" w:hAnsi="Times New Roman" w:cs="Times New Roman"/>
          <w:lang w:val="en-US"/>
        </w:rPr>
      </w:pPr>
    </w:p>
    <w:p w:rsidR="003D2ECC" w:rsidRPr="003F16D1" w:rsidRDefault="00283EFF" w:rsidP="00327CD5">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States parties </w:t>
      </w:r>
      <w:r w:rsidR="003D2ECC" w:rsidRPr="003F16D1">
        <w:rPr>
          <w:rFonts w:ascii="Times New Roman" w:hAnsi="Times New Roman" w:cs="Times New Roman"/>
          <w:lang w:val="en-US"/>
        </w:rPr>
        <w:t>should also</w:t>
      </w:r>
      <w:r w:rsidRPr="003F16D1">
        <w:rPr>
          <w:rFonts w:ascii="Times New Roman" w:hAnsi="Times New Roman" w:cs="Times New Roman"/>
          <w:lang w:val="en-US"/>
        </w:rPr>
        <w:t xml:space="preserve"> ensure that international cooperation, investments and projects do not contribute to the perpetuation of barriers to independent and community living but rather eradicate them and support the implementation of the right to live independently and be included in the community. After situations of disaster, it is important not to rebuild barriers. </w:t>
      </w:r>
    </w:p>
    <w:p w:rsidR="003D2ECC" w:rsidRPr="003F16D1" w:rsidRDefault="003D2ECC" w:rsidP="003D2ECC">
      <w:pPr>
        <w:pStyle w:val="ListParagraph"/>
        <w:rPr>
          <w:rFonts w:ascii="Times New Roman" w:hAnsi="Times New Roman" w:cs="Times New Roman"/>
          <w:lang w:val="en-US"/>
        </w:rPr>
      </w:pPr>
    </w:p>
    <w:p w:rsidR="00517620" w:rsidRPr="003F16D1" w:rsidRDefault="00283EFF" w:rsidP="00517620">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States parties </w:t>
      </w:r>
      <w:r w:rsidR="00F61406" w:rsidRPr="003F16D1">
        <w:rPr>
          <w:rFonts w:ascii="Times New Roman" w:hAnsi="Times New Roman" w:cs="Times New Roman"/>
          <w:lang w:val="en-US"/>
        </w:rPr>
        <w:t>should</w:t>
      </w:r>
      <w:r w:rsidRPr="003F16D1">
        <w:rPr>
          <w:rFonts w:ascii="Times New Roman" w:hAnsi="Times New Roman" w:cs="Times New Roman"/>
          <w:lang w:val="en-US"/>
        </w:rPr>
        <w:t xml:space="preserve"> ensure access to justice and provide appropriate legal advice, remedies</w:t>
      </w:r>
      <w:r w:rsidR="004001B3">
        <w:rPr>
          <w:rFonts w:ascii="Times New Roman" w:hAnsi="Times New Roman" w:cs="Times New Roman"/>
          <w:lang w:val="en-US"/>
        </w:rPr>
        <w:t xml:space="preserve">, </w:t>
      </w:r>
      <w:r w:rsidR="004001B3" w:rsidRPr="005A6BE5">
        <w:rPr>
          <w:rFonts w:ascii="Times New Roman" w:hAnsi="Times New Roman" w:cs="Times New Roman"/>
          <w:color w:val="FF0000"/>
          <w:lang w:val="en-US"/>
        </w:rPr>
        <w:t>legal aid</w:t>
      </w:r>
      <w:r w:rsidRPr="003F16D1">
        <w:rPr>
          <w:rFonts w:ascii="Times New Roman" w:hAnsi="Times New Roman" w:cs="Times New Roman"/>
          <w:lang w:val="en-US"/>
        </w:rPr>
        <w:t xml:space="preserve"> and support, including through reasonable and procedural accommodation for persons with disabilities who seek to enforce their right to independent and community living.</w:t>
      </w:r>
    </w:p>
    <w:p w:rsidR="0004421D" w:rsidRPr="003F16D1" w:rsidRDefault="0004421D" w:rsidP="0004421D">
      <w:pPr>
        <w:spacing w:before="120" w:after="120"/>
        <w:jc w:val="both"/>
        <w:rPr>
          <w:rFonts w:ascii="Times New Roman" w:hAnsi="Times New Roman" w:cs="Times New Roman"/>
          <w:lang w:val="en-US"/>
        </w:rPr>
      </w:pPr>
    </w:p>
    <w:p w:rsidR="00283EFF" w:rsidRPr="003F16D1" w:rsidRDefault="00283EFF" w:rsidP="00283EFF">
      <w:pPr>
        <w:pStyle w:val="Heading1"/>
        <w:numPr>
          <w:ilvl w:val="0"/>
          <w:numId w:val="1"/>
        </w:numPr>
        <w:rPr>
          <w:color w:val="auto"/>
        </w:rPr>
      </w:pPr>
      <w:r w:rsidRPr="003F16D1">
        <w:rPr>
          <w:color w:val="auto"/>
        </w:rPr>
        <w:t>Relationship with other provisions of the Convention</w:t>
      </w:r>
    </w:p>
    <w:p w:rsidR="004A2FDD" w:rsidRPr="003F16D1" w:rsidRDefault="00283EFF" w:rsidP="004A2FDD">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The right to live independently and be included in the community is interrelated with the enjoyment of other human rights provided for in the Convention. At the same time, it is more than the sum of those rights as it affirms that all rights should be exercised and enjoyed in the community where a person chooses to live and in which alone the free and full development of one’s personality can be fulfilled.</w:t>
      </w:r>
    </w:p>
    <w:p w:rsidR="004A2FDD" w:rsidRPr="003F16D1" w:rsidRDefault="004A2FDD" w:rsidP="004A2FDD">
      <w:pPr>
        <w:pStyle w:val="ListParagraph"/>
        <w:spacing w:before="120" w:after="120"/>
        <w:ind w:left="714"/>
        <w:jc w:val="both"/>
        <w:rPr>
          <w:rFonts w:ascii="Times New Roman" w:hAnsi="Times New Roman" w:cs="Times New Roman"/>
          <w:lang w:val="en-US"/>
        </w:rPr>
      </w:pPr>
    </w:p>
    <w:p w:rsidR="004A2FDD" w:rsidRPr="003F16D1" w:rsidRDefault="00283EFF" w:rsidP="004A2FDD">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For the adoption of all plans and strategies as well as for the follow-up and monitoring when implementing the right to independent and community living, decision-makers at all levels must actively involve and consult (art. 4 (3)) a diverse range of persons with disabilities </w:t>
      </w:r>
      <w:r w:rsidR="00D921C8" w:rsidRPr="003F16D1">
        <w:rPr>
          <w:rFonts w:ascii="Times New Roman" w:hAnsi="Times New Roman" w:cs="Times New Roman"/>
          <w:lang w:val="en-US"/>
        </w:rPr>
        <w:t xml:space="preserve">through </w:t>
      </w:r>
      <w:r w:rsidRPr="003F16D1">
        <w:rPr>
          <w:rFonts w:ascii="Times New Roman" w:hAnsi="Times New Roman" w:cs="Times New Roman"/>
          <w:lang w:val="en-US"/>
        </w:rPr>
        <w:t>their representative organizations</w:t>
      </w:r>
      <w:r w:rsidR="00237AAC" w:rsidRPr="003F16D1">
        <w:rPr>
          <w:rFonts w:ascii="Times New Roman" w:hAnsi="Times New Roman" w:cs="Times New Roman"/>
          <w:lang w:val="en-US"/>
        </w:rPr>
        <w:t xml:space="preserve">, including those representing </w:t>
      </w:r>
      <w:r w:rsidR="00D921C8" w:rsidRPr="003F16D1">
        <w:rPr>
          <w:rFonts w:ascii="Times New Roman" w:hAnsi="Times New Roman" w:cs="Times New Roman"/>
          <w:lang w:val="en-US"/>
        </w:rPr>
        <w:t xml:space="preserve">women and </w:t>
      </w:r>
      <w:r w:rsidR="00237AAC" w:rsidRPr="003F16D1">
        <w:rPr>
          <w:rFonts w:ascii="Times New Roman" w:hAnsi="Times New Roman" w:cs="Times New Roman"/>
          <w:lang w:val="en-US"/>
        </w:rPr>
        <w:t>children with disabilities</w:t>
      </w:r>
      <w:r w:rsidRPr="003F16D1">
        <w:rPr>
          <w:rFonts w:ascii="Times New Roman" w:hAnsi="Times New Roman" w:cs="Times New Roman"/>
          <w:lang w:val="en-US"/>
        </w:rPr>
        <w:t>. This concerns all aspects of independent and community living, in particular</w:t>
      </w:r>
      <w:r w:rsidR="00DA4D7D" w:rsidRPr="003F16D1">
        <w:rPr>
          <w:rFonts w:ascii="Times New Roman" w:hAnsi="Times New Roman" w:cs="Times New Roman"/>
          <w:lang w:val="en-US"/>
        </w:rPr>
        <w:t>,</w:t>
      </w:r>
      <w:r w:rsidRPr="003F16D1">
        <w:rPr>
          <w:rFonts w:ascii="Times New Roman" w:hAnsi="Times New Roman" w:cs="Times New Roman"/>
          <w:lang w:val="en-US"/>
        </w:rPr>
        <w:t xml:space="preserve"> the development and investment of resources in services, both disability specific and mainstream. </w:t>
      </w:r>
    </w:p>
    <w:p w:rsidR="004A2FDD" w:rsidRPr="003F16D1" w:rsidRDefault="004A2FDD" w:rsidP="004A2FDD">
      <w:pPr>
        <w:pStyle w:val="ListParagraph"/>
        <w:rPr>
          <w:rFonts w:ascii="Times New Roman" w:hAnsi="Times New Roman" w:cs="Times New Roman"/>
          <w:lang w:val="en-US"/>
        </w:rPr>
      </w:pPr>
    </w:p>
    <w:p w:rsidR="007910AD" w:rsidRPr="003F16D1" w:rsidRDefault="00283EFF" w:rsidP="007910AD">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Non-discrimination (art. 5) in terms of living independently and being included in the community is important in regards to accessing and receiving support services. Eligibility criteria and procedures for access</w:t>
      </w:r>
      <w:r w:rsidR="00DA4D7D" w:rsidRPr="003F16D1">
        <w:rPr>
          <w:rFonts w:ascii="Times New Roman" w:hAnsi="Times New Roman" w:cs="Times New Roman"/>
          <w:lang w:val="en-US"/>
        </w:rPr>
        <w:t>ing</w:t>
      </w:r>
      <w:r w:rsidRPr="003F16D1">
        <w:rPr>
          <w:rFonts w:ascii="Times New Roman" w:hAnsi="Times New Roman" w:cs="Times New Roman"/>
          <w:lang w:val="en-US"/>
        </w:rPr>
        <w:t xml:space="preserve"> support services need to be defined in a non-discriminatory way, objective and focus on the </w:t>
      </w:r>
      <w:r w:rsidR="000C21B1" w:rsidRPr="003F16D1">
        <w:rPr>
          <w:rFonts w:ascii="Times New Roman" w:hAnsi="Times New Roman" w:cs="Times New Roman"/>
          <w:lang w:val="en-US"/>
        </w:rPr>
        <w:t>requirement</w:t>
      </w:r>
      <w:r w:rsidR="00676273" w:rsidRPr="003F16D1">
        <w:rPr>
          <w:rFonts w:ascii="Times New Roman" w:hAnsi="Times New Roman" w:cs="Times New Roman"/>
          <w:lang w:val="en-US"/>
        </w:rPr>
        <w:t>s</w:t>
      </w:r>
      <w:r w:rsidRPr="003F16D1">
        <w:rPr>
          <w:rFonts w:ascii="Times New Roman" w:hAnsi="Times New Roman" w:cs="Times New Roman"/>
          <w:lang w:val="en-US"/>
        </w:rPr>
        <w:t xml:space="preserve"> of the person rather than the impairment, following a human-rights based approach. Setting up </w:t>
      </w:r>
      <w:r w:rsidR="006F38B7" w:rsidRPr="003F16D1">
        <w:rPr>
          <w:rFonts w:ascii="Times New Roman" w:hAnsi="Times New Roman" w:cs="Times New Roman"/>
          <w:lang w:val="en-US"/>
        </w:rPr>
        <w:t>specific</w:t>
      </w:r>
      <w:r w:rsidRPr="003F16D1">
        <w:rPr>
          <w:rFonts w:ascii="Times New Roman" w:hAnsi="Times New Roman" w:cs="Times New Roman"/>
          <w:lang w:val="en-US"/>
        </w:rPr>
        <w:t xml:space="preserve"> services for particular groups of persons with disabilities in accordance with their requirements, such as services for children, students or employees with disabilities, is not considered as a discriminatory violation of the Convention</w:t>
      </w:r>
      <w:r w:rsidR="00CB4CCD" w:rsidRPr="003F16D1">
        <w:rPr>
          <w:rFonts w:ascii="Times New Roman" w:hAnsi="Times New Roman" w:cs="Times New Roman"/>
          <w:lang w:val="en-US"/>
        </w:rPr>
        <w:t xml:space="preserve"> but rather as just and legal available affirmative action</w:t>
      </w:r>
      <w:r w:rsidRPr="003F16D1">
        <w:rPr>
          <w:rFonts w:ascii="Times New Roman" w:hAnsi="Times New Roman" w:cs="Times New Roman"/>
          <w:lang w:val="en-US"/>
        </w:rPr>
        <w:t xml:space="preserve">. Persons with disabilities who are facing discrimination in relation to article 19 must have effective and affordable legal remedies at their disposal. </w:t>
      </w:r>
    </w:p>
    <w:p w:rsidR="007910AD" w:rsidRPr="003F16D1" w:rsidRDefault="007910AD" w:rsidP="007910AD">
      <w:pPr>
        <w:pStyle w:val="ListParagraph"/>
        <w:rPr>
          <w:rFonts w:ascii="Times New Roman" w:hAnsi="Times New Roman" w:cs="Times New Roman"/>
          <w:lang w:val="en-US"/>
        </w:rPr>
      </w:pPr>
    </w:p>
    <w:p w:rsidR="009E49A6" w:rsidRPr="003F16D1" w:rsidRDefault="00483BE8" w:rsidP="00D62882">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Often, women and</w:t>
      </w:r>
      <w:r w:rsidR="00283EFF" w:rsidRPr="003F16D1">
        <w:rPr>
          <w:rFonts w:ascii="Times New Roman" w:hAnsi="Times New Roman" w:cs="Times New Roman"/>
          <w:lang w:val="en-US"/>
        </w:rPr>
        <w:t xml:space="preserve"> girls with disabilities (art. 6) face more restrictions regarding their place of residence as well as their living arrangements</w:t>
      </w:r>
      <w:r w:rsidR="00C033F9" w:rsidRPr="003F16D1">
        <w:rPr>
          <w:rFonts w:ascii="Times New Roman" w:hAnsi="Times New Roman" w:cs="Times New Roman"/>
          <w:lang w:val="en-US"/>
        </w:rPr>
        <w:t xml:space="preserve"> due to paternalistic stereotyp</w:t>
      </w:r>
      <w:r w:rsidR="00DA4D7D" w:rsidRPr="003F16D1">
        <w:rPr>
          <w:rFonts w:ascii="Times New Roman" w:hAnsi="Times New Roman" w:cs="Times New Roman"/>
          <w:lang w:val="en-US"/>
        </w:rPr>
        <w:t xml:space="preserve">ing </w:t>
      </w:r>
      <w:r w:rsidR="00C033F9" w:rsidRPr="003F16D1">
        <w:rPr>
          <w:rFonts w:ascii="Times New Roman" w:hAnsi="Times New Roman" w:cs="Times New Roman"/>
          <w:lang w:val="en-US"/>
        </w:rPr>
        <w:t>against women in society</w:t>
      </w:r>
      <w:r w:rsidR="00283EFF" w:rsidRPr="003F16D1">
        <w:rPr>
          <w:rFonts w:ascii="Times New Roman" w:hAnsi="Times New Roman" w:cs="Times New Roman"/>
          <w:lang w:val="en-US"/>
        </w:rPr>
        <w:t>. Women and girls with disabilities oft</w:t>
      </w:r>
      <w:r w:rsidR="007C2BCD" w:rsidRPr="003F16D1">
        <w:rPr>
          <w:rFonts w:ascii="Times New Roman" w:hAnsi="Times New Roman" w:cs="Times New Roman"/>
          <w:lang w:val="en-US"/>
        </w:rPr>
        <w:t xml:space="preserve">en also experience gender-based, multiple and intersectional </w:t>
      </w:r>
      <w:r w:rsidR="00283EFF" w:rsidRPr="003F16D1">
        <w:rPr>
          <w:rFonts w:ascii="Times New Roman" w:hAnsi="Times New Roman" w:cs="Times New Roman"/>
          <w:lang w:val="en-US"/>
        </w:rPr>
        <w:t xml:space="preserve">discrimination, institutionalization, violence </w:t>
      </w:r>
      <w:r w:rsidR="007910AD" w:rsidRPr="003F16D1">
        <w:rPr>
          <w:rFonts w:ascii="Times New Roman" w:hAnsi="Times New Roman" w:cs="Times New Roman"/>
          <w:lang w:val="en-US"/>
        </w:rPr>
        <w:t>and</w:t>
      </w:r>
      <w:r w:rsidR="00283EFF" w:rsidRPr="003F16D1">
        <w:rPr>
          <w:rFonts w:ascii="Times New Roman" w:hAnsi="Times New Roman" w:cs="Times New Roman"/>
          <w:lang w:val="en-US"/>
        </w:rPr>
        <w:t xml:space="preserve"> abuse.</w:t>
      </w:r>
      <w:r w:rsidR="00283EFF" w:rsidRPr="003F16D1">
        <w:rPr>
          <w:rStyle w:val="FootnoteReference"/>
          <w:rFonts w:ascii="Times New Roman" w:hAnsi="Times New Roman" w:cs="Times New Roman"/>
          <w:lang w:val="en-US"/>
        </w:rPr>
        <w:footnoteReference w:id="12"/>
      </w:r>
      <w:r w:rsidR="00283EFF" w:rsidRPr="003F16D1">
        <w:rPr>
          <w:rFonts w:ascii="Times New Roman" w:hAnsi="Times New Roman" w:cs="Times New Roman"/>
          <w:lang w:val="en-US"/>
        </w:rPr>
        <w:t xml:space="preserve"> Therefore, when implementing the right to live independently and be included in the community, particular attention should be paid to gender equality. </w:t>
      </w:r>
    </w:p>
    <w:p w:rsidR="009E49A6" w:rsidRPr="003F16D1" w:rsidRDefault="009E49A6" w:rsidP="009E49A6">
      <w:pPr>
        <w:pStyle w:val="ListParagraph"/>
        <w:rPr>
          <w:rFonts w:ascii="Times New Roman" w:hAnsi="Times New Roman" w:cs="Times New Roman"/>
          <w:lang w:val="en-US"/>
        </w:rPr>
      </w:pPr>
    </w:p>
    <w:p w:rsidR="00D62882" w:rsidRPr="003F16D1" w:rsidRDefault="00283EFF" w:rsidP="00D62882">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Cultural norms and values may adversely restrict </w:t>
      </w:r>
      <w:r w:rsidR="007E6B4C" w:rsidRPr="003F16D1">
        <w:rPr>
          <w:rFonts w:ascii="Times New Roman" w:hAnsi="Times New Roman" w:cs="Times New Roman"/>
          <w:lang w:val="en-US"/>
        </w:rPr>
        <w:t xml:space="preserve">the choices and control of </w:t>
      </w:r>
      <w:r w:rsidRPr="003F16D1">
        <w:rPr>
          <w:rFonts w:ascii="Times New Roman" w:hAnsi="Times New Roman" w:cs="Times New Roman"/>
          <w:lang w:val="en-US"/>
        </w:rPr>
        <w:t xml:space="preserve">women and girls with disabilities over their living arrangements, limit their autonomy, oblige them to live in particular living arrangements and take certain roles within the family. </w:t>
      </w:r>
      <w:r w:rsidR="001E4D58" w:rsidRPr="003F16D1">
        <w:rPr>
          <w:rFonts w:ascii="Times New Roman" w:hAnsi="Times New Roman" w:cs="Times New Roman"/>
          <w:lang w:val="en-US"/>
        </w:rPr>
        <w:t xml:space="preserve">States </w:t>
      </w:r>
      <w:r w:rsidR="00AA05A5" w:rsidRPr="003F16D1">
        <w:rPr>
          <w:rFonts w:ascii="Times New Roman" w:hAnsi="Times New Roman" w:cs="Times New Roman"/>
          <w:lang w:val="en-US"/>
        </w:rPr>
        <w:t xml:space="preserve">parties </w:t>
      </w:r>
      <w:r w:rsidR="001E4D58" w:rsidRPr="003F16D1">
        <w:rPr>
          <w:rFonts w:ascii="Times New Roman" w:hAnsi="Times New Roman" w:cs="Times New Roman"/>
          <w:lang w:val="en-US"/>
        </w:rPr>
        <w:t xml:space="preserve">should take measures to tackle discrimination and barriers against women in accessing social services and </w:t>
      </w:r>
      <w:r w:rsidR="00CC52E3" w:rsidRPr="003F16D1">
        <w:rPr>
          <w:rFonts w:ascii="Times New Roman" w:hAnsi="Times New Roman" w:cs="Times New Roman"/>
          <w:lang w:val="en-US"/>
        </w:rPr>
        <w:t>support, as well as ensure that various policies, programmes and strategies concerning a</w:t>
      </w:r>
      <w:r w:rsidRPr="003F16D1">
        <w:rPr>
          <w:rFonts w:ascii="Times New Roman" w:hAnsi="Times New Roman" w:cs="Times New Roman"/>
          <w:lang w:val="en-US"/>
        </w:rPr>
        <w:t xml:space="preserve">ccess to social services and support </w:t>
      </w:r>
      <w:r w:rsidR="00CC52E3" w:rsidRPr="003F16D1">
        <w:rPr>
          <w:rFonts w:ascii="Times New Roman" w:hAnsi="Times New Roman" w:cs="Times New Roman"/>
          <w:lang w:val="en-US"/>
        </w:rPr>
        <w:t>take due consideration of the equality between women and men.</w:t>
      </w:r>
      <w:r w:rsidRPr="003F16D1">
        <w:rPr>
          <w:rFonts w:ascii="Times New Roman" w:hAnsi="Times New Roman" w:cs="Times New Roman"/>
          <w:lang w:val="en-US"/>
        </w:rPr>
        <w:t xml:space="preserve"> </w:t>
      </w:r>
      <w:r w:rsidR="00CC52E3" w:rsidRPr="003F16D1">
        <w:rPr>
          <w:rFonts w:ascii="Times New Roman" w:hAnsi="Times New Roman" w:cs="Times New Roman"/>
          <w:lang w:val="en-US"/>
        </w:rPr>
        <w:t>States</w:t>
      </w:r>
      <w:r w:rsidR="00AA05A5" w:rsidRPr="003F16D1">
        <w:rPr>
          <w:rFonts w:ascii="Times New Roman" w:hAnsi="Times New Roman" w:cs="Times New Roman"/>
          <w:lang w:val="en-US"/>
        </w:rPr>
        <w:t xml:space="preserve"> parties</w:t>
      </w:r>
      <w:r w:rsidR="00CC52E3" w:rsidRPr="003F16D1">
        <w:rPr>
          <w:rFonts w:ascii="Times New Roman" w:hAnsi="Times New Roman" w:cs="Times New Roman"/>
          <w:lang w:val="en-US"/>
        </w:rPr>
        <w:t xml:space="preserve"> should also ensure that measures aimed at development, empowerment and advancement of women </w:t>
      </w:r>
      <w:r w:rsidR="00AA05A5" w:rsidRPr="003F16D1">
        <w:rPr>
          <w:rFonts w:ascii="Times New Roman" w:hAnsi="Times New Roman" w:cs="Times New Roman"/>
          <w:lang w:val="en-US"/>
        </w:rPr>
        <w:t xml:space="preserve">and girls </w:t>
      </w:r>
      <w:r w:rsidR="00CC52E3" w:rsidRPr="003F16D1">
        <w:rPr>
          <w:rFonts w:ascii="Times New Roman" w:hAnsi="Times New Roman" w:cs="Times New Roman"/>
          <w:lang w:val="en-US"/>
        </w:rPr>
        <w:t xml:space="preserve">with disabilities (article 6 (2) of the Convention), address gender-based inequalities in accessing support and social protection.  </w:t>
      </w:r>
    </w:p>
    <w:p w:rsidR="00D62882" w:rsidRPr="003F16D1" w:rsidRDefault="00D62882" w:rsidP="00D62882">
      <w:pPr>
        <w:pStyle w:val="ListParagraph"/>
        <w:rPr>
          <w:rFonts w:ascii="Times New Roman" w:hAnsi="Times New Roman" w:cs="Times New Roman"/>
          <w:lang w:val="en-US"/>
        </w:rPr>
      </w:pPr>
    </w:p>
    <w:p w:rsidR="005D158A" w:rsidRPr="003F16D1" w:rsidRDefault="00283EFF" w:rsidP="00AA4892">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The existence of adequate and age-sensitive support services for girls</w:t>
      </w:r>
      <w:r w:rsidR="00C646F7" w:rsidRPr="003F16D1">
        <w:rPr>
          <w:rFonts w:ascii="Times New Roman" w:hAnsi="Times New Roman" w:cs="Times New Roman"/>
          <w:lang w:val="en-US"/>
        </w:rPr>
        <w:t xml:space="preserve"> and boys</w:t>
      </w:r>
      <w:r w:rsidRPr="003F16D1">
        <w:rPr>
          <w:rFonts w:ascii="Times New Roman" w:hAnsi="Times New Roman" w:cs="Times New Roman"/>
          <w:lang w:val="en-US"/>
        </w:rPr>
        <w:t xml:space="preserve"> with disabilities is of </w:t>
      </w:r>
      <w:r w:rsidR="00AA4892">
        <w:rPr>
          <w:rFonts w:ascii="Times New Roman" w:hAnsi="Times New Roman" w:cs="Times New Roman"/>
          <w:lang w:val="en-US"/>
        </w:rPr>
        <w:t xml:space="preserve">vital </w:t>
      </w:r>
      <w:r w:rsidRPr="003F16D1">
        <w:rPr>
          <w:rFonts w:ascii="Times New Roman" w:hAnsi="Times New Roman" w:cs="Times New Roman"/>
          <w:lang w:val="en-US"/>
        </w:rPr>
        <w:t xml:space="preserve">importance for equal enjoyment of their human rights (art. 7). Respecting the evolving capacities of children with disabilities and supporting them in having a say on choices that impact them is critical. It is also important to provide support, information and guidance to </w:t>
      </w:r>
      <w:r w:rsidRPr="00712127">
        <w:rPr>
          <w:rFonts w:ascii="Times New Roman" w:hAnsi="Times New Roman" w:cs="Times New Roman"/>
          <w:lang w:val="en-US"/>
        </w:rPr>
        <w:t>families (art. 23) to prevent institutionalization of children with disabilities and to have inclusive policies on adoption to ensure equal opportunities to children with di</w:t>
      </w:r>
      <w:r w:rsidR="007D777D" w:rsidRPr="00712127">
        <w:rPr>
          <w:rFonts w:ascii="Times New Roman" w:hAnsi="Times New Roman" w:cs="Times New Roman"/>
          <w:lang w:val="en-US"/>
        </w:rPr>
        <w:t xml:space="preserve">sabilities </w:t>
      </w:r>
      <w:r w:rsidR="007D777D" w:rsidRPr="00712127">
        <w:rPr>
          <w:rFonts w:ascii="Times New Roman" w:hAnsi="Times New Roman" w:cs="Times New Roman"/>
          <w:color w:val="FF0000"/>
          <w:lang w:val="en-US"/>
        </w:rPr>
        <w:t>and to adoptive parents with disabilities.</w:t>
      </w:r>
      <w:r w:rsidR="00712127" w:rsidRPr="00712127">
        <w:rPr>
          <w:rFonts w:ascii="Times New Roman" w:hAnsi="Times New Roman" w:cs="Times New Roman"/>
          <w:color w:val="FF0000"/>
          <w:lang w:val="en-US"/>
        </w:rPr>
        <w:t xml:space="preserve"> Moreover, </w:t>
      </w:r>
      <w:r w:rsidR="00712127" w:rsidRPr="00712127">
        <w:rPr>
          <w:rFonts w:ascii="Times New Roman" w:eastAsia="Times New Roman" w:hAnsi="Times New Roman" w:cs="Times New Roman"/>
          <w:color w:val="FF0000"/>
          <w:lang w:val="en-GB"/>
        </w:rPr>
        <w:t>parents with disabilities may need support services, such as personal assistance to facilitate their child-rearing responsibilities.</w:t>
      </w:r>
    </w:p>
    <w:p w:rsidR="005D158A" w:rsidRPr="003F16D1" w:rsidRDefault="005D158A" w:rsidP="005D158A">
      <w:pPr>
        <w:pStyle w:val="ListParagraph"/>
        <w:rPr>
          <w:rFonts w:ascii="Times New Roman" w:hAnsi="Times New Roman" w:cs="Times New Roman"/>
          <w:lang w:val="en-US"/>
        </w:rPr>
      </w:pPr>
    </w:p>
    <w:p w:rsidR="005D158A" w:rsidRPr="003F16D1" w:rsidRDefault="00283EFF" w:rsidP="005D158A">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When it comes to social interactions and relationships with peers, teenagers may prefer personal assistance to informal support provided by relatives. </w:t>
      </w:r>
      <w:r w:rsidR="005D158A" w:rsidRPr="003F16D1">
        <w:rPr>
          <w:rFonts w:ascii="Times New Roman" w:hAnsi="Times New Roman" w:cs="Times New Roman"/>
          <w:lang w:val="en-US"/>
        </w:rPr>
        <w:t xml:space="preserve">States parties should establish innovative forms of support and accessible services for children and adolescents with disabilities. Children with disabilities may require support to practice sports or activities in the community according to their age. Adolescents with disabilities should be enabled to spend time and take part in leisure activities with their age peers. States </w:t>
      </w:r>
      <w:r w:rsidR="00DF16F4" w:rsidRPr="003F16D1">
        <w:rPr>
          <w:rFonts w:ascii="Times New Roman" w:hAnsi="Times New Roman" w:cs="Times New Roman"/>
          <w:lang w:val="en-US"/>
        </w:rPr>
        <w:t xml:space="preserve">parties </w:t>
      </w:r>
      <w:r w:rsidR="005D158A" w:rsidRPr="003F16D1">
        <w:rPr>
          <w:rFonts w:ascii="Times New Roman" w:hAnsi="Times New Roman" w:cs="Times New Roman"/>
          <w:lang w:val="en-US"/>
        </w:rPr>
        <w:t xml:space="preserve">should provide devices, such as adapted wheelchairs for practicing sports as well as personal assistance that can facilitate </w:t>
      </w:r>
      <w:r w:rsidR="00DF16F4" w:rsidRPr="003F16D1">
        <w:rPr>
          <w:rFonts w:ascii="Times New Roman" w:hAnsi="Times New Roman" w:cs="Times New Roman"/>
          <w:lang w:val="en-US"/>
        </w:rPr>
        <w:t xml:space="preserve">the inclusion of </w:t>
      </w:r>
      <w:r w:rsidR="005D158A" w:rsidRPr="003F16D1">
        <w:rPr>
          <w:rFonts w:ascii="Times New Roman" w:hAnsi="Times New Roman" w:cs="Times New Roman"/>
          <w:lang w:val="en-US"/>
        </w:rPr>
        <w:t xml:space="preserve">adolescents with disabilities in their peer networks.  </w:t>
      </w:r>
    </w:p>
    <w:p w:rsidR="00F7240E" w:rsidRPr="003F16D1" w:rsidRDefault="00F7240E" w:rsidP="00F7240E">
      <w:pPr>
        <w:pStyle w:val="ListParagraph"/>
        <w:rPr>
          <w:rFonts w:ascii="Times New Roman" w:hAnsi="Times New Roman" w:cs="Times New Roman"/>
          <w:lang w:val="en-US"/>
        </w:rPr>
      </w:pPr>
    </w:p>
    <w:p w:rsidR="00603151" w:rsidRDefault="00283EFF" w:rsidP="00603151">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Awareness-raising (art. 8) is essential to create open, enabling and inclusive communities as article 19 ultimately is about transforming communities. Negative stereotypes and misconceptions that prevent persons with disabilities from living independently must be eradicated and their positive image and contributions to society must be promoted. Awareness-raising should be provided for authorities, civil servants, professionals, the media, the general public and persons with disabilities and their families. All awareness-raising activities should be carried out in close cooperation with persons with disabilities through their representative organizations.</w:t>
      </w:r>
    </w:p>
    <w:p w:rsidR="00561EBA" w:rsidRPr="00561EBA" w:rsidRDefault="00561EBA" w:rsidP="00561EBA">
      <w:pPr>
        <w:spacing w:before="120" w:after="120"/>
        <w:jc w:val="both"/>
        <w:rPr>
          <w:rFonts w:ascii="Times New Roman" w:hAnsi="Times New Roman" w:cs="Times New Roman"/>
          <w:lang w:val="en-US"/>
        </w:rPr>
      </w:pPr>
    </w:p>
    <w:p w:rsidR="00614B71" w:rsidRPr="003F16D1" w:rsidRDefault="00283EFF" w:rsidP="00614B71">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The rights provided for in article 19 are tied to</w:t>
      </w:r>
      <w:r w:rsidR="00982398" w:rsidRPr="003F16D1">
        <w:rPr>
          <w:rFonts w:ascii="Times New Roman" w:hAnsi="Times New Roman" w:cs="Times New Roman"/>
          <w:lang w:val="en-US"/>
        </w:rPr>
        <w:t xml:space="preserve"> the obligations of the</w:t>
      </w:r>
      <w:r w:rsidRPr="003F16D1">
        <w:rPr>
          <w:rFonts w:ascii="Times New Roman" w:hAnsi="Times New Roman" w:cs="Times New Roman"/>
          <w:lang w:val="en-US"/>
        </w:rPr>
        <w:t xml:space="preserve"> States parties relating to accessibility (art. 9) because the general accessibility of all public places, transport, information, communication and facilities and services open to the public in a respective community is a precondition for independent and community living. Article 9 requires the identification and elimination of barriers </w:t>
      </w:r>
      <w:r w:rsidR="00443616" w:rsidRPr="003F16D1">
        <w:rPr>
          <w:rFonts w:ascii="Times New Roman" w:hAnsi="Times New Roman" w:cs="Times New Roman"/>
          <w:lang w:val="en-US"/>
        </w:rPr>
        <w:t xml:space="preserve">in buildings </w:t>
      </w:r>
      <w:r w:rsidRPr="003F16D1">
        <w:rPr>
          <w:rFonts w:ascii="Times New Roman" w:hAnsi="Times New Roman" w:cs="Times New Roman"/>
          <w:lang w:val="en-US"/>
        </w:rPr>
        <w:t xml:space="preserve">open </w:t>
      </w:r>
      <w:r w:rsidR="002860FB">
        <w:rPr>
          <w:rFonts w:ascii="Times New Roman" w:hAnsi="Times New Roman" w:cs="Times New Roman"/>
          <w:lang w:val="en-US"/>
        </w:rPr>
        <w:t xml:space="preserve">                                                                                                                                                                                                                                                                                                                </w:t>
      </w:r>
      <w:r w:rsidRPr="003F16D1">
        <w:rPr>
          <w:rFonts w:ascii="Times New Roman" w:hAnsi="Times New Roman" w:cs="Times New Roman"/>
          <w:lang w:val="en-US"/>
        </w:rPr>
        <w:t xml:space="preserve">to the public, such as the revision of building control acts and urban planning codes, the inclusion of standards of universal design in a variety of sectors, and the establishment of accessibility standards for housing. </w:t>
      </w:r>
    </w:p>
    <w:p w:rsidR="00614B71" w:rsidRPr="003F16D1" w:rsidRDefault="00614B71" w:rsidP="00614B71">
      <w:pPr>
        <w:pStyle w:val="ListParagraph"/>
        <w:rPr>
          <w:rFonts w:ascii="Times New Roman" w:hAnsi="Times New Roman" w:cs="Times New Roman"/>
          <w:lang w:val="en-US"/>
        </w:rPr>
      </w:pPr>
    </w:p>
    <w:p w:rsidR="00443616" w:rsidRPr="003F16D1" w:rsidRDefault="00283EFF" w:rsidP="003F16D1">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States parties must take into account the need to provide support services to persons with disabilities in all disaster risk management activities (art. 11) in order to make sure they are not left behind or forgotten. It is also important that barriers are not rebuil</w:t>
      </w:r>
      <w:r w:rsidR="00443616" w:rsidRPr="003F16D1">
        <w:rPr>
          <w:rFonts w:ascii="Times New Roman" w:hAnsi="Times New Roman" w:cs="Times New Roman"/>
          <w:lang w:val="en-US"/>
        </w:rPr>
        <w:t>t</w:t>
      </w:r>
      <w:r w:rsidRPr="003F16D1">
        <w:rPr>
          <w:rFonts w:ascii="Times New Roman" w:hAnsi="Times New Roman" w:cs="Times New Roman"/>
          <w:lang w:val="en-US"/>
        </w:rPr>
        <w:t xml:space="preserve"> after natural disasters or armed conflict</w:t>
      </w:r>
      <w:r w:rsidR="00443616" w:rsidRPr="003F16D1">
        <w:rPr>
          <w:rFonts w:ascii="Times New Roman" w:hAnsi="Times New Roman" w:cs="Times New Roman"/>
          <w:lang w:val="en-US"/>
        </w:rPr>
        <w:t>s</w:t>
      </w:r>
      <w:r w:rsidRPr="003F16D1">
        <w:rPr>
          <w:rFonts w:ascii="Times New Roman" w:hAnsi="Times New Roman" w:cs="Times New Roman"/>
          <w:lang w:val="en-US"/>
        </w:rPr>
        <w:t>.</w:t>
      </w:r>
    </w:p>
    <w:p w:rsidR="00443616" w:rsidRPr="003F16D1" w:rsidRDefault="00443616" w:rsidP="00443616">
      <w:pPr>
        <w:pStyle w:val="ListParagraph"/>
        <w:spacing w:before="120" w:after="120"/>
        <w:ind w:left="714"/>
        <w:jc w:val="both"/>
        <w:rPr>
          <w:rFonts w:ascii="Times New Roman" w:hAnsi="Times New Roman" w:cs="Times New Roman"/>
          <w:lang w:val="en-US"/>
        </w:rPr>
      </w:pPr>
    </w:p>
    <w:p w:rsidR="00614B71" w:rsidRPr="003F16D1" w:rsidRDefault="00283EFF" w:rsidP="00F866DC">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Equal recognition before the law (art. 12) ensures that all persons with disabilities have the right to exercise their full legal capacity and therefore have the equal right </w:t>
      </w:r>
      <w:r w:rsidR="007C5BE9" w:rsidRPr="003F16D1">
        <w:rPr>
          <w:rFonts w:ascii="Times New Roman" w:hAnsi="Times New Roman" w:cs="Times New Roman"/>
          <w:lang w:val="en-US"/>
        </w:rPr>
        <w:t>to choose</w:t>
      </w:r>
      <w:r w:rsidRPr="003F16D1">
        <w:rPr>
          <w:rFonts w:ascii="Times New Roman" w:hAnsi="Times New Roman" w:cs="Times New Roman"/>
          <w:lang w:val="en-US"/>
        </w:rPr>
        <w:t xml:space="preserve"> and control over their own li</w:t>
      </w:r>
      <w:r w:rsidR="00443616" w:rsidRPr="003F16D1">
        <w:rPr>
          <w:rFonts w:ascii="Times New Roman" w:hAnsi="Times New Roman" w:cs="Times New Roman"/>
          <w:lang w:val="en-US"/>
        </w:rPr>
        <w:t>ves</w:t>
      </w:r>
      <w:r w:rsidRPr="003F16D1">
        <w:rPr>
          <w:rFonts w:ascii="Times New Roman" w:hAnsi="Times New Roman" w:cs="Times New Roman"/>
          <w:lang w:val="en-US"/>
        </w:rPr>
        <w:t xml:space="preserve"> by choosing where, with whom and how they want to live and to receive support according to their will and preferences. To fully realize the transition from substitute to supported decision-making and implement the rights enshrined in article 12, it is imperative that persons with disabilities have the opportunity to develop and express their will and preferences in order to exercise their legal capacity on an equal basis with others. To achieve this</w:t>
      </w:r>
      <w:r w:rsidR="00443616" w:rsidRPr="003F16D1">
        <w:rPr>
          <w:rFonts w:ascii="Times New Roman" w:hAnsi="Times New Roman" w:cs="Times New Roman"/>
          <w:lang w:val="en-US"/>
        </w:rPr>
        <w:t>,</w:t>
      </w:r>
      <w:r w:rsidRPr="003F16D1">
        <w:rPr>
          <w:rFonts w:ascii="Times New Roman" w:hAnsi="Times New Roman" w:cs="Times New Roman"/>
          <w:lang w:val="en-US"/>
        </w:rPr>
        <w:t xml:space="preserve"> they have to be a part of the community</w:t>
      </w:r>
      <w:r w:rsidR="002860FB">
        <w:rPr>
          <w:rFonts w:ascii="Times New Roman" w:hAnsi="Times New Roman" w:cs="Times New Roman"/>
          <w:lang w:val="en-US"/>
        </w:rPr>
        <w:t xml:space="preserve"> </w:t>
      </w:r>
      <w:r w:rsidR="002860FB" w:rsidRPr="00B4466F">
        <w:rPr>
          <w:rFonts w:ascii="Times New Roman" w:eastAsia="Times New Roman" w:hAnsi="Times New Roman" w:cs="Times New Roman"/>
          <w:i/>
          <w:color w:val="FF0000"/>
          <w:lang w:val="en-GB"/>
        </w:rPr>
        <w:t>and have to be ensured access to mainstream as well as personalized community-based services.</w:t>
      </w:r>
      <w:r w:rsidR="00BE6F49" w:rsidRPr="00BE6F49">
        <w:rPr>
          <w:rFonts w:ascii="Times New Roman" w:eastAsia="Times New Roman" w:hAnsi="Times New Roman" w:cs="Times New Roman"/>
          <w:color w:val="FF0000"/>
          <w:lang w:val="en-GB"/>
        </w:rPr>
        <w:t xml:space="preserve"> Accordingly</w:t>
      </w:r>
      <w:r w:rsidRPr="00BE6F49">
        <w:rPr>
          <w:rFonts w:ascii="Times New Roman" w:hAnsi="Times New Roman" w:cs="Times New Roman"/>
          <w:color w:val="FF0000"/>
          <w:lang w:val="en-US"/>
        </w:rPr>
        <w:t>,</w:t>
      </w:r>
      <w:r w:rsidRPr="003F16D1">
        <w:rPr>
          <w:rFonts w:ascii="Times New Roman" w:hAnsi="Times New Roman" w:cs="Times New Roman"/>
          <w:lang w:val="en-US"/>
        </w:rPr>
        <w:t xml:space="preserve"> support in the exercise of legal capacity should be provided by using a community-based approach which respects the will and preferences of individuals with disabilities.</w:t>
      </w:r>
    </w:p>
    <w:p w:rsidR="00367F91" w:rsidRDefault="00367F91" w:rsidP="00367F91">
      <w:pPr>
        <w:pStyle w:val="ListParagraph"/>
        <w:spacing w:before="120" w:after="120"/>
        <w:ind w:left="0"/>
        <w:jc w:val="both"/>
        <w:rPr>
          <w:rFonts w:ascii="Times New Roman" w:hAnsi="Times New Roman" w:cs="Times New Roman"/>
          <w:lang w:val="en-US"/>
        </w:rPr>
      </w:pPr>
    </w:p>
    <w:p w:rsidR="00367F91" w:rsidRDefault="00367F91" w:rsidP="00367F91">
      <w:pPr>
        <w:pStyle w:val="ListParagraph"/>
        <w:spacing w:before="120" w:after="120"/>
        <w:ind w:left="357"/>
        <w:jc w:val="both"/>
        <w:rPr>
          <w:rFonts w:ascii="Times New Roman" w:eastAsia="Times New Roman" w:hAnsi="Times New Roman" w:cs="Times New Roman"/>
          <w:color w:val="FF0000"/>
          <w:lang w:val="en-GB"/>
        </w:rPr>
      </w:pPr>
      <w:r w:rsidRPr="00367F91">
        <w:rPr>
          <w:rFonts w:ascii="Times New Roman" w:eastAsia="Times New Roman" w:hAnsi="Times New Roman" w:cs="Times New Roman"/>
          <w:color w:val="FF0000"/>
          <w:lang w:val="en-GB"/>
        </w:rPr>
        <w:t>Access to justice is fundamental to ensure full enjoyment of the right to independent and community living. State</w:t>
      </w:r>
      <w:r w:rsidRPr="00367F91">
        <w:rPr>
          <w:rFonts w:ascii="Times New Roman" w:eastAsia="Times New Roman" w:hAnsi="Times New Roman" w:cs="Times New Roman"/>
          <w:strike/>
          <w:color w:val="FF0000"/>
          <w:lang w:val="en-GB"/>
        </w:rPr>
        <w:t>s</w:t>
      </w:r>
      <w:r w:rsidRPr="00367F91">
        <w:rPr>
          <w:rFonts w:ascii="Times New Roman" w:eastAsia="Times New Roman" w:hAnsi="Times New Roman" w:cs="Times New Roman"/>
          <w:color w:val="FF0000"/>
          <w:lang w:val="en-GB"/>
        </w:rPr>
        <w:t xml:space="preserve"> parties must ensure that all persons with disabilities have legal capacity and standing in courts. States parties must furthermore ensure that all decisions concerning independent and community living may be subject to appeal. Support to enable independent and community living shall be justiciable as rights and entitlements. To ensure equal and effective access to justice substantial rights to legal aid, support and reasonable accommodation are essential</w:t>
      </w:r>
    </w:p>
    <w:p w:rsidR="00367F91" w:rsidRPr="00367F91" w:rsidRDefault="00367F91" w:rsidP="00367F91">
      <w:pPr>
        <w:pStyle w:val="ListParagraph"/>
        <w:spacing w:before="120" w:after="120"/>
        <w:ind w:left="357"/>
        <w:jc w:val="both"/>
        <w:rPr>
          <w:rFonts w:ascii="Times New Roman" w:hAnsi="Times New Roman" w:cs="Times New Roman"/>
          <w:lang w:val="en-US"/>
        </w:rPr>
      </w:pPr>
    </w:p>
    <w:p w:rsidR="00614B71" w:rsidRPr="003F16D1" w:rsidRDefault="00283EFF" w:rsidP="00614B71">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Placing persons with disabilities in institutions or depriving them of their liberty because of their impairment or against their free will</w:t>
      </w:r>
      <w:r w:rsidR="00443616" w:rsidRPr="003F16D1">
        <w:rPr>
          <w:rFonts w:ascii="Times New Roman" w:hAnsi="Times New Roman" w:cs="Times New Roman"/>
          <w:lang w:val="en-US"/>
        </w:rPr>
        <w:t>, or also</w:t>
      </w:r>
      <w:r w:rsidRPr="003F16D1">
        <w:rPr>
          <w:rFonts w:ascii="Times New Roman" w:hAnsi="Times New Roman" w:cs="Times New Roman"/>
          <w:lang w:val="en-US"/>
        </w:rPr>
        <w:t xml:space="preserve"> because there is no support available in the communi</w:t>
      </w:r>
      <w:r w:rsidR="00614B71" w:rsidRPr="003F16D1">
        <w:rPr>
          <w:rFonts w:ascii="Times New Roman" w:hAnsi="Times New Roman" w:cs="Times New Roman"/>
          <w:lang w:val="en-US"/>
        </w:rPr>
        <w:t>ty is a violation of article 14.</w:t>
      </w:r>
    </w:p>
    <w:p w:rsidR="00614B71" w:rsidRPr="003F16D1" w:rsidRDefault="00614B71" w:rsidP="00614B71">
      <w:pPr>
        <w:pStyle w:val="ListParagraph"/>
        <w:rPr>
          <w:rFonts w:ascii="Times New Roman" w:hAnsi="Times New Roman" w:cs="Times New Roman"/>
          <w:lang w:val="en-US"/>
        </w:rPr>
      </w:pPr>
    </w:p>
    <w:p w:rsidR="00614B71" w:rsidRPr="003F16D1" w:rsidRDefault="00283EFF" w:rsidP="00614B71">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It is of paramount significance to ensure that support services leave no space for potential abuse, exploitation of </w:t>
      </w:r>
      <w:r w:rsidR="00443616" w:rsidRPr="003F16D1">
        <w:rPr>
          <w:rFonts w:ascii="Times New Roman" w:hAnsi="Times New Roman" w:cs="Times New Roman"/>
          <w:lang w:val="en-US"/>
        </w:rPr>
        <w:t xml:space="preserve">persons with disabilities </w:t>
      </w:r>
      <w:r w:rsidRPr="003F16D1">
        <w:rPr>
          <w:rFonts w:ascii="Times New Roman" w:hAnsi="Times New Roman" w:cs="Times New Roman"/>
          <w:lang w:val="en-US"/>
        </w:rPr>
        <w:t xml:space="preserve">or any violence against them (art. 16). </w:t>
      </w:r>
      <w:r w:rsidR="00FF09AE" w:rsidRPr="00C84B81">
        <w:rPr>
          <w:rFonts w:ascii="Times New Roman" w:hAnsi="Times New Roman" w:cs="Times New Roman"/>
          <w:color w:val="FF0000"/>
          <w:lang w:val="en-US"/>
        </w:rPr>
        <w:t>Since potential for abuse increases with lack of power in hierarchically structured systems where persons with disabilitie</w:t>
      </w:r>
      <w:r w:rsidR="00C84B81">
        <w:rPr>
          <w:rFonts w:ascii="Times New Roman" w:hAnsi="Times New Roman" w:cs="Times New Roman"/>
          <w:color w:val="FF0000"/>
          <w:lang w:val="en-US"/>
        </w:rPr>
        <w:t>s typically are at</w:t>
      </w:r>
      <w:r w:rsidR="00FF09AE" w:rsidRPr="00C84B81">
        <w:rPr>
          <w:rFonts w:ascii="Times New Roman" w:hAnsi="Times New Roman" w:cs="Times New Roman"/>
          <w:color w:val="FF0000"/>
          <w:lang w:val="en-US"/>
        </w:rPr>
        <w:t xml:space="preserve"> the hierarchy</w:t>
      </w:r>
      <w:r w:rsidR="00C84B81">
        <w:rPr>
          <w:rFonts w:ascii="Times New Roman" w:hAnsi="Times New Roman" w:cs="Times New Roman"/>
          <w:color w:val="FF0000"/>
          <w:lang w:val="en-US"/>
        </w:rPr>
        <w:t>’s bottom</w:t>
      </w:r>
      <w:r w:rsidR="00FF09AE" w:rsidRPr="00C84B81">
        <w:rPr>
          <w:rFonts w:ascii="Times New Roman" w:hAnsi="Times New Roman" w:cs="Times New Roman"/>
          <w:color w:val="FF0000"/>
          <w:lang w:val="en-US"/>
        </w:rPr>
        <w:t xml:space="preserve">, </w:t>
      </w:r>
      <w:r w:rsidR="00863AC0" w:rsidRPr="00C84B81">
        <w:rPr>
          <w:rFonts w:ascii="Times New Roman" w:hAnsi="Times New Roman" w:cs="Times New Roman"/>
          <w:color w:val="FF0000"/>
          <w:lang w:val="en-US"/>
        </w:rPr>
        <w:t>support services, such as personal assistance, that empower service users through self-determination and freedom of choice can be an antidote to abuse</w:t>
      </w:r>
      <w:r w:rsidR="00863AC0">
        <w:rPr>
          <w:rFonts w:ascii="Times New Roman" w:hAnsi="Times New Roman" w:cs="Times New Roman"/>
          <w:lang w:val="en-US"/>
        </w:rPr>
        <w:t xml:space="preserve">. </w:t>
      </w:r>
      <w:r w:rsidRPr="003F16D1">
        <w:rPr>
          <w:rFonts w:ascii="Times New Roman" w:hAnsi="Times New Roman" w:cs="Times New Roman"/>
          <w:lang w:val="en-US"/>
        </w:rPr>
        <w:t>Disability, gender and age</w:t>
      </w:r>
      <w:r w:rsidR="00E92DFF" w:rsidRPr="003F16D1">
        <w:rPr>
          <w:rFonts w:ascii="Times New Roman" w:hAnsi="Times New Roman" w:cs="Times New Roman"/>
          <w:lang w:val="en-US"/>
        </w:rPr>
        <w:t>-</w:t>
      </w:r>
      <w:r w:rsidRPr="003F16D1">
        <w:rPr>
          <w:rFonts w:ascii="Times New Roman" w:hAnsi="Times New Roman" w:cs="Times New Roman"/>
          <w:lang w:val="en-US"/>
        </w:rPr>
        <w:t xml:space="preserve">sensitive monitoring, legal remedies and relief must be available for all </w:t>
      </w:r>
      <w:r w:rsidR="00443616" w:rsidRPr="003F16D1">
        <w:rPr>
          <w:rFonts w:ascii="Times New Roman" w:hAnsi="Times New Roman" w:cs="Times New Roman"/>
          <w:lang w:val="en-US"/>
        </w:rPr>
        <w:t>persons with disabilities</w:t>
      </w:r>
      <w:r w:rsidR="00E92DFF" w:rsidRPr="003F16D1">
        <w:rPr>
          <w:rFonts w:ascii="Times New Roman" w:hAnsi="Times New Roman" w:cs="Times New Roman"/>
          <w:lang w:val="en-US"/>
        </w:rPr>
        <w:t xml:space="preserve"> who use</w:t>
      </w:r>
      <w:r w:rsidR="00443616" w:rsidRPr="003F16D1">
        <w:rPr>
          <w:rFonts w:ascii="Times New Roman" w:hAnsi="Times New Roman" w:cs="Times New Roman"/>
          <w:lang w:val="en-US"/>
        </w:rPr>
        <w:t xml:space="preserve"> </w:t>
      </w:r>
      <w:r w:rsidR="00714CB0">
        <w:rPr>
          <w:rFonts w:ascii="Times New Roman" w:hAnsi="Times New Roman" w:cs="Times New Roman"/>
          <w:lang w:val="en-US"/>
        </w:rPr>
        <w:t xml:space="preserve">services prescribed </w:t>
      </w:r>
      <w:r w:rsidRPr="003F16D1">
        <w:rPr>
          <w:rFonts w:ascii="Times New Roman" w:hAnsi="Times New Roman" w:cs="Times New Roman"/>
          <w:lang w:val="en-US"/>
        </w:rPr>
        <w:t xml:space="preserve">in article </w:t>
      </w:r>
      <w:r w:rsidR="00E92DFF" w:rsidRPr="003F16D1">
        <w:rPr>
          <w:rFonts w:ascii="Times New Roman" w:hAnsi="Times New Roman" w:cs="Times New Roman"/>
          <w:lang w:val="en-US"/>
        </w:rPr>
        <w:t xml:space="preserve">19 and </w:t>
      </w:r>
      <w:r w:rsidRPr="003F16D1">
        <w:rPr>
          <w:rFonts w:ascii="Times New Roman" w:hAnsi="Times New Roman" w:cs="Times New Roman"/>
          <w:lang w:val="en-US"/>
        </w:rPr>
        <w:t xml:space="preserve">who may face abuse, violence and exploitation. </w:t>
      </w:r>
    </w:p>
    <w:p w:rsidR="00614B71" w:rsidRPr="003F16D1" w:rsidRDefault="00614B71" w:rsidP="00614B71">
      <w:pPr>
        <w:pStyle w:val="ListParagraph"/>
        <w:rPr>
          <w:rFonts w:ascii="Times New Roman" w:hAnsi="Times New Roman" w:cs="Times New Roman"/>
          <w:lang w:val="en-US"/>
        </w:rPr>
      </w:pPr>
    </w:p>
    <w:p w:rsidR="00614B71" w:rsidRPr="003F16D1" w:rsidRDefault="00283EFF" w:rsidP="00614B71">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Without support of personal mobility (art. 20), barriers to independent and community living remain existent for many persons with disabilities. The provision </w:t>
      </w:r>
      <w:r w:rsidR="00AF0F72" w:rsidRPr="003F16D1">
        <w:rPr>
          <w:rFonts w:ascii="Times New Roman" w:hAnsi="Times New Roman" w:cs="Times New Roman"/>
          <w:lang w:val="en-US"/>
        </w:rPr>
        <w:t xml:space="preserve">of </w:t>
      </w:r>
      <w:r w:rsidRPr="003F16D1">
        <w:rPr>
          <w:rFonts w:ascii="Times New Roman" w:hAnsi="Times New Roman" w:cs="Times New Roman"/>
          <w:lang w:val="en-US"/>
        </w:rPr>
        <w:t>affordable and available quality mobility aids, devices, assistive technologies and forms of live assistance and intermediaries as enshrined in article 20 is a pre-condition for the full inclusion and participation of persons with disabilities in t</w:t>
      </w:r>
      <w:r w:rsidRPr="00C84B81">
        <w:rPr>
          <w:rFonts w:ascii="Times New Roman" w:hAnsi="Times New Roman" w:cs="Times New Roman"/>
          <w:strike/>
          <w:color w:val="FF0000"/>
          <w:lang w:val="en-US"/>
        </w:rPr>
        <w:t xml:space="preserve">heir respective </w:t>
      </w:r>
      <w:r w:rsidR="00C84B81" w:rsidRPr="00C84B81">
        <w:rPr>
          <w:rFonts w:ascii="Times New Roman" w:hAnsi="Times New Roman" w:cs="Times New Roman"/>
          <w:color w:val="FF0000"/>
          <w:lang w:val="en-US"/>
        </w:rPr>
        <w:t xml:space="preserve">the </w:t>
      </w:r>
      <w:r w:rsidRPr="003F16D1">
        <w:rPr>
          <w:rFonts w:ascii="Times New Roman" w:hAnsi="Times New Roman" w:cs="Times New Roman"/>
          <w:lang w:val="en-US"/>
        </w:rPr>
        <w:t>commun</w:t>
      </w:r>
      <w:r w:rsidR="00C84B81">
        <w:rPr>
          <w:rFonts w:ascii="Times New Roman" w:hAnsi="Times New Roman" w:cs="Times New Roman"/>
          <w:lang w:val="en-US"/>
        </w:rPr>
        <w:t>it</w:t>
      </w:r>
      <w:r w:rsidR="00C84B81" w:rsidRPr="00497966">
        <w:rPr>
          <w:rFonts w:ascii="Times New Roman" w:hAnsi="Times New Roman" w:cs="Times New Roman"/>
          <w:color w:val="FF0000"/>
          <w:lang w:val="en-US"/>
        </w:rPr>
        <w:t>y</w:t>
      </w:r>
      <w:r w:rsidRPr="003F16D1">
        <w:rPr>
          <w:rFonts w:ascii="Times New Roman" w:hAnsi="Times New Roman" w:cs="Times New Roman"/>
          <w:lang w:val="en-US"/>
        </w:rPr>
        <w:t xml:space="preserve">. </w:t>
      </w:r>
    </w:p>
    <w:p w:rsidR="00614B71" w:rsidRPr="003F16D1" w:rsidRDefault="00614B71" w:rsidP="00614B71">
      <w:pPr>
        <w:pStyle w:val="ListParagraph"/>
        <w:rPr>
          <w:rFonts w:ascii="Times New Roman" w:hAnsi="Times New Roman" w:cs="Times New Roman"/>
          <w:lang w:val="en-US"/>
        </w:rPr>
      </w:pPr>
    </w:p>
    <w:p w:rsidR="00614B71" w:rsidRPr="003F16D1" w:rsidRDefault="00283EFF" w:rsidP="00614B71">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Persons with disabilities have the right to access all public information in accessible formats and to seek, receive and express information and ideas on an equal basis with others (art. 21). Communication can be undertaken in forms and formats of their choice, including Braille, sign language</w:t>
      </w:r>
      <w:r w:rsidR="007C5BE9" w:rsidRPr="003F16D1">
        <w:rPr>
          <w:rFonts w:ascii="Times New Roman" w:hAnsi="Times New Roman" w:cs="Times New Roman"/>
          <w:lang w:val="en-US"/>
        </w:rPr>
        <w:t>, tactile</w:t>
      </w:r>
      <w:r w:rsidRPr="003F16D1">
        <w:rPr>
          <w:rFonts w:ascii="Times New Roman" w:hAnsi="Times New Roman" w:cs="Times New Roman"/>
          <w:lang w:val="en-US"/>
        </w:rPr>
        <w:t xml:space="preserve">, easy to read formats and alternative modes of communication. It is of particular importance that information about support services and social protection schemes, including disability related mechanisms, is available from a diversity of sources in order to enable persons with disabilities to make fully informed decisions and choices about where, with whom and how to live and what kind of service is </w:t>
      </w:r>
      <w:r w:rsidR="00AF0F72" w:rsidRPr="003F16D1">
        <w:rPr>
          <w:rFonts w:ascii="Times New Roman" w:hAnsi="Times New Roman" w:cs="Times New Roman"/>
          <w:lang w:val="en-US"/>
        </w:rPr>
        <w:t xml:space="preserve">best </w:t>
      </w:r>
      <w:r w:rsidRPr="003F16D1">
        <w:rPr>
          <w:rFonts w:ascii="Times New Roman" w:hAnsi="Times New Roman" w:cs="Times New Roman"/>
          <w:lang w:val="en-US"/>
        </w:rPr>
        <w:t>suited.</w:t>
      </w:r>
    </w:p>
    <w:p w:rsidR="00614B71" w:rsidRPr="003F16D1" w:rsidRDefault="00614B71" w:rsidP="00614B71">
      <w:pPr>
        <w:pStyle w:val="ListParagraph"/>
        <w:rPr>
          <w:rFonts w:ascii="Times New Roman" w:hAnsi="Times New Roman" w:cs="Times New Roman"/>
          <w:lang w:val="en-US"/>
        </w:rPr>
      </w:pPr>
    </w:p>
    <w:p w:rsidR="00614B71" w:rsidRPr="003F16D1" w:rsidRDefault="00283EFF" w:rsidP="00614B71">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States parties </w:t>
      </w:r>
      <w:r w:rsidR="00614B71" w:rsidRPr="003F16D1">
        <w:rPr>
          <w:rFonts w:ascii="Times New Roman" w:hAnsi="Times New Roman" w:cs="Times New Roman"/>
          <w:lang w:val="en-US"/>
        </w:rPr>
        <w:t>should</w:t>
      </w:r>
      <w:r w:rsidRPr="003F16D1">
        <w:rPr>
          <w:rFonts w:ascii="Times New Roman" w:hAnsi="Times New Roman" w:cs="Times New Roman"/>
          <w:lang w:val="en-US"/>
        </w:rPr>
        <w:t xml:space="preserve"> ensure that in the provision of support services under article 19, the privacy, family, home, correspondence and honor of </w:t>
      </w:r>
      <w:r w:rsidR="00AF0F72" w:rsidRPr="003F16D1">
        <w:rPr>
          <w:rFonts w:ascii="Times New Roman" w:hAnsi="Times New Roman" w:cs="Times New Roman"/>
          <w:lang w:val="en-US"/>
        </w:rPr>
        <w:t>person</w:t>
      </w:r>
      <w:r w:rsidR="00E92DFF" w:rsidRPr="003F16D1">
        <w:rPr>
          <w:rFonts w:ascii="Times New Roman" w:hAnsi="Times New Roman" w:cs="Times New Roman"/>
          <w:lang w:val="en-US"/>
        </w:rPr>
        <w:t>s with disabilities</w:t>
      </w:r>
      <w:r w:rsidR="00AF0F72" w:rsidRPr="003F16D1">
        <w:rPr>
          <w:rFonts w:ascii="Times New Roman" w:hAnsi="Times New Roman" w:cs="Times New Roman"/>
          <w:lang w:val="en-US"/>
        </w:rPr>
        <w:t xml:space="preserve"> </w:t>
      </w:r>
      <w:r w:rsidRPr="003F16D1">
        <w:rPr>
          <w:rFonts w:ascii="Times New Roman" w:hAnsi="Times New Roman" w:cs="Times New Roman"/>
          <w:lang w:val="en-US"/>
        </w:rPr>
        <w:t>are protected from any unlawful interference (art. 22). In any case of unlawful interference, disability, gender and age</w:t>
      </w:r>
      <w:r w:rsidR="00E92DFF" w:rsidRPr="003F16D1">
        <w:rPr>
          <w:rFonts w:ascii="Times New Roman" w:hAnsi="Times New Roman" w:cs="Times New Roman"/>
          <w:lang w:val="en-US"/>
        </w:rPr>
        <w:t>-</w:t>
      </w:r>
      <w:r w:rsidRPr="003F16D1">
        <w:rPr>
          <w:rFonts w:ascii="Times New Roman" w:hAnsi="Times New Roman" w:cs="Times New Roman"/>
          <w:lang w:val="en-US"/>
        </w:rPr>
        <w:t xml:space="preserve">sensitive monitoring, legal remedies and relief must be available for all </w:t>
      </w:r>
      <w:r w:rsidR="00E92DFF" w:rsidRPr="003F16D1">
        <w:rPr>
          <w:rFonts w:ascii="Times New Roman" w:hAnsi="Times New Roman" w:cs="Times New Roman"/>
          <w:lang w:val="en-US"/>
        </w:rPr>
        <w:t xml:space="preserve">persons with disabilities using support </w:t>
      </w:r>
      <w:r w:rsidRPr="003F16D1">
        <w:rPr>
          <w:rFonts w:ascii="Times New Roman" w:hAnsi="Times New Roman" w:cs="Times New Roman"/>
          <w:lang w:val="en-US"/>
        </w:rPr>
        <w:t xml:space="preserve">of services. </w:t>
      </w:r>
    </w:p>
    <w:p w:rsidR="00614B71" w:rsidRPr="003F16D1" w:rsidRDefault="00614B71" w:rsidP="00614B71">
      <w:pPr>
        <w:pStyle w:val="ListParagraph"/>
        <w:rPr>
          <w:rFonts w:ascii="Times New Roman" w:hAnsi="Times New Roman" w:cs="Times New Roman"/>
          <w:lang w:val="en-US"/>
        </w:rPr>
      </w:pPr>
    </w:p>
    <w:p w:rsidR="00892508" w:rsidRPr="00712DCB" w:rsidRDefault="00283EFF" w:rsidP="00712DCB">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The right to independent and community living is intimately linked with the right to family for children and parents with disabilities (art. 23). If community based support and services are not in place, this may create financial pressures and constraints for the family of persons with disabilities; the rights enshrined in article 23</w:t>
      </w:r>
      <w:r w:rsidR="00614B71" w:rsidRPr="003F16D1">
        <w:rPr>
          <w:rFonts w:ascii="Times New Roman" w:hAnsi="Times New Roman" w:cs="Times New Roman"/>
          <w:lang w:val="en-US"/>
        </w:rPr>
        <w:t xml:space="preserve"> of the Convention</w:t>
      </w:r>
      <w:r w:rsidRPr="003F16D1">
        <w:rPr>
          <w:rFonts w:ascii="Times New Roman" w:hAnsi="Times New Roman" w:cs="Times New Roman"/>
          <w:lang w:val="en-US"/>
        </w:rPr>
        <w:t xml:space="preserve"> are essential to prevent children from being taken away from their families and being institutionalized</w:t>
      </w:r>
      <w:r w:rsidR="00AF0F72" w:rsidRPr="003F16D1">
        <w:rPr>
          <w:rFonts w:ascii="Times New Roman" w:hAnsi="Times New Roman" w:cs="Times New Roman"/>
          <w:lang w:val="en-US"/>
        </w:rPr>
        <w:t xml:space="preserve"> as well as </w:t>
      </w:r>
      <w:r w:rsidRPr="003F16D1">
        <w:rPr>
          <w:rFonts w:ascii="Times New Roman" w:hAnsi="Times New Roman" w:cs="Times New Roman"/>
          <w:lang w:val="en-US"/>
        </w:rPr>
        <w:t xml:space="preserve">to support families in community living. </w:t>
      </w:r>
      <w:r w:rsidR="00CA6D00" w:rsidRPr="00B4466F">
        <w:rPr>
          <w:rFonts w:ascii="Times New Roman" w:eastAsia="Times New Roman" w:hAnsi="Times New Roman" w:cs="Times New Roman"/>
          <w:i/>
          <w:color w:val="FF0000"/>
          <w:lang w:val="en-GB"/>
        </w:rPr>
        <w:t>These rights are equally important to ensure that children are not taken away from t</w:t>
      </w:r>
      <w:r w:rsidR="00CA6D00">
        <w:rPr>
          <w:rFonts w:ascii="Times New Roman" w:eastAsia="Times New Roman" w:hAnsi="Times New Roman" w:cs="Times New Roman"/>
          <w:i/>
          <w:color w:val="FF0000"/>
          <w:lang w:val="en-GB"/>
        </w:rPr>
        <w:t>heir parents due to the latters’</w:t>
      </w:r>
      <w:r w:rsidR="00CA6D00" w:rsidRPr="00B4466F">
        <w:rPr>
          <w:rFonts w:ascii="Times New Roman" w:eastAsia="Times New Roman" w:hAnsi="Times New Roman" w:cs="Times New Roman"/>
          <w:i/>
          <w:color w:val="FF0000"/>
          <w:lang w:val="en-GB"/>
        </w:rPr>
        <w:t xml:space="preserve"> disability.</w:t>
      </w:r>
      <w:r w:rsidR="00CA6D00" w:rsidRPr="00B4466F">
        <w:rPr>
          <w:rFonts w:ascii="Times New Roman" w:eastAsia="Times New Roman" w:hAnsi="Times New Roman" w:cs="Times New Roman"/>
          <w:color w:val="FF0000"/>
          <w:lang w:val="en-GB"/>
        </w:rPr>
        <w:t xml:space="preserve"> </w:t>
      </w:r>
      <w:r w:rsidR="00614B71" w:rsidRPr="003F16D1">
        <w:rPr>
          <w:rFonts w:ascii="Times New Roman" w:hAnsi="Times New Roman" w:cs="Times New Roman"/>
          <w:lang w:val="en-US"/>
        </w:rPr>
        <w:t>States parties should</w:t>
      </w:r>
      <w:r w:rsidRPr="003F16D1">
        <w:rPr>
          <w:rFonts w:ascii="Times New Roman" w:hAnsi="Times New Roman" w:cs="Times New Roman"/>
          <w:lang w:val="en-US"/>
        </w:rPr>
        <w:t xml:space="preserve"> </w:t>
      </w:r>
      <w:r w:rsidR="00AB5D44" w:rsidRPr="003F16D1">
        <w:rPr>
          <w:rFonts w:ascii="Times New Roman" w:hAnsi="Times New Roman" w:cs="Times New Roman"/>
          <w:lang w:val="en-US"/>
        </w:rPr>
        <w:t xml:space="preserve">provide </w:t>
      </w:r>
      <w:r w:rsidRPr="003F16D1">
        <w:rPr>
          <w:rFonts w:ascii="Times New Roman" w:hAnsi="Times New Roman" w:cs="Times New Roman"/>
          <w:lang w:val="en-US"/>
        </w:rPr>
        <w:t>information, guidance and suppor</w:t>
      </w:r>
      <w:r w:rsidR="00CA6D00">
        <w:rPr>
          <w:rFonts w:ascii="Times New Roman" w:hAnsi="Times New Roman" w:cs="Times New Roman"/>
          <w:lang w:val="en-US"/>
        </w:rPr>
        <w:t xml:space="preserve">t to families in upholding </w:t>
      </w:r>
      <w:r w:rsidR="00CA6D00" w:rsidRPr="00B82322">
        <w:rPr>
          <w:rFonts w:ascii="Times New Roman" w:hAnsi="Times New Roman" w:cs="Times New Roman"/>
          <w:color w:val="FF0000"/>
          <w:lang w:val="en-US"/>
        </w:rPr>
        <w:t>the rights of disabled</w:t>
      </w:r>
      <w:r w:rsidRPr="00B82322">
        <w:rPr>
          <w:rFonts w:ascii="Times New Roman" w:hAnsi="Times New Roman" w:cs="Times New Roman"/>
          <w:color w:val="FF0000"/>
          <w:lang w:val="en-US"/>
        </w:rPr>
        <w:t xml:space="preserve"> </w:t>
      </w:r>
      <w:r w:rsidR="00CA6D00" w:rsidRPr="00B82322">
        <w:rPr>
          <w:rFonts w:ascii="Times New Roman" w:hAnsi="Times New Roman" w:cs="Times New Roman"/>
          <w:color w:val="FF0000"/>
          <w:lang w:val="en-US"/>
        </w:rPr>
        <w:t>children and the rights of disabled parents to their families</w:t>
      </w:r>
      <w:r w:rsidR="00B82322" w:rsidRPr="00B82322">
        <w:rPr>
          <w:rFonts w:ascii="Times New Roman" w:hAnsi="Times New Roman" w:cs="Times New Roman"/>
          <w:color w:val="FF0000"/>
          <w:lang w:val="en-US"/>
        </w:rPr>
        <w:t xml:space="preserve"> through measures such as personal assistance</w:t>
      </w:r>
      <w:r w:rsidRPr="003F16D1">
        <w:rPr>
          <w:rFonts w:ascii="Times New Roman" w:hAnsi="Times New Roman" w:cs="Times New Roman"/>
          <w:lang w:val="en-US"/>
        </w:rPr>
        <w:t xml:space="preserve"> and promote inclusion and participation in the community so that families are in a better position to contribute to independent and community living. </w:t>
      </w:r>
    </w:p>
    <w:p w:rsidR="00892508" w:rsidRPr="003F16D1" w:rsidRDefault="00892508" w:rsidP="00892508">
      <w:pPr>
        <w:pStyle w:val="ListParagraph"/>
        <w:spacing w:before="120" w:after="120"/>
        <w:ind w:left="714"/>
        <w:jc w:val="both"/>
        <w:rPr>
          <w:rFonts w:ascii="Times New Roman" w:hAnsi="Times New Roman" w:cs="Times New Roman"/>
          <w:lang w:val="en-US"/>
        </w:rPr>
      </w:pPr>
    </w:p>
    <w:p w:rsidR="00D11967" w:rsidRPr="003F16D1" w:rsidRDefault="00283EFF" w:rsidP="00F866DC">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Independent and community living are inherently linked to inclusive education (art. 24), health care (art. 25), </w:t>
      </w:r>
      <w:r w:rsidR="00B82322" w:rsidRPr="00B82322">
        <w:rPr>
          <w:rFonts w:ascii="Times New Roman" w:hAnsi="Times New Roman" w:cs="Times New Roman"/>
          <w:color w:val="FF0000"/>
          <w:lang w:val="en-US"/>
        </w:rPr>
        <w:t xml:space="preserve">habilitation and </w:t>
      </w:r>
      <w:r w:rsidRPr="003F16D1">
        <w:rPr>
          <w:rFonts w:ascii="Times New Roman" w:hAnsi="Times New Roman" w:cs="Times New Roman"/>
          <w:lang w:val="en-US"/>
        </w:rPr>
        <w:t>rehabilitation (art. 26) and work</w:t>
      </w:r>
      <w:r w:rsidR="00AB5D44" w:rsidRPr="003F16D1">
        <w:rPr>
          <w:rFonts w:ascii="Times New Roman" w:hAnsi="Times New Roman" w:cs="Times New Roman"/>
          <w:lang w:val="en-US"/>
        </w:rPr>
        <w:t xml:space="preserve"> and employment</w:t>
      </w:r>
      <w:r w:rsidRPr="003F16D1">
        <w:rPr>
          <w:rFonts w:ascii="Times New Roman" w:hAnsi="Times New Roman" w:cs="Times New Roman"/>
          <w:lang w:val="en-US"/>
        </w:rPr>
        <w:t xml:space="preserve"> (art. 27). Inclusive education (art. 24) requires recognition of the right of persons with disabilities to live independently and enjoy inclusion and participation in the community.</w:t>
      </w:r>
      <w:r w:rsidR="007C5BE9" w:rsidRPr="003F16D1">
        <w:rPr>
          <w:rFonts w:ascii="Times New Roman" w:hAnsi="Times New Roman" w:cs="Times New Roman"/>
          <w:lang w:val="en-US"/>
        </w:rPr>
        <w:t xml:space="preserve"> Inclusion of persons with disabilities </w:t>
      </w:r>
      <w:r w:rsidR="00D11967" w:rsidRPr="003F16D1">
        <w:rPr>
          <w:rFonts w:ascii="Times New Roman" w:hAnsi="Times New Roman" w:cs="Times New Roman"/>
          <w:lang w:val="en-US"/>
        </w:rPr>
        <w:t xml:space="preserve">in the mainstream education system </w:t>
      </w:r>
      <w:r w:rsidR="007C5BE9" w:rsidRPr="003F16D1">
        <w:rPr>
          <w:rFonts w:ascii="Times New Roman" w:hAnsi="Times New Roman" w:cs="Times New Roman"/>
          <w:lang w:val="en-US"/>
        </w:rPr>
        <w:t>generates further inclusion of persons with disabilities</w:t>
      </w:r>
      <w:r w:rsidR="00D11967" w:rsidRPr="003F16D1">
        <w:rPr>
          <w:rFonts w:ascii="Times New Roman" w:hAnsi="Times New Roman" w:cs="Times New Roman"/>
          <w:lang w:val="en-US"/>
        </w:rPr>
        <w:t xml:space="preserve"> in community</w:t>
      </w:r>
      <w:r w:rsidR="007C5BE9" w:rsidRPr="003F16D1">
        <w:rPr>
          <w:rFonts w:ascii="Times New Roman" w:hAnsi="Times New Roman" w:cs="Times New Roman"/>
          <w:lang w:val="en-US"/>
        </w:rPr>
        <w:t>.</w:t>
      </w:r>
      <w:r w:rsidRPr="003F16D1">
        <w:rPr>
          <w:rFonts w:ascii="Times New Roman" w:hAnsi="Times New Roman" w:cs="Times New Roman"/>
          <w:lang w:val="en-US"/>
        </w:rPr>
        <w:t xml:space="preserve"> De-institutionalization also entails the introduction of inclusive education. States parties should note the role that exercising the right to inclusive education will play in building the strengths, skills and competencies necessary for all persons with disabilities to enjoy, benefit from and contribute to their communities. </w:t>
      </w:r>
    </w:p>
    <w:p w:rsidR="00D11967" w:rsidRPr="003F16D1" w:rsidRDefault="00D11967" w:rsidP="00D11967">
      <w:pPr>
        <w:pStyle w:val="ListParagraph"/>
        <w:spacing w:before="120" w:after="120"/>
        <w:ind w:left="714"/>
        <w:jc w:val="both"/>
        <w:rPr>
          <w:rFonts w:ascii="Times New Roman" w:hAnsi="Times New Roman" w:cs="Times New Roman"/>
          <w:lang w:val="en-US"/>
        </w:rPr>
      </w:pPr>
    </w:p>
    <w:p w:rsidR="00D11967" w:rsidRPr="003F16D1" w:rsidRDefault="00283EFF" w:rsidP="00283EFF">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General health facilities and services (art. 25) should be accessible for persons with disabilities in their respective communities on an equal basis with others.</w:t>
      </w:r>
      <w:r w:rsidR="00712DCB">
        <w:rPr>
          <w:rFonts w:ascii="Times New Roman" w:hAnsi="Times New Roman" w:cs="Times New Roman"/>
          <w:lang w:val="en-US"/>
        </w:rPr>
        <w:t xml:space="preserve"> </w:t>
      </w:r>
      <w:r w:rsidR="00712DCB" w:rsidRPr="00AD00F6">
        <w:rPr>
          <w:rFonts w:ascii="Times New Roman" w:hAnsi="Times New Roman" w:cs="Times New Roman"/>
          <w:color w:val="FF0000"/>
          <w:lang w:val="en-US"/>
        </w:rPr>
        <w:t>Examples are diagnostic equipment and processes such as mammography, osteopor</w:t>
      </w:r>
      <w:r w:rsidR="00AD00F6" w:rsidRPr="00AD00F6">
        <w:rPr>
          <w:rFonts w:ascii="Times New Roman" w:hAnsi="Times New Roman" w:cs="Times New Roman"/>
          <w:color w:val="FF0000"/>
          <w:lang w:val="en-US"/>
        </w:rPr>
        <w:t xml:space="preserve">osis, gynecology, dental treatment. </w:t>
      </w:r>
      <w:r w:rsidRPr="003F16D1">
        <w:rPr>
          <w:rFonts w:ascii="Times New Roman" w:hAnsi="Times New Roman" w:cs="Times New Roman"/>
          <w:lang w:val="en-US"/>
        </w:rPr>
        <w:t>It is also important to distinguish support services as envisaged in article 19 of the Convention from health care according to article 25. The provision of nurses and physiotherapists, in hospitals as well as at home, is a part of health care and should not be seen as the fulfilment of a State</w:t>
      </w:r>
      <w:r w:rsidR="002C4FE8" w:rsidRPr="003F16D1">
        <w:rPr>
          <w:rFonts w:ascii="Times New Roman" w:hAnsi="Times New Roman" w:cs="Times New Roman"/>
          <w:lang w:val="en-US"/>
        </w:rPr>
        <w:t>s</w:t>
      </w:r>
      <w:r w:rsidRPr="003F16D1">
        <w:rPr>
          <w:rFonts w:ascii="Times New Roman" w:hAnsi="Times New Roman" w:cs="Times New Roman"/>
          <w:lang w:val="en-US"/>
        </w:rPr>
        <w:t xml:space="preserve"> part</w:t>
      </w:r>
      <w:r w:rsidR="002C4FE8" w:rsidRPr="003F16D1">
        <w:rPr>
          <w:rFonts w:ascii="Times New Roman" w:hAnsi="Times New Roman" w:cs="Times New Roman"/>
          <w:lang w:val="en-US"/>
        </w:rPr>
        <w:t>ies</w:t>
      </w:r>
      <w:r w:rsidRPr="003F16D1">
        <w:rPr>
          <w:rFonts w:ascii="Times New Roman" w:hAnsi="Times New Roman" w:cs="Times New Roman"/>
          <w:lang w:val="en-US"/>
        </w:rPr>
        <w:t xml:space="preserve"> obligation under article 19. </w:t>
      </w:r>
    </w:p>
    <w:p w:rsidR="00D11967" w:rsidRPr="003F16D1" w:rsidRDefault="00D11967" w:rsidP="00D11967">
      <w:pPr>
        <w:pStyle w:val="ListParagraph"/>
        <w:rPr>
          <w:rFonts w:ascii="Times New Roman" w:hAnsi="Times New Roman" w:cs="Times New Roman"/>
          <w:lang w:val="en-US"/>
        </w:rPr>
      </w:pPr>
    </w:p>
    <w:p w:rsidR="00D11967" w:rsidRPr="003F16D1" w:rsidRDefault="000C21B1" w:rsidP="00283EFF">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There</w:t>
      </w:r>
      <w:r w:rsidR="002C4FE8" w:rsidRPr="003F16D1">
        <w:rPr>
          <w:rFonts w:ascii="Times New Roman" w:hAnsi="Times New Roman" w:cs="Times New Roman"/>
          <w:lang w:val="en-US"/>
        </w:rPr>
        <w:t xml:space="preserve"> is</w:t>
      </w:r>
      <w:r w:rsidRPr="003F16D1">
        <w:rPr>
          <w:rFonts w:ascii="Times New Roman" w:hAnsi="Times New Roman" w:cs="Times New Roman"/>
          <w:lang w:val="en-US"/>
        </w:rPr>
        <w:t xml:space="preserve"> </w:t>
      </w:r>
      <w:r w:rsidR="00283EFF" w:rsidRPr="003F16D1">
        <w:rPr>
          <w:rFonts w:ascii="Times New Roman" w:hAnsi="Times New Roman" w:cs="Times New Roman"/>
          <w:lang w:val="en-US"/>
        </w:rPr>
        <w:t>interdependence between independent and community livin</w:t>
      </w:r>
      <w:r w:rsidR="00D11967" w:rsidRPr="003F16D1">
        <w:rPr>
          <w:rFonts w:ascii="Times New Roman" w:hAnsi="Times New Roman" w:cs="Times New Roman"/>
          <w:lang w:val="en-US"/>
        </w:rPr>
        <w:t xml:space="preserve">g and rehabilitation (art. 26). </w:t>
      </w:r>
      <w:r w:rsidR="00283EFF" w:rsidRPr="003F16D1">
        <w:rPr>
          <w:rFonts w:ascii="Times New Roman" w:hAnsi="Times New Roman" w:cs="Times New Roman"/>
          <w:lang w:val="en-US"/>
        </w:rPr>
        <w:t>For some persons with disabilities, participation in rehabilitation services is not possible if they do</w:t>
      </w:r>
      <w:r w:rsidR="00714CB0">
        <w:rPr>
          <w:rFonts w:ascii="Times New Roman" w:hAnsi="Times New Roman" w:cs="Times New Roman"/>
          <w:lang w:val="en-US"/>
        </w:rPr>
        <w:t xml:space="preserve"> not</w:t>
      </w:r>
      <w:r w:rsidR="00283EFF" w:rsidRPr="003F16D1">
        <w:rPr>
          <w:rFonts w:ascii="Times New Roman" w:hAnsi="Times New Roman" w:cs="Times New Roman"/>
          <w:lang w:val="en-US"/>
        </w:rPr>
        <w:t xml:space="preserve"> receive sufficient individualized support. At the same time, the purpose of rehabilitation is to enable persons with disabilities to participate in the community. Rehabilitation is dominantly relevant in relation to education, employment, health and social matters. </w:t>
      </w:r>
    </w:p>
    <w:p w:rsidR="00D11967" w:rsidRPr="003F16D1" w:rsidRDefault="00D11967" w:rsidP="00D11967">
      <w:pPr>
        <w:pStyle w:val="ListParagraph"/>
        <w:rPr>
          <w:rFonts w:ascii="Times New Roman" w:hAnsi="Times New Roman" w:cs="Times New Roman"/>
          <w:lang w:val="en-US"/>
        </w:rPr>
      </w:pPr>
    </w:p>
    <w:p w:rsidR="00283EFF" w:rsidRPr="003F16D1" w:rsidRDefault="00032F54" w:rsidP="00283EFF">
      <w:pPr>
        <w:pStyle w:val="ListParagraph"/>
        <w:numPr>
          <w:ilvl w:val="0"/>
          <w:numId w:val="2"/>
        </w:numPr>
        <w:spacing w:before="120" w:after="120"/>
        <w:ind w:left="357" w:firstLine="357"/>
        <w:jc w:val="both"/>
        <w:rPr>
          <w:rFonts w:ascii="Times New Roman" w:hAnsi="Times New Roman" w:cs="Times New Roman"/>
          <w:lang w:val="en-US"/>
        </w:rPr>
      </w:pPr>
      <w:r>
        <w:rPr>
          <w:rFonts w:ascii="Times New Roman" w:hAnsi="Times New Roman" w:cs="Times New Roman"/>
          <w:lang w:val="en-US"/>
        </w:rPr>
        <w:t>The existence of individualis</w:t>
      </w:r>
      <w:r w:rsidR="00283EFF" w:rsidRPr="003F16D1">
        <w:rPr>
          <w:rFonts w:ascii="Times New Roman" w:hAnsi="Times New Roman" w:cs="Times New Roman"/>
          <w:lang w:val="en-US"/>
        </w:rPr>
        <w:t xml:space="preserve">ed support </w:t>
      </w:r>
      <w:r w:rsidR="00D11967" w:rsidRPr="003F16D1">
        <w:rPr>
          <w:rFonts w:ascii="Times New Roman" w:hAnsi="Times New Roman" w:cs="Times New Roman"/>
          <w:lang w:val="en-US"/>
        </w:rPr>
        <w:t>and</w:t>
      </w:r>
      <w:r w:rsidR="00283EFF" w:rsidRPr="003F16D1">
        <w:rPr>
          <w:rFonts w:ascii="Times New Roman" w:hAnsi="Times New Roman" w:cs="Times New Roman"/>
          <w:lang w:val="en-US"/>
        </w:rPr>
        <w:t xml:space="preserve"> personal assistance often is a pre-condition for effective enjoyment of the right to work</w:t>
      </w:r>
      <w:r w:rsidR="00B44697" w:rsidRPr="003F16D1">
        <w:rPr>
          <w:rFonts w:ascii="Times New Roman" w:hAnsi="Times New Roman" w:cs="Times New Roman"/>
          <w:lang w:val="en-US"/>
        </w:rPr>
        <w:t xml:space="preserve"> and employment</w:t>
      </w:r>
      <w:r w:rsidR="00283EFF" w:rsidRPr="003F16D1">
        <w:rPr>
          <w:rFonts w:ascii="Times New Roman" w:hAnsi="Times New Roman" w:cs="Times New Roman"/>
          <w:lang w:val="en-US"/>
        </w:rPr>
        <w:t xml:space="preserve"> (art. 27). Furthermore, persons with disabilities can also become employers, managers or trainers in support services according to article 19. Sheltered work prevents inclusion in and interaction with the community.</w:t>
      </w:r>
    </w:p>
    <w:p w:rsidR="00D11967" w:rsidRPr="003F16D1" w:rsidRDefault="00D11967" w:rsidP="00D11967">
      <w:pPr>
        <w:pStyle w:val="ListParagraph"/>
        <w:spacing w:before="120" w:after="120"/>
        <w:ind w:left="714"/>
        <w:jc w:val="both"/>
        <w:rPr>
          <w:rFonts w:ascii="Times New Roman" w:hAnsi="Times New Roman" w:cs="Times New Roman"/>
          <w:lang w:val="en-US"/>
        </w:rPr>
      </w:pPr>
    </w:p>
    <w:p w:rsidR="00D11967" w:rsidRPr="003F16D1" w:rsidRDefault="00283EFF" w:rsidP="00D11967">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To ensure that persons with disabilities enjoy an adequate standard of living (art. 28), States parties </w:t>
      </w:r>
      <w:r w:rsidR="00DF0EB8" w:rsidRPr="003F16D1">
        <w:rPr>
          <w:rFonts w:ascii="Times New Roman" w:hAnsi="Times New Roman" w:cs="Times New Roman"/>
          <w:lang w:val="en-US"/>
        </w:rPr>
        <w:t>should</w:t>
      </w:r>
      <w:r w:rsidR="003F16D1">
        <w:rPr>
          <w:rFonts w:ascii="Times New Roman" w:hAnsi="Times New Roman" w:cs="Times New Roman"/>
          <w:lang w:val="en-US"/>
        </w:rPr>
        <w:t xml:space="preserve"> provide, inter alia,</w:t>
      </w:r>
      <w:r w:rsidRPr="003F16D1">
        <w:rPr>
          <w:rFonts w:ascii="Times New Roman" w:hAnsi="Times New Roman" w:cs="Times New Roman"/>
          <w:lang w:val="en-US"/>
        </w:rPr>
        <w:t xml:space="preserve"> support services that enable them to live independently. Therefore, there</w:t>
      </w:r>
      <w:r w:rsidR="00DF0EB8" w:rsidRPr="003F16D1">
        <w:rPr>
          <w:rFonts w:ascii="Times New Roman" w:hAnsi="Times New Roman" w:cs="Times New Roman"/>
          <w:lang w:val="en-US"/>
        </w:rPr>
        <w:t xml:space="preserve"> is</w:t>
      </w:r>
      <w:r w:rsidRPr="003F16D1">
        <w:rPr>
          <w:rFonts w:ascii="Times New Roman" w:hAnsi="Times New Roman" w:cs="Times New Roman"/>
          <w:lang w:val="en-US"/>
        </w:rPr>
        <w:t xml:space="preserve"> an obligation </w:t>
      </w:r>
      <w:r w:rsidR="00DF0EB8" w:rsidRPr="003F16D1">
        <w:rPr>
          <w:rFonts w:ascii="Times New Roman" w:hAnsi="Times New Roman" w:cs="Times New Roman"/>
          <w:lang w:val="en-US"/>
        </w:rPr>
        <w:t xml:space="preserve">on the part </w:t>
      </w:r>
      <w:r w:rsidRPr="003F16D1">
        <w:rPr>
          <w:rFonts w:ascii="Times New Roman" w:hAnsi="Times New Roman" w:cs="Times New Roman"/>
          <w:lang w:val="en-US"/>
        </w:rPr>
        <w:t xml:space="preserve">of States parties to ensure access to appropriate and affordable services, devices and other assistance for impairment-related </w:t>
      </w:r>
      <w:r w:rsidR="00D11967" w:rsidRPr="003F16D1">
        <w:rPr>
          <w:rFonts w:ascii="Times New Roman" w:hAnsi="Times New Roman" w:cs="Times New Roman"/>
          <w:lang w:val="en-US"/>
        </w:rPr>
        <w:t>requirements</w:t>
      </w:r>
      <w:r w:rsidRPr="003F16D1">
        <w:rPr>
          <w:rFonts w:ascii="Times New Roman" w:hAnsi="Times New Roman" w:cs="Times New Roman"/>
          <w:lang w:val="en-US"/>
        </w:rPr>
        <w:t>, especially for those person</w:t>
      </w:r>
      <w:r w:rsidR="00DF0EB8" w:rsidRPr="003F16D1">
        <w:rPr>
          <w:rFonts w:ascii="Times New Roman" w:hAnsi="Times New Roman" w:cs="Times New Roman"/>
          <w:lang w:val="en-US"/>
        </w:rPr>
        <w:t>s</w:t>
      </w:r>
      <w:r w:rsidRPr="003F16D1">
        <w:rPr>
          <w:rFonts w:ascii="Times New Roman" w:hAnsi="Times New Roman" w:cs="Times New Roman"/>
          <w:lang w:val="en-US"/>
        </w:rPr>
        <w:t xml:space="preserve"> with disabilities who live in poverty. Furthermore, access to public and subsidized housing programs in the community is required. Disability-related costs should be covered by additional resource allocations to avoid persons with disabilities pay</w:t>
      </w:r>
      <w:r w:rsidR="00DE7C33" w:rsidRPr="003F16D1">
        <w:rPr>
          <w:rFonts w:ascii="Times New Roman" w:hAnsi="Times New Roman" w:cs="Times New Roman"/>
          <w:lang w:val="en-US"/>
        </w:rPr>
        <w:t>ing</w:t>
      </w:r>
      <w:r w:rsidRPr="003F16D1">
        <w:rPr>
          <w:rFonts w:ascii="Times New Roman" w:hAnsi="Times New Roman" w:cs="Times New Roman"/>
          <w:lang w:val="en-US"/>
        </w:rPr>
        <w:t xml:space="preserve"> for disability-related expenses privately and their standard of living</w:t>
      </w:r>
      <w:r w:rsidR="00DE7C33" w:rsidRPr="003F16D1">
        <w:rPr>
          <w:rFonts w:ascii="Times New Roman" w:hAnsi="Times New Roman" w:cs="Times New Roman"/>
          <w:lang w:val="en-US"/>
        </w:rPr>
        <w:t xml:space="preserve"> being</w:t>
      </w:r>
      <w:r w:rsidRPr="003F16D1">
        <w:rPr>
          <w:rFonts w:ascii="Times New Roman" w:hAnsi="Times New Roman" w:cs="Times New Roman"/>
          <w:lang w:val="en-US"/>
        </w:rPr>
        <w:t xml:space="preserve"> affected in a discriminatory manner. </w:t>
      </w:r>
    </w:p>
    <w:p w:rsidR="00D11967" w:rsidRPr="003F16D1" w:rsidRDefault="00D11967" w:rsidP="00D11967">
      <w:pPr>
        <w:pStyle w:val="ListParagraph"/>
        <w:rPr>
          <w:rFonts w:ascii="Times New Roman" w:hAnsi="Times New Roman" w:cs="Times New Roman"/>
          <w:lang w:val="en-US"/>
        </w:rPr>
      </w:pPr>
    </w:p>
    <w:p w:rsidR="00B418CC" w:rsidRPr="003F16D1" w:rsidRDefault="00283EFF" w:rsidP="00B418CC">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In order to influence and take part in decisions impacting the development of their community,</w:t>
      </w:r>
      <w:r w:rsidR="00B418CC" w:rsidRPr="003F16D1">
        <w:rPr>
          <w:rFonts w:ascii="Times New Roman" w:hAnsi="Times New Roman" w:cs="Times New Roman"/>
          <w:lang w:val="en-US"/>
        </w:rPr>
        <w:t xml:space="preserve"> </w:t>
      </w:r>
      <w:r w:rsidRPr="003F16D1">
        <w:rPr>
          <w:rFonts w:ascii="Times New Roman" w:hAnsi="Times New Roman" w:cs="Times New Roman"/>
          <w:lang w:val="en-US"/>
        </w:rPr>
        <w:t>all persons with disabilities should enjoy and exercise their rights to participation in political and public life (art. 29) on an equal basis with others. Adequate support can provide valuable assistance to persons with disabilities in exercising their right to vote, to take part in political life and to conduct public affairs. It is important to ensure that assistants or other support staff do</w:t>
      </w:r>
      <w:r w:rsidR="00E01654" w:rsidRPr="003F16D1">
        <w:rPr>
          <w:rFonts w:ascii="Times New Roman" w:hAnsi="Times New Roman" w:cs="Times New Roman"/>
          <w:lang w:val="en-US"/>
        </w:rPr>
        <w:t xml:space="preserve"> not</w:t>
      </w:r>
      <w:r w:rsidRPr="003F16D1">
        <w:rPr>
          <w:rFonts w:ascii="Times New Roman" w:hAnsi="Times New Roman" w:cs="Times New Roman"/>
          <w:lang w:val="en-US"/>
        </w:rPr>
        <w:t xml:space="preserve"> restrict or abuse the choices that persons with disabilities make in exercising their voting rights.</w:t>
      </w:r>
    </w:p>
    <w:p w:rsidR="00B418CC" w:rsidRPr="003F16D1" w:rsidRDefault="00B418CC" w:rsidP="00B418CC">
      <w:pPr>
        <w:pStyle w:val="ListParagraph"/>
        <w:rPr>
          <w:rFonts w:ascii="Times New Roman" w:hAnsi="Times New Roman" w:cs="Times New Roman"/>
          <w:lang w:val="en-US"/>
        </w:rPr>
      </w:pPr>
    </w:p>
    <w:p w:rsidR="00B418CC" w:rsidRPr="003F16D1" w:rsidRDefault="00283EFF" w:rsidP="00B418CC">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Cultural life, recreation, leisure and sports (art. 30) are important dimensions of community life in which inclusion can be pursued and achieved, for example by ensuring that events, activities and facilities are accessible to persons with disabilities and inclusive. Personal assistants, guides, readers, sign language and tactile interpreters, amongst others, contribute to an inclusive life in the community according to the will and preferences of persons with disabilities. It is important that the use of support of any kind is considered as disability-related extra expenses. Assistants should be free of paying entrance. There also should</w:t>
      </w:r>
      <w:r w:rsidR="00E01654" w:rsidRPr="003F16D1">
        <w:rPr>
          <w:rFonts w:ascii="Times New Roman" w:hAnsi="Times New Roman" w:cs="Times New Roman"/>
          <w:lang w:val="en-US"/>
        </w:rPr>
        <w:t xml:space="preserve"> not </w:t>
      </w:r>
      <w:r w:rsidRPr="003F16D1">
        <w:rPr>
          <w:rFonts w:ascii="Times New Roman" w:hAnsi="Times New Roman" w:cs="Times New Roman"/>
          <w:lang w:val="en-US"/>
        </w:rPr>
        <w:t xml:space="preserve">be restrictions on when, where and for what kind of activities to use the assistance, nationally and internationally. </w:t>
      </w:r>
    </w:p>
    <w:p w:rsidR="00B418CC" w:rsidRPr="003F16D1" w:rsidRDefault="00B418CC" w:rsidP="00B418CC">
      <w:pPr>
        <w:pStyle w:val="ListParagraph"/>
        <w:rPr>
          <w:rFonts w:ascii="Times New Roman" w:hAnsi="Times New Roman" w:cs="Times New Roman"/>
          <w:lang w:val="en-US"/>
        </w:rPr>
      </w:pPr>
    </w:p>
    <w:p w:rsidR="00B418CC" w:rsidRPr="003F16D1" w:rsidRDefault="00283EFF" w:rsidP="00B418CC">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Data and information should be disaggregated systematically (art. 31) by disability across all sectors including with respect to housing, </w:t>
      </w:r>
      <w:r w:rsidR="00985DE5" w:rsidRPr="00985DE5">
        <w:rPr>
          <w:rFonts w:ascii="Times New Roman" w:hAnsi="Times New Roman" w:cs="Times New Roman"/>
          <w:color w:val="FF0000"/>
          <w:lang w:val="en-US"/>
        </w:rPr>
        <w:t>transportation</w:t>
      </w:r>
      <w:r w:rsidR="00985DE5">
        <w:rPr>
          <w:rFonts w:ascii="Times New Roman" w:hAnsi="Times New Roman" w:cs="Times New Roman"/>
          <w:lang w:val="en-US"/>
        </w:rPr>
        <w:t xml:space="preserve">, </w:t>
      </w:r>
      <w:r w:rsidRPr="003F16D1">
        <w:rPr>
          <w:rFonts w:ascii="Times New Roman" w:hAnsi="Times New Roman" w:cs="Times New Roman"/>
          <w:lang w:val="en-US"/>
        </w:rPr>
        <w:t>living arrangements,</w:t>
      </w:r>
      <w:r w:rsidRPr="00985DE5">
        <w:rPr>
          <w:rFonts w:ascii="Times New Roman" w:hAnsi="Times New Roman" w:cs="Times New Roman"/>
          <w:color w:val="FF0000"/>
          <w:lang w:val="en-US"/>
        </w:rPr>
        <w:t xml:space="preserve"> </w:t>
      </w:r>
      <w:r w:rsidR="00985DE5" w:rsidRPr="00985DE5">
        <w:rPr>
          <w:rFonts w:ascii="Times New Roman" w:hAnsi="Times New Roman" w:cs="Times New Roman"/>
          <w:color w:val="FF0000"/>
          <w:lang w:val="en-US"/>
        </w:rPr>
        <w:t xml:space="preserve">parenthood, education, employment, </w:t>
      </w:r>
      <w:r w:rsidRPr="003F16D1">
        <w:rPr>
          <w:rFonts w:ascii="Times New Roman" w:hAnsi="Times New Roman" w:cs="Times New Roman"/>
          <w:lang w:val="en-US"/>
        </w:rPr>
        <w:t xml:space="preserve">social protection schemes as well as access to community support and services. The information should allow for analyses on how de-institutionalization and transition to community support have progressed. It is important that indicators reflect the particular circumstances in </w:t>
      </w:r>
      <w:r w:rsidR="001E2886" w:rsidRPr="003F16D1">
        <w:rPr>
          <w:rFonts w:ascii="Times New Roman" w:hAnsi="Times New Roman" w:cs="Times New Roman"/>
          <w:lang w:val="en-US"/>
        </w:rPr>
        <w:t>every</w:t>
      </w:r>
      <w:r w:rsidRPr="003F16D1">
        <w:rPr>
          <w:rFonts w:ascii="Times New Roman" w:hAnsi="Times New Roman" w:cs="Times New Roman"/>
          <w:lang w:val="en-US"/>
        </w:rPr>
        <w:t xml:space="preserve"> State party.</w:t>
      </w:r>
    </w:p>
    <w:p w:rsidR="00B418CC" w:rsidRPr="003F16D1" w:rsidRDefault="00B418CC" w:rsidP="00B418CC">
      <w:pPr>
        <w:pStyle w:val="ListParagraph"/>
        <w:rPr>
          <w:rFonts w:ascii="Times New Roman" w:hAnsi="Times New Roman" w:cs="Times New Roman"/>
          <w:lang w:val="en-US"/>
        </w:rPr>
      </w:pPr>
    </w:p>
    <w:p w:rsidR="00283EFF" w:rsidRPr="003F16D1" w:rsidRDefault="00283EFF" w:rsidP="00B418CC">
      <w:pPr>
        <w:pStyle w:val="ListParagraph"/>
        <w:numPr>
          <w:ilvl w:val="0"/>
          <w:numId w:val="2"/>
        </w:numPr>
        <w:spacing w:before="120" w:after="120"/>
        <w:ind w:left="357" w:firstLine="357"/>
        <w:jc w:val="both"/>
        <w:rPr>
          <w:rFonts w:ascii="Times New Roman" w:hAnsi="Times New Roman" w:cs="Times New Roman"/>
          <w:lang w:val="en-US"/>
        </w:rPr>
      </w:pPr>
      <w:r w:rsidRPr="003F16D1">
        <w:rPr>
          <w:rFonts w:ascii="Times New Roman" w:hAnsi="Times New Roman" w:cs="Times New Roman"/>
          <w:lang w:val="en-US"/>
        </w:rPr>
        <w:t xml:space="preserve">All international cooperation (art. 32) must be conducted in a way which ensures that foreign aid is invested in support services in local communities that respect the will and preferences of persons with disabilities and foster their right to choose where, with whom and under which living arrangements they will live in line with article 19. Investing money obtained in the framework of international cooperation into development of new residential institutions is not acceptable as it leads to segregation and isolation of persons with disabilities. </w:t>
      </w:r>
    </w:p>
    <w:p w:rsidR="005F15F1" w:rsidRPr="003F16D1" w:rsidRDefault="005F15F1" w:rsidP="005F15F1">
      <w:pPr>
        <w:pStyle w:val="ListParagraph"/>
        <w:rPr>
          <w:rFonts w:ascii="Times New Roman" w:hAnsi="Times New Roman" w:cs="Times New Roman"/>
          <w:lang w:val="en-US"/>
        </w:rPr>
      </w:pPr>
    </w:p>
    <w:p w:rsidR="005F15F1" w:rsidRPr="003F16D1" w:rsidRDefault="005F15F1" w:rsidP="005F15F1">
      <w:pPr>
        <w:pStyle w:val="ListParagraph"/>
        <w:spacing w:before="120" w:after="120"/>
        <w:ind w:left="714"/>
        <w:jc w:val="both"/>
        <w:rPr>
          <w:rFonts w:ascii="Times New Roman" w:hAnsi="Times New Roman" w:cs="Times New Roman"/>
          <w:lang w:val="en-US"/>
        </w:rPr>
      </w:pPr>
    </w:p>
    <w:p w:rsidR="00283EFF" w:rsidRPr="003F16D1" w:rsidRDefault="00283EFF" w:rsidP="00283EFF">
      <w:pPr>
        <w:pStyle w:val="Heading1"/>
        <w:numPr>
          <w:ilvl w:val="0"/>
          <w:numId w:val="1"/>
        </w:numPr>
        <w:rPr>
          <w:color w:val="auto"/>
        </w:rPr>
      </w:pPr>
      <w:r w:rsidRPr="003F16D1">
        <w:rPr>
          <w:color w:val="auto"/>
        </w:rPr>
        <w:t>Implementation at the national level</w:t>
      </w:r>
    </w:p>
    <w:p w:rsidR="00F617CC" w:rsidRPr="003F16D1" w:rsidRDefault="00283EFF" w:rsidP="00F617CC">
      <w:pPr>
        <w:pStyle w:val="ListParagraph"/>
        <w:numPr>
          <w:ilvl w:val="0"/>
          <w:numId w:val="2"/>
        </w:numPr>
        <w:spacing w:before="120" w:after="120"/>
        <w:ind w:left="357" w:firstLine="357"/>
        <w:jc w:val="both"/>
        <w:rPr>
          <w:rFonts w:ascii="Times New Roman" w:eastAsia="Malgun Gothic" w:hAnsi="Times New Roman" w:cs="Times New Roman"/>
          <w:lang w:val="en-US"/>
        </w:rPr>
      </w:pPr>
      <w:r w:rsidRPr="003F16D1">
        <w:rPr>
          <w:rFonts w:ascii="Times New Roman" w:eastAsia="Malgun Gothic" w:hAnsi="Times New Roman" w:cs="Times New Roman"/>
          <w:lang w:val="en-US"/>
        </w:rPr>
        <w:t xml:space="preserve">The Committee notes that States parties may face challenges at the national level when implementing the right to </w:t>
      </w:r>
      <w:r w:rsidR="00C30E3D" w:rsidRPr="003F16D1">
        <w:rPr>
          <w:rFonts w:ascii="Times New Roman" w:eastAsia="Malgun Gothic" w:hAnsi="Times New Roman" w:cs="Times New Roman"/>
          <w:lang w:val="en-US"/>
        </w:rPr>
        <w:t xml:space="preserve">living </w:t>
      </w:r>
      <w:r w:rsidRPr="003F16D1">
        <w:rPr>
          <w:rFonts w:ascii="Times New Roman" w:eastAsia="Malgun Gothic" w:hAnsi="Times New Roman" w:cs="Times New Roman"/>
          <w:lang w:val="en-US"/>
        </w:rPr>
        <w:t>independent</w:t>
      </w:r>
      <w:r w:rsidR="00C30E3D" w:rsidRPr="003F16D1">
        <w:rPr>
          <w:rFonts w:ascii="Times New Roman" w:eastAsia="Malgun Gothic" w:hAnsi="Times New Roman" w:cs="Times New Roman"/>
          <w:lang w:val="en-US"/>
        </w:rPr>
        <w:t>ly</w:t>
      </w:r>
      <w:r w:rsidRPr="003F16D1">
        <w:rPr>
          <w:rFonts w:ascii="Times New Roman" w:eastAsia="Malgun Gothic" w:hAnsi="Times New Roman" w:cs="Times New Roman"/>
          <w:lang w:val="en-US"/>
        </w:rPr>
        <w:t xml:space="preserve"> and</w:t>
      </w:r>
      <w:r w:rsidR="00C30E3D" w:rsidRPr="003F16D1">
        <w:rPr>
          <w:rFonts w:ascii="Times New Roman" w:eastAsia="Malgun Gothic" w:hAnsi="Times New Roman" w:cs="Times New Roman"/>
          <w:lang w:val="en-US"/>
        </w:rPr>
        <w:t xml:space="preserve"> being included in the</w:t>
      </w:r>
      <w:r w:rsidRPr="003F16D1">
        <w:rPr>
          <w:rFonts w:ascii="Times New Roman" w:eastAsia="Malgun Gothic" w:hAnsi="Times New Roman" w:cs="Times New Roman"/>
          <w:lang w:val="en-US"/>
        </w:rPr>
        <w:t xml:space="preserve"> community. However, in </w:t>
      </w:r>
      <w:r w:rsidR="00C30E3D" w:rsidRPr="003F16D1">
        <w:rPr>
          <w:rFonts w:ascii="Times New Roman" w:eastAsia="Malgun Gothic" w:hAnsi="Times New Roman" w:cs="Times New Roman"/>
          <w:lang w:val="en-US"/>
        </w:rPr>
        <w:t>line with</w:t>
      </w:r>
      <w:r w:rsidRPr="003F16D1">
        <w:rPr>
          <w:rFonts w:ascii="Times New Roman" w:eastAsia="Malgun Gothic" w:hAnsi="Times New Roman" w:cs="Times New Roman"/>
          <w:lang w:val="en-US"/>
        </w:rPr>
        <w:t xml:space="preserve"> the normative content and obligations outlined above, States parties should take the following steps to ensure the full implementation of article 19 of the Convention:</w:t>
      </w:r>
    </w:p>
    <w:p w:rsidR="00F617CC" w:rsidRPr="003F16D1" w:rsidRDefault="00F617CC" w:rsidP="00F617CC">
      <w:pPr>
        <w:spacing w:before="120" w:after="120"/>
        <w:ind w:left="357" w:firstLine="351"/>
        <w:jc w:val="both"/>
        <w:rPr>
          <w:rFonts w:ascii="Times New Roman" w:eastAsia="Malgun Gothic" w:hAnsi="Times New Roman" w:cs="Times New Roman"/>
          <w:lang w:val="en-US"/>
        </w:rPr>
      </w:pPr>
      <w:r w:rsidRPr="003F16D1">
        <w:rPr>
          <w:rFonts w:ascii="Times New Roman" w:eastAsia="Malgun Gothic" w:hAnsi="Times New Roman" w:cs="Times New Roman"/>
          <w:lang w:val="en-US"/>
        </w:rPr>
        <w:t>(a)</w:t>
      </w:r>
      <w:r w:rsidRPr="003F16D1">
        <w:rPr>
          <w:rFonts w:ascii="Times New Roman" w:eastAsia="Malgun Gothic" w:hAnsi="Times New Roman" w:cs="Times New Roman"/>
          <w:lang w:val="en-US"/>
        </w:rPr>
        <w:tab/>
      </w:r>
      <w:r w:rsidR="00283EFF" w:rsidRPr="003F16D1">
        <w:rPr>
          <w:rFonts w:ascii="Times New Roman" w:eastAsia="Malgun Gothic" w:hAnsi="Times New Roman" w:cs="Times New Roman"/>
          <w:lang w:val="en-US"/>
        </w:rPr>
        <w:t>Repeal all laws that prevent persons with disabilities</w:t>
      </w:r>
      <w:r w:rsidR="004024CA">
        <w:rPr>
          <w:rFonts w:ascii="Times New Roman" w:eastAsia="Malgun Gothic" w:hAnsi="Times New Roman" w:cs="Times New Roman"/>
          <w:lang w:val="en-US"/>
        </w:rPr>
        <w:t xml:space="preserve">, </w:t>
      </w:r>
      <w:r w:rsidR="004024CA" w:rsidRPr="004024CA">
        <w:rPr>
          <w:rFonts w:ascii="Times New Roman" w:eastAsia="Malgun Gothic" w:hAnsi="Times New Roman" w:cs="Times New Roman"/>
          <w:color w:val="FF0000"/>
          <w:lang w:val="en-US"/>
        </w:rPr>
        <w:t>directly or indirectly,</w:t>
      </w:r>
      <w:r w:rsidR="00283EFF" w:rsidRPr="003F16D1">
        <w:rPr>
          <w:rFonts w:ascii="Times New Roman" w:eastAsia="Malgun Gothic" w:hAnsi="Times New Roman" w:cs="Times New Roman"/>
          <w:lang w:val="en-US"/>
        </w:rPr>
        <w:t xml:space="preserve"> to choose where and with whom and how to live. Enact and enforce laws with the purpose to make local communities and environment as well as information and communication accessible to all persons with disabilities</w:t>
      </w:r>
      <w:r w:rsidRPr="003F16D1">
        <w:rPr>
          <w:rFonts w:ascii="Times New Roman" w:eastAsia="Malgun Gothic" w:hAnsi="Times New Roman" w:cs="Times New Roman"/>
          <w:lang w:val="en-US"/>
        </w:rPr>
        <w:t>;</w:t>
      </w:r>
    </w:p>
    <w:p w:rsidR="00F617CC" w:rsidRPr="003F16D1" w:rsidRDefault="00F617CC" w:rsidP="00F617CC">
      <w:pPr>
        <w:spacing w:before="120" w:after="120"/>
        <w:ind w:left="357" w:firstLine="351"/>
        <w:jc w:val="both"/>
        <w:rPr>
          <w:rFonts w:ascii="Times New Roman" w:eastAsia="Malgun Gothic" w:hAnsi="Times New Roman" w:cs="Times New Roman"/>
          <w:lang w:val="en-US"/>
        </w:rPr>
      </w:pPr>
      <w:r w:rsidRPr="003F16D1">
        <w:rPr>
          <w:rFonts w:ascii="Times New Roman" w:eastAsia="Malgun Gothic" w:hAnsi="Times New Roman" w:cs="Times New Roman"/>
          <w:lang w:val="en-US"/>
        </w:rPr>
        <w:t>(b)</w:t>
      </w:r>
      <w:r w:rsidRPr="003F16D1">
        <w:rPr>
          <w:rFonts w:ascii="Times New Roman" w:eastAsia="Malgun Gothic" w:hAnsi="Times New Roman" w:cs="Times New Roman"/>
          <w:lang w:val="en-US"/>
        </w:rPr>
        <w:tab/>
      </w:r>
      <w:r w:rsidR="00283EFF" w:rsidRPr="003F16D1">
        <w:rPr>
          <w:rFonts w:ascii="Times New Roman" w:eastAsia="Malgun Gothic" w:hAnsi="Times New Roman" w:cs="Times New Roman"/>
          <w:lang w:val="en-US"/>
        </w:rPr>
        <w:t xml:space="preserve"> Promote the principle of universal design in law and policy</w:t>
      </w:r>
      <w:r w:rsidR="002F75F9" w:rsidRPr="003F16D1">
        <w:rPr>
          <w:rFonts w:ascii="Times New Roman" w:eastAsia="Malgun Gothic" w:hAnsi="Times New Roman" w:cs="Times New Roman"/>
          <w:lang w:val="en-US"/>
        </w:rPr>
        <w:t>, including monitor</w:t>
      </w:r>
      <w:r w:rsidR="00AB010B" w:rsidRPr="003F16D1">
        <w:rPr>
          <w:rFonts w:ascii="Times New Roman" w:eastAsia="Malgun Gothic" w:hAnsi="Times New Roman" w:cs="Times New Roman"/>
          <w:lang w:val="en-US"/>
        </w:rPr>
        <w:t>ing</w:t>
      </w:r>
      <w:r w:rsidR="002F75F9" w:rsidRPr="003F16D1">
        <w:rPr>
          <w:rFonts w:ascii="Times New Roman" w:eastAsia="Malgun Gothic" w:hAnsi="Times New Roman" w:cs="Times New Roman"/>
          <w:lang w:val="en-US"/>
        </w:rPr>
        <w:t xml:space="preserve"> the realization/implementation of the obligations</w:t>
      </w:r>
      <w:r w:rsidRPr="003F16D1">
        <w:rPr>
          <w:rFonts w:ascii="Times New Roman" w:eastAsia="Malgun Gothic" w:hAnsi="Times New Roman" w:cs="Times New Roman"/>
          <w:lang w:val="en-US"/>
        </w:rPr>
        <w:t>;</w:t>
      </w:r>
    </w:p>
    <w:p w:rsidR="00F617CC" w:rsidRPr="003F16D1" w:rsidRDefault="00F617CC" w:rsidP="00F617CC">
      <w:pPr>
        <w:spacing w:before="120" w:after="120"/>
        <w:ind w:left="357" w:firstLine="351"/>
        <w:jc w:val="both"/>
        <w:rPr>
          <w:rFonts w:ascii="Times New Roman" w:eastAsia="Malgun Gothic" w:hAnsi="Times New Roman" w:cs="Times New Roman"/>
          <w:lang w:val="en-US"/>
        </w:rPr>
      </w:pPr>
      <w:r w:rsidRPr="003F16D1">
        <w:rPr>
          <w:rFonts w:ascii="Times New Roman" w:eastAsia="Malgun Gothic" w:hAnsi="Times New Roman" w:cs="Times New Roman"/>
          <w:lang w:val="en-US"/>
        </w:rPr>
        <w:t>(c)</w:t>
      </w:r>
      <w:r w:rsidRPr="003F16D1">
        <w:rPr>
          <w:rFonts w:ascii="Times New Roman" w:eastAsia="Malgun Gothic" w:hAnsi="Times New Roman" w:cs="Times New Roman"/>
          <w:lang w:val="en-US"/>
        </w:rPr>
        <w:tab/>
      </w:r>
      <w:r w:rsidR="00283EFF" w:rsidRPr="003F16D1">
        <w:rPr>
          <w:rFonts w:ascii="Times New Roman" w:eastAsia="Malgun Gothic" w:hAnsi="Times New Roman" w:cs="Times New Roman"/>
          <w:lang w:val="en-US"/>
        </w:rPr>
        <w:t>Provide persons with disabilities with substantive and procedural rights to independ</w:t>
      </w:r>
      <w:r w:rsidRPr="003F16D1">
        <w:rPr>
          <w:rFonts w:ascii="Times New Roman" w:eastAsia="Malgun Gothic" w:hAnsi="Times New Roman" w:cs="Times New Roman"/>
          <w:lang w:val="en-US"/>
        </w:rPr>
        <w:t>ent living and community living;</w:t>
      </w:r>
      <w:r w:rsidR="001B04A4">
        <w:rPr>
          <w:rFonts w:ascii="Times New Roman" w:eastAsia="Malgun Gothic" w:hAnsi="Times New Roman" w:cs="Times New Roman"/>
          <w:lang w:val="en-US"/>
        </w:rPr>
        <w:t xml:space="preserve"> </w:t>
      </w:r>
      <w:r w:rsidR="001B04A4" w:rsidRPr="00B4466F">
        <w:rPr>
          <w:rFonts w:ascii="Times New Roman" w:eastAsia="Times New Roman" w:hAnsi="Times New Roman" w:cs="Times New Roman"/>
          <w:i/>
          <w:color w:val="FF0000"/>
          <w:lang w:val="en-GB"/>
        </w:rPr>
        <w:t>, including providing effective remedies that the individual can use for redress if the rights under article 19 are violated</w:t>
      </w:r>
      <w:r w:rsidR="001B04A4">
        <w:rPr>
          <w:rFonts w:ascii="Times New Roman" w:eastAsia="Times New Roman" w:hAnsi="Times New Roman" w:cs="Times New Roman"/>
          <w:lang w:val="en-GB"/>
        </w:rPr>
        <w:t>;</w:t>
      </w:r>
    </w:p>
    <w:p w:rsidR="00F617CC" w:rsidRPr="003F16D1" w:rsidRDefault="00F617CC" w:rsidP="00F617CC">
      <w:pPr>
        <w:spacing w:before="120" w:after="120"/>
        <w:ind w:left="357" w:firstLine="351"/>
        <w:jc w:val="both"/>
        <w:rPr>
          <w:rFonts w:ascii="Times New Roman" w:eastAsia="Malgun Gothic" w:hAnsi="Times New Roman" w:cs="Times New Roman"/>
          <w:lang w:val="en-US"/>
        </w:rPr>
      </w:pPr>
      <w:r w:rsidRPr="003F16D1">
        <w:rPr>
          <w:rFonts w:ascii="Times New Roman" w:eastAsia="Malgun Gothic" w:hAnsi="Times New Roman" w:cs="Times New Roman"/>
          <w:lang w:val="en-US"/>
        </w:rPr>
        <w:t>(d)</w:t>
      </w:r>
      <w:r w:rsidRPr="003F16D1">
        <w:rPr>
          <w:rFonts w:ascii="Times New Roman" w:eastAsia="Malgun Gothic" w:hAnsi="Times New Roman" w:cs="Times New Roman"/>
          <w:lang w:val="en-US"/>
        </w:rPr>
        <w:tab/>
      </w:r>
      <w:r w:rsidR="00283EFF" w:rsidRPr="003F16D1">
        <w:rPr>
          <w:rFonts w:ascii="Times New Roman" w:eastAsia="Malgun Gothic" w:hAnsi="Times New Roman" w:cs="Times New Roman"/>
          <w:lang w:val="en-US"/>
        </w:rPr>
        <w:t>Adopt clear and targeted strategies for de-institutionalization with specific timeframes and adequate budgets in order to eliminate all forms of isolation, segregation or institutionalization of persons with disabilities. Special attention should be pa</w:t>
      </w:r>
      <w:r w:rsidR="009F04C3" w:rsidRPr="003F16D1">
        <w:rPr>
          <w:rFonts w:ascii="Times New Roman" w:eastAsia="Malgun Gothic" w:hAnsi="Times New Roman" w:cs="Times New Roman"/>
          <w:lang w:val="en-US"/>
        </w:rPr>
        <w:t xml:space="preserve">id </w:t>
      </w:r>
      <w:r w:rsidR="00283EFF" w:rsidRPr="003F16D1">
        <w:rPr>
          <w:rFonts w:ascii="Times New Roman" w:eastAsia="Malgun Gothic" w:hAnsi="Times New Roman" w:cs="Times New Roman"/>
          <w:lang w:val="en-US"/>
        </w:rPr>
        <w:t xml:space="preserve">to persons with psychosocial </w:t>
      </w:r>
      <w:r w:rsidRPr="003F16D1">
        <w:rPr>
          <w:rFonts w:ascii="Times New Roman" w:eastAsia="Malgun Gothic" w:hAnsi="Times New Roman" w:cs="Times New Roman"/>
          <w:lang w:val="en-US"/>
        </w:rPr>
        <w:t>and/</w:t>
      </w:r>
      <w:r w:rsidR="00283EFF" w:rsidRPr="003F16D1">
        <w:rPr>
          <w:rFonts w:ascii="Times New Roman" w:eastAsia="Malgun Gothic" w:hAnsi="Times New Roman" w:cs="Times New Roman"/>
          <w:lang w:val="en-US"/>
        </w:rPr>
        <w:t>or intellectual disabilities and children with disabilities currently in institutions</w:t>
      </w:r>
      <w:r w:rsidRPr="003F16D1">
        <w:rPr>
          <w:rFonts w:ascii="Times New Roman" w:eastAsia="Malgun Gothic" w:hAnsi="Times New Roman" w:cs="Times New Roman"/>
          <w:lang w:val="en-US"/>
        </w:rPr>
        <w:t>;</w:t>
      </w:r>
    </w:p>
    <w:p w:rsidR="00F617CC" w:rsidRPr="003F16D1" w:rsidRDefault="00F617CC" w:rsidP="00F617CC">
      <w:pPr>
        <w:spacing w:before="120" w:after="120"/>
        <w:ind w:left="357" w:firstLine="351"/>
        <w:jc w:val="both"/>
        <w:rPr>
          <w:rFonts w:ascii="Times New Roman" w:eastAsia="Malgun Gothic" w:hAnsi="Times New Roman" w:cs="Times New Roman"/>
          <w:lang w:val="en-US"/>
        </w:rPr>
      </w:pPr>
      <w:r w:rsidRPr="003F16D1">
        <w:rPr>
          <w:rFonts w:ascii="Times New Roman" w:eastAsia="Malgun Gothic" w:hAnsi="Times New Roman" w:cs="Times New Roman"/>
          <w:lang w:val="en-US"/>
        </w:rPr>
        <w:t>(e)</w:t>
      </w:r>
      <w:r w:rsidRPr="003F16D1">
        <w:rPr>
          <w:rFonts w:ascii="Times New Roman" w:eastAsia="Malgun Gothic" w:hAnsi="Times New Roman" w:cs="Times New Roman"/>
          <w:lang w:val="en-US"/>
        </w:rPr>
        <w:tab/>
        <w:t>C</w:t>
      </w:r>
      <w:r w:rsidR="00283EFF" w:rsidRPr="003F16D1">
        <w:rPr>
          <w:rFonts w:ascii="Times New Roman" w:eastAsia="Malgun Gothic" w:hAnsi="Times New Roman" w:cs="Times New Roman"/>
          <w:lang w:val="en-US"/>
        </w:rPr>
        <w:t>reate awareness that will counteract negative attitudes and stereotypes about persons with disabilities and secure community transformation in an effort to develop individualized and</w:t>
      </w:r>
      <w:r w:rsidRPr="003F16D1">
        <w:rPr>
          <w:rFonts w:ascii="Times New Roman" w:eastAsia="Malgun Gothic" w:hAnsi="Times New Roman" w:cs="Times New Roman"/>
          <w:lang w:val="en-US"/>
        </w:rPr>
        <w:t xml:space="preserve"> accessible community services;</w:t>
      </w:r>
    </w:p>
    <w:p w:rsidR="00F617CC" w:rsidRPr="003F16D1" w:rsidRDefault="00F617CC" w:rsidP="00F617CC">
      <w:pPr>
        <w:spacing w:before="120" w:after="120"/>
        <w:ind w:left="357" w:firstLine="351"/>
        <w:jc w:val="both"/>
        <w:rPr>
          <w:rFonts w:ascii="Times New Roman" w:eastAsia="Malgun Gothic" w:hAnsi="Times New Roman" w:cs="Times New Roman"/>
          <w:lang w:val="en-US"/>
        </w:rPr>
      </w:pPr>
      <w:r w:rsidRPr="003F16D1">
        <w:rPr>
          <w:rFonts w:ascii="Times New Roman" w:eastAsia="Malgun Gothic" w:hAnsi="Times New Roman" w:cs="Times New Roman"/>
          <w:lang w:val="en-US"/>
        </w:rPr>
        <w:t>(f)</w:t>
      </w:r>
      <w:r w:rsidRPr="003F16D1">
        <w:rPr>
          <w:rFonts w:ascii="Times New Roman" w:eastAsia="Malgun Gothic" w:hAnsi="Times New Roman" w:cs="Times New Roman"/>
          <w:lang w:val="en-US"/>
        </w:rPr>
        <w:tab/>
      </w:r>
      <w:r w:rsidR="0065065C" w:rsidRPr="003F16D1">
        <w:rPr>
          <w:rFonts w:ascii="Times New Roman" w:eastAsia="Malgun Gothic" w:hAnsi="Times New Roman" w:cs="Times New Roman"/>
          <w:lang w:val="en-US"/>
        </w:rPr>
        <w:t>Ensur</w:t>
      </w:r>
      <w:r w:rsidR="009F04C3" w:rsidRPr="003F16D1">
        <w:rPr>
          <w:rFonts w:ascii="Times New Roman" w:eastAsia="Malgun Gothic" w:hAnsi="Times New Roman" w:cs="Times New Roman"/>
          <w:lang w:val="en-US"/>
        </w:rPr>
        <w:t>ing</w:t>
      </w:r>
      <w:r w:rsidR="0065065C" w:rsidRPr="003F16D1">
        <w:rPr>
          <w:rFonts w:ascii="Times New Roman" w:eastAsia="Malgun Gothic" w:hAnsi="Times New Roman" w:cs="Times New Roman"/>
          <w:lang w:val="en-US"/>
        </w:rPr>
        <w:t xml:space="preserve"> p</w:t>
      </w:r>
      <w:r w:rsidR="00283EFF" w:rsidRPr="003F16D1">
        <w:rPr>
          <w:rFonts w:ascii="Times New Roman" w:eastAsia="Malgun Gothic" w:hAnsi="Times New Roman" w:cs="Times New Roman"/>
          <w:lang w:val="en-US"/>
        </w:rPr>
        <w:t>articipation of persons with disabilities</w:t>
      </w:r>
      <w:r w:rsidR="009F04C3" w:rsidRPr="003F16D1">
        <w:rPr>
          <w:rFonts w:ascii="Times New Roman" w:eastAsia="Malgun Gothic" w:hAnsi="Times New Roman" w:cs="Times New Roman"/>
          <w:lang w:val="en-US"/>
        </w:rPr>
        <w:t>,</w:t>
      </w:r>
      <w:r w:rsidR="00283EFF" w:rsidRPr="003F16D1">
        <w:rPr>
          <w:rFonts w:ascii="Times New Roman" w:eastAsia="Malgun Gothic" w:hAnsi="Times New Roman" w:cs="Times New Roman"/>
          <w:lang w:val="en-US"/>
        </w:rPr>
        <w:t xml:space="preserve"> </w:t>
      </w:r>
      <w:r w:rsidR="009F04C3" w:rsidRPr="003F16D1">
        <w:rPr>
          <w:rFonts w:ascii="Times New Roman" w:eastAsia="Malgun Gothic" w:hAnsi="Times New Roman" w:cs="Times New Roman"/>
          <w:lang w:val="en-US"/>
        </w:rPr>
        <w:t xml:space="preserve">through </w:t>
      </w:r>
      <w:r w:rsidR="00283EFF" w:rsidRPr="003F16D1">
        <w:rPr>
          <w:rFonts w:ascii="Times New Roman" w:eastAsia="Malgun Gothic" w:hAnsi="Times New Roman" w:cs="Times New Roman"/>
          <w:lang w:val="en-US"/>
        </w:rPr>
        <w:t>their representative organizations</w:t>
      </w:r>
      <w:r w:rsidR="0065065C" w:rsidRPr="003F16D1">
        <w:rPr>
          <w:rFonts w:ascii="Times New Roman" w:eastAsia="Malgun Gothic" w:hAnsi="Times New Roman" w:cs="Times New Roman"/>
          <w:lang w:val="en-US"/>
        </w:rPr>
        <w:t xml:space="preserve">, </w:t>
      </w:r>
      <w:r w:rsidR="00283EFF" w:rsidRPr="003F16D1">
        <w:rPr>
          <w:rFonts w:ascii="Times New Roman" w:eastAsia="Malgun Gothic" w:hAnsi="Times New Roman" w:cs="Times New Roman"/>
          <w:lang w:val="en-US"/>
        </w:rPr>
        <w:t>is pivotal in transforming s</w:t>
      </w:r>
      <w:r w:rsidRPr="003F16D1">
        <w:rPr>
          <w:rFonts w:ascii="Times New Roman" w:eastAsia="Malgun Gothic" w:hAnsi="Times New Roman" w:cs="Times New Roman"/>
          <w:lang w:val="en-US"/>
        </w:rPr>
        <w:t>upport services and communities;</w:t>
      </w:r>
    </w:p>
    <w:p w:rsidR="009F04C3" w:rsidRPr="003F16D1" w:rsidRDefault="00F617CC" w:rsidP="00F617CC">
      <w:pPr>
        <w:spacing w:before="120" w:after="120"/>
        <w:ind w:left="357" w:firstLine="351"/>
        <w:jc w:val="both"/>
        <w:rPr>
          <w:rFonts w:ascii="Times New Roman" w:eastAsia="Malgun Gothic" w:hAnsi="Times New Roman" w:cs="Times New Roman"/>
          <w:lang w:val="en-US"/>
        </w:rPr>
      </w:pPr>
      <w:r w:rsidRPr="003F16D1">
        <w:rPr>
          <w:rFonts w:ascii="Times New Roman" w:eastAsia="Malgun Gothic" w:hAnsi="Times New Roman" w:cs="Times New Roman"/>
          <w:lang w:val="en-US"/>
        </w:rPr>
        <w:t>(g)</w:t>
      </w:r>
      <w:r w:rsidRPr="003F16D1">
        <w:rPr>
          <w:rFonts w:ascii="Times New Roman" w:eastAsia="Malgun Gothic" w:hAnsi="Times New Roman" w:cs="Times New Roman"/>
          <w:lang w:val="en-US"/>
        </w:rPr>
        <w:tab/>
        <w:t>Design</w:t>
      </w:r>
      <w:r w:rsidR="00283EFF" w:rsidRPr="003F16D1">
        <w:rPr>
          <w:rFonts w:ascii="Times New Roman" w:eastAsia="Malgun Gothic" w:hAnsi="Times New Roman" w:cs="Times New Roman"/>
          <w:lang w:val="en-US"/>
        </w:rPr>
        <w:t xml:space="preserve"> clear and comprehensive legislative and policy guidelines and allocate sufficient financial resources for the construction of accessible housing units, public buildings and public spaces</w:t>
      </w:r>
      <w:r w:rsidR="002F75F9" w:rsidRPr="003F16D1">
        <w:rPr>
          <w:rFonts w:ascii="Times New Roman" w:eastAsia="Malgun Gothic" w:hAnsi="Times New Roman" w:cs="Times New Roman"/>
          <w:lang w:val="en-US"/>
        </w:rPr>
        <w:t xml:space="preserve"> and transport</w:t>
      </w:r>
      <w:r w:rsidR="00283EFF" w:rsidRPr="003F16D1">
        <w:rPr>
          <w:rFonts w:ascii="Times New Roman" w:eastAsia="Malgun Gothic" w:hAnsi="Times New Roman" w:cs="Times New Roman"/>
          <w:lang w:val="en-US"/>
        </w:rPr>
        <w:t xml:space="preserve"> along with an adequate time frame for their implementation and sanctions </w:t>
      </w:r>
      <w:r w:rsidR="00967955" w:rsidRPr="00B4466F">
        <w:rPr>
          <w:rFonts w:ascii="Times New Roman" w:eastAsia="Times New Roman" w:hAnsi="Times New Roman" w:cs="Times New Roman"/>
          <w:i/>
          <w:color w:val="FF0000"/>
          <w:lang w:val="en-GB"/>
        </w:rPr>
        <w:t>which are effective, deterrent and proportionate</w:t>
      </w:r>
      <w:r w:rsidR="00967955" w:rsidRPr="003F16D1">
        <w:rPr>
          <w:rFonts w:ascii="Times New Roman" w:eastAsia="Malgun Gothic" w:hAnsi="Times New Roman" w:cs="Times New Roman"/>
          <w:lang w:val="en-US"/>
        </w:rPr>
        <w:t xml:space="preserve"> </w:t>
      </w:r>
      <w:r w:rsidR="00283EFF" w:rsidRPr="003F16D1">
        <w:rPr>
          <w:rFonts w:ascii="Times New Roman" w:eastAsia="Malgun Gothic" w:hAnsi="Times New Roman" w:cs="Times New Roman"/>
          <w:lang w:val="en-US"/>
        </w:rPr>
        <w:t>for violations by public or private authorities. Such guidelines should</w:t>
      </w:r>
      <w:r w:rsidR="002F75F9" w:rsidRPr="003F16D1">
        <w:rPr>
          <w:rFonts w:ascii="Times New Roman" w:eastAsia="Malgun Gothic" w:hAnsi="Times New Roman" w:cs="Times New Roman"/>
          <w:lang w:val="en-US"/>
        </w:rPr>
        <w:t xml:space="preserve"> be mandatory and</w:t>
      </w:r>
      <w:r w:rsidR="00283EFF" w:rsidRPr="003F16D1">
        <w:rPr>
          <w:rFonts w:ascii="Times New Roman" w:eastAsia="Malgun Gothic" w:hAnsi="Times New Roman" w:cs="Times New Roman"/>
          <w:lang w:val="en-US"/>
        </w:rPr>
        <w:t xml:space="preserve"> address</w:t>
      </w:r>
      <w:r w:rsidR="002F75F9" w:rsidRPr="003F16D1">
        <w:rPr>
          <w:rFonts w:ascii="Times New Roman" w:eastAsia="Malgun Gothic" w:hAnsi="Times New Roman" w:cs="Times New Roman"/>
          <w:lang w:val="en-US"/>
        </w:rPr>
        <w:t xml:space="preserve"> the</w:t>
      </w:r>
      <w:r w:rsidR="00283EFF" w:rsidRPr="003F16D1">
        <w:rPr>
          <w:rFonts w:ascii="Times New Roman" w:eastAsia="Malgun Gothic" w:hAnsi="Times New Roman" w:cs="Times New Roman"/>
          <w:lang w:val="en-US"/>
        </w:rPr>
        <w:t xml:space="preserve"> issues of accessibility and responsiv</w:t>
      </w:r>
      <w:r w:rsidR="009F04C3" w:rsidRPr="003F16D1">
        <w:rPr>
          <w:rFonts w:ascii="Times New Roman" w:eastAsia="Malgun Gothic" w:hAnsi="Times New Roman" w:cs="Times New Roman"/>
          <w:lang w:val="en-US"/>
        </w:rPr>
        <w:t xml:space="preserve">eness </w:t>
      </w:r>
      <w:r w:rsidR="00283EFF" w:rsidRPr="003F16D1">
        <w:rPr>
          <w:rFonts w:ascii="Times New Roman" w:eastAsia="Malgun Gothic" w:hAnsi="Times New Roman" w:cs="Times New Roman"/>
          <w:lang w:val="en-US"/>
        </w:rPr>
        <w:t xml:space="preserve">to the </w:t>
      </w:r>
      <w:r w:rsidR="00676273" w:rsidRPr="003F16D1">
        <w:rPr>
          <w:rFonts w:ascii="Times New Roman" w:eastAsia="Malgun Gothic" w:hAnsi="Times New Roman" w:cs="Times New Roman"/>
          <w:lang w:val="en-US"/>
        </w:rPr>
        <w:t xml:space="preserve">requirements </w:t>
      </w:r>
      <w:r w:rsidR="00283EFF" w:rsidRPr="003F16D1">
        <w:rPr>
          <w:rFonts w:ascii="Times New Roman" w:eastAsia="Malgun Gothic" w:hAnsi="Times New Roman" w:cs="Times New Roman"/>
          <w:lang w:val="en-US"/>
        </w:rPr>
        <w:t>of all persons with disabilities. States parties must identify a unit of government that will be responsible for monitoring compliance with such guidelines</w:t>
      </w:r>
      <w:r w:rsidR="00797F04" w:rsidRPr="003F16D1">
        <w:rPr>
          <w:rFonts w:ascii="Times New Roman" w:eastAsia="Malgun Gothic" w:hAnsi="Times New Roman" w:cs="Times New Roman"/>
          <w:lang w:val="en-US"/>
        </w:rPr>
        <w:t>;</w:t>
      </w:r>
      <w:r w:rsidR="00283EFF" w:rsidRPr="003F16D1">
        <w:rPr>
          <w:rFonts w:ascii="Times New Roman" w:eastAsia="Malgun Gothic" w:hAnsi="Times New Roman" w:cs="Times New Roman"/>
          <w:lang w:val="en-US"/>
        </w:rPr>
        <w:t xml:space="preserve"> </w:t>
      </w:r>
    </w:p>
    <w:p w:rsidR="00F617CC" w:rsidRPr="003F16D1" w:rsidRDefault="009F04C3" w:rsidP="00F617CC">
      <w:pPr>
        <w:spacing w:before="120" w:after="120"/>
        <w:ind w:left="357" w:firstLine="351"/>
        <w:jc w:val="both"/>
        <w:rPr>
          <w:rFonts w:ascii="Times New Roman" w:eastAsia="Malgun Gothic" w:hAnsi="Times New Roman" w:cs="Times New Roman"/>
          <w:lang w:val="en-US"/>
        </w:rPr>
      </w:pPr>
      <w:r w:rsidRPr="003F16D1">
        <w:rPr>
          <w:rFonts w:ascii="Times New Roman" w:eastAsia="Malgun Gothic" w:hAnsi="Times New Roman" w:cs="Times New Roman"/>
          <w:lang w:val="en-US"/>
        </w:rPr>
        <w:t xml:space="preserve">(h) </w:t>
      </w:r>
      <w:r w:rsidR="00032F54">
        <w:rPr>
          <w:rFonts w:ascii="Times New Roman" w:eastAsia="Malgun Gothic" w:hAnsi="Times New Roman" w:cs="Times New Roman"/>
          <w:lang w:val="en-US"/>
        </w:rPr>
        <w:tab/>
      </w:r>
      <w:r w:rsidRPr="003F16D1">
        <w:rPr>
          <w:rFonts w:ascii="Times New Roman" w:eastAsia="Malgun Gothic" w:hAnsi="Times New Roman" w:cs="Times New Roman"/>
          <w:lang w:val="en-US"/>
        </w:rPr>
        <w:t>R</w:t>
      </w:r>
      <w:r w:rsidR="00283EFF" w:rsidRPr="003F16D1">
        <w:rPr>
          <w:rFonts w:ascii="Times New Roman" w:eastAsia="Malgun Gothic" w:hAnsi="Times New Roman" w:cs="Times New Roman"/>
          <w:lang w:val="en-US"/>
        </w:rPr>
        <w:t>eview their building codes in order to comply with principles of universal design and legislative guidelines on construction as outlined in</w:t>
      </w:r>
      <w:r w:rsidR="00FE1816" w:rsidRPr="003F16D1">
        <w:rPr>
          <w:rFonts w:ascii="Times New Roman" w:eastAsia="Malgun Gothic" w:hAnsi="Times New Roman" w:cs="Times New Roman"/>
          <w:lang w:val="en-US"/>
        </w:rPr>
        <w:t xml:space="preserve"> the Committee’s</w:t>
      </w:r>
      <w:r w:rsidR="00283EFF" w:rsidRPr="003F16D1">
        <w:rPr>
          <w:rFonts w:ascii="Times New Roman" w:eastAsia="Malgun Gothic" w:hAnsi="Times New Roman" w:cs="Times New Roman"/>
          <w:lang w:val="en-US"/>
        </w:rPr>
        <w:t xml:space="preserve"> General C</w:t>
      </w:r>
      <w:r w:rsidR="00FE1816" w:rsidRPr="003F16D1">
        <w:rPr>
          <w:rFonts w:ascii="Times New Roman" w:eastAsia="Malgun Gothic" w:hAnsi="Times New Roman" w:cs="Times New Roman"/>
          <w:lang w:val="en-US"/>
        </w:rPr>
        <w:t>omment</w:t>
      </w:r>
      <w:r w:rsidR="00F617CC" w:rsidRPr="003F16D1">
        <w:rPr>
          <w:rFonts w:ascii="Times New Roman" w:eastAsia="Malgun Gothic" w:hAnsi="Times New Roman" w:cs="Times New Roman"/>
          <w:lang w:val="en-US"/>
        </w:rPr>
        <w:t xml:space="preserve"> No. 2 </w:t>
      </w:r>
      <w:r w:rsidR="00D636EA" w:rsidRPr="003F16D1">
        <w:rPr>
          <w:rFonts w:ascii="Times New Roman" w:eastAsia="Malgun Gothic" w:hAnsi="Times New Roman" w:cs="Times New Roman"/>
          <w:lang w:val="en-US"/>
        </w:rPr>
        <w:t xml:space="preserve">Accessibility </w:t>
      </w:r>
      <w:r w:rsidR="00FE1816" w:rsidRPr="003F16D1">
        <w:rPr>
          <w:rFonts w:ascii="Times New Roman" w:eastAsia="Malgun Gothic" w:hAnsi="Times New Roman" w:cs="Times New Roman"/>
          <w:lang w:val="en-US"/>
        </w:rPr>
        <w:t>(2014)</w:t>
      </w:r>
      <w:r w:rsidR="00F617CC" w:rsidRPr="003F16D1">
        <w:rPr>
          <w:rFonts w:ascii="Times New Roman" w:eastAsia="Malgun Gothic" w:hAnsi="Times New Roman" w:cs="Times New Roman"/>
          <w:lang w:val="en-US"/>
        </w:rPr>
        <w:t>;</w:t>
      </w:r>
    </w:p>
    <w:p w:rsidR="009F04C3" w:rsidRPr="003F16D1" w:rsidRDefault="00F617CC" w:rsidP="00185792">
      <w:pPr>
        <w:spacing w:before="120" w:after="120"/>
        <w:ind w:left="357" w:firstLine="351"/>
        <w:jc w:val="both"/>
        <w:rPr>
          <w:rFonts w:ascii="Times New Roman" w:eastAsia="Malgun Gothic" w:hAnsi="Times New Roman" w:cs="Times New Roman"/>
          <w:lang w:val="en-US"/>
        </w:rPr>
      </w:pPr>
      <w:r w:rsidRPr="003F16D1">
        <w:rPr>
          <w:rFonts w:ascii="Times New Roman" w:eastAsia="Malgun Gothic" w:hAnsi="Times New Roman" w:cs="Times New Roman"/>
          <w:lang w:val="en-US"/>
        </w:rPr>
        <w:t>(</w:t>
      </w:r>
      <w:r w:rsidR="009F04C3" w:rsidRPr="003F16D1">
        <w:rPr>
          <w:rFonts w:ascii="Times New Roman" w:eastAsia="Malgun Gothic" w:hAnsi="Times New Roman" w:cs="Times New Roman"/>
          <w:lang w:val="en-US"/>
        </w:rPr>
        <w:t>i</w:t>
      </w:r>
      <w:r w:rsidRPr="003F16D1">
        <w:rPr>
          <w:rFonts w:ascii="Times New Roman" w:eastAsia="Malgun Gothic" w:hAnsi="Times New Roman" w:cs="Times New Roman"/>
          <w:lang w:val="en-US"/>
        </w:rPr>
        <w:t>)</w:t>
      </w:r>
      <w:r w:rsidRPr="003F16D1">
        <w:rPr>
          <w:rFonts w:ascii="Times New Roman" w:eastAsia="Malgun Gothic" w:hAnsi="Times New Roman" w:cs="Times New Roman"/>
          <w:lang w:val="en-US"/>
        </w:rPr>
        <w:tab/>
      </w:r>
      <w:r w:rsidR="00283EFF" w:rsidRPr="003F16D1">
        <w:rPr>
          <w:rFonts w:ascii="Times New Roman" w:eastAsia="Malgun Gothic" w:hAnsi="Times New Roman" w:cs="Times New Roman"/>
          <w:lang w:val="en-US"/>
        </w:rPr>
        <w:t xml:space="preserve">Invest a sizable percentage of their funds into the development of appropriate and sufficient </w:t>
      </w:r>
      <w:r w:rsidR="009F04C3" w:rsidRPr="003F16D1">
        <w:rPr>
          <w:rFonts w:ascii="Times New Roman" w:eastAsia="Malgun Gothic" w:hAnsi="Times New Roman" w:cs="Times New Roman"/>
          <w:lang w:val="en-US"/>
        </w:rPr>
        <w:t>person-directed/</w:t>
      </w:r>
      <w:r w:rsidR="00283EFF" w:rsidRPr="003F16D1">
        <w:rPr>
          <w:rFonts w:ascii="Times New Roman" w:eastAsia="Malgun Gothic" w:hAnsi="Times New Roman" w:cs="Times New Roman"/>
          <w:lang w:val="en-US"/>
        </w:rPr>
        <w:t>user-led and self-managed support services, such as personal assistance, readers, sign language or tactile interpreters</w:t>
      </w:r>
      <w:r w:rsidR="009F04C3" w:rsidRPr="003F16D1">
        <w:rPr>
          <w:rFonts w:ascii="Times New Roman" w:eastAsia="Malgun Gothic" w:hAnsi="Times New Roman" w:cs="Times New Roman"/>
          <w:lang w:val="en-US"/>
        </w:rPr>
        <w:t>;</w:t>
      </w:r>
    </w:p>
    <w:p w:rsidR="00185792" w:rsidRPr="003F16D1" w:rsidRDefault="009F04C3" w:rsidP="00185792">
      <w:pPr>
        <w:spacing w:before="120" w:after="120"/>
        <w:ind w:left="357" w:firstLine="351"/>
        <w:jc w:val="both"/>
        <w:rPr>
          <w:rFonts w:ascii="Times New Roman" w:eastAsia="Malgun Gothic" w:hAnsi="Times New Roman" w:cs="Times New Roman"/>
          <w:lang w:val="en-US"/>
        </w:rPr>
      </w:pPr>
      <w:r w:rsidRPr="003F16D1">
        <w:rPr>
          <w:rFonts w:ascii="Times New Roman" w:eastAsia="Malgun Gothic" w:hAnsi="Times New Roman" w:cs="Times New Roman"/>
          <w:lang w:val="en-US"/>
        </w:rPr>
        <w:t>(j)</w:t>
      </w:r>
      <w:r w:rsidR="00283EFF" w:rsidRPr="003F16D1">
        <w:rPr>
          <w:rFonts w:ascii="Times New Roman" w:eastAsia="Malgun Gothic" w:hAnsi="Times New Roman" w:cs="Times New Roman"/>
          <w:lang w:val="en-US"/>
        </w:rPr>
        <w:t xml:space="preserve"> </w:t>
      </w:r>
      <w:r w:rsidR="00CB329E">
        <w:rPr>
          <w:rFonts w:ascii="Times New Roman" w:eastAsia="Malgun Gothic" w:hAnsi="Times New Roman" w:cs="Times New Roman"/>
          <w:lang w:val="en-US"/>
        </w:rPr>
        <w:tab/>
      </w:r>
      <w:r w:rsidRPr="003F16D1">
        <w:rPr>
          <w:rFonts w:ascii="Times New Roman" w:eastAsia="Malgun Gothic" w:hAnsi="Times New Roman" w:cs="Times New Roman"/>
          <w:lang w:val="en-US"/>
        </w:rPr>
        <w:t>P</w:t>
      </w:r>
      <w:r w:rsidR="00283EFF" w:rsidRPr="003F16D1">
        <w:rPr>
          <w:rFonts w:ascii="Times New Roman" w:eastAsia="Malgun Gothic" w:hAnsi="Times New Roman" w:cs="Times New Roman"/>
          <w:lang w:val="en-US"/>
        </w:rPr>
        <w:t>rovide or subsidize assistive devices that will enable the full inclusion and independence of persons with disabilities in all spheres of life, including education, employment, health and social affairs in line with SDG 11, targets 11.1, 11.2 and 11.7. This requires that states parties designate a certain percentage of their national budgets to the provision of such services. Accordingly, this requirement should extend to all federat</w:t>
      </w:r>
      <w:r w:rsidRPr="003F16D1">
        <w:rPr>
          <w:rFonts w:ascii="Times New Roman" w:eastAsia="Malgun Gothic" w:hAnsi="Times New Roman" w:cs="Times New Roman"/>
          <w:lang w:val="en-US"/>
        </w:rPr>
        <w:t>ing</w:t>
      </w:r>
      <w:r w:rsidR="00283EFF" w:rsidRPr="003F16D1">
        <w:rPr>
          <w:rFonts w:ascii="Times New Roman" w:eastAsia="Malgun Gothic" w:hAnsi="Times New Roman" w:cs="Times New Roman"/>
          <w:lang w:val="en-US"/>
        </w:rPr>
        <w:t xml:space="preserve"> units of a State party in line with </w:t>
      </w:r>
      <w:r w:rsidR="00F617CC" w:rsidRPr="003F16D1">
        <w:rPr>
          <w:rFonts w:ascii="Times New Roman" w:eastAsia="Malgun Gothic" w:hAnsi="Times New Roman" w:cs="Times New Roman"/>
          <w:lang w:val="en-US"/>
        </w:rPr>
        <w:t>article 4 (5) of the Convention;</w:t>
      </w:r>
      <w:r w:rsidR="005442A8" w:rsidRPr="003F16D1">
        <w:rPr>
          <w:rFonts w:ascii="Times New Roman" w:eastAsia="Malgun Gothic" w:hAnsi="Times New Roman" w:cs="Times New Roman"/>
          <w:lang w:val="en-US"/>
        </w:rPr>
        <w:t xml:space="preserve"> </w:t>
      </w:r>
    </w:p>
    <w:p w:rsidR="00733C28" w:rsidRPr="003F16D1" w:rsidRDefault="00185792" w:rsidP="00733C28">
      <w:pPr>
        <w:spacing w:before="120" w:after="120"/>
        <w:ind w:left="357" w:firstLine="351"/>
        <w:jc w:val="both"/>
        <w:rPr>
          <w:rFonts w:ascii="Times New Roman" w:hAnsi="Times New Roman" w:cs="Times New Roman"/>
          <w:lang w:val="en-US"/>
        </w:rPr>
      </w:pPr>
      <w:r w:rsidRPr="003F16D1">
        <w:rPr>
          <w:rFonts w:ascii="Times New Roman" w:eastAsia="Malgun Gothic" w:hAnsi="Times New Roman" w:cs="Times New Roman"/>
          <w:lang w:val="en-US"/>
        </w:rPr>
        <w:t>(</w:t>
      </w:r>
      <w:r w:rsidR="009F04C3" w:rsidRPr="003F16D1">
        <w:rPr>
          <w:rFonts w:ascii="Times New Roman" w:eastAsia="Malgun Gothic" w:hAnsi="Times New Roman" w:cs="Times New Roman"/>
          <w:lang w:val="en-US"/>
        </w:rPr>
        <w:t>k</w:t>
      </w:r>
      <w:r w:rsidRPr="003F16D1">
        <w:rPr>
          <w:rFonts w:ascii="Times New Roman" w:eastAsia="Malgun Gothic" w:hAnsi="Times New Roman" w:cs="Times New Roman"/>
          <w:lang w:val="en-US"/>
        </w:rPr>
        <w:t>)</w:t>
      </w:r>
      <w:r w:rsidRPr="003F16D1">
        <w:rPr>
          <w:rFonts w:ascii="Times New Roman" w:eastAsia="Malgun Gothic" w:hAnsi="Times New Roman" w:cs="Times New Roman"/>
          <w:lang w:val="en-US"/>
        </w:rPr>
        <w:tab/>
      </w:r>
      <w:r w:rsidR="00283EFF" w:rsidRPr="003F16D1">
        <w:rPr>
          <w:rFonts w:ascii="Times New Roman" w:hAnsi="Times New Roman" w:cs="Times New Roman"/>
          <w:lang w:val="en-US"/>
        </w:rPr>
        <w:t>Put in place appropriate mechanisms to monitor existing institutions and residential services, de-institutionalization policies and the implementation of independent and community living. It is important that States</w:t>
      </w:r>
      <w:r w:rsidR="009F04C3" w:rsidRPr="003F16D1">
        <w:rPr>
          <w:rFonts w:ascii="Times New Roman" w:hAnsi="Times New Roman" w:cs="Times New Roman"/>
          <w:lang w:val="en-US"/>
        </w:rPr>
        <w:t xml:space="preserve"> parties</w:t>
      </w:r>
      <w:r w:rsidR="00283EFF" w:rsidRPr="003F16D1">
        <w:rPr>
          <w:rFonts w:ascii="Times New Roman" w:hAnsi="Times New Roman" w:cs="Times New Roman"/>
          <w:lang w:val="en-US"/>
        </w:rPr>
        <w:t xml:space="preserve"> develop and apply indicators which take into account the conditions and structures that exist in a given State party. Independent monitoring mechanisms and National Human Rights Institutions operating under the </w:t>
      </w:r>
      <w:r w:rsidR="002F75F9" w:rsidRPr="003F16D1">
        <w:rPr>
          <w:rFonts w:ascii="Times New Roman" w:hAnsi="Times New Roman" w:cs="Times New Roman"/>
          <w:lang w:val="en-US"/>
        </w:rPr>
        <w:t>Paris Principles</w:t>
      </w:r>
      <w:r w:rsidR="00283EFF" w:rsidRPr="003F16D1">
        <w:rPr>
          <w:rFonts w:ascii="Times New Roman" w:hAnsi="Times New Roman" w:cs="Times New Roman"/>
          <w:lang w:val="en-US"/>
        </w:rPr>
        <w:t xml:space="preserve"> play an important role and should be given sufficient resources. Regardless of the monitoring mechanism put in place, its independence must be secured and it must be guided by the standards of the Convention</w:t>
      </w:r>
      <w:r w:rsidR="002D0DCD" w:rsidRPr="003F16D1">
        <w:rPr>
          <w:rFonts w:ascii="Times New Roman" w:hAnsi="Times New Roman" w:cs="Times New Roman"/>
          <w:lang w:val="en-US"/>
        </w:rPr>
        <w:t>; and</w:t>
      </w:r>
      <w:r w:rsidR="00283EFF" w:rsidRPr="003F16D1">
        <w:rPr>
          <w:rFonts w:ascii="Times New Roman" w:hAnsi="Times New Roman" w:cs="Times New Roman"/>
          <w:lang w:val="en-US"/>
        </w:rPr>
        <w:t xml:space="preserve"> </w:t>
      </w:r>
    </w:p>
    <w:p w:rsidR="00733C28" w:rsidRPr="003F16D1" w:rsidRDefault="00733C28" w:rsidP="00733C28">
      <w:pPr>
        <w:spacing w:before="120" w:after="120"/>
        <w:ind w:left="357" w:firstLine="351"/>
        <w:jc w:val="both"/>
        <w:rPr>
          <w:rFonts w:ascii="Times New Roman" w:hAnsi="Times New Roman" w:cs="Times New Roman"/>
          <w:lang w:val="en-US"/>
        </w:rPr>
      </w:pPr>
      <w:r w:rsidRPr="003F16D1">
        <w:rPr>
          <w:rFonts w:ascii="Times New Roman" w:hAnsi="Times New Roman" w:cs="Times New Roman"/>
          <w:lang w:val="en-US"/>
        </w:rPr>
        <w:t xml:space="preserve">(l) </w:t>
      </w:r>
      <w:r w:rsidR="00CB329E">
        <w:rPr>
          <w:rFonts w:ascii="Times New Roman" w:hAnsi="Times New Roman" w:cs="Times New Roman"/>
          <w:lang w:val="en-US"/>
        </w:rPr>
        <w:tab/>
      </w:r>
      <w:r w:rsidRPr="003F16D1">
        <w:rPr>
          <w:rFonts w:ascii="Times New Roman" w:hAnsi="Times New Roman" w:cs="Times New Roman"/>
          <w:lang w:val="en-US"/>
        </w:rPr>
        <w:t>Monitoring and implementation envisaged under article 19 should be carried out in full consultation and participation of persons with disabilities through their representative organizations</w:t>
      </w:r>
      <w:r w:rsidR="00FB45D1" w:rsidRPr="003F16D1">
        <w:rPr>
          <w:rFonts w:ascii="Times New Roman" w:hAnsi="Times New Roman" w:cs="Times New Roman"/>
          <w:lang w:val="en-US"/>
        </w:rPr>
        <w:t>.</w:t>
      </w:r>
    </w:p>
    <w:p w:rsidR="00967955" w:rsidRDefault="00827E88" w:rsidP="00537A16">
      <w:pPr>
        <w:spacing w:before="120" w:after="120"/>
        <w:ind w:left="357"/>
        <w:jc w:val="both"/>
        <w:rPr>
          <w:rFonts w:ascii="Times New Roman" w:hAnsi="Times New Roman" w:cs="Times New Roman"/>
          <w:color w:val="FF0000"/>
          <w:lang w:val="en-US"/>
        </w:rPr>
      </w:pPr>
      <w:r w:rsidRPr="00537A16">
        <w:rPr>
          <w:rFonts w:ascii="Times New Roman" w:hAnsi="Times New Roman" w:cs="Times New Roman"/>
          <w:color w:val="FF0000"/>
          <w:lang w:val="en-US"/>
        </w:rPr>
        <w:t>Strengthen civil society or</w:t>
      </w:r>
      <w:r w:rsidR="004E10ED" w:rsidRPr="00537A16">
        <w:rPr>
          <w:rFonts w:ascii="Times New Roman" w:hAnsi="Times New Roman" w:cs="Times New Roman"/>
          <w:color w:val="FF0000"/>
          <w:lang w:val="en-US"/>
        </w:rPr>
        <w:t xml:space="preserve">ganizations’ capacity </w:t>
      </w:r>
      <w:r w:rsidR="00537A16">
        <w:rPr>
          <w:rFonts w:ascii="Times New Roman" w:hAnsi="Times New Roman" w:cs="Times New Roman"/>
          <w:color w:val="FF0000"/>
          <w:lang w:val="en-US"/>
        </w:rPr>
        <w:t>for</w:t>
      </w:r>
      <w:r w:rsidR="004E10ED" w:rsidRPr="00537A16">
        <w:rPr>
          <w:rFonts w:ascii="Times New Roman" w:hAnsi="Times New Roman" w:cs="Times New Roman"/>
          <w:color w:val="FF0000"/>
          <w:lang w:val="en-US"/>
        </w:rPr>
        <w:t xml:space="preserve"> raising awareness </w:t>
      </w:r>
      <w:r w:rsidR="00D42D6C" w:rsidRPr="00537A16">
        <w:rPr>
          <w:rFonts w:ascii="Times New Roman" w:hAnsi="Times New Roman" w:cs="Times New Roman"/>
          <w:color w:val="FF0000"/>
          <w:lang w:val="en-US"/>
        </w:rPr>
        <w:t xml:space="preserve">among public and private entities regarding </w:t>
      </w:r>
      <w:r w:rsidR="00537A16">
        <w:rPr>
          <w:rFonts w:ascii="Times New Roman" w:hAnsi="Times New Roman" w:cs="Times New Roman"/>
          <w:color w:val="FF0000"/>
          <w:lang w:val="en-US"/>
        </w:rPr>
        <w:t xml:space="preserve">the rights of </w:t>
      </w:r>
      <w:r w:rsidR="00D42D6C" w:rsidRPr="00537A16">
        <w:rPr>
          <w:rFonts w:ascii="Times New Roman" w:hAnsi="Times New Roman" w:cs="Times New Roman"/>
          <w:color w:val="FF0000"/>
          <w:lang w:val="en-US"/>
        </w:rPr>
        <w:t>persons with disabilities</w:t>
      </w:r>
      <w:r w:rsidR="00537A16">
        <w:rPr>
          <w:rFonts w:ascii="Times New Roman" w:hAnsi="Times New Roman" w:cs="Times New Roman"/>
          <w:color w:val="FF0000"/>
          <w:lang w:val="en-US"/>
        </w:rPr>
        <w:t xml:space="preserve"> </w:t>
      </w:r>
      <w:r w:rsidR="00D42D6C" w:rsidRPr="00537A16">
        <w:rPr>
          <w:rFonts w:ascii="Times New Roman" w:hAnsi="Times New Roman" w:cs="Times New Roman"/>
          <w:color w:val="FF0000"/>
          <w:lang w:val="en-US"/>
        </w:rPr>
        <w:t xml:space="preserve">according to article 19, in </w:t>
      </w:r>
      <w:r w:rsidR="004E10ED" w:rsidRPr="00537A16">
        <w:rPr>
          <w:rFonts w:ascii="Times New Roman" w:hAnsi="Times New Roman" w:cs="Times New Roman"/>
          <w:color w:val="FF0000"/>
          <w:lang w:val="en-US"/>
        </w:rPr>
        <w:t>developing legal expertise for the purpose of monitoring compliance with article 19 and</w:t>
      </w:r>
      <w:r w:rsidR="00537A16">
        <w:rPr>
          <w:rFonts w:ascii="Times New Roman" w:hAnsi="Times New Roman" w:cs="Times New Roman"/>
          <w:color w:val="FF0000"/>
          <w:lang w:val="en-US"/>
        </w:rPr>
        <w:t xml:space="preserve"> for</w:t>
      </w:r>
      <w:r w:rsidR="00D42D6C" w:rsidRPr="00537A16">
        <w:rPr>
          <w:rFonts w:ascii="Times New Roman" w:hAnsi="Times New Roman" w:cs="Times New Roman"/>
          <w:color w:val="FF0000"/>
          <w:lang w:val="en-US"/>
        </w:rPr>
        <w:t xml:space="preserve"> using the law as a tool for implementing article</w:t>
      </w:r>
      <w:r w:rsidR="00537A16">
        <w:rPr>
          <w:rFonts w:ascii="Times New Roman" w:hAnsi="Times New Roman" w:cs="Times New Roman"/>
          <w:color w:val="FF0000"/>
          <w:lang w:val="en-US"/>
        </w:rPr>
        <w:t xml:space="preserve"> 19</w:t>
      </w:r>
      <w:r w:rsidR="00D42D6C" w:rsidRPr="00537A16">
        <w:rPr>
          <w:rFonts w:ascii="Times New Roman" w:hAnsi="Times New Roman" w:cs="Times New Roman"/>
          <w:color w:val="FF0000"/>
          <w:lang w:val="en-US"/>
        </w:rPr>
        <w:t>.</w:t>
      </w:r>
      <w:r w:rsidR="004E10ED" w:rsidRPr="00537A16">
        <w:rPr>
          <w:rFonts w:ascii="Times New Roman" w:hAnsi="Times New Roman" w:cs="Times New Roman"/>
          <w:color w:val="FF0000"/>
          <w:lang w:val="en-US"/>
        </w:rPr>
        <w:t xml:space="preserve">  </w:t>
      </w:r>
    </w:p>
    <w:p w:rsidR="00967955" w:rsidRDefault="00967955" w:rsidP="00537A16">
      <w:pPr>
        <w:spacing w:before="120" w:after="120"/>
        <w:ind w:left="357"/>
        <w:jc w:val="both"/>
        <w:rPr>
          <w:rFonts w:ascii="Times New Roman" w:hAnsi="Times New Roman" w:cs="Times New Roman"/>
          <w:color w:val="FF0000"/>
          <w:lang w:val="en-US"/>
        </w:rPr>
      </w:pPr>
    </w:p>
    <w:p w:rsidR="00967955" w:rsidRPr="00B4466F" w:rsidRDefault="00967955" w:rsidP="00967955">
      <w:pPr>
        <w:rPr>
          <w:rFonts w:ascii="Times New Roman" w:eastAsia="Times New Roman" w:hAnsi="Times New Roman" w:cs="Times New Roman"/>
          <w:lang w:val="en-GB"/>
        </w:rPr>
      </w:pPr>
    </w:p>
    <w:p w:rsidR="00967955" w:rsidRPr="008965A1" w:rsidRDefault="00967955" w:rsidP="00967955">
      <w:pPr>
        <w:rPr>
          <w:rFonts w:ascii="Times New Roman" w:eastAsia="Times New Roman" w:hAnsi="Times New Roman" w:cs="Times New Roman"/>
          <w:lang w:val="en-GB"/>
        </w:rPr>
      </w:pPr>
      <w:r w:rsidRPr="00B4466F">
        <w:rPr>
          <w:rFonts w:ascii="Times New Roman" w:eastAsia="Times New Roman" w:hAnsi="Times New Roman" w:cs="Times New Roman"/>
          <w:lang w:val="en-GB"/>
        </w:rPr>
        <w:t>On behalf of the Independent</w:t>
      </w:r>
      <w:r>
        <w:rPr>
          <w:rFonts w:ascii="Times New Roman" w:eastAsia="Times New Roman" w:hAnsi="Times New Roman" w:cs="Times New Roman"/>
          <w:lang w:val="en-GB"/>
        </w:rPr>
        <w:t xml:space="preserve"> </w:t>
      </w:r>
      <w:r>
        <w:rPr>
          <w:rFonts w:ascii="Times New Roman" w:eastAsia="Times New Roman" w:hAnsi="Times New Roman" w:cs="Times New Roman"/>
        </w:rPr>
        <w:t>Living Institute</w:t>
      </w:r>
    </w:p>
    <w:p w:rsidR="00967955" w:rsidRPr="008965A1" w:rsidRDefault="004F33D8" w:rsidP="00967955">
      <w:pPr>
        <w:rPr>
          <w:rFonts w:ascii="Times New Roman" w:eastAsia="Times New Roman" w:hAnsi="Times New Roman" w:cs="Times New Roman"/>
        </w:rPr>
      </w:pPr>
      <w:r>
        <w:rPr>
          <w:rFonts w:ascii="Arial" w:hAnsi="Arial"/>
          <w:noProof/>
          <w:sz w:val="24"/>
          <w:szCs w:val="24"/>
          <w:lang w:val="en-GB" w:eastAsia="en-GB"/>
        </w:rPr>
        <w:drawing>
          <wp:inline distT="0" distB="0" distL="0" distR="0">
            <wp:extent cx="1295400" cy="581025"/>
            <wp:effectExtent l="0" t="0" r="0" b="9525"/>
            <wp:docPr id="1" name="Picture 1" descr="AdolfRatzka20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lfRatzka2004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noFill/>
                    <a:ln>
                      <a:noFill/>
                    </a:ln>
                  </pic:spPr>
                </pic:pic>
              </a:graphicData>
            </a:graphic>
          </wp:inline>
        </w:drawing>
      </w:r>
    </w:p>
    <w:p w:rsidR="0051396D" w:rsidRDefault="00967955" w:rsidP="00967955">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Adolf Ratzka</w:t>
      </w:r>
      <w:r w:rsidR="00900239">
        <w:rPr>
          <w:rFonts w:ascii="Times New Roman" w:eastAsia="Times New Roman" w:hAnsi="Times New Roman" w:cs="Times New Roman"/>
          <w:lang w:val="en-GB"/>
        </w:rPr>
        <w:t>, Ph D</w:t>
      </w:r>
    </w:p>
    <w:p w:rsidR="00967955" w:rsidRDefault="00967955" w:rsidP="00967955">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Chair</w:t>
      </w:r>
    </w:p>
    <w:p w:rsidR="00967955" w:rsidRPr="00967955" w:rsidRDefault="00967955" w:rsidP="00967955">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Independent Living Institute</w:t>
      </w:r>
    </w:p>
    <w:p w:rsidR="00D02844" w:rsidRPr="003F16D1" w:rsidRDefault="00D02844" w:rsidP="00D02844">
      <w:pPr>
        <w:spacing w:before="120" w:after="120"/>
        <w:ind w:left="357" w:firstLine="351"/>
        <w:jc w:val="center"/>
        <w:rPr>
          <w:rFonts w:ascii="Times New Roman" w:eastAsia="Malgun Gothic" w:hAnsi="Times New Roman" w:cs="Times New Roman"/>
          <w:lang w:val="en-US"/>
        </w:rPr>
      </w:pPr>
    </w:p>
    <w:sectPr w:rsidR="00D02844" w:rsidRPr="003F16D1">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C4D" w:rsidRDefault="00850C4D" w:rsidP="00283EFF">
      <w:pPr>
        <w:spacing w:after="0" w:line="240" w:lineRule="auto"/>
      </w:pPr>
      <w:r>
        <w:separator/>
      </w:r>
    </w:p>
  </w:endnote>
  <w:endnote w:type="continuationSeparator" w:id="0">
    <w:p w:rsidR="00850C4D" w:rsidRDefault="00850C4D" w:rsidP="0028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9F" w:rsidRPr="00211A1D" w:rsidRDefault="00B0329F">
    <w:pPr>
      <w:pStyle w:val="Footer"/>
      <w:jc w:val="right"/>
      <w:rPr>
        <w:rFonts w:ascii="Times New Roman" w:hAnsi="Times New Roman" w:cs="Times New Roman"/>
      </w:rPr>
    </w:pPr>
    <w:r w:rsidRPr="00211A1D">
      <w:rPr>
        <w:rFonts w:ascii="Times New Roman" w:hAnsi="Times New Roman" w:cs="Times New Roman"/>
      </w:rPr>
      <w:fldChar w:fldCharType="begin"/>
    </w:r>
    <w:r w:rsidRPr="00211A1D">
      <w:rPr>
        <w:rFonts w:ascii="Times New Roman" w:hAnsi="Times New Roman" w:cs="Times New Roman"/>
      </w:rPr>
      <w:instrText xml:space="preserve"> PAGE   \* MERGEFORMAT </w:instrText>
    </w:r>
    <w:r w:rsidRPr="00211A1D">
      <w:rPr>
        <w:rFonts w:ascii="Times New Roman" w:hAnsi="Times New Roman" w:cs="Times New Roman"/>
      </w:rPr>
      <w:fldChar w:fldCharType="separate"/>
    </w:r>
    <w:r w:rsidR="004F33D8">
      <w:rPr>
        <w:rFonts w:ascii="Times New Roman" w:hAnsi="Times New Roman" w:cs="Times New Roman"/>
        <w:noProof/>
      </w:rPr>
      <w:t>1</w:t>
    </w:r>
    <w:r w:rsidRPr="00211A1D">
      <w:rPr>
        <w:rFonts w:ascii="Times New Roman" w:hAnsi="Times New Roman" w:cs="Times New Roman"/>
        <w:noProof/>
      </w:rPr>
      <w:fldChar w:fldCharType="end"/>
    </w:r>
  </w:p>
  <w:p w:rsidR="00B0329F" w:rsidRDefault="00B03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C4D" w:rsidRDefault="00850C4D" w:rsidP="00283EFF">
      <w:pPr>
        <w:spacing w:after="0" w:line="240" w:lineRule="auto"/>
      </w:pPr>
      <w:r>
        <w:separator/>
      </w:r>
    </w:p>
  </w:footnote>
  <w:footnote w:type="continuationSeparator" w:id="0">
    <w:p w:rsidR="00850C4D" w:rsidRDefault="00850C4D" w:rsidP="00283EFF">
      <w:pPr>
        <w:spacing w:after="0" w:line="240" w:lineRule="auto"/>
      </w:pPr>
      <w:r>
        <w:continuationSeparator/>
      </w:r>
    </w:p>
  </w:footnote>
  <w:footnote w:id="1">
    <w:p w:rsidR="00B0329F" w:rsidRDefault="00B0329F" w:rsidP="00283EFF">
      <w:pPr>
        <w:pStyle w:val="FootnoteText"/>
      </w:pPr>
      <w:r>
        <w:rPr>
          <w:rStyle w:val="FootnoteReference"/>
        </w:rPr>
        <w:footnoteRef/>
      </w:r>
      <w:r>
        <w:t xml:space="preserve"> </w:t>
      </w:r>
      <w:r>
        <w:tab/>
      </w:r>
      <w:r>
        <w:rPr>
          <w:sz w:val="18"/>
          <w:szCs w:val="18"/>
        </w:rPr>
        <w:t xml:space="preserve">Human Rights Committee, General Comment No. 27, para. 1; Committee on Economic, Social and Cultural Rights, </w:t>
      </w:r>
      <w:r>
        <w:rPr>
          <w:sz w:val="18"/>
          <w:szCs w:val="18"/>
        </w:rPr>
        <w:tab/>
        <w:t>General Comment No. 4, para. 7.</w:t>
      </w:r>
    </w:p>
  </w:footnote>
  <w:footnote w:id="2">
    <w:p w:rsidR="00B0329F" w:rsidRDefault="00B0329F" w:rsidP="00283EFF">
      <w:pPr>
        <w:pStyle w:val="FootnoteText"/>
      </w:pPr>
      <w:r>
        <w:rPr>
          <w:rStyle w:val="FootnoteReference"/>
        </w:rPr>
        <w:footnoteRef/>
      </w:r>
      <w:r>
        <w:t xml:space="preserve"> </w:t>
      </w:r>
      <w:r>
        <w:tab/>
      </w:r>
      <w:r>
        <w:rPr>
          <w:sz w:val="18"/>
          <w:szCs w:val="18"/>
        </w:rPr>
        <w:t>Committee on Economic, Social and Cultural Rights, General Comment No. 5, para. 15.</w:t>
      </w:r>
    </w:p>
  </w:footnote>
  <w:footnote w:id="3">
    <w:p w:rsidR="00B0329F" w:rsidRDefault="00B0329F" w:rsidP="00283EFF">
      <w:pPr>
        <w:pStyle w:val="FootnoteText"/>
      </w:pPr>
      <w:r>
        <w:rPr>
          <w:rStyle w:val="FootnoteReference"/>
        </w:rPr>
        <w:footnoteRef/>
      </w:r>
      <w:r>
        <w:t xml:space="preserve"> </w:t>
      </w:r>
      <w:r>
        <w:tab/>
      </w:r>
      <w:r>
        <w:rPr>
          <w:sz w:val="18"/>
          <w:szCs w:val="18"/>
        </w:rPr>
        <w:t xml:space="preserve">Office of the United Nations High Commissioner for Human Rights: Thematic study on the right of persons with </w:t>
      </w:r>
      <w:r>
        <w:rPr>
          <w:sz w:val="18"/>
          <w:szCs w:val="18"/>
        </w:rPr>
        <w:tab/>
        <w:t>disabilities to live ind</w:t>
      </w:r>
      <w:r w:rsidR="005D0E15">
        <w:rPr>
          <w:sz w:val="18"/>
          <w:szCs w:val="18"/>
        </w:rPr>
        <w:t>the right</w:t>
      </w:r>
      <w:r>
        <w:rPr>
          <w:sz w:val="18"/>
          <w:szCs w:val="18"/>
        </w:rPr>
        <w:t>ependently and be included in the community (A/HRC/28/37), para. 21.</w:t>
      </w:r>
      <w:r>
        <w:t xml:space="preserve"> </w:t>
      </w:r>
    </w:p>
  </w:footnote>
  <w:footnote w:id="4">
    <w:p w:rsidR="00B0329F" w:rsidRDefault="00B0329F" w:rsidP="004B7A2C">
      <w:pPr>
        <w:pStyle w:val="FootnoteText"/>
        <w:jc w:val="both"/>
        <w:rPr>
          <w:sz w:val="18"/>
          <w:szCs w:val="18"/>
        </w:rPr>
      </w:pPr>
      <w:r>
        <w:rPr>
          <w:rStyle w:val="FootnoteReference"/>
        </w:rPr>
        <w:footnoteRef/>
      </w:r>
      <w:r>
        <w:t xml:space="preserve"> </w:t>
      </w:r>
      <w:r>
        <w:rPr>
          <w:sz w:val="18"/>
          <w:szCs w:val="18"/>
        </w:rPr>
        <w:t xml:space="preserve">In the long term, inclusive societies, in which persons with disabilities fully participate and contribute to the economic, social, political and cultural life, are more cost effective. Hence, although high quality individualized support and inclusive mainstream services may require initial investments, they are more cost-efficient in the long run (Office of the United Nations High Commissioner for Human Rights: Thematic study on the right of persons </w:t>
      </w:r>
      <w:r>
        <w:rPr>
          <w:sz w:val="18"/>
          <w:szCs w:val="18"/>
        </w:rPr>
        <w:tab/>
        <w:t xml:space="preserve">with disabilities to live independently and be included in the community (A/HRC/28/37), para. 65). </w:t>
      </w:r>
    </w:p>
  </w:footnote>
  <w:footnote w:id="5">
    <w:p w:rsidR="00B0329F" w:rsidRDefault="00B0329F" w:rsidP="00283EFF">
      <w:pPr>
        <w:pStyle w:val="FootnoteText"/>
        <w:rPr>
          <w:sz w:val="18"/>
          <w:szCs w:val="18"/>
        </w:rPr>
      </w:pPr>
      <w:r>
        <w:rPr>
          <w:rStyle w:val="FootnoteReference"/>
          <w:sz w:val="18"/>
          <w:szCs w:val="18"/>
        </w:rPr>
        <w:footnoteRef/>
      </w:r>
      <w:r>
        <w:rPr>
          <w:sz w:val="18"/>
          <w:szCs w:val="18"/>
        </w:rPr>
        <w:t xml:space="preserve"> </w:t>
      </w:r>
      <w:r>
        <w:rPr>
          <w:sz w:val="18"/>
          <w:szCs w:val="18"/>
        </w:rPr>
        <w:tab/>
        <w:t>Committee on Economic, Social and Cultural Rights, General Comment No. 3.</w:t>
      </w:r>
    </w:p>
  </w:footnote>
  <w:footnote w:id="6">
    <w:p w:rsidR="00B0329F" w:rsidRDefault="00B0329F" w:rsidP="00283EFF">
      <w:pPr>
        <w:pStyle w:val="FootnoteText"/>
        <w:rPr>
          <w:sz w:val="18"/>
          <w:szCs w:val="18"/>
        </w:rPr>
      </w:pPr>
      <w:r>
        <w:rPr>
          <w:rStyle w:val="FootnoteReference"/>
          <w:sz w:val="18"/>
          <w:szCs w:val="18"/>
        </w:rPr>
        <w:footnoteRef/>
      </w:r>
      <w:r>
        <w:rPr>
          <w:sz w:val="18"/>
          <w:szCs w:val="18"/>
        </w:rPr>
        <w:t xml:space="preserve"> </w:t>
      </w:r>
      <w:r>
        <w:rPr>
          <w:sz w:val="18"/>
          <w:szCs w:val="18"/>
        </w:rPr>
        <w:tab/>
        <w:t>Ibid.</w:t>
      </w:r>
      <w:r w:rsidRPr="007237F8">
        <w:rPr>
          <w:sz w:val="18"/>
          <w:szCs w:val="18"/>
        </w:rPr>
        <w:t xml:space="preserve"> para. 10.</w:t>
      </w:r>
      <w:r>
        <w:rPr>
          <w:sz w:val="18"/>
          <w:szCs w:val="18"/>
        </w:rPr>
        <w:t xml:space="preserve">  </w:t>
      </w:r>
    </w:p>
  </w:footnote>
  <w:footnote w:id="7">
    <w:p w:rsidR="00B0329F" w:rsidRDefault="00B0329F" w:rsidP="00283EFF">
      <w:pPr>
        <w:pStyle w:val="FootnoteText"/>
        <w:rPr>
          <w:sz w:val="18"/>
          <w:szCs w:val="18"/>
        </w:rPr>
      </w:pPr>
      <w:r>
        <w:rPr>
          <w:rStyle w:val="FootnoteReference"/>
          <w:sz w:val="18"/>
          <w:szCs w:val="18"/>
        </w:rPr>
        <w:footnoteRef/>
      </w:r>
      <w:r>
        <w:rPr>
          <w:sz w:val="18"/>
          <w:szCs w:val="18"/>
        </w:rPr>
        <w:t xml:space="preserve"> </w:t>
      </w:r>
      <w:r>
        <w:rPr>
          <w:sz w:val="18"/>
          <w:szCs w:val="18"/>
        </w:rPr>
        <w:tab/>
        <w:t xml:space="preserve">Ibid. </w:t>
      </w:r>
    </w:p>
  </w:footnote>
  <w:footnote w:id="8">
    <w:p w:rsidR="00B0329F" w:rsidRDefault="00B0329F" w:rsidP="00283EFF">
      <w:pPr>
        <w:pStyle w:val="FootnoteText"/>
      </w:pPr>
      <w:r>
        <w:rPr>
          <w:rStyle w:val="FootnoteReference"/>
          <w:sz w:val="18"/>
          <w:szCs w:val="18"/>
        </w:rPr>
        <w:footnoteRef/>
      </w:r>
      <w:r>
        <w:rPr>
          <w:sz w:val="18"/>
          <w:szCs w:val="18"/>
        </w:rPr>
        <w:t xml:space="preserve"> </w:t>
      </w:r>
      <w:r>
        <w:rPr>
          <w:sz w:val="18"/>
          <w:szCs w:val="18"/>
        </w:rPr>
        <w:tab/>
        <w:t xml:space="preserve">Committee on the Rights of Persons with Disabilities, Inquiry concerning the United Kingdom of Great Britain and </w:t>
      </w:r>
      <w:r>
        <w:rPr>
          <w:sz w:val="18"/>
          <w:szCs w:val="18"/>
        </w:rPr>
        <w:tab/>
        <w:t xml:space="preserve">Northern Ireland (CRPD/C/15/R.2/Rev.1), para. 46. </w:t>
      </w:r>
    </w:p>
  </w:footnote>
  <w:footnote w:id="9">
    <w:p w:rsidR="00B0329F" w:rsidRDefault="00B0329F" w:rsidP="00283EFF">
      <w:pPr>
        <w:pStyle w:val="FootnoteText"/>
      </w:pPr>
      <w:r>
        <w:rPr>
          <w:rStyle w:val="FootnoteReference"/>
        </w:rPr>
        <w:footnoteRef/>
      </w:r>
      <w:r>
        <w:t xml:space="preserve"> </w:t>
      </w:r>
      <w:r>
        <w:tab/>
      </w:r>
      <w:r>
        <w:rPr>
          <w:sz w:val="18"/>
          <w:szCs w:val="18"/>
        </w:rPr>
        <w:t xml:space="preserve">Committee on the Rights of Persons with Disabilities, Inquiry concerning the United Kingdom of Great Britain and </w:t>
      </w:r>
      <w:r>
        <w:rPr>
          <w:sz w:val="18"/>
          <w:szCs w:val="18"/>
        </w:rPr>
        <w:tab/>
        <w:t>Northern Ireland (CRPD/C/15/R.2/Rev.1).</w:t>
      </w:r>
    </w:p>
  </w:footnote>
  <w:footnote w:id="10">
    <w:p w:rsidR="00FA4477" w:rsidRPr="00BB3C41" w:rsidRDefault="00FA4477" w:rsidP="00FA4477">
      <w:pPr>
        <w:pStyle w:val="FootnoteText"/>
        <w:rPr>
          <w:lang w:val="en-GB"/>
        </w:rPr>
      </w:pPr>
      <w:r w:rsidRPr="00BB3C41">
        <w:rPr>
          <w:rStyle w:val="FootnoteReference"/>
        </w:rPr>
        <w:footnoteRef/>
      </w:r>
      <w:r w:rsidRPr="00BB3C41">
        <w:t xml:space="preserve"> </w:t>
      </w:r>
      <w:r w:rsidRPr="00BB3C41">
        <w:rPr>
          <w:sz w:val="18"/>
          <w:szCs w:val="18"/>
        </w:rPr>
        <w:t>http://tbinternet.ohchr.org/_layouts/treatybodyexternal/Download.aspx?symbolno=CRPD/C/GC/2&amp;Lang=en</w:t>
      </w:r>
    </w:p>
  </w:footnote>
  <w:footnote w:id="11">
    <w:p w:rsidR="00B0329F" w:rsidRPr="00DF22FD" w:rsidRDefault="00B0329F">
      <w:pPr>
        <w:pStyle w:val="FootnoteText"/>
        <w:rPr>
          <w:sz w:val="20"/>
          <w:szCs w:val="20"/>
        </w:rPr>
      </w:pPr>
      <w:r w:rsidRPr="00DF22FD">
        <w:rPr>
          <w:rStyle w:val="FootnoteReference"/>
          <w:sz w:val="20"/>
          <w:szCs w:val="20"/>
        </w:rPr>
        <w:footnoteRef/>
      </w:r>
      <w:r w:rsidRPr="00DF22FD">
        <w:rPr>
          <w:sz w:val="20"/>
          <w:szCs w:val="20"/>
        </w:rPr>
        <w:t xml:space="preserve"> The Committee has expressed concern about </w:t>
      </w:r>
      <w:r w:rsidRPr="00DF22FD">
        <w:rPr>
          <w:i/>
          <w:sz w:val="20"/>
          <w:szCs w:val="20"/>
        </w:rPr>
        <w:t>de facto</w:t>
      </w:r>
      <w:r w:rsidRPr="00DF22FD">
        <w:rPr>
          <w:sz w:val="20"/>
          <w:szCs w:val="20"/>
        </w:rPr>
        <w:t xml:space="preserve"> guardianship and denial of legal capacity in COBs on See COBs Kenya (CRPD/C/KEN/CO/1 para. 23), Uganda (CRPD/C/UGA/CO/1 para. 22). </w:t>
      </w:r>
    </w:p>
  </w:footnote>
  <w:footnote w:id="12">
    <w:p w:rsidR="00B0329F" w:rsidRDefault="00B0329F" w:rsidP="00283EFF">
      <w:pPr>
        <w:pStyle w:val="FootnoteText"/>
      </w:pPr>
      <w:r>
        <w:rPr>
          <w:rStyle w:val="FootnoteReference"/>
        </w:rPr>
        <w:footnoteRef/>
      </w:r>
      <w:r>
        <w:t xml:space="preserve"> </w:t>
      </w:r>
      <w:r>
        <w:tab/>
      </w:r>
      <w:r>
        <w:rPr>
          <w:sz w:val="18"/>
          <w:szCs w:val="18"/>
        </w:rPr>
        <w:t xml:space="preserve">Committee on the Rights of Persons with Disabilities, General Comment No.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5742"/>
    <w:multiLevelType w:val="hybridMultilevel"/>
    <w:tmpl w:val="B66850D6"/>
    <w:lvl w:ilvl="0" w:tplc="BE10EE32">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66A3643"/>
    <w:multiLevelType w:val="hybridMultilevel"/>
    <w:tmpl w:val="E0DA84B6"/>
    <w:lvl w:ilvl="0" w:tplc="727A4552">
      <w:start w:val="1"/>
      <w:numFmt w:val="upp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
    <w:nsid w:val="0BCF3BC0"/>
    <w:multiLevelType w:val="multilevel"/>
    <w:tmpl w:val="E424DF1C"/>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CA405A"/>
    <w:multiLevelType w:val="hybridMultilevel"/>
    <w:tmpl w:val="E83E35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E804F03"/>
    <w:multiLevelType w:val="multilevel"/>
    <w:tmpl w:val="9C18BF62"/>
    <w:lvl w:ilvl="0">
      <w:start w:val="1"/>
      <w:numFmt w:val="decimal"/>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2A47767"/>
    <w:multiLevelType w:val="hybridMultilevel"/>
    <w:tmpl w:val="E83E35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217334F"/>
    <w:multiLevelType w:val="hybridMultilevel"/>
    <w:tmpl w:val="FF2839E8"/>
    <w:lvl w:ilvl="0" w:tplc="B0A40472">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nsid w:val="56024D1C"/>
    <w:multiLevelType w:val="hybridMultilevel"/>
    <w:tmpl w:val="C59C639C"/>
    <w:lvl w:ilvl="0" w:tplc="04070019">
      <w:start w:val="1"/>
      <w:numFmt w:val="lowerLetter"/>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8">
    <w:nsid w:val="62FB7C1F"/>
    <w:multiLevelType w:val="multilevel"/>
    <w:tmpl w:val="FE024D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319633E"/>
    <w:multiLevelType w:val="hybridMultilevel"/>
    <w:tmpl w:val="09C2A14A"/>
    <w:lvl w:ilvl="0" w:tplc="08090015">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nsid w:val="75146331"/>
    <w:multiLevelType w:val="multilevel"/>
    <w:tmpl w:val="329CE08E"/>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6"/>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9C71E5F-C4B5-4779-B058-347C62ED1517}"/>
    <w:docVar w:name="dgnword-eventsink" w:val="315155512"/>
  </w:docVars>
  <w:rsids>
    <w:rsidRoot w:val="00283EFF"/>
    <w:rsid w:val="000051E2"/>
    <w:rsid w:val="000165A6"/>
    <w:rsid w:val="000176F3"/>
    <w:rsid w:val="00032F54"/>
    <w:rsid w:val="00041377"/>
    <w:rsid w:val="0004421D"/>
    <w:rsid w:val="000510B6"/>
    <w:rsid w:val="00057F47"/>
    <w:rsid w:val="000603D9"/>
    <w:rsid w:val="00074B29"/>
    <w:rsid w:val="00083243"/>
    <w:rsid w:val="0008771C"/>
    <w:rsid w:val="00090639"/>
    <w:rsid w:val="000A1CBA"/>
    <w:rsid w:val="000A345B"/>
    <w:rsid w:val="000A5312"/>
    <w:rsid w:val="000A702C"/>
    <w:rsid w:val="000C21B1"/>
    <w:rsid w:val="000D2075"/>
    <w:rsid w:val="000D376F"/>
    <w:rsid w:val="000D5382"/>
    <w:rsid w:val="000D78AD"/>
    <w:rsid w:val="000E34C4"/>
    <w:rsid w:val="000F0AAC"/>
    <w:rsid w:val="000F12E7"/>
    <w:rsid w:val="000F3CBA"/>
    <w:rsid w:val="000F67A6"/>
    <w:rsid w:val="000F6CEC"/>
    <w:rsid w:val="000F7D4F"/>
    <w:rsid w:val="0010228A"/>
    <w:rsid w:val="0010510D"/>
    <w:rsid w:val="001111A5"/>
    <w:rsid w:val="00136243"/>
    <w:rsid w:val="00147951"/>
    <w:rsid w:val="00154B97"/>
    <w:rsid w:val="00182276"/>
    <w:rsid w:val="0018274D"/>
    <w:rsid w:val="00185792"/>
    <w:rsid w:val="00194778"/>
    <w:rsid w:val="001967DE"/>
    <w:rsid w:val="001B04A4"/>
    <w:rsid w:val="001C1E51"/>
    <w:rsid w:val="001C682B"/>
    <w:rsid w:val="001D41DC"/>
    <w:rsid w:val="001D5659"/>
    <w:rsid w:val="001D586F"/>
    <w:rsid w:val="001E2886"/>
    <w:rsid w:val="001E4D58"/>
    <w:rsid w:val="001F1744"/>
    <w:rsid w:val="001F33A9"/>
    <w:rsid w:val="001F3A40"/>
    <w:rsid w:val="0020066D"/>
    <w:rsid w:val="00207F90"/>
    <w:rsid w:val="00211A1D"/>
    <w:rsid w:val="00211DF8"/>
    <w:rsid w:val="0021263C"/>
    <w:rsid w:val="002126B8"/>
    <w:rsid w:val="0021328A"/>
    <w:rsid w:val="00214AE6"/>
    <w:rsid w:val="00215BFB"/>
    <w:rsid w:val="00220EB7"/>
    <w:rsid w:val="00225588"/>
    <w:rsid w:val="00225807"/>
    <w:rsid w:val="00225AFD"/>
    <w:rsid w:val="00233183"/>
    <w:rsid w:val="0023482E"/>
    <w:rsid w:val="002349CE"/>
    <w:rsid w:val="00237AAC"/>
    <w:rsid w:val="00243DD4"/>
    <w:rsid w:val="002440FA"/>
    <w:rsid w:val="00245302"/>
    <w:rsid w:val="00252301"/>
    <w:rsid w:val="00252889"/>
    <w:rsid w:val="002534A4"/>
    <w:rsid w:val="002542ED"/>
    <w:rsid w:val="002665F5"/>
    <w:rsid w:val="0027382F"/>
    <w:rsid w:val="0027641A"/>
    <w:rsid w:val="002775D8"/>
    <w:rsid w:val="00283EFF"/>
    <w:rsid w:val="0028483B"/>
    <w:rsid w:val="00284C45"/>
    <w:rsid w:val="002860FB"/>
    <w:rsid w:val="0028671E"/>
    <w:rsid w:val="002937FE"/>
    <w:rsid w:val="0029729A"/>
    <w:rsid w:val="00297EDF"/>
    <w:rsid w:val="002A21F1"/>
    <w:rsid w:val="002A3C3C"/>
    <w:rsid w:val="002A4171"/>
    <w:rsid w:val="002B0082"/>
    <w:rsid w:val="002B0B9D"/>
    <w:rsid w:val="002B1D86"/>
    <w:rsid w:val="002B77EB"/>
    <w:rsid w:val="002C2065"/>
    <w:rsid w:val="002C4FE8"/>
    <w:rsid w:val="002D0DCD"/>
    <w:rsid w:val="002D2FB1"/>
    <w:rsid w:val="002D4929"/>
    <w:rsid w:val="002D706D"/>
    <w:rsid w:val="002E7A44"/>
    <w:rsid w:val="002F75F9"/>
    <w:rsid w:val="002F7884"/>
    <w:rsid w:val="00300906"/>
    <w:rsid w:val="00301143"/>
    <w:rsid w:val="00302A68"/>
    <w:rsid w:val="00317720"/>
    <w:rsid w:val="00327CD5"/>
    <w:rsid w:val="00330E49"/>
    <w:rsid w:val="00331628"/>
    <w:rsid w:val="0033380D"/>
    <w:rsid w:val="003364E6"/>
    <w:rsid w:val="00343B30"/>
    <w:rsid w:val="00345D1C"/>
    <w:rsid w:val="003479C6"/>
    <w:rsid w:val="00355AD2"/>
    <w:rsid w:val="003634FE"/>
    <w:rsid w:val="00367C28"/>
    <w:rsid w:val="00367F91"/>
    <w:rsid w:val="00371CB0"/>
    <w:rsid w:val="003757B9"/>
    <w:rsid w:val="0037731F"/>
    <w:rsid w:val="00385241"/>
    <w:rsid w:val="00386724"/>
    <w:rsid w:val="003931DF"/>
    <w:rsid w:val="00394B0D"/>
    <w:rsid w:val="003951AF"/>
    <w:rsid w:val="003964D0"/>
    <w:rsid w:val="00397149"/>
    <w:rsid w:val="003A0435"/>
    <w:rsid w:val="003B4B46"/>
    <w:rsid w:val="003B58C7"/>
    <w:rsid w:val="003C02C3"/>
    <w:rsid w:val="003D2ECC"/>
    <w:rsid w:val="003D3C3F"/>
    <w:rsid w:val="003D76BF"/>
    <w:rsid w:val="003D78FF"/>
    <w:rsid w:val="003E4AE3"/>
    <w:rsid w:val="003F16D1"/>
    <w:rsid w:val="003F40B1"/>
    <w:rsid w:val="003F529D"/>
    <w:rsid w:val="004001B3"/>
    <w:rsid w:val="004024CA"/>
    <w:rsid w:val="004331FB"/>
    <w:rsid w:val="00434C0C"/>
    <w:rsid w:val="004403CA"/>
    <w:rsid w:val="00442940"/>
    <w:rsid w:val="00442A10"/>
    <w:rsid w:val="00443616"/>
    <w:rsid w:val="00452DDE"/>
    <w:rsid w:val="00465FAD"/>
    <w:rsid w:val="004733C5"/>
    <w:rsid w:val="00477263"/>
    <w:rsid w:val="0048142D"/>
    <w:rsid w:val="00483BE8"/>
    <w:rsid w:val="00484920"/>
    <w:rsid w:val="00490C2E"/>
    <w:rsid w:val="00493945"/>
    <w:rsid w:val="00493DB8"/>
    <w:rsid w:val="00495E37"/>
    <w:rsid w:val="00496F47"/>
    <w:rsid w:val="00497966"/>
    <w:rsid w:val="004A1734"/>
    <w:rsid w:val="004A2FDD"/>
    <w:rsid w:val="004A31EA"/>
    <w:rsid w:val="004A3D54"/>
    <w:rsid w:val="004A6492"/>
    <w:rsid w:val="004A79C0"/>
    <w:rsid w:val="004B0362"/>
    <w:rsid w:val="004B38CA"/>
    <w:rsid w:val="004B3A90"/>
    <w:rsid w:val="004B3FF4"/>
    <w:rsid w:val="004B7A2C"/>
    <w:rsid w:val="004B7E44"/>
    <w:rsid w:val="004D5BDF"/>
    <w:rsid w:val="004E10ED"/>
    <w:rsid w:val="004E7120"/>
    <w:rsid w:val="004F33D8"/>
    <w:rsid w:val="00500199"/>
    <w:rsid w:val="00503186"/>
    <w:rsid w:val="00503E88"/>
    <w:rsid w:val="005044B3"/>
    <w:rsid w:val="00506AF4"/>
    <w:rsid w:val="0051396D"/>
    <w:rsid w:val="00517620"/>
    <w:rsid w:val="00523A45"/>
    <w:rsid w:val="005352C2"/>
    <w:rsid w:val="00537A16"/>
    <w:rsid w:val="005442A8"/>
    <w:rsid w:val="005469D3"/>
    <w:rsid w:val="0055299F"/>
    <w:rsid w:val="0055532C"/>
    <w:rsid w:val="005558B6"/>
    <w:rsid w:val="00561EBA"/>
    <w:rsid w:val="00581E73"/>
    <w:rsid w:val="00585A58"/>
    <w:rsid w:val="00596164"/>
    <w:rsid w:val="005A05A3"/>
    <w:rsid w:val="005A29DF"/>
    <w:rsid w:val="005A494C"/>
    <w:rsid w:val="005A6BE5"/>
    <w:rsid w:val="005C4611"/>
    <w:rsid w:val="005C7D75"/>
    <w:rsid w:val="005D0E15"/>
    <w:rsid w:val="005D158A"/>
    <w:rsid w:val="005D2C39"/>
    <w:rsid w:val="005D6D90"/>
    <w:rsid w:val="005E3EC0"/>
    <w:rsid w:val="005F15F1"/>
    <w:rsid w:val="005F220C"/>
    <w:rsid w:val="005F45AA"/>
    <w:rsid w:val="005F4D6F"/>
    <w:rsid w:val="00603151"/>
    <w:rsid w:val="00605836"/>
    <w:rsid w:val="006066A3"/>
    <w:rsid w:val="00614B71"/>
    <w:rsid w:val="0061737B"/>
    <w:rsid w:val="00620AB4"/>
    <w:rsid w:val="006255B4"/>
    <w:rsid w:val="00636EF9"/>
    <w:rsid w:val="00642674"/>
    <w:rsid w:val="00643B9D"/>
    <w:rsid w:val="00645CC2"/>
    <w:rsid w:val="0065065C"/>
    <w:rsid w:val="006520C4"/>
    <w:rsid w:val="00656AC9"/>
    <w:rsid w:val="00665D76"/>
    <w:rsid w:val="00666E52"/>
    <w:rsid w:val="0067361F"/>
    <w:rsid w:val="00676273"/>
    <w:rsid w:val="00677172"/>
    <w:rsid w:val="00682219"/>
    <w:rsid w:val="00690422"/>
    <w:rsid w:val="006A4F56"/>
    <w:rsid w:val="006B692F"/>
    <w:rsid w:val="006C0D69"/>
    <w:rsid w:val="006C1130"/>
    <w:rsid w:val="006C40DC"/>
    <w:rsid w:val="006C65DD"/>
    <w:rsid w:val="006D1B42"/>
    <w:rsid w:val="006D27E8"/>
    <w:rsid w:val="006D5E3B"/>
    <w:rsid w:val="006E4395"/>
    <w:rsid w:val="006E4F31"/>
    <w:rsid w:val="006E6DEC"/>
    <w:rsid w:val="006F38B7"/>
    <w:rsid w:val="00700021"/>
    <w:rsid w:val="00701D58"/>
    <w:rsid w:val="00706E87"/>
    <w:rsid w:val="00710730"/>
    <w:rsid w:val="00712127"/>
    <w:rsid w:val="007121F5"/>
    <w:rsid w:val="00712DCB"/>
    <w:rsid w:val="00714CB0"/>
    <w:rsid w:val="007233BF"/>
    <w:rsid w:val="007237F8"/>
    <w:rsid w:val="007267CA"/>
    <w:rsid w:val="00727EFB"/>
    <w:rsid w:val="00732E91"/>
    <w:rsid w:val="00733C28"/>
    <w:rsid w:val="00733F35"/>
    <w:rsid w:val="00754AA2"/>
    <w:rsid w:val="007571E5"/>
    <w:rsid w:val="00763ADE"/>
    <w:rsid w:val="00766A9C"/>
    <w:rsid w:val="00767B91"/>
    <w:rsid w:val="00774821"/>
    <w:rsid w:val="00775038"/>
    <w:rsid w:val="00776BA8"/>
    <w:rsid w:val="007774F0"/>
    <w:rsid w:val="007910AD"/>
    <w:rsid w:val="00791C55"/>
    <w:rsid w:val="007923F3"/>
    <w:rsid w:val="00797F04"/>
    <w:rsid w:val="007A0F7E"/>
    <w:rsid w:val="007A18D7"/>
    <w:rsid w:val="007C17FF"/>
    <w:rsid w:val="007C2BCD"/>
    <w:rsid w:val="007C5747"/>
    <w:rsid w:val="007C5BE9"/>
    <w:rsid w:val="007D1160"/>
    <w:rsid w:val="007D777D"/>
    <w:rsid w:val="007E1A98"/>
    <w:rsid w:val="007E6B4C"/>
    <w:rsid w:val="007F001D"/>
    <w:rsid w:val="007F2775"/>
    <w:rsid w:val="007F5EB4"/>
    <w:rsid w:val="0080029A"/>
    <w:rsid w:val="0080176F"/>
    <w:rsid w:val="00806820"/>
    <w:rsid w:val="008149B4"/>
    <w:rsid w:val="00820B28"/>
    <w:rsid w:val="00821830"/>
    <w:rsid w:val="00826BB7"/>
    <w:rsid w:val="008273AE"/>
    <w:rsid w:val="00827E88"/>
    <w:rsid w:val="00830A96"/>
    <w:rsid w:val="00837DA9"/>
    <w:rsid w:val="00837E62"/>
    <w:rsid w:val="00843042"/>
    <w:rsid w:val="00846663"/>
    <w:rsid w:val="008477ED"/>
    <w:rsid w:val="00850C4D"/>
    <w:rsid w:val="00852CF1"/>
    <w:rsid w:val="008552B4"/>
    <w:rsid w:val="00857501"/>
    <w:rsid w:val="0086334F"/>
    <w:rsid w:val="00863537"/>
    <w:rsid w:val="00863AC0"/>
    <w:rsid w:val="00867D0C"/>
    <w:rsid w:val="008708C6"/>
    <w:rsid w:val="0087587D"/>
    <w:rsid w:val="0087633B"/>
    <w:rsid w:val="00892508"/>
    <w:rsid w:val="00894C41"/>
    <w:rsid w:val="00895897"/>
    <w:rsid w:val="008965A1"/>
    <w:rsid w:val="0089692A"/>
    <w:rsid w:val="00897141"/>
    <w:rsid w:val="008B6520"/>
    <w:rsid w:val="008C560D"/>
    <w:rsid w:val="008D09A8"/>
    <w:rsid w:val="008D0F0B"/>
    <w:rsid w:val="008D144D"/>
    <w:rsid w:val="008E3457"/>
    <w:rsid w:val="008E648A"/>
    <w:rsid w:val="008F7563"/>
    <w:rsid w:val="00900239"/>
    <w:rsid w:val="009009D1"/>
    <w:rsid w:val="009401C8"/>
    <w:rsid w:val="00952160"/>
    <w:rsid w:val="00953F0D"/>
    <w:rsid w:val="00956821"/>
    <w:rsid w:val="00960B05"/>
    <w:rsid w:val="00967955"/>
    <w:rsid w:val="00971375"/>
    <w:rsid w:val="0097535A"/>
    <w:rsid w:val="00981C67"/>
    <w:rsid w:val="00982398"/>
    <w:rsid w:val="00983D8F"/>
    <w:rsid w:val="00985DE5"/>
    <w:rsid w:val="009C3097"/>
    <w:rsid w:val="009C62A2"/>
    <w:rsid w:val="009C6923"/>
    <w:rsid w:val="009C77A6"/>
    <w:rsid w:val="009D3EE6"/>
    <w:rsid w:val="009D67B9"/>
    <w:rsid w:val="009E49A6"/>
    <w:rsid w:val="009E536C"/>
    <w:rsid w:val="009F04C3"/>
    <w:rsid w:val="009F2B78"/>
    <w:rsid w:val="00A00CD8"/>
    <w:rsid w:val="00A05665"/>
    <w:rsid w:val="00A0609D"/>
    <w:rsid w:val="00A2198C"/>
    <w:rsid w:val="00A22E45"/>
    <w:rsid w:val="00A3469A"/>
    <w:rsid w:val="00A35ACC"/>
    <w:rsid w:val="00A424C8"/>
    <w:rsid w:val="00A43955"/>
    <w:rsid w:val="00A46BA7"/>
    <w:rsid w:val="00A52410"/>
    <w:rsid w:val="00A5592A"/>
    <w:rsid w:val="00A7604F"/>
    <w:rsid w:val="00A769C4"/>
    <w:rsid w:val="00A778A6"/>
    <w:rsid w:val="00A87B8F"/>
    <w:rsid w:val="00A923BE"/>
    <w:rsid w:val="00AA05A5"/>
    <w:rsid w:val="00AA4892"/>
    <w:rsid w:val="00AB010B"/>
    <w:rsid w:val="00AB1EC8"/>
    <w:rsid w:val="00AB3AC1"/>
    <w:rsid w:val="00AB56F2"/>
    <w:rsid w:val="00AB5D44"/>
    <w:rsid w:val="00AC0EE5"/>
    <w:rsid w:val="00AC7B9F"/>
    <w:rsid w:val="00AD00F6"/>
    <w:rsid w:val="00AD3CE8"/>
    <w:rsid w:val="00AD4778"/>
    <w:rsid w:val="00AD6C1D"/>
    <w:rsid w:val="00AF04B6"/>
    <w:rsid w:val="00AF0F72"/>
    <w:rsid w:val="00AF0FA0"/>
    <w:rsid w:val="00AF19FA"/>
    <w:rsid w:val="00AF2AEC"/>
    <w:rsid w:val="00AF7306"/>
    <w:rsid w:val="00B0104B"/>
    <w:rsid w:val="00B017D8"/>
    <w:rsid w:val="00B01A3E"/>
    <w:rsid w:val="00B0329F"/>
    <w:rsid w:val="00B03CFB"/>
    <w:rsid w:val="00B10208"/>
    <w:rsid w:val="00B112C9"/>
    <w:rsid w:val="00B143A6"/>
    <w:rsid w:val="00B15F52"/>
    <w:rsid w:val="00B211DB"/>
    <w:rsid w:val="00B2324F"/>
    <w:rsid w:val="00B33DCD"/>
    <w:rsid w:val="00B418CC"/>
    <w:rsid w:val="00B44697"/>
    <w:rsid w:val="00B455ED"/>
    <w:rsid w:val="00B54C49"/>
    <w:rsid w:val="00B628B7"/>
    <w:rsid w:val="00B6458C"/>
    <w:rsid w:val="00B65A5B"/>
    <w:rsid w:val="00B67D34"/>
    <w:rsid w:val="00B716A3"/>
    <w:rsid w:val="00B71EF5"/>
    <w:rsid w:val="00B724DD"/>
    <w:rsid w:val="00B74ED2"/>
    <w:rsid w:val="00B76C4F"/>
    <w:rsid w:val="00B77591"/>
    <w:rsid w:val="00B8130F"/>
    <w:rsid w:val="00B822DA"/>
    <w:rsid w:val="00B82322"/>
    <w:rsid w:val="00B93DF2"/>
    <w:rsid w:val="00B93F31"/>
    <w:rsid w:val="00B9415E"/>
    <w:rsid w:val="00BA7DF7"/>
    <w:rsid w:val="00BB14EC"/>
    <w:rsid w:val="00BB3C41"/>
    <w:rsid w:val="00BC2107"/>
    <w:rsid w:val="00BC2770"/>
    <w:rsid w:val="00BD2E3B"/>
    <w:rsid w:val="00BE6F49"/>
    <w:rsid w:val="00BF4C0E"/>
    <w:rsid w:val="00C027D3"/>
    <w:rsid w:val="00C029F4"/>
    <w:rsid w:val="00C033F9"/>
    <w:rsid w:val="00C04D7B"/>
    <w:rsid w:val="00C05891"/>
    <w:rsid w:val="00C206C2"/>
    <w:rsid w:val="00C30B60"/>
    <w:rsid w:val="00C30E3D"/>
    <w:rsid w:val="00C32518"/>
    <w:rsid w:val="00C35EC8"/>
    <w:rsid w:val="00C37EA5"/>
    <w:rsid w:val="00C457E1"/>
    <w:rsid w:val="00C53078"/>
    <w:rsid w:val="00C5449A"/>
    <w:rsid w:val="00C600CE"/>
    <w:rsid w:val="00C62E60"/>
    <w:rsid w:val="00C646F7"/>
    <w:rsid w:val="00C70D4D"/>
    <w:rsid w:val="00C72060"/>
    <w:rsid w:val="00C84B81"/>
    <w:rsid w:val="00C97AC9"/>
    <w:rsid w:val="00CA0F37"/>
    <w:rsid w:val="00CA39C2"/>
    <w:rsid w:val="00CA6D00"/>
    <w:rsid w:val="00CA7105"/>
    <w:rsid w:val="00CB1CF3"/>
    <w:rsid w:val="00CB329E"/>
    <w:rsid w:val="00CB4CCD"/>
    <w:rsid w:val="00CB74EA"/>
    <w:rsid w:val="00CC4B4E"/>
    <w:rsid w:val="00CC52E3"/>
    <w:rsid w:val="00CD44E4"/>
    <w:rsid w:val="00CD6698"/>
    <w:rsid w:val="00CD7ABE"/>
    <w:rsid w:val="00CE5797"/>
    <w:rsid w:val="00CF180B"/>
    <w:rsid w:val="00D01E90"/>
    <w:rsid w:val="00D02844"/>
    <w:rsid w:val="00D11967"/>
    <w:rsid w:val="00D222FA"/>
    <w:rsid w:val="00D26087"/>
    <w:rsid w:val="00D31A33"/>
    <w:rsid w:val="00D325DD"/>
    <w:rsid w:val="00D35046"/>
    <w:rsid w:val="00D353BE"/>
    <w:rsid w:val="00D42D6C"/>
    <w:rsid w:val="00D44ED4"/>
    <w:rsid w:val="00D51EE2"/>
    <w:rsid w:val="00D522E6"/>
    <w:rsid w:val="00D62882"/>
    <w:rsid w:val="00D636EA"/>
    <w:rsid w:val="00D74FE1"/>
    <w:rsid w:val="00D854F4"/>
    <w:rsid w:val="00D921C8"/>
    <w:rsid w:val="00D94F1B"/>
    <w:rsid w:val="00D96F8B"/>
    <w:rsid w:val="00DA4D7D"/>
    <w:rsid w:val="00DA5810"/>
    <w:rsid w:val="00DA5FE2"/>
    <w:rsid w:val="00DA69BE"/>
    <w:rsid w:val="00DB1720"/>
    <w:rsid w:val="00DB2D6A"/>
    <w:rsid w:val="00DB300B"/>
    <w:rsid w:val="00DB5463"/>
    <w:rsid w:val="00DC2D23"/>
    <w:rsid w:val="00DC39F4"/>
    <w:rsid w:val="00DC71C1"/>
    <w:rsid w:val="00DD0225"/>
    <w:rsid w:val="00DE3043"/>
    <w:rsid w:val="00DE4195"/>
    <w:rsid w:val="00DE7C33"/>
    <w:rsid w:val="00DF0EB8"/>
    <w:rsid w:val="00DF16F4"/>
    <w:rsid w:val="00DF22FD"/>
    <w:rsid w:val="00E0010C"/>
    <w:rsid w:val="00E01218"/>
    <w:rsid w:val="00E01654"/>
    <w:rsid w:val="00E018DF"/>
    <w:rsid w:val="00E079D9"/>
    <w:rsid w:val="00E1194C"/>
    <w:rsid w:val="00E11A81"/>
    <w:rsid w:val="00E134CC"/>
    <w:rsid w:val="00E136B6"/>
    <w:rsid w:val="00E2010E"/>
    <w:rsid w:val="00E21801"/>
    <w:rsid w:val="00E24602"/>
    <w:rsid w:val="00E25805"/>
    <w:rsid w:val="00E44409"/>
    <w:rsid w:val="00E44FC8"/>
    <w:rsid w:val="00E476BB"/>
    <w:rsid w:val="00E53FDA"/>
    <w:rsid w:val="00E57315"/>
    <w:rsid w:val="00E60DD6"/>
    <w:rsid w:val="00E659D0"/>
    <w:rsid w:val="00E852AE"/>
    <w:rsid w:val="00E92DFF"/>
    <w:rsid w:val="00E93C5E"/>
    <w:rsid w:val="00EA1E05"/>
    <w:rsid w:val="00EA209E"/>
    <w:rsid w:val="00EA55F1"/>
    <w:rsid w:val="00EC6963"/>
    <w:rsid w:val="00EE41B5"/>
    <w:rsid w:val="00EF18E4"/>
    <w:rsid w:val="00EF35C6"/>
    <w:rsid w:val="00EF5342"/>
    <w:rsid w:val="00EF5795"/>
    <w:rsid w:val="00F15FB7"/>
    <w:rsid w:val="00F21AA3"/>
    <w:rsid w:val="00F26517"/>
    <w:rsid w:val="00F31348"/>
    <w:rsid w:val="00F31507"/>
    <w:rsid w:val="00F40E28"/>
    <w:rsid w:val="00F44433"/>
    <w:rsid w:val="00F61406"/>
    <w:rsid w:val="00F617CC"/>
    <w:rsid w:val="00F62252"/>
    <w:rsid w:val="00F7072C"/>
    <w:rsid w:val="00F7240E"/>
    <w:rsid w:val="00F7436D"/>
    <w:rsid w:val="00F804E9"/>
    <w:rsid w:val="00F81B94"/>
    <w:rsid w:val="00F866DC"/>
    <w:rsid w:val="00F90F69"/>
    <w:rsid w:val="00F94A90"/>
    <w:rsid w:val="00F975C2"/>
    <w:rsid w:val="00FA4052"/>
    <w:rsid w:val="00FA4477"/>
    <w:rsid w:val="00FA7D68"/>
    <w:rsid w:val="00FB45D1"/>
    <w:rsid w:val="00FC0D02"/>
    <w:rsid w:val="00FD3783"/>
    <w:rsid w:val="00FD37F5"/>
    <w:rsid w:val="00FE1816"/>
    <w:rsid w:val="00FE33BB"/>
    <w:rsid w:val="00FE3709"/>
    <w:rsid w:val="00FE3EC8"/>
    <w:rsid w:val="00FE6A89"/>
    <w:rsid w:val="00FF09AE"/>
    <w:rsid w:val="00FF2D14"/>
    <w:rsid w:val="00FF7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EFF"/>
    <w:pPr>
      <w:spacing w:after="200" w:line="276" w:lineRule="auto"/>
    </w:pPr>
    <w:rPr>
      <w:rFonts w:ascii="Microsoft Sans Serif" w:hAnsi="Microsoft Sans Serif"/>
      <w:sz w:val="22"/>
      <w:szCs w:val="22"/>
      <w:lang w:val="de-DE" w:eastAsia="en-US"/>
    </w:rPr>
  </w:style>
  <w:style w:type="paragraph" w:styleId="Heading1">
    <w:name w:val="heading 1"/>
    <w:basedOn w:val="Normal"/>
    <w:next w:val="Normal"/>
    <w:link w:val="Heading1Char"/>
    <w:autoRedefine/>
    <w:uiPriority w:val="9"/>
    <w:qFormat/>
    <w:rsid w:val="00283EFF"/>
    <w:pPr>
      <w:keepNext/>
      <w:keepLines/>
      <w:spacing w:before="120" w:after="120"/>
      <w:jc w:val="both"/>
      <w:outlineLvl w:val="0"/>
    </w:pPr>
    <w:rPr>
      <w:rFonts w:ascii="Times New Roman" w:eastAsia="SimSun" w:hAnsi="Times New Roman" w:cs="Times New Roman"/>
      <w:b/>
      <w:bCs/>
      <w:color w:val="000000"/>
      <w:sz w:val="28"/>
      <w:szCs w:val="28"/>
      <w:lang w:val="en-US"/>
    </w:rPr>
  </w:style>
  <w:style w:type="paragraph" w:styleId="Heading5">
    <w:name w:val="heading 5"/>
    <w:basedOn w:val="Normal"/>
    <w:next w:val="Normal"/>
    <w:link w:val="Heading5Char"/>
    <w:uiPriority w:val="9"/>
    <w:unhideWhenUsed/>
    <w:rsid w:val="00BC2107"/>
    <w:pPr>
      <w:keepNext/>
      <w:keepLines/>
      <w:pBdr>
        <w:top w:val="nil"/>
        <w:left w:val="nil"/>
        <w:bottom w:val="nil"/>
        <w:right w:val="nil"/>
        <w:between w:val="nil"/>
      </w:pBdr>
      <w:spacing w:before="40" w:after="0"/>
      <w:outlineLvl w:val="4"/>
    </w:pPr>
    <w:rPr>
      <w:rFonts w:ascii="Cambria" w:eastAsia="Times New Roman" w:hAnsi="Cambria" w:cs="Times New Roman"/>
      <w:color w:val="365F91"/>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83EFF"/>
    <w:rPr>
      <w:rFonts w:ascii="Times New Roman" w:eastAsia="SimSun" w:hAnsi="Times New Roman" w:cs="Times New Roman"/>
      <w:b/>
      <w:bCs/>
      <w:color w:val="000000"/>
      <w:sz w:val="28"/>
      <w:szCs w:val="28"/>
      <w:lang w:val="en-US"/>
    </w:rPr>
  </w:style>
  <w:style w:type="character" w:customStyle="1" w:styleId="FootnoteTextChar">
    <w:name w:val="Footnote Text Char"/>
    <w:aliases w:val="5_G Char"/>
    <w:link w:val="FootnoteText"/>
    <w:uiPriority w:val="99"/>
    <w:semiHidden/>
    <w:locked/>
    <w:rsid w:val="00283EFF"/>
    <w:rPr>
      <w:rFonts w:ascii="Times New Roman" w:eastAsia="Times New Roman" w:hAnsi="Times New Roman" w:cs="Times New Roman"/>
      <w:lang w:val="en-US"/>
    </w:rPr>
  </w:style>
  <w:style w:type="paragraph" w:styleId="FootnoteText">
    <w:name w:val="footnote text"/>
    <w:aliases w:val="5_G"/>
    <w:basedOn w:val="Normal"/>
    <w:link w:val="FootnoteTextChar"/>
    <w:uiPriority w:val="99"/>
    <w:semiHidden/>
    <w:unhideWhenUsed/>
    <w:rsid w:val="00283EFF"/>
    <w:pPr>
      <w:spacing w:after="0" w:line="240" w:lineRule="auto"/>
    </w:pPr>
    <w:rPr>
      <w:rFonts w:ascii="Times New Roman" w:eastAsia="Times New Roman" w:hAnsi="Times New Roman" w:cs="Times New Roman"/>
      <w:lang w:val="en-US"/>
    </w:rPr>
  </w:style>
  <w:style w:type="character" w:customStyle="1" w:styleId="FunotentextZchn1">
    <w:name w:val="Fußnotentext Zchn1"/>
    <w:uiPriority w:val="99"/>
    <w:semiHidden/>
    <w:rsid w:val="00283EFF"/>
    <w:rPr>
      <w:rFonts w:ascii="Microsoft Sans Serif" w:hAnsi="Microsoft Sans Serif"/>
      <w:sz w:val="20"/>
      <w:szCs w:val="20"/>
    </w:rPr>
  </w:style>
  <w:style w:type="paragraph" w:styleId="ListParagraph">
    <w:name w:val="List Paragraph"/>
    <w:basedOn w:val="Normal"/>
    <w:uiPriority w:val="34"/>
    <w:qFormat/>
    <w:rsid w:val="00283EFF"/>
    <w:pPr>
      <w:ind w:left="720"/>
      <w:contextualSpacing/>
    </w:pPr>
  </w:style>
  <w:style w:type="character" w:styleId="FootnoteReference">
    <w:name w:val="footnote reference"/>
    <w:aliases w:val="4_G"/>
    <w:uiPriority w:val="99"/>
    <w:semiHidden/>
    <w:unhideWhenUsed/>
    <w:rsid w:val="00283EFF"/>
    <w:rPr>
      <w:vertAlign w:val="superscript"/>
    </w:rPr>
  </w:style>
  <w:style w:type="paragraph" w:styleId="Header">
    <w:name w:val="header"/>
    <w:basedOn w:val="Normal"/>
    <w:link w:val="HeaderChar"/>
    <w:uiPriority w:val="99"/>
    <w:unhideWhenUsed/>
    <w:rsid w:val="00E659D0"/>
    <w:pPr>
      <w:tabs>
        <w:tab w:val="center" w:pos="4513"/>
        <w:tab w:val="right" w:pos="9026"/>
      </w:tabs>
      <w:spacing w:after="0" w:line="240" w:lineRule="auto"/>
    </w:pPr>
  </w:style>
  <w:style w:type="character" w:customStyle="1" w:styleId="HeaderChar">
    <w:name w:val="Header Char"/>
    <w:link w:val="Header"/>
    <w:uiPriority w:val="99"/>
    <w:rsid w:val="00E659D0"/>
    <w:rPr>
      <w:rFonts w:ascii="Microsoft Sans Serif" w:hAnsi="Microsoft Sans Serif"/>
    </w:rPr>
  </w:style>
  <w:style w:type="paragraph" w:styleId="Footer">
    <w:name w:val="footer"/>
    <w:basedOn w:val="Normal"/>
    <w:link w:val="FooterChar"/>
    <w:uiPriority w:val="99"/>
    <w:unhideWhenUsed/>
    <w:rsid w:val="00E659D0"/>
    <w:pPr>
      <w:tabs>
        <w:tab w:val="center" w:pos="4513"/>
        <w:tab w:val="right" w:pos="9026"/>
      </w:tabs>
      <w:spacing w:after="0" w:line="240" w:lineRule="auto"/>
    </w:pPr>
  </w:style>
  <w:style w:type="character" w:customStyle="1" w:styleId="FooterChar">
    <w:name w:val="Footer Char"/>
    <w:link w:val="Footer"/>
    <w:uiPriority w:val="99"/>
    <w:rsid w:val="00E659D0"/>
    <w:rPr>
      <w:rFonts w:ascii="Microsoft Sans Serif" w:hAnsi="Microsoft Sans Serif"/>
    </w:rPr>
  </w:style>
  <w:style w:type="character" w:styleId="CommentReference">
    <w:name w:val="annotation reference"/>
    <w:uiPriority w:val="99"/>
    <w:semiHidden/>
    <w:unhideWhenUsed/>
    <w:rsid w:val="00E079D9"/>
    <w:rPr>
      <w:sz w:val="16"/>
      <w:szCs w:val="16"/>
    </w:rPr>
  </w:style>
  <w:style w:type="paragraph" w:styleId="CommentText">
    <w:name w:val="annotation text"/>
    <w:basedOn w:val="Normal"/>
    <w:link w:val="CommentTextChar"/>
    <w:uiPriority w:val="99"/>
    <w:semiHidden/>
    <w:unhideWhenUsed/>
    <w:rsid w:val="00E079D9"/>
    <w:pPr>
      <w:spacing w:line="240" w:lineRule="auto"/>
    </w:pPr>
    <w:rPr>
      <w:sz w:val="20"/>
      <w:szCs w:val="20"/>
    </w:rPr>
  </w:style>
  <w:style w:type="character" w:customStyle="1" w:styleId="CommentTextChar">
    <w:name w:val="Comment Text Char"/>
    <w:link w:val="CommentText"/>
    <w:uiPriority w:val="99"/>
    <w:semiHidden/>
    <w:rsid w:val="00E079D9"/>
    <w:rPr>
      <w:rFonts w:ascii="Microsoft Sans Serif" w:hAnsi="Microsoft Sans Serif"/>
      <w:sz w:val="20"/>
      <w:szCs w:val="20"/>
    </w:rPr>
  </w:style>
  <w:style w:type="paragraph" w:styleId="CommentSubject">
    <w:name w:val="annotation subject"/>
    <w:basedOn w:val="CommentText"/>
    <w:next w:val="CommentText"/>
    <w:link w:val="CommentSubjectChar"/>
    <w:uiPriority w:val="99"/>
    <w:semiHidden/>
    <w:unhideWhenUsed/>
    <w:rsid w:val="00E079D9"/>
    <w:rPr>
      <w:b/>
      <w:bCs/>
    </w:rPr>
  </w:style>
  <w:style w:type="character" w:customStyle="1" w:styleId="CommentSubjectChar">
    <w:name w:val="Comment Subject Char"/>
    <w:link w:val="CommentSubject"/>
    <w:uiPriority w:val="99"/>
    <w:semiHidden/>
    <w:rsid w:val="00E079D9"/>
    <w:rPr>
      <w:rFonts w:ascii="Microsoft Sans Serif" w:hAnsi="Microsoft Sans Serif"/>
      <w:b/>
      <w:bCs/>
      <w:sz w:val="20"/>
      <w:szCs w:val="20"/>
    </w:rPr>
  </w:style>
  <w:style w:type="paragraph" w:styleId="BalloonText">
    <w:name w:val="Balloon Text"/>
    <w:basedOn w:val="Normal"/>
    <w:link w:val="BalloonTextChar"/>
    <w:uiPriority w:val="99"/>
    <w:semiHidden/>
    <w:unhideWhenUsed/>
    <w:rsid w:val="00E079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79D9"/>
    <w:rPr>
      <w:rFonts w:ascii="Tahoma" w:hAnsi="Tahoma" w:cs="Tahoma"/>
      <w:sz w:val="16"/>
      <w:szCs w:val="16"/>
    </w:rPr>
  </w:style>
  <w:style w:type="character" w:customStyle="1" w:styleId="Heading5Char">
    <w:name w:val="Heading 5 Char"/>
    <w:link w:val="Heading5"/>
    <w:uiPriority w:val="9"/>
    <w:rsid w:val="00BC2107"/>
    <w:rPr>
      <w:rFonts w:ascii="Cambria" w:eastAsia="Times New Roman" w:hAnsi="Cambria" w:cs="Times New Roman"/>
      <w:color w:val="365F9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EFF"/>
    <w:pPr>
      <w:spacing w:after="200" w:line="276" w:lineRule="auto"/>
    </w:pPr>
    <w:rPr>
      <w:rFonts w:ascii="Microsoft Sans Serif" w:hAnsi="Microsoft Sans Serif"/>
      <w:sz w:val="22"/>
      <w:szCs w:val="22"/>
      <w:lang w:val="de-DE" w:eastAsia="en-US"/>
    </w:rPr>
  </w:style>
  <w:style w:type="paragraph" w:styleId="Heading1">
    <w:name w:val="heading 1"/>
    <w:basedOn w:val="Normal"/>
    <w:next w:val="Normal"/>
    <w:link w:val="Heading1Char"/>
    <w:autoRedefine/>
    <w:uiPriority w:val="9"/>
    <w:qFormat/>
    <w:rsid w:val="00283EFF"/>
    <w:pPr>
      <w:keepNext/>
      <w:keepLines/>
      <w:spacing w:before="120" w:after="120"/>
      <w:jc w:val="both"/>
      <w:outlineLvl w:val="0"/>
    </w:pPr>
    <w:rPr>
      <w:rFonts w:ascii="Times New Roman" w:eastAsia="SimSun" w:hAnsi="Times New Roman" w:cs="Times New Roman"/>
      <w:b/>
      <w:bCs/>
      <w:color w:val="000000"/>
      <w:sz w:val="28"/>
      <w:szCs w:val="28"/>
      <w:lang w:val="en-US"/>
    </w:rPr>
  </w:style>
  <w:style w:type="paragraph" w:styleId="Heading5">
    <w:name w:val="heading 5"/>
    <w:basedOn w:val="Normal"/>
    <w:next w:val="Normal"/>
    <w:link w:val="Heading5Char"/>
    <w:uiPriority w:val="9"/>
    <w:unhideWhenUsed/>
    <w:rsid w:val="00BC2107"/>
    <w:pPr>
      <w:keepNext/>
      <w:keepLines/>
      <w:pBdr>
        <w:top w:val="nil"/>
        <w:left w:val="nil"/>
        <w:bottom w:val="nil"/>
        <w:right w:val="nil"/>
        <w:between w:val="nil"/>
      </w:pBdr>
      <w:spacing w:before="40" w:after="0"/>
      <w:outlineLvl w:val="4"/>
    </w:pPr>
    <w:rPr>
      <w:rFonts w:ascii="Cambria" w:eastAsia="Times New Roman" w:hAnsi="Cambria" w:cs="Times New Roman"/>
      <w:color w:val="365F91"/>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83EFF"/>
    <w:rPr>
      <w:rFonts w:ascii="Times New Roman" w:eastAsia="SimSun" w:hAnsi="Times New Roman" w:cs="Times New Roman"/>
      <w:b/>
      <w:bCs/>
      <w:color w:val="000000"/>
      <w:sz w:val="28"/>
      <w:szCs w:val="28"/>
      <w:lang w:val="en-US"/>
    </w:rPr>
  </w:style>
  <w:style w:type="character" w:customStyle="1" w:styleId="FootnoteTextChar">
    <w:name w:val="Footnote Text Char"/>
    <w:aliases w:val="5_G Char"/>
    <w:link w:val="FootnoteText"/>
    <w:uiPriority w:val="99"/>
    <w:semiHidden/>
    <w:locked/>
    <w:rsid w:val="00283EFF"/>
    <w:rPr>
      <w:rFonts w:ascii="Times New Roman" w:eastAsia="Times New Roman" w:hAnsi="Times New Roman" w:cs="Times New Roman"/>
      <w:lang w:val="en-US"/>
    </w:rPr>
  </w:style>
  <w:style w:type="paragraph" w:styleId="FootnoteText">
    <w:name w:val="footnote text"/>
    <w:aliases w:val="5_G"/>
    <w:basedOn w:val="Normal"/>
    <w:link w:val="FootnoteTextChar"/>
    <w:uiPriority w:val="99"/>
    <w:semiHidden/>
    <w:unhideWhenUsed/>
    <w:rsid w:val="00283EFF"/>
    <w:pPr>
      <w:spacing w:after="0" w:line="240" w:lineRule="auto"/>
    </w:pPr>
    <w:rPr>
      <w:rFonts w:ascii="Times New Roman" w:eastAsia="Times New Roman" w:hAnsi="Times New Roman" w:cs="Times New Roman"/>
      <w:lang w:val="en-US"/>
    </w:rPr>
  </w:style>
  <w:style w:type="character" w:customStyle="1" w:styleId="FunotentextZchn1">
    <w:name w:val="Fußnotentext Zchn1"/>
    <w:uiPriority w:val="99"/>
    <w:semiHidden/>
    <w:rsid w:val="00283EFF"/>
    <w:rPr>
      <w:rFonts w:ascii="Microsoft Sans Serif" w:hAnsi="Microsoft Sans Serif"/>
      <w:sz w:val="20"/>
      <w:szCs w:val="20"/>
    </w:rPr>
  </w:style>
  <w:style w:type="paragraph" w:styleId="ListParagraph">
    <w:name w:val="List Paragraph"/>
    <w:basedOn w:val="Normal"/>
    <w:uiPriority w:val="34"/>
    <w:qFormat/>
    <w:rsid w:val="00283EFF"/>
    <w:pPr>
      <w:ind w:left="720"/>
      <w:contextualSpacing/>
    </w:pPr>
  </w:style>
  <w:style w:type="character" w:styleId="FootnoteReference">
    <w:name w:val="footnote reference"/>
    <w:aliases w:val="4_G"/>
    <w:uiPriority w:val="99"/>
    <w:semiHidden/>
    <w:unhideWhenUsed/>
    <w:rsid w:val="00283EFF"/>
    <w:rPr>
      <w:vertAlign w:val="superscript"/>
    </w:rPr>
  </w:style>
  <w:style w:type="paragraph" w:styleId="Header">
    <w:name w:val="header"/>
    <w:basedOn w:val="Normal"/>
    <w:link w:val="HeaderChar"/>
    <w:uiPriority w:val="99"/>
    <w:unhideWhenUsed/>
    <w:rsid w:val="00E659D0"/>
    <w:pPr>
      <w:tabs>
        <w:tab w:val="center" w:pos="4513"/>
        <w:tab w:val="right" w:pos="9026"/>
      </w:tabs>
      <w:spacing w:after="0" w:line="240" w:lineRule="auto"/>
    </w:pPr>
  </w:style>
  <w:style w:type="character" w:customStyle="1" w:styleId="HeaderChar">
    <w:name w:val="Header Char"/>
    <w:link w:val="Header"/>
    <w:uiPriority w:val="99"/>
    <w:rsid w:val="00E659D0"/>
    <w:rPr>
      <w:rFonts w:ascii="Microsoft Sans Serif" w:hAnsi="Microsoft Sans Serif"/>
    </w:rPr>
  </w:style>
  <w:style w:type="paragraph" w:styleId="Footer">
    <w:name w:val="footer"/>
    <w:basedOn w:val="Normal"/>
    <w:link w:val="FooterChar"/>
    <w:uiPriority w:val="99"/>
    <w:unhideWhenUsed/>
    <w:rsid w:val="00E659D0"/>
    <w:pPr>
      <w:tabs>
        <w:tab w:val="center" w:pos="4513"/>
        <w:tab w:val="right" w:pos="9026"/>
      </w:tabs>
      <w:spacing w:after="0" w:line="240" w:lineRule="auto"/>
    </w:pPr>
  </w:style>
  <w:style w:type="character" w:customStyle="1" w:styleId="FooterChar">
    <w:name w:val="Footer Char"/>
    <w:link w:val="Footer"/>
    <w:uiPriority w:val="99"/>
    <w:rsid w:val="00E659D0"/>
    <w:rPr>
      <w:rFonts w:ascii="Microsoft Sans Serif" w:hAnsi="Microsoft Sans Serif"/>
    </w:rPr>
  </w:style>
  <w:style w:type="character" w:styleId="CommentReference">
    <w:name w:val="annotation reference"/>
    <w:uiPriority w:val="99"/>
    <w:semiHidden/>
    <w:unhideWhenUsed/>
    <w:rsid w:val="00E079D9"/>
    <w:rPr>
      <w:sz w:val="16"/>
      <w:szCs w:val="16"/>
    </w:rPr>
  </w:style>
  <w:style w:type="paragraph" w:styleId="CommentText">
    <w:name w:val="annotation text"/>
    <w:basedOn w:val="Normal"/>
    <w:link w:val="CommentTextChar"/>
    <w:uiPriority w:val="99"/>
    <w:semiHidden/>
    <w:unhideWhenUsed/>
    <w:rsid w:val="00E079D9"/>
    <w:pPr>
      <w:spacing w:line="240" w:lineRule="auto"/>
    </w:pPr>
    <w:rPr>
      <w:sz w:val="20"/>
      <w:szCs w:val="20"/>
    </w:rPr>
  </w:style>
  <w:style w:type="character" w:customStyle="1" w:styleId="CommentTextChar">
    <w:name w:val="Comment Text Char"/>
    <w:link w:val="CommentText"/>
    <w:uiPriority w:val="99"/>
    <w:semiHidden/>
    <w:rsid w:val="00E079D9"/>
    <w:rPr>
      <w:rFonts w:ascii="Microsoft Sans Serif" w:hAnsi="Microsoft Sans Serif"/>
      <w:sz w:val="20"/>
      <w:szCs w:val="20"/>
    </w:rPr>
  </w:style>
  <w:style w:type="paragraph" w:styleId="CommentSubject">
    <w:name w:val="annotation subject"/>
    <w:basedOn w:val="CommentText"/>
    <w:next w:val="CommentText"/>
    <w:link w:val="CommentSubjectChar"/>
    <w:uiPriority w:val="99"/>
    <w:semiHidden/>
    <w:unhideWhenUsed/>
    <w:rsid w:val="00E079D9"/>
    <w:rPr>
      <w:b/>
      <w:bCs/>
    </w:rPr>
  </w:style>
  <w:style w:type="character" w:customStyle="1" w:styleId="CommentSubjectChar">
    <w:name w:val="Comment Subject Char"/>
    <w:link w:val="CommentSubject"/>
    <w:uiPriority w:val="99"/>
    <w:semiHidden/>
    <w:rsid w:val="00E079D9"/>
    <w:rPr>
      <w:rFonts w:ascii="Microsoft Sans Serif" w:hAnsi="Microsoft Sans Serif"/>
      <w:b/>
      <w:bCs/>
      <w:sz w:val="20"/>
      <w:szCs w:val="20"/>
    </w:rPr>
  </w:style>
  <w:style w:type="paragraph" w:styleId="BalloonText">
    <w:name w:val="Balloon Text"/>
    <w:basedOn w:val="Normal"/>
    <w:link w:val="BalloonTextChar"/>
    <w:uiPriority w:val="99"/>
    <w:semiHidden/>
    <w:unhideWhenUsed/>
    <w:rsid w:val="00E079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79D9"/>
    <w:rPr>
      <w:rFonts w:ascii="Tahoma" w:hAnsi="Tahoma" w:cs="Tahoma"/>
      <w:sz w:val="16"/>
      <w:szCs w:val="16"/>
    </w:rPr>
  </w:style>
  <w:style w:type="character" w:customStyle="1" w:styleId="Heading5Char">
    <w:name w:val="Heading 5 Char"/>
    <w:link w:val="Heading5"/>
    <w:uiPriority w:val="9"/>
    <w:rsid w:val="00BC2107"/>
    <w:rPr>
      <w:rFonts w:ascii="Cambria" w:eastAsia="Times New Roman" w:hAnsi="Cambria" w:cs="Times New Roman"/>
      <w:color w:val="365F9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88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095E-2899-49D9-AF96-9570DB2963CE}">
  <ds:schemaRefs>
    <ds:schemaRef ds:uri="http://schemas.microsoft.com/sharepoint/v3/contenttype/forms"/>
  </ds:schemaRefs>
</ds:datastoreItem>
</file>

<file path=customXml/itemProps2.xml><?xml version="1.0" encoding="utf-8"?>
<ds:datastoreItem xmlns:ds="http://schemas.openxmlformats.org/officeDocument/2006/customXml" ds:itemID="{7881BD63-CAFC-4F37-B210-1A6B7E1C1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83EBA-8E39-41BC-ABFB-4FD2BE80A8D9}">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sharepoint/v3"/>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A1947F5-8BCC-4CD1-8CBF-A0ACAAE3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11151</Words>
  <Characters>63565</Characters>
  <Application>Microsoft Office Word</Application>
  <DocSecurity>0</DocSecurity>
  <Lines>529</Lines>
  <Paragraphs>149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74567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Theresia Degener</dc:creator>
  <cp:lastModifiedBy>Jorge ARAYA</cp:lastModifiedBy>
  <cp:revision>2</cp:revision>
  <cp:lastPrinted>2017-03-27T16:00:00Z</cp:lastPrinted>
  <dcterms:created xsi:type="dcterms:W3CDTF">2017-07-04T16:17:00Z</dcterms:created>
  <dcterms:modified xsi:type="dcterms:W3CDTF">2017-07-04T16:17:00Z</dcterms:modified>
</cp:coreProperties>
</file>