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300" w:rsidRDefault="008C4CAF" w:rsidP="002B610C">
      <w:pPr>
        <w:jc w:val="center"/>
        <w:rPr>
          <w:b/>
          <w:lang w:val="en-GB"/>
        </w:rPr>
      </w:pPr>
      <w:bookmarkStart w:id="0" w:name="_GoBack"/>
      <w:bookmarkEnd w:id="0"/>
      <w:r w:rsidRPr="00D81E85">
        <w:rPr>
          <w:b/>
          <w:lang w:val="en-GB"/>
        </w:rPr>
        <w:t>Submission by the Norwegian Government</w:t>
      </w:r>
    </w:p>
    <w:p w:rsidR="00FC63C2" w:rsidRPr="00D81E85" w:rsidRDefault="00FC63C2" w:rsidP="002B610C">
      <w:pPr>
        <w:jc w:val="center"/>
        <w:rPr>
          <w:u w:val="single"/>
          <w:lang w:val="en-GB"/>
        </w:rPr>
      </w:pPr>
      <w:r>
        <w:rPr>
          <w:b/>
          <w:lang w:val="en-GB"/>
        </w:rPr>
        <w:t>Committee on the Rights of Persons with Disabilities</w:t>
      </w:r>
    </w:p>
    <w:p w:rsidR="002E680D" w:rsidRDefault="002B610C" w:rsidP="00D81E85">
      <w:pPr>
        <w:jc w:val="center"/>
        <w:rPr>
          <w:b/>
          <w:szCs w:val="24"/>
          <w:lang w:val="en-GB"/>
        </w:rPr>
      </w:pPr>
      <w:r w:rsidRPr="00D81E85">
        <w:rPr>
          <w:b/>
          <w:szCs w:val="24"/>
          <w:lang w:val="en-GB"/>
        </w:rPr>
        <w:t>D</w:t>
      </w:r>
      <w:r w:rsidR="00164D8B" w:rsidRPr="00D81E85">
        <w:rPr>
          <w:b/>
          <w:szCs w:val="24"/>
          <w:lang w:val="en-GB"/>
        </w:rPr>
        <w:t>raft Gener</w:t>
      </w:r>
      <w:r w:rsidR="000271F1" w:rsidRPr="00D81E85">
        <w:rPr>
          <w:b/>
          <w:szCs w:val="24"/>
          <w:lang w:val="en-GB"/>
        </w:rPr>
        <w:t xml:space="preserve">al Comment No. </w:t>
      </w:r>
      <w:r w:rsidR="002E680D">
        <w:rPr>
          <w:b/>
          <w:szCs w:val="24"/>
          <w:lang w:val="en-GB"/>
        </w:rPr>
        <w:t>5</w:t>
      </w:r>
      <w:r w:rsidR="000271F1" w:rsidRPr="00D81E85">
        <w:rPr>
          <w:b/>
          <w:szCs w:val="24"/>
          <w:lang w:val="en-GB"/>
        </w:rPr>
        <w:t xml:space="preserve"> (2017) </w:t>
      </w:r>
    </w:p>
    <w:p w:rsidR="00164D8B" w:rsidRPr="00D81E85" w:rsidRDefault="000271F1" w:rsidP="00D81E85">
      <w:pPr>
        <w:jc w:val="center"/>
        <w:rPr>
          <w:b/>
          <w:szCs w:val="24"/>
          <w:lang w:val="en-GB"/>
        </w:rPr>
      </w:pPr>
      <w:r w:rsidRPr="00D81E85">
        <w:rPr>
          <w:b/>
          <w:szCs w:val="24"/>
          <w:lang w:val="en-GB"/>
        </w:rPr>
        <w:t xml:space="preserve">Article </w:t>
      </w:r>
      <w:r w:rsidR="002E680D">
        <w:rPr>
          <w:b/>
          <w:szCs w:val="24"/>
          <w:lang w:val="en-GB"/>
        </w:rPr>
        <w:t>19: Living independently and being included in the community</w:t>
      </w:r>
      <w:r w:rsidR="00FC63C2">
        <w:rPr>
          <w:b/>
          <w:szCs w:val="24"/>
          <w:lang w:val="en-GB"/>
        </w:rPr>
        <w:t xml:space="preserve"> </w:t>
      </w:r>
    </w:p>
    <w:p w:rsidR="00164D8B" w:rsidRPr="00D81E85" w:rsidRDefault="00164D8B" w:rsidP="00495300">
      <w:pPr>
        <w:rPr>
          <w:szCs w:val="24"/>
          <w:lang w:val="en-GB"/>
        </w:rPr>
      </w:pPr>
    </w:p>
    <w:p w:rsidR="00164D8B" w:rsidRPr="00BC5787" w:rsidRDefault="00164D8B" w:rsidP="00495300">
      <w:pPr>
        <w:rPr>
          <w:szCs w:val="24"/>
          <w:lang w:val="en-GB"/>
        </w:rPr>
      </w:pPr>
      <w:r w:rsidRPr="00BC5787">
        <w:rPr>
          <w:szCs w:val="24"/>
          <w:lang w:val="en-GB"/>
        </w:rPr>
        <w:t xml:space="preserve">The Norwegian Government </w:t>
      </w:r>
      <w:r w:rsidR="008C4CAF" w:rsidRPr="00BC5787">
        <w:rPr>
          <w:szCs w:val="24"/>
          <w:lang w:val="en-GB"/>
        </w:rPr>
        <w:t xml:space="preserve">refers to the invitation </w:t>
      </w:r>
      <w:r w:rsidR="000358F1" w:rsidRPr="00BC5787">
        <w:rPr>
          <w:szCs w:val="24"/>
          <w:lang w:val="en-GB"/>
        </w:rPr>
        <w:t xml:space="preserve">from </w:t>
      </w:r>
      <w:r w:rsidR="008C4CAF" w:rsidRPr="00BC5787">
        <w:rPr>
          <w:szCs w:val="24"/>
          <w:lang w:val="en-GB"/>
        </w:rPr>
        <w:t xml:space="preserve">the </w:t>
      </w:r>
      <w:r w:rsidR="00B61CA2" w:rsidRPr="00BC5787">
        <w:rPr>
          <w:szCs w:val="24"/>
          <w:lang w:val="en-US"/>
        </w:rPr>
        <w:t>Committee on the Rights of Pe</w:t>
      </w:r>
      <w:r w:rsidR="00B61CA2" w:rsidRPr="00BC5787">
        <w:rPr>
          <w:szCs w:val="24"/>
          <w:lang w:val="en-US"/>
        </w:rPr>
        <w:t>r</w:t>
      </w:r>
      <w:r w:rsidR="00B61CA2" w:rsidRPr="00BC5787">
        <w:rPr>
          <w:szCs w:val="24"/>
          <w:lang w:val="en-US"/>
        </w:rPr>
        <w:t xml:space="preserve">sons with Disabilities to provide comments </w:t>
      </w:r>
      <w:r w:rsidR="00ED6BDF" w:rsidRPr="00BC5787">
        <w:rPr>
          <w:szCs w:val="24"/>
          <w:lang w:val="en-GB"/>
        </w:rPr>
        <w:t>on</w:t>
      </w:r>
      <w:r w:rsidR="008C4CAF" w:rsidRPr="00BC5787">
        <w:rPr>
          <w:szCs w:val="24"/>
          <w:lang w:val="en-GB"/>
        </w:rPr>
        <w:t xml:space="preserve"> </w:t>
      </w:r>
      <w:r w:rsidR="00B61CA2" w:rsidRPr="00BC5787">
        <w:rPr>
          <w:szCs w:val="24"/>
          <w:lang w:val="en-GB"/>
        </w:rPr>
        <w:t xml:space="preserve">its </w:t>
      </w:r>
      <w:r w:rsidR="00FC63C2">
        <w:rPr>
          <w:szCs w:val="24"/>
          <w:lang w:val="en-GB"/>
        </w:rPr>
        <w:t>d</w:t>
      </w:r>
      <w:r w:rsidR="00B61CA2" w:rsidRPr="00BC5787">
        <w:rPr>
          <w:szCs w:val="24"/>
          <w:lang w:val="en-GB"/>
        </w:rPr>
        <w:t>raft General Comment on the right to live independently and be included in the community (article 19)</w:t>
      </w:r>
      <w:r w:rsidR="000358F1" w:rsidRPr="00BC5787">
        <w:rPr>
          <w:szCs w:val="24"/>
          <w:lang w:val="en-GB"/>
        </w:rPr>
        <w:t>.</w:t>
      </w:r>
      <w:r w:rsidR="00961D4B" w:rsidRPr="00BC5787">
        <w:rPr>
          <w:szCs w:val="24"/>
          <w:lang w:val="en-GB"/>
        </w:rPr>
        <w:t xml:space="preserve"> </w:t>
      </w:r>
    </w:p>
    <w:p w:rsidR="00DC76D2" w:rsidRPr="00B61CA2" w:rsidRDefault="00DC76D2" w:rsidP="00495300">
      <w:pPr>
        <w:rPr>
          <w:szCs w:val="24"/>
          <w:highlight w:val="yellow"/>
          <w:lang w:val="en-GB"/>
        </w:rPr>
      </w:pPr>
    </w:p>
    <w:p w:rsidR="00FC63C2" w:rsidRDefault="00FC63C2" w:rsidP="00FC63C2">
      <w:pPr>
        <w:rPr>
          <w:rFonts w:ascii="Arial" w:hAnsi="Arial" w:cs="Arial"/>
          <w:sz w:val="22"/>
          <w:lang w:val="en-US"/>
        </w:rPr>
      </w:pPr>
      <w:r>
        <w:rPr>
          <w:rFonts w:cs="Arial"/>
          <w:lang w:val="en-US"/>
        </w:rPr>
        <w:t>Norway welcomes the effort of the Committee to formulate a General Comment with regard to Article 19.</w:t>
      </w:r>
    </w:p>
    <w:p w:rsidR="00B61CA2" w:rsidRDefault="00B61CA2" w:rsidP="00B61CA2">
      <w:pPr>
        <w:rPr>
          <w:rFonts w:cs="Arial"/>
          <w:lang w:val="en"/>
        </w:rPr>
      </w:pPr>
    </w:p>
    <w:p w:rsidR="00054D88" w:rsidRDefault="00054D88" w:rsidP="00B61CA2">
      <w:pPr>
        <w:rPr>
          <w:rFonts w:cs="Arial"/>
          <w:lang w:val="en"/>
        </w:rPr>
      </w:pPr>
      <w:r w:rsidRPr="00D81E85">
        <w:rPr>
          <w:b/>
          <w:szCs w:val="24"/>
          <w:lang w:val="en-GB"/>
        </w:rPr>
        <w:t>General observations</w:t>
      </w:r>
    </w:p>
    <w:p w:rsidR="00B61CA2" w:rsidRDefault="00B61CA2" w:rsidP="00B61CA2">
      <w:pPr>
        <w:rPr>
          <w:rFonts w:cs="Arial"/>
          <w:lang w:val="en"/>
        </w:rPr>
      </w:pPr>
      <w:r>
        <w:rPr>
          <w:rFonts w:cs="Arial"/>
          <w:lang w:val="en"/>
        </w:rPr>
        <w:t>Norway acknowledges the human</w:t>
      </w:r>
      <w:r w:rsidR="00054D88">
        <w:rPr>
          <w:rFonts w:cs="Arial"/>
          <w:lang w:val="en"/>
        </w:rPr>
        <w:t xml:space="preserve"> </w:t>
      </w:r>
      <w:r>
        <w:rPr>
          <w:rFonts w:cs="Arial"/>
          <w:lang w:val="en"/>
        </w:rPr>
        <w:t>rights based model of disability, and regard</w:t>
      </w:r>
      <w:r w:rsidR="00054D88">
        <w:rPr>
          <w:rFonts w:cs="Arial"/>
          <w:lang w:val="en"/>
        </w:rPr>
        <w:t>s</w:t>
      </w:r>
      <w:r>
        <w:rPr>
          <w:rFonts w:cs="Arial"/>
          <w:lang w:val="en"/>
        </w:rPr>
        <w:t xml:space="preserve"> disability as a consequence of the interplay between individuals and society, rather than as a consequence of a person's impairment (the medical model). In line with the </w:t>
      </w:r>
      <w:r w:rsidR="00054D88">
        <w:rPr>
          <w:rFonts w:cs="Arial"/>
          <w:lang w:val="en"/>
        </w:rPr>
        <w:t>C</w:t>
      </w:r>
      <w:r>
        <w:rPr>
          <w:rFonts w:cs="Arial"/>
          <w:lang w:val="en"/>
        </w:rPr>
        <w:t>ommittee</w:t>
      </w:r>
      <w:r w:rsidR="00054D88">
        <w:rPr>
          <w:rFonts w:cs="Arial"/>
          <w:lang w:val="en"/>
        </w:rPr>
        <w:t>,</w:t>
      </w:r>
      <w:r w:rsidR="00562E30">
        <w:rPr>
          <w:rFonts w:cs="Arial"/>
          <w:lang w:val="en"/>
        </w:rPr>
        <w:t xml:space="preserve"> the Government</w:t>
      </w:r>
      <w:r>
        <w:rPr>
          <w:rFonts w:cs="Arial"/>
          <w:lang w:val="en"/>
        </w:rPr>
        <w:t xml:space="preserve"> would like to underline the importance of creating an accessible environment, and provid</w:t>
      </w:r>
      <w:r w:rsidR="00054D88">
        <w:rPr>
          <w:rFonts w:cs="Arial"/>
          <w:lang w:val="en"/>
        </w:rPr>
        <w:t>ing</w:t>
      </w:r>
      <w:r>
        <w:rPr>
          <w:rFonts w:cs="Arial"/>
          <w:lang w:val="en"/>
        </w:rPr>
        <w:t xml:space="preserve"> individual support to persons with disabilities. Accessibility and support solutions are i</w:t>
      </w:r>
      <w:r>
        <w:rPr>
          <w:rFonts w:cs="Arial"/>
          <w:lang w:val="en"/>
        </w:rPr>
        <w:t>m</w:t>
      </w:r>
      <w:r>
        <w:rPr>
          <w:rFonts w:cs="Arial"/>
          <w:lang w:val="en"/>
        </w:rPr>
        <w:t>portant both to secure the right to independent living, and the right to be included in the soci</w:t>
      </w:r>
      <w:r>
        <w:rPr>
          <w:rFonts w:cs="Arial"/>
          <w:lang w:val="en"/>
        </w:rPr>
        <w:t>e</w:t>
      </w:r>
      <w:r>
        <w:rPr>
          <w:rFonts w:cs="Arial"/>
          <w:lang w:val="en"/>
        </w:rPr>
        <w:t xml:space="preserve">ty. </w:t>
      </w:r>
    </w:p>
    <w:p w:rsidR="00B61CA2" w:rsidRDefault="00B61CA2" w:rsidP="00B61CA2">
      <w:pPr>
        <w:rPr>
          <w:rFonts w:cs="Arial"/>
          <w:lang w:val="en"/>
        </w:rPr>
      </w:pPr>
    </w:p>
    <w:p w:rsidR="00B61CA2" w:rsidRDefault="00B61CA2" w:rsidP="00B61CA2">
      <w:pPr>
        <w:rPr>
          <w:rFonts w:cs="Arial"/>
          <w:lang w:val="en"/>
        </w:rPr>
      </w:pPr>
      <w:r>
        <w:rPr>
          <w:rFonts w:cs="Arial"/>
          <w:lang w:val="en"/>
        </w:rPr>
        <w:t>Norwegian housing and healthcare poli</w:t>
      </w:r>
      <w:r w:rsidR="00054D88">
        <w:rPr>
          <w:rFonts w:cs="Arial"/>
          <w:lang w:val="en"/>
        </w:rPr>
        <w:t>cie</w:t>
      </w:r>
      <w:r>
        <w:rPr>
          <w:rFonts w:cs="Arial"/>
          <w:lang w:val="en"/>
        </w:rPr>
        <w:t xml:space="preserve">s clearly state that persons with disabilities shall have the opportunity to live in an ordinary residence in a local community, </w:t>
      </w:r>
      <w:r w:rsidR="00054D88">
        <w:rPr>
          <w:rFonts w:cs="Arial"/>
          <w:lang w:val="en"/>
        </w:rPr>
        <w:t xml:space="preserve">to </w:t>
      </w:r>
      <w:r>
        <w:rPr>
          <w:rFonts w:cs="Arial"/>
          <w:lang w:val="en"/>
        </w:rPr>
        <w:t xml:space="preserve">receive health and care services as needed, and to participate in the community on an equal </w:t>
      </w:r>
      <w:r w:rsidR="00054D88">
        <w:rPr>
          <w:rFonts w:cs="Arial"/>
          <w:lang w:val="en"/>
        </w:rPr>
        <w:t>basis with ot</w:t>
      </w:r>
      <w:r w:rsidR="00054D88">
        <w:rPr>
          <w:rFonts w:cs="Arial"/>
          <w:lang w:val="en"/>
        </w:rPr>
        <w:t>h</w:t>
      </w:r>
      <w:proofErr w:type="gramStart"/>
      <w:r w:rsidR="00054D88">
        <w:rPr>
          <w:rFonts w:cs="Arial"/>
          <w:lang w:val="en"/>
        </w:rPr>
        <w:t>ers</w:t>
      </w:r>
      <w:proofErr w:type="gramEnd"/>
      <w:r>
        <w:rPr>
          <w:rFonts w:cs="Arial"/>
          <w:lang w:val="en"/>
        </w:rPr>
        <w:t>. A coordinated cross-governmental approach is considered necessary to implement natio</w:t>
      </w:r>
      <w:r>
        <w:rPr>
          <w:rFonts w:cs="Arial"/>
          <w:lang w:val="en"/>
        </w:rPr>
        <w:t>n</w:t>
      </w:r>
      <w:r>
        <w:rPr>
          <w:rFonts w:cs="Arial"/>
          <w:lang w:val="en"/>
        </w:rPr>
        <w:t>al policy.</w:t>
      </w:r>
    </w:p>
    <w:p w:rsidR="00B61CA2" w:rsidRDefault="00B61CA2" w:rsidP="00B61CA2">
      <w:pPr>
        <w:rPr>
          <w:rFonts w:cs="Arial"/>
          <w:lang w:val="en"/>
        </w:rPr>
      </w:pPr>
    </w:p>
    <w:p w:rsidR="00B61CA2" w:rsidRDefault="00054D88" w:rsidP="00B61CA2">
      <w:pPr>
        <w:rPr>
          <w:rFonts w:cs="Arial"/>
          <w:lang w:val="en"/>
        </w:rPr>
      </w:pPr>
      <w:r w:rsidRPr="00054D88">
        <w:rPr>
          <w:rFonts w:cs="Arial"/>
          <w:b/>
          <w:lang w:val="en-US"/>
        </w:rPr>
        <w:t>Paragraph 56:</w:t>
      </w:r>
      <w:r>
        <w:rPr>
          <w:rFonts w:cs="Arial"/>
          <w:lang w:val="en-US"/>
        </w:rPr>
        <w:t xml:space="preserve"> </w:t>
      </w:r>
      <w:r w:rsidR="00B61CA2">
        <w:rPr>
          <w:rFonts w:cs="Arial"/>
          <w:lang w:val="en-US"/>
        </w:rPr>
        <w:t>Norway supports the adoption of strategies for de-institutionalization in order for people, regardless of their disability, to live their lives independently</w:t>
      </w:r>
      <w:r w:rsidR="005A1C2B">
        <w:rPr>
          <w:rFonts w:cs="Arial"/>
          <w:lang w:val="en-US"/>
        </w:rPr>
        <w:t xml:space="preserve"> and</w:t>
      </w:r>
      <w:r w:rsidR="00B61CA2">
        <w:rPr>
          <w:rFonts w:cs="Arial"/>
          <w:lang w:val="en-US"/>
        </w:rPr>
        <w:t xml:space="preserve"> receiv</w:t>
      </w:r>
      <w:r w:rsidR="005A1C2B">
        <w:rPr>
          <w:rFonts w:cs="Arial"/>
          <w:lang w:val="en-US"/>
        </w:rPr>
        <w:t>e</w:t>
      </w:r>
      <w:r w:rsidR="00B61CA2">
        <w:rPr>
          <w:rFonts w:cs="Arial"/>
          <w:lang w:val="en-US"/>
        </w:rPr>
        <w:t xml:space="preserve"> assi</w:t>
      </w:r>
      <w:r w:rsidR="00B61CA2">
        <w:rPr>
          <w:rFonts w:cs="Arial"/>
          <w:lang w:val="en-US"/>
        </w:rPr>
        <w:t>s</w:t>
      </w:r>
      <w:r w:rsidR="00B61CA2">
        <w:rPr>
          <w:rFonts w:cs="Arial"/>
          <w:lang w:val="en-US"/>
        </w:rPr>
        <w:t xml:space="preserve">tance when needed and according to their individual preferences. The Norwegian government enacted the </w:t>
      </w:r>
      <w:r w:rsidR="00B61CA2">
        <w:rPr>
          <w:rFonts w:cs="Arial"/>
          <w:lang w:val="en"/>
        </w:rPr>
        <w:t>Deinstitutionalization Reform (</w:t>
      </w:r>
      <w:proofErr w:type="spellStart"/>
      <w:r w:rsidR="00B61CA2">
        <w:rPr>
          <w:rFonts w:cs="Arial"/>
          <w:lang w:val="en"/>
        </w:rPr>
        <w:t>Ansvarsreformen</w:t>
      </w:r>
      <w:proofErr w:type="spellEnd"/>
      <w:r w:rsidR="00B61CA2">
        <w:rPr>
          <w:rFonts w:cs="Arial"/>
          <w:lang w:val="en"/>
        </w:rPr>
        <w:t>) in 1991 - 1995 to promote no</w:t>
      </w:r>
      <w:r w:rsidR="00B61CA2">
        <w:rPr>
          <w:rFonts w:cs="Arial"/>
          <w:lang w:val="en"/>
        </w:rPr>
        <w:t>r</w:t>
      </w:r>
      <w:r w:rsidR="00B61CA2">
        <w:rPr>
          <w:rFonts w:cs="Arial"/>
          <w:lang w:val="en"/>
        </w:rPr>
        <w:t xml:space="preserve">malization and inclusion, improve housing standards and service delivery and improve living standards more generally for persons with intellectual disabilities. </w:t>
      </w:r>
    </w:p>
    <w:p w:rsidR="00B61CA2" w:rsidRDefault="00B61CA2" w:rsidP="00B61CA2">
      <w:pPr>
        <w:rPr>
          <w:rFonts w:cs="Arial"/>
          <w:lang w:val="en"/>
        </w:rPr>
      </w:pPr>
    </w:p>
    <w:p w:rsidR="005A1C2B" w:rsidRPr="005A1C2B" w:rsidRDefault="005A1C2B" w:rsidP="00B61CA2">
      <w:pPr>
        <w:rPr>
          <w:rFonts w:cs="Arial"/>
          <w:b/>
          <w:lang w:val="en"/>
        </w:rPr>
      </w:pPr>
      <w:r>
        <w:rPr>
          <w:rFonts w:cs="Arial"/>
          <w:b/>
          <w:lang w:val="en-US"/>
        </w:rPr>
        <w:t>L</w:t>
      </w:r>
      <w:r w:rsidRPr="005A1C2B">
        <w:rPr>
          <w:rFonts w:cs="Arial"/>
          <w:b/>
          <w:lang w:val="en-US"/>
        </w:rPr>
        <w:t xml:space="preserve">egal capacity </w:t>
      </w:r>
      <w:r>
        <w:rPr>
          <w:rFonts w:cs="Arial"/>
          <w:b/>
          <w:lang w:val="en-US"/>
        </w:rPr>
        <w:t xml:space="preserve">and </w:t>
      </w:r>
      <w:proofErr w:type="spellStart"/>
      <w:r w:rsidRPr="005A1C2B">
        <w:rPr>
          <w:rFonts w:cs="Arial"/>
          <w:b/>
          <w:lang w:val="en-US"/>
        </w:rPr>
        <w:t>and</w:t>
      </w:r>
      <w:proofErr w:type="spellEnd"/>
      <w:r w:rsidRPr="005A1C2B">
        <w:rPr>
          <w:rFonts w:cs="Arial"/>
          <w:b/>
          <w:lang w:val="en-US"/>
        </w:rPr>
        <w:t xml:space="preserve"> forced treatment </w:t>
      </w:r>
      <w:r>
        <w:rPr>
          <w:rFonts w:cs="Arial"/>
          <w:b/>
          <w:lang w:val="en-US"/>
        </w:rPr>
        <w:t>(p</w:t>
      </w:r>
      <w:proofErr w:type="spellStart"/>
      <w:r w:rsidRPr="005A1C2B">
        <w:rPr>
          <w:rFonts w:cs="Arial"/>
          <w:b/>
          <w:lang w:val="en"/>
        </w:rPr>
        <w:t>aragraphs</w:t>
      </w:r>
      <w:proofErr w:type="spellEnd"/>
      <w:r w:rsidRPr="005A1C2B">
        <w:rPr>
          <w:rFonts w:cs="Arial"/>
          <w:b/>
          <w:lang w:val="en"/>
        </w:rPr>
        <w:t xml:space="preserve"> 78, 79 </w:t>
      </w:r>
      <w:r>
        <w:rPr>
          <w:rFonts w:cs="Arial"/>
          <w:b/>
          <w:lang w:val="en"/>
        </w:rPr>
        <w:t>etc.)</w:t>
      </w:r>
    </w:p>
    <w:p w:rsidR="00B61CA2" w:rsidRDefault="00B61CA2" w:rsidP="00B61CA2">
      <w:pPr>
        <w:rPr>
          <w:rFonts w:eastAsia="Calibri"/>
          <w:lang w:val="en-US"/>
        </w:rPr>
      </w:pPr>
      <w:r>
        <w:rPr>
          <w:rFonts w:eastAsia="Calibri"/>
          <w:lang w:val="en-US"/>
        </w:rPr>
        <w:t xml:space="preserve">In relation to the questions that arise under Article 19 concerning the possibility of restrictions </w:t>
      </w:r>
      <w:r w:rsidR="003B509A">
        <w:rPr>
          <w:rFonts w:eastAsia="Calibri"/>
          <w:lang w:val="en-US"/>
        </w:rPr>
        <w:t>to</w:t>
      </w:r>
      <w:r>
        <w:rPr>
          <w:rFonts w:eastAsia="Calibri"/>
          <w:lang w:val="en-US"/>
        </w:rPr>
        <w:t xml:space="preserve"> a person’s legal capacity to act (Article 12 of the Convention) and forced treatment (Art</w:t>
      </w:r>
      <w:r>
        <w:rPr>
          <w:rFonts w:eastAsia="Calibri"/>
          <w:lang w:val="en-US"/>
        </w:rPr>
        <w:t>i</w:t>
      </w:r>
      <w:r>
        <w:rPr>
          <w:rFonts w:eastAsia="Calibri"/>
          <w:lang w:val="en-US"/>
        </w:rPr>
        <w:t xml:space="preserve">cles 14 and 25), the Norwegian Government wishes to reiterate its previous </w:t>
      </w:r>
      <w:r w:rsidR="003B509A">
        <w:rPr>
          <w:rFonts w:eastAsia="Calibri"/>
          <w:lang w:val="en-US"/>
        </w:rPr>
        <w:t>position</w:t>
      </w:r>
      <w:r>
        <w:rPr>
          <w:rFonts w:eastAsia="Calibri"/>
          <w:lang w:val="en-US"/>
        </w:rPr>
        <w:t xml:space="preserve"> as e</w:t>
      </w:r>
      <w:r>
        <w:rPr>
          <w:rFonts w:eastAsia="Calibri"/>
          <w:lang w:val="en-US"/>
        </w:rPr>
        <w:t>x</w:t>
      </w:r>
      <w:r>
        <w:rPr>
          <w:rFonts w:eastAsia="Calibri"/>
          <w:lang w:val="en-US"/>
        </w:rPr>
        <w:t xml:space="preserve">pressed in its submission to the Committee’s </w:t>
      </w:r>
      <w:r w:rsidR="003B509A">
        <w:rPr>
          <w:rFonts w:eastAsia="Calibri"/>
          <w:lang w:val="en-US"/>
        </w:rPr>
        <w:t>d</w:t>
      </w:r>
      <w:r>
        <w:rPr>
          <w:rFonts w:eastAsia="Calibri"/>
          <w:lang w:val="en-US"/>
        </w:rPr>
        <w:t>raft General Comment No. 1 on Article 12 of the Convention.</w:t>
      </w:r>
    </w:p>
    <w:p w:rsidR="003B509A" w:rsidRDefault="003B509A" w:rsidP="00B61CA2">
      <w:pPr>
        <w:rPr>
          <w:rFonts w:cstheme="minorBidi"/>
          <w:lang w:val="en-US"/>
        </w:rPr>
      </w:pPr>
    </w:p>
    <w:p w:rsidR="00B61CA2" w:rsidRDefault="00562E30" w:rsidP="00B61CA2">
      <w:pPr>
        <w:rPr>
          <w:rFonts w:ascii="Arial" w:hAnsi="Arial" w:cs="Arial"/>
          <w:sz w:val="22"/>
          <w:lang w:val="en-US"/>
        </w:rPr>
      </w:pPr>
      <w:r>
        <w:rPr>
          <w:rFonts w:cs="Arial"/>
          <w:lang w:val="en-US"/>
        </w:rPr>
        <w:t>The Government</w:t>
      </w:r>
      <w:r w:rsidR="00B61CA2">
        <w:rPr>
          <w:rFonts w:cs="Arial"/>
          <w:lang w:val="en-US"/>
        </w:rPr>
        <w:t xml:space="preserve"> refer</w:t>
      </w:r>
      <w:r>
        <w:rPr>
          <w:rFonts w:cs="Arial"/>
          <w:lang w:val="en-US"/>
        </w:rPr>
        <w:t>s</w:t>
      </w:r>
      <w:r w:rsidR="00B61CA2">
        <w:rPr>
          <w:rFonts w:cs="Arial"/>
          <w:lang w:val="en-US"/>
        </w:rPr>
        <w:t xml:space="preserve"> to the following two interpretative declarations made by Norway upon ratification</w:t>
      </w:r>
      <w:r w:rsidR="003B509A">
        <w:rPr>
          <w:rFonts w:cs="Arial"/>
          <w:lang w:val="en-US"/>
        </w:rPr>
        <w:t xml:space="preserve"> of the Convention</w:t>
      </w:r>
      <w:r w:rsidR="00B61CA2">
        <w:rPr>
          <w:rFonts w:cs="Arial"/>
          <w:lang w:val="en-US"/>
        </w:rPr>
        <w:t xml:space="preserve">: </w:t>
      </w:r>
    </w:p>
    <w:p w:rsidR="00B61CA2" w:rsidRDefault="00B61CA2" w:rsidP="00B61CA2">
      <w:pPr>
        <w:rPr>
          <w:rFonts w:cs="Arial"/>
          <w:lang w:val="en-US"/>
        </w:rPr>
      </w:pPr>
    </w:p>
    <w:p w:rsidR="00B61CA2" w:rsidRDefault="00B61CA2" w:rsidP="00B61CA2">
      <w:pPr>
        <w:rPr>
          <w:rFonts w:cs="Arial"/>
          <w:sz w:val="20"/>
          <w:lang w:val="en-US"/>
        </w:rPr>
      </w:pPr>
      <w:r>
        <w:rPr>
          <w:rFonts w:cs="Arial"/>
          <w:sz w:val="20"/>
          <w:lang w:val="en-US"/>
        </w:rPr>
        <w:t>Article 12</w:t>
      </w:r>
    </w:p>
    <w:p w:rsidR="00B61CA2" w:rsidRDefault="00B61CA2" w:rsidP="00B61CA2">
      <w:pPr>
        <w:rPr>
          <w:rFonts w:cs="Arial"/>
          <w:sz w:val="20"/>
          <w:lang w:val="en-US"/>
        </w:rPr>
      </w:pPr>
      <w:r>
        <w:rPr>
          <w:rFonts w:cs="Arial"/>
          <w:sz w:val="20"/>
          <w:lang w:val="en-US"/>
        </w:rPr>
        <w:t>“Norway recognizes that persons with disabilities enjoy legal capacity on an equal basis with others in all aspects of life. Norway also recognizes its obligations to take appropriate measures to provide access by persons with disabilities to the support they may require in exercising their legal capacity. Furthermore, Norway declares its understanding that the Convention allows for the withdrawal of legal capacity or support in exercising legal capacity, and/or compulsory guardianship, in cases where such measures are necessary, as a last resort and su</w:t>
      </w:r>
      <w:r>
        <w:rPr>
          <w:rFonts w:cs="Arial"/>
          <w:sz w:val="20"/>
          <w:lang w:val="en-US"/>
        </w:rPr>
        <w:t>b</w:t>
      </w:r>
      <w:r>
        <w:rPr>
          <w:rFonts w:cs="Arial"/>
          <w:sz w:val="20"/>
          <w:lang w:val="en-US"/>
        </w:rPr>
        <w:t>ject to safeguards.”</w:t>
      </w:r>
    </w:p>
    <w:p w:rsidR="00B61CA2" w:rsidRDefault="00B61CA2" w:rsidP="00B61CA2">
      <w:pPr>
        <w:rPr>
          <w:rFonts w:cs="Arial"/>
          <w:sz w:val="20"/>
          <w:lang w:val="en-US"/>
        </w:rPr>
      </w:pPr>
    </w:p>
    <w:p w:rsidR="00B61CA2" w:rsidRDefault="00B61CA2" w:rsidP="00B61CA2">
      <w:pPr>
        <w:rPr>
          <w:rFonts w:cs="Arial"/>
          <w:sz w:val="20"/>
          <w:lang w:val="en-US"/>
        </w:rPr>
      </w:pPr>
      <w:r>
        <w:rPr>
          <w:rFonts w:cs="Arial"/>
          <w:sz w:val="20"/>
          <w:lang w:val="en-US"/>
        </w:rPr>
        <w:lastRenderedPageBreak/>
        <w:t>Articles 14 and 25</w:t>
      </w:r>
    </w:p>
    <w:p w:rsidR="00B61CA2" w:rsidRDefault="00B61CA2" w:rsidP="00B61CA2">
      <w:pPr>
        <w:rPr>
          <w:rFonts w:cs="Arial"/>
          <w:sz w:val="20"/>
          <w:lang w:val="en-US"/>
        </w:rPr>
      </w:pPr>
      <w:r>
        <w:rPr>
          <w:rFonts w:cs="Arial"/>
          <w:sz w:val="20"/>
          <w:lang w:val="en-US"/>
        </w:rPr>
        <w:t>“Norway recognizes that all persons with disabilities enjoy the right to liberty and security of person, and a right to respect for physical and mental integrity on an equal basis with others. Furthermore, Norway declares its u</w:t>
      </w:r>
      <w:r>
        <w:rPr>
          <w:rFonts w:cs="Arial"/>
          <w:sz w:val="20"/>
          <w:lang w:val="en-US"/>
        </w:rPr>
        <w:t>n</w:t>
      </w:r>
      <w:r>
        <w:rPr>
          <w:rFonts w:cs="Arial"/>
          <w:sz w:val="20"/>
          <w:lang w:val="en-US"/>
        </w:rPr>
        <w:t>derstanding that the Convention allows for compulsory care or treatment of persons, including measures to treat mental illnesses, when circumstances render treatment of this kind necessary as a last resort, and the treatment is subject to legal safeguards.”</w:t>
      </w:r>
    </w:p>
    <w:p w:rsidR="00B61CA2" w:rsidRDefault="00B61CA2" w:rsidP="00B61CA2">
      <w:pPr>
        <w:rPr>
          <w:rFonts w:cs="Arial"/>
          <w:sz w:val="22"/>
          <w:lang w:val="en-US"/>
        </w:rPr>
      </w:pPr>
    </w:p>
    <w:p w:rsidR="00B61CA2" w:rsidRDefault="00562E30" w:rsidP="00B61CA2">
      <w:pPr>
        <w:rPr>
          <w:rFonts w:cstheme="minorBidi"/>
          <w:lang w:val="en-US"/>
        </w:rPr>
      </w:pPr>
      <w:r>
        <w:rPr>
          <w:rFonts w:cs="Arial"/>
          <w:lang w:val="en-US"/>
        </w:rPr>
        <w:t>The Government’s understanding of Article 12 is elaborated i</w:t>
      </w:r>
      <w:r w:rsidR="00B61CA2">
        <w:rPr>
          <w:rFonts w:cs="Arial"/>
          <w:lang w:val="en-US"/>
        </w:rPr>
        <w:t xml:space="preserve">n Norway’s submission to the </w:t>
      </w:r>
      <w:r w:rsidR="003B509A">
        <w:rPr>
          <w:rFonts w:cs="Arial"/>
          <w:lang w:val="en-US"/>
        </w:rPr>
        <w:t>Committee’s d</w:t>
      </w:r>
      <w:r w:rsidR="00B61CA2">
        <w:rPr>
          <w:rFonts w:cs="Arial"/>
          <w:lang w:val="en-US"/>
        </w:rPr>
        <w:t>raft General Comment No. 1:</w:t>
      </w:r>
    </w:p>
    <w:p w:rsidR="00B61CA2" w:rsidRDefault="00B61CA2" w:rsidP="00B61CA2">
      <w:pPr>
        <w:rPr>
          <w:rFonts w:cs="Arial"/>
          <w:sz w:val="22"/>
          <w:szCs w:val="22"/>
          <w:lang w:val="en-US"/>
        </w:rPr>
      </w:pPr>
    </w:p>
    <w:p w:rsidR="00B61CA2" w:rsidRDefault="00B61CA2" w:rsidP="00B61CA2">
      <w:pPr>
        <w:rPr>
          <w:rFonts w:cs="Arial"/>
          <w:sz w:val="20"/>
          <w:lang w:val="en-US"/>
        </w:rPr>
      </w:pPr>
      <w:r>
        <w:rPr>
          <w:rFonts w:cs="Arial"/>
          <w:sz w:val="20"/>
          <w:lang w:val="en-US"/>
        </w:rPr>
        <w:t>«Norway also recognizes that persons with disabilities enjoy legal capacity on an equal basis with others in all aspects of life, in conformity with Article 12 (2), and that Article 12 affirms a permanent presumption that all persons with disabilities have full legal capacity. As the Committee observes in paragraph 11, legal capacity includes both the capacity to be a holder of rights and an actor under the law. In Norway’s opinion, the Draft General Comment does not sufficiently distinguish between these two components of legal capacity. Legal c</w:t>
      </w:r>
      <w:r>
        <w:rPr>
          <w:rFonts w:cs="Arial"/>
          <w:sz w:val="20"/>
          <w:lang w:val="en-US"/>
        </w:rPr>
        <w:t>a</w:t>
      </w:r>
      <w:r>
        <w:rPr>
          <w:rFonts w:cs="Arial"/>
          <w:sz w:val="20"/>
          <w:lang w:val="en-US"/>
        </w:rPr>
        <w:t xml:space="preserve">pacity to be a holder of rights, as the right to recognition as a person before the law, can never be removed; every human being is entitled to protection by the legal system. </w:t>
      </w:r>
    </w:p>
    <w:p w:rsidR="00B61CA2" w:rsidRDefault="00B61CA2" w:rsidP="00B61CA2">
      <w:pPr>
        <w:rPr>
          <w:rFonts w:cs="Arial"/>
          <w:sz w:val="20"/>
          <w:lang w:val="en-US"/>
        </w:rPr>
      </w:pPr>
    </w:p>
    <w:p w:rsidR="00B61CA2" w:rsidRDefault="00B61CA2" w:rsidP="00B61CA2">
      <w:pPr>
        <w:rPr>
          <w:rFonts w:cs="Arial"/>
          <w:sz w:val="20"/>
          <w:lang w:val="en-US"/>
        </w:rPr>
      </w:pPr>
      <w:r>
        <w:rPr>
          <w:rFonts w:cs="Arial"/>
          <w:sz w:val="20"/>
          <w:lang w:val="en-US"/>
        </w:rPr>
        <w:t>The legal capacity to act under the law, or exercise legal capacity, is subject to further regulation in Article 12 (3) and (4). According to Article 12 (3), the States Parties have an obligation to take appropriate measures to provide access by persons with disabilities to the support they may require in exercising their legal capacity. It is of the greatest importance that the States fulfill this obligation, and provide assistance tailored to the individuals’ needs and preferences. The level of support needed can vary significantly, both from one individual to another, and as a situation may change over time. In some situations, the person in need of support may not be able to give an informed consent, or to communicate his or her will and preferences at all. Others may be acting in ways that are contrary to their interests and carry the risk of grave consequences for their health and well-being or financial situation. In such circumstances, what the Committee refers to as “substitute decision-making” may be necessary, as a last resort, in the interest of the person concerned</w:t>
      </w:r>
      <w:proofErr w:type="gramStart"/>
      <w:r>
        <w:rPr>
          <w:rFonts w:cs="Arial"/>
          <w:sz w:val="20"/>
          <w:lang w:val="en-US"/>
        </w:rPr>
        <w:t>.»</w:t>
      </w:r>
      <w:proofErr w:type="gramEnd"/>
    </w:p>
    <w:p w:rsidR="00B61CA2" w:rsidRDefault="00B61CA2" w:rsidP="00B61CA2">
      <w:pPr>
        <w:rPr>
          <w:rFonts w:cs="Arial"/>
          <w:sz w:val="20"/>
          <w:lang w:val="en-US"/>
        </w:rPr>
      </w:pPr>
    </w:p>
    <w:p w:rsidR="008B11BE" w:rsidRDefault="00B61CA2" w:rsidP="00B61CA2">
      <w:pPr>
        <w:rPr>
          <w:b/>
          <w:szCs w:val="24"/>
          <w:lang w:val="en-GB"/>
        </w:rPr>
      </w:pPr>
      <w:r>
        <w:rPr>
          <w:szCs w:val="24"/>
          <w:lang w:val="en-US"/>
        </w:rPr>
        <w:t>The Norwegian Government’s position on these matters remains unchanged</w:t>
      </w:r>
      <w:r w:rsidR="007C0101">
        <w:rPr>
          <w:szCs w:val="24"/>
          <w:lang w:val="en-US"/>
        </w:rPr>
        <w:t>.</w:t>
      </w:r>
    </w:p>
    <w:p w:rsidR="001E14CF" w:rsidRDefault="001E14CF" w:rsidP="00B841A1">
      <w:pPr>
        <w:rPr>
          <w:b/>
          <w:szCs w:val="24"/>
          <w:lang w:val="en-GB"/>
        </w:rPr>
      </w:pPr>
    </w:p>
    <w:p w:rsidR="00D81E85" w:rsidRPr="00D81E85" w:rsidRDefault="00867A54" w:rsidP="001E14CF">
      <w:pPr>
        <w:pStyle w:val="Default"/>
        <w:rPr>
          <w:rFonts w:ascii="DepCentury Old Style" w:hAnsi="DepCentury Old Style"/>
          <w:lang w:val="en-GB"/>
        </w:rPr>
      </w:pPr>
      <w:r>
        <w:rPr>
          <w:rFonts w:ascii="DepCentury Old Style" w:hAnsi="DepCentury Old Style"/>
          <w:lang w:val="en-GB"/>
        </w:rPr>
        <w:t>30</w:t>
      </w:r>
      <w:r w:rsidR="00D81E85" w:rsidRPr="00D81E85">
        <w:rPr>
          <w:rFonts w:ascii="DepCentury Old Style" w:hAnsi="DepCentury Old Style"/>
          <w:lang w:val="en-GB"/>
        </w:rPr>
        <w:t xml:space="preserve"> </w:t>
      </w:r>
      <w:r w:rsidR="00562E30">
        <w:rPr>
          <w:rFonts w:ascii="DepCentury Old Style" w:hAnsi="DepCentury Old Style"/>
          <w:lang w:val="en-GB"/>
        </w:rPr>
        <w:t>June</w:t>
      </w:r>
      <w:r w:rsidR="00D81E85" w:rsidRPr="00D81E85">
        <w:rPr>
          <w:rFonts w:ascii="DepCentury Old Style" w:hAnsi="DepCentury Old Style"/>
          <w:lang w:val="en-GB"/>
        </w:rPr>
        <w:t xml:space="preserve"> 2017</w:t>
      </w:r>
    </w:p>
    <w:p w:rsidR="00D81E85" w:rsidRPr="00D81E85" w:rsidRDefault="00D81E85" w:rsidP="00164D8B">
      <w:pPr>
        <w:pStyle w:val="Default"/>
        <w:rPr>
          <w:rFonts w:ascii="DepCentury Old Style" w:hAnsi="DepCentury Old Style"/>
          <w:lang w:val="en-GB"/>
        </w:rPr>
      </w:pPr>
    </w:p>
    <w:sectPr w:rsidR="00D81E85" w:rsidRPr="00D81E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FD" w:rsidRDefault="00662FFD" w:rsidP="00B841A1">
      <w:r>
        <w:separator/>
      </w:r>
    </w:p>
  </w:endnote>
  <w:endnote w:type="continuationSeparator" w:id="0">
    <w:p w:rsidR="00662FFD" w:rsidRDefault="00662FFD" w:rsidP="00B8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pCentury Old Style">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FD" w:rsidRDefault="00662FFD" w:rsidP="00B841A1">
      <w:r>
        <w:separator/>
      </w:r>
    </w:p>
  </w:footnote>
  <w:footnote w:type="continuationSeparator" w:id="0">
    <w:p w:rsidR="00662FFD" w:rsidRDefault="00662FFD" w:rsidP="00B84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2237"/>
    <w:multiLevelType w:val="hybridMultilevel"/>
    <w:tmpl w:val="2354A2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4A"/>
    <w:rsid w:val="0002094B"/>
    <w:rsid w:val="000228FC"/>
    <w:rsid w:val="0002374C"/>
    <w:rsid w:val="000271F1"/>
    <w:rsid w:val="000330A4"/>
    <w:rsid w:val="000358F1"/>
    <w:rsid w:val="00036D7A"/>
    <w:rsid w:val="0004137D"/>
    <w:rsid w:val="00053BDD"/>
    <w:rsid w:val="00054D88"/>
    <w:rsid w:val="000572E8"/>
    <w:rsid w:val="000601B8"/>
    <w:rsid w:val="000633BC"/>
    <w:rsid w:val="0007009A"/>
    <w:rsid w:val="00070437"/>
    <w:rsid w:val="0008227F"/>
    <w:rsid w:val="00085F3A"/>
    <w:rsid w:val="00093120"/>
    <w:rsid w:val="00096200"/>
    <w:rsid w:val="000A1230"/>
    <w:rsid w:val="000A7CB3"/>
    <w:rsid w:val="000D16EE"/>
    <w:rsid w:val="000D3790"/>
    <w:rsid w:val="000D72FF"/>
    <w:rsid w:val="000E0E1E"/>
    <w:rsid w:val="000F0437"/>
    <w:rsid w:val="000F4962"/>
    <w:rsid w:val="000F5FC2"/>
    <w:rsid w:val="00104DF8"/>
    <w:rsid w:val="00106398"/>
    <w:rsid w:val="00107CC2"/>
    <w:rsid w:val="0012606A"/>
    <w:rsid w:val="001278BD"/>
    <w:rsid w:val="00133B8C"/>
    <w:rsid w:val="00137E18"/>
    <w:rsid w:val="00152C10"/>
    <w:rsid w:val="00164D8B"/>
    <w:rsid w:val="001663D3"/>
    <w:rsid w:val="00171500"/>
    <w:rsid w:val="00175721"/>
    <w:rsid w:val="00180900"/>
    <w:rsid w:val="00180BEE"/>
    <w:rsid w:val="00184C2B"/>
    <w:rsid w:val="001915AB"/>
    <w:rsid w:val="001A2007"/>
    <w:rsid w:val="001A729B"/>
    <w:rsid w:val="001B545B"/>
    <w:rsid w:val="001B6DDE"/>
    <w:rsid w:val="001C0027"/>
    <w:rsid w:val="001C0B19"/>
    <w:rsid w:val="001C7F76"/>
    <w:rsid w:val="001D4ECF"/>
    <w:rsid w:val="001E14CF"/>
    <w:rsid w:val="001E1922"/>
    <w:rsid w:val="001F5B87"/>
    <w:rsid w:val="00200BAD"/>
    <w:rsid w:val="0020370D"/>
    <w:rsid w:val="002111AF"/>
    <w:rsid w:val="00217741"/>
    <w:rsid w:val="00243D08"/>
    <w:rsid w:val="00246BB7"/>
    <w:rsid w:val="00255166"/>
    <w:rsid w:val="00266529"/>
    <w:rsid w:val="002756C8"/>
    <w:rsid w:val="00291988"/>
    <w:rsid w:val="002948DA"/>
    <w:rsid w:val="00294B2B"/>
    <w:rsid w:val="00294B99"/>
    <w:rsid w:val="002A3328"/>
    <w:rsid w:val="002A46AD"/>
    <w:rsid w:val="002B3DBD"/>
    <w:rsid w:val="002B610C"/>
    <w:rsid w:val="002C51C1"/>
    <w:rsid w:val="002D5FC7"/>
    <w:rsid w:val="002E0A73"/>
    <w:rsid w:val="002E652A"/>
    <w:rsid w:val="002E680D"/>
    <w:rsid w:val="002F1C74"/>
    <w:rsid w:val="002F1DE4"/>
    <w:rsid w:val="002F3C12"/>
    <w:rsid w:val="002F67D0"/>
    <w:rsid w:val="002F7F14"/>
    <w:rsid w:val="00317C2C"/>
    <w:rsid w:val="003309B4"/>
    <w:rsid w:val="003373DE"/>
    <w:rsid w:val="003405A7"/>
    <w:rsid w:val="0034780B"/>
    <w:rsid w:val="00347FE4"/>
    <w:rsid w:val="003506A4"/>
    <w:rsid w:val="003516E4"/>
    <w:rsid w:val="00354641"/>
    <w:rsid w:val="003632C3"/>
    <w:rsid w:val="003633E5"/>
    <w:rsid w:val="00365194"/>
    <w:rsid w:val="00372DFA"/>
    <w:rsid w:val="00372E1E"/>
    <w:rsid w:val="003745F6"/>
    <w:rsid w:val="00374631"/>
    <w:rsid w:val="00385EB6"/>
    <w:rsid w:val="003941EA"/>
    <w:rsid w:val="0039471C"/>
    <w:rsid w:val="00397359"/>
    <w:rsid w:val="003A4661"/>
    <w:rsid w:val="003B15BA"/>
    <w:rsid w:val="003B509A"/>
    <w:rsid w:val="003B6836"/>
    <w:rsid w:val="003B7C4B"/>
    <w:rsid w:val="003D34BE"/>
    <w:rsid w:val="003E689E"/>
    <w:rsid w:val="003F0E92"/>
    <w:rsid w:val="004103F8"/>
    <w:rsid w:val="00410BE6"/>
    <w:rsid w:val="004119D6"/>
    <w:rsid w:val="00415305"/>
    <w:rsid w:val="00423FC6"/>
    <w:rsid w:val="00433A73"/>
    <w:rsid w:val="00442B4A"/>
    <w:rsid w:val="0044555B"/>
    <w:rsid w:val="004519C7"/>
    <w:rsid w:val="00455BEE"/>
    <w:rsid w:val="004563A8"/>
    <w:rsid w:val="00457AE1"/>
    <w:rsid w:val="00464D4A"/>
    <w:rsid w:val="0046781B"/>
    <w:rsid w:val="00473D99"/>
    <w:rsid w:val="004763C7"/>
    <w:rsid w:val="004820A8"/>
    <w:rsid w:val="004840A2"/>
    <w:rsid w:val="00484699"/>
    <w:rsid w:val="004874A4"/>
    <w:rsid w:val="004941A6"/>
    <w:rsid w:val="00494DF1"/>
    <w:rsid w:val="00495300"/>
    <w:rsid w:val="00497C87"/>
    <w:rsid w:val="004A327E"/>
    <w:rsid w:val="004A60D1"/>
    <w:rsid w:val="004A683E"/>
    <w:rsid w:val="004B041E"/>
    <w:rsid w:val="004B08EB"/>
    <w:rsid w:val="004B5AD3"/>
    <w:rsid w:val="004D40DD"/>
    <w:rsid w:val="004D69CF"/>
    <w:rsid w:val="004D752F"/>
    <w:rsid w:val="004E0927"/>
    <w:rsid w:val="004E2801"/>
    <w:rsid w:val="004E38FE"/>
    <w:rsid w:val="004E4C03"/>
    <w:rsid w:val="004E5CE4"/>
    <w:rsid w:val="00500D66"/>
    <w:rsid w:val="005030E8"/>
    <w:rsid w:val="00534E92"/>
    <w:rsid w:val="00537650"/>
    <w:rsid w:val="00540F85"/>
    <w:rsid w:val="0055023B"/>
    <w:rsid w:val="00553965"/>
    <w:rsid w:val="00557699"/>
    <w:rsid w:val="00561200"/>
    <w:rsid w:val="00562AFB"/>
    <w:rsid w:val="00562E30"/>
    <w:rsid w:val="00582114"/>
    <w:rsid w:val="00586FD4"/>
    <w:rsid w:val="00587583"/>
    <w:rsid w:val="005943D8"/>
    <w:rsid w:val="005A1C2B"/>
    <w:rsid w:val="005A237B"/>
    <w:rsid w:val="005A62F4"/>
    <w:rsid w:val="005A699B"/>
    <w:rsid w:val="005C0B17"/>
    <w:rsid w:val="005D313F"/>
    <w:rsid w:val="005E16C4"/>
    <w:rsid w:val="005E48B7"/>
    <w:rsid w:val="005F4A53"/>
    <w:rsid w:val="005F7135"/>
    <w:rsid w:val="00601A13"/>
    <w:rsid w:val="00613A66"/>
    <w:rsid w:val="00614D09"/>
    <w:rsid w:val="00621CD2"/>
    <w:rsid w:val="00625DE8"/>
    <w:rsid w:val="006327AB"/>
    <w:rsid w:val="00634231"/>
    <w:rsid w:val="006367B4"/>
    <w:rsid w:val="00640327"/>
    <w:rsid w:val="00640B3E"/>
    <w:rsid w:val="006429BB"/>
    <w:rsid w:val="0064356E"/>
    <w:rsid w:val="006533C8"/>
    <w:rsid w:val="00660D9F"/>
    <w:rsid w:val="00662985"/>
    <w:rsid w:val="00662ABF"/>
    <w:rsid w:val="00662FFD"/>
    <w:rsid w:val="00672EDC"/>
    <w:rsid w:val="00674F68"/>
    <w:rsid w:val="00685796"/>
    <w:rsid w:val="006940C8"/>
    <w:rsid w:val="00696A1D"/>
    <w:rsid w:val="006974FA"/>
    <w:rsid w:val="006A5DB0"/>
    <w:rsid w:val="006A6BB9"/>
    <w:rsid w:val="006B2437"/>
    <w:rsid w:val="006C148C"/>
    <w:rsid w:val="006C1BAE"/>
    <w:rsid w:val="006D5CF4"/>
    <w:rsid w:val="006F4BD4"/>
    <w:rsid w:val="006F5F1F"/>
    <w:rsid w:val="0070645A"/>
    <w:rsid w:val="007064F0"/>
    <w:rsid w:val="00711297"/>
    <w:rsid w:val="00714C8F"/>
    <w:rsid w:val="00721810"/>
    <w:rsid w:val="00726EEF"/>
    <w:rsid w:val="00727967"/>
    <w:rsid w:val="007352E1"/>
    <w:rsid w:val="00742E9F"/>
    <w:rsid w:val="0075296D"/>
    <w:rsid w:val="0076171A"/>
    <w:rsid w:val="00763EF6"/>
    <w:rsid w:val="00772F0D"/>
    <w:rsid w:val="00773108"/>
    <w:rsid w:val="00777ABB"/>
    <w:rsid w:val="00785F77"/>
    <w:rsid w:val="007B19F3"/>
    <w:rsid w:val="007C0101"/>
    <w:rsid w:val="007C4144"/>
    <w:rsid w:val="007D05FD"/>
    <w:rsid w:val="007D44F4"/>
    <w:rsid w:val="007D7B3A"/>
    <w:rsid w:val="007E17A8"/>
    <w:rsid w:val="007E1FCF"/>
    <w:rsid w:val="007E661C"/>
    <w:rsid w:val="0083031A"/>
    <w:rsid w:val="0083111A"/>
    <w:rsid w:val="00835B9F"/>
    <w:rsid w:val="00853BAB"/>
    <w:rsid w:val="00854044"/>
    <w:rsid w:val="0085610E"/>
    <w:rsid w:val="008656C3"/>
    <w:rsid w:val="00867A54"/>
    <w:rsid w:val="00874F03"/>
    <w:rsid w:val="00890B18"/>
    <w:rsid w:val="008973E9"/>
    <w:rsid w:val="008A5AF5"/>
    <w:rsid w:val="008B11BE"/>
    <w:rsid w:val="008B5B39"/>
    <w:rsid w:val="008B5ED4"/>
    <w:rsid w:val="008C1CDB"/>
    <w:rsid w:val="008C4388"/>
    <w:rsid w:val="008C4CAF"/>
    <w:rsid w:val="008C4DC8"/>
    <w:rsid w:val="008D104E"/>
    <w:rsid w:val="008D155B"/>
    <w:rsid w:val="008E57E1"/>
    <w:rsid w:val="008F12FD"/>
    <w:rsid w:val="009017F3"/>
    <w:rsid w:val="00904144"/>
    <w:rsid w:val="009258E7"/>
    <w:rsid w:val="00932614"/>
    <w:rsid w:val="009366FF"/>
    <w:rsid w:val="009374DF"/>
    <w:rsid w:val="00941379"/>
    <w:rsid w:val="00941EA7"/>
    <w:rsid w:val="00944E6B"/>
    <w:rsid w:val="00946E40"/>
    <w:rsid w:val="0095262D"/>
    <w:rsid w:val="00960059"/>
    <w:rsid w:val="00961D4B"/>
    <w:rsid w:val="00962974"/>
    <w:rsid w:val="0096629A"/>
    <w:rsid w:val="009732C2"/>
    <w:rsid w:val="00973A55"/>
    <w:rsid w:val="00973D33"/>
    <w:rsid w:val="00977EC4"/>
    <w:rsid w:val="00980768"/>
    <w:rsid w:val="0099495B"/>
    <w:rsid w:val="009A2BF3"/>
    <w:rsid w:val="009B250F"/>
    <w:rsid w:val="009C144D"/>
    <w:rsid w:val="009D2C26"/>
    <w:rsid w:val="009F1447"/>
    <w:rsid w:val="009F3CB3"/>
    <w:rsid w:val="009F714E"/>
    <w:rsid w:val="00A010ED"/>
    <w:rsid w:val="00A10B12"/>
    <w:rsid w:val="00A11C0C"/>
    <w:rsid w:val="00A1557D"/>
    <w:rsid w:val="00A23397"/>
    <w:rsid w:val="00A2543D"/>
    <w:rsid w:val="00A32C28"/>
    <w:rsid w:val="00A46A34"/>
    <w:rsid w:val="00A50FA5"/>
    <w:rsid w:val="00A60C55"/>
    <w:rsid w:val="00A63706"/>
    <w:rsid w:val="00A70CDB"/>
    <w:rsid w:val="00A74BDB"/>
    <w:rsid w:val="00A75592"/>
    <w:rsid w:val="00A81CF1"/>
    <w:rsid w:val="00A847D0"/>
    <w:rsid w:val="00A868A2"/>
    <w:rsid w:val="00A90103"/>
    <w:rsid w:val="00A904A0"/>
    <w:rsid w:val="00A96EEC"/>
    <w:rsid w:val="00A97123"/>
    <w:rsid w:val="00AA3ABB"/>
    <w:rsid w:val="00AA5A8A"/>
    <w:rsid w:val="00AB2AAA"/>
    <w:rsid w:val="00AB55C0"/>
    <w:rsid w:val="00AC3103"/>
    <w:rsid w:val="00AC690E"/>
    <w:rsid w:val="00AD09B6"/>
    <w:rsid w:val="00AE2FB2"/>
    <w:rsid w:val="00AF1079"/>
    <w:rsid w:val="00AF15DD"/>
    <w:rsid w:val="00AF1C45"/>
    <w:rsid w:val="00AF3211"/>
    <w:rsid w:val="00B0036C"/>
    <w:rsid w:val="00B00EB0"/>
    <w:rsid w:val="00B040A9"/>
    <w:rsid w:val="00B15DD7"/>
    <w:rsid w:val="00B22108"/>
    <w:rsid w:val="00B24DA2"/>
    <w:rsid w:val="00B262E7"/>
    <w:rsid w:val="00B60EFA"/>
    <w:rsid w:val="00B61CA2"/>
    <w:rsid w:val="00B73420"/>
    <w:rsid w:val="00B841A1"/>
    <w:rsid w:val="00B8539A"/>
    <w:rsid w:val="00B9157C"/>
    <w:rsid w:val="00B92832"/>
    <w:rsid w:val="00B93A67"/>
    <w:rsid w:val="00B97304"/>
    <w:rsid w:val="00BB2587"/>
    <w:rsid w:val="00BB3F81"/>
    <w:rsid w:val="00BB6E1B"/>
    <w:rsid w:val="00BC3E3B"/>
    <w:rsid w:val="00BC5787"/>
    <w:rsid w:val="00BD7E5E"/>
    <w:rsid w:val="00BE3EE1"/>
    <w:rsid w:val="00BF0047"/>
    <w:rsid w:val="00BF037C"/>
    <w:rsid w:val="00BF2287"/>
    <w:rsid w:val="00BF27CC"/>
    <w:rsid w:val="00BF3E6B"/>
    <w:rsid w:val="00C077AF"/>
    <w:rsid w:val="00C1058F"/>
    <w:rsid w:val="00C2001C"/>
    <w:rsid w:val="00C21390"/>
    <w:rsid w:val="00C326FF"/>
    <w:rsid w:val="00C43A7D"/>
    <w:rsid w:val="00C55CB9"/>
    <w:rsid w:val="00C6056C"/>
    <w:rsid w:val="00C67EC3"/>
    <w:rsid w:val="00C77135"/>
    <w:rsid w:val="00C776B0"/>
    <w:rsid w:val="00C83254"/>
    <w:rsid w:val="00C93D46"/>
    <w:rsid w:val="00CA6D8F"/>
    <w:rsid w:val="00CC76A2"/>
    <w:rsid w:val="00CC7A73"/>
    <w:rsid w:val="00CD32CF"/>
    <w:rsid w:val="00CD3D0B"/>
    <w:rsid w:val="00CF1936"/>
    <w:rsid w:val="00CF39B0"/>
    <w:rsid w:val="00CF7110"/>
    <w:rsid w:val="00D0428C"/>
    <w:rsid w:val="00D131DB"/>
    <w:rsid w:val="00D131ED"/>
    <w:rsid w:val="00D16F16"/>
    <w:rsid w:val="00D2146F"/>
    <w:rsid w:val="00D332F9"/>
    <w:rsid w:val="00D644DD"/>
    <w:rsid w:val="00D66DD6"/>
    <w:rsid w:val="00D76B56"/>
    <w:rsid w:val="00D81E85"/>
    <w:rsid w:val="00D8771C"/>
    <w:rsid w:val="00D92061"/>
    <w:rsid w:val="00D9461C"/>
    <w:rsid w:val="00D9716F"/>
    <w:rsid w:val="00D9742C"/>
    <w:rsid w:val="00DA4484"/>
    <w:rsid w:val="00DA698B"/>
    <w:rsid w:val="00DB49C9"/>
    <w:rsid w:val="00DC0FC2"/>
    <w:rsid w:val="00DC1A4E"/>
    <w:rsid w:val="00DC30E8"/>
    <w:rsid w:val="00DC76D2"/>
    <w:rsid w:val="00DC7D87"/>
    <w:rsid w:val="00DD0D7E"/>
    <w:rsid w:val="00DE5803"/>
    <w:rsid w:val="00E03415"/>
    <w:rsid w:val="00E1710E"/>
    <w:rsid w:val="00E2508C"/>
    <w:rsid w:val="00E25650"/>
    <w:rsid w:val="00E26212"/>
    <w:rsid w:val="00E31BB4"/>
    <w:rsid w:val="00E42A1F"/>
    <w:rsid w:val="00E7538D"/>
    <w:rsid w:val="00E75DDE"/>
    <w:rsid w:val="00E83231"/>
    <w:rsid w:val="00E902C2"/>
    <w:rsid w:val="00EB1732"/>
    <w:rsid w:val="00EB33EB"/>
    <w:rsid w:val="00EC3862"/>
    <w:rsid w:val="00ED462C"/>
    <w:rsid w:val="00ED5F69"/>
    <w:rsid w:val="00ED6BDF"/>
    <w:rsid w:val="00ED6CD9"/>
    <w:rsid w:val="00EF1BAC"/>
    <w:rsid w:val="00F038BD"/>
    <w:rsid w:val="00F05962"/>
    <w:rsid w:val="00F13429"/>
    <w:rsid w:val="00F150C8"/>
    <w:rsid w:val="00F20B4B"/>
    <w:rsid w:val="00F44B26"/>
    <w:rsid w:val="00F473C0"/>
    <w:rsid w:val="00F51BC9"/>
    <w:rsid w:val="00F659E3"/>
    <w:rsid w:val="00F80E90"/>
    <w:rsid w:val="00F82651"/>
    <w:rsid w:val="00F84EC4"/>
    <w:rsid w:val="00F856E6"/>
    <w:rsid w:val="00F8764E"/>
    <w:rsid w:val="00F92E83"/>
    <w:rsid w:val="00F9344F"/>
    <w:rsid w:val="00F9638E"/>
    <w:rsid w:val="00F9659A"/>
    <w:rsid w:val="00F97947"/>
    <w:rsid w:val="00FA1DAA"/>
    <w:rsid w:val="00FA28C3"/>
    <w:rsid w:val="00FA3C6C"/>
    <w:rsid w:val="00FA5468"/>
    <w:rsid w:val="00FB15BF"/>
    <w:rsid w:val="00FC24ED"/>
    <w:rsid w:val="00FC4B81"/>
    <w:rsid w:val="00FC63C2"/>
    <w:rsid w:val="00FD03AD"/>
    <w:rsid w:val="00FD1179"/>
    <w:rsid w:val="00FD4C42"/>
    <w:rsid w:val="00FE365D"/>
    <w:rsid w:val="00FE6F6E"/>
    <w:rsid w:val="00FF55B6"/>
    <w:rsid w:val="00FF72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AD"/>
    <w:pPr>
      <w:spacing w:after="0" w:line="240" w:lineRule="auto"/>
    </w:pPr>
    <w:rPr>
      <w:rFonts w:ascii="DepCentury Old Style" w:eastAsia="Times New Roman" w:hAnsi="DepCentury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D8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E16C4"/>
    <w:pPr>
      <w:ind w:left="720"/>
      <w:contextualSpacing/>
    </w:pPr>
  </w:style>
  <w:style w:type="character" w:styleId="Hyperlink">
    <w:name w:val="Hyperlink"/>
    <w:basedOn w:val="DefaultParagraphFont"/>
    <w:uiPriority w:val="99"/>
    <w:semiHidden/>
    <w:unhideWhenUsed/>
    <w:rsid w:val="0099495B"/>
    <w:rPr>
      <w:color w:val="0000FF"/>
      <w:u w:val="single"/>
    </w:rPr>
  </w:style>
  <w:style w:type="character" w:styleId="FollowedHyperlink">
    <w:name w:val="FollowedHyperlink"/>
    <w:basedOn w:val="DefaultParagraphFont"/>
    <w:uiPriority w:val="99"/>
    <w:semiHidden/>
    <w:unhideWhenUsed/>
    <w:rsid w:val="000A1230"/>
    <w:rPr>
      <w:color w:val="954F72" w:themeColor="followedHyperlink"/>
      <w:u w:val="single"/>
    </w:rPr>
  </w:style>
  <w:style w:type="character" w:styleId="Emphasis">
    <w:name w:val="Emphasis"/>
    <w:basedOn w:val="DefaultParagraphFont"/>
    <w:uiPriority w:val="20"/>
    <w:qFormat/>
    <w:rsid w:val="00AD09B6"/>
    <w:rPr>
      <w:i/>
      <w:iCs/>
    </w:rPr>
  </w:style>
  <w:style w:type="paragraph" w:styleId="BalloonText">
    <w:name w:val="Balloon Text"/>
    <w:basedOn w:val="Normal"/>
    <w:link w:val="BalloonTextChar"/>
    <w:uiPriority w:val="99"/>
    <w:semiHidden/>
    <w:unhideWhenUsed/>
    <w:rsid w:val="0061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A6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F1BAC"/>
    <w:rPr>
      <w:sz w:val="16"/>
      <w:szCs w:val="16"/>
    </w:rPr>
  </w:style>
  <w:style w:type="paragraph" w:styleId="CommentText">
    <w:name w:val="annotation text"/>
    <w:basedOn w:val="Normal"/>
    <w:link w:val="CommentTextChar"/>
    <w:uiPriority w:val="99"/>
    <w:semiHidden/>
    <w:unhideWhenUsed/>
    <w:rsid w:val="00EF1BAC"/>
    <w:rPr>
      <w:sz w:val="20"/>
    </w:rPr>
  </w:style>
  <w:style w:type="character" w:customStyle="1" w:styleId="CommentTextChar">
    <w:name w:val="Comment Text Char"/>
    <w:basedOn w:val="DefaultParagraphFont"/>
    <w:link w:val="CommentText"/>
    <w:uiPriority w:val="99"/>
    <w:semiHidden/>
    <w:rsid w:val="00EF1BAC"/>
    <w:rPr>
      <w:rFonts w:ascii="DepCentury Old Style" w:eastAsia="Times New Roman" w:hAnsi="DepCentury Old Style" w:cs="Times New Roman"/>
      <w:sz w:val="20"/>
      <w:szCs w:val="20"/>
    </w:rPr>
  </w:style>
  <w:style w:type="paragraph" w:styleId="CommentSubject">
    <w:name w:val="annotation subject"/>
    <w:basedOn w:val="CommentText"/>
    <w:next w:val="CommentText"/>
    <w:link w:val="CommentSubjectChar"/>
    <w:uiPriority w:val="99"/>
    <w:semiHidden/>
    <w:unhideWhenUsed/>
    <w:rsid w:val="00EF1BAC"/>
    <w:rPr>
      <w:b/>
      <w:bCs/>
    </w:rPr>
  </w:style>
  <w:style w:type="character" w:customStyle="1" w:styleId="CommentSubjectChar">
    <w:name w:val="Comment Subject Char"/>
    <w:basedOn w:val="CommentTextChar"/>
    <w:link w:val="CommentSubject"/>
    <w:uiPriority w:val="99"/>
    <w:semiHidden/>
    <w:rsid w:val="00EF1BAC"/>
    <w:rPr>
      <w:rFonts w:ascii="DepCentury Old Style" w:eastAsia="Times New Roman" w:hAnsi="DepCentury Old Style" w:cs="Times New Roman"/>
      <w:b/>
      <w:bCs/>
      <w:sz w:val="20"/>
      <w:szCs w:val="20"/>
    </w:rPr>
  </w:style>
  <w:style w:type="character" w:customStyle="1" w:styleId="s7d2086b4">
    <w:name w:val="s7d2086b4"/>
    <w:basedOn w:val="DefaultParagraphFont"/>
    <w:rsid w:val="009017F3"/>
  </w:style>
  <w:style w:type="character" w:customStyle="1" w:styleId="wordhighlighted">
    <w:name w:val="wordhighlighted"/>
    <w:basedOn w:val="DefaultParagraphFont"/>
    <w:rsid w:val="009017F3"/>
  </w:style>
  <w:style w:type="paragraph" w:customStyle="1" w:styleId="s32b251d">
    <w:name w:val="s32b251d"/>
    <w:basedOn w:val="Normal"/>
    <w:rsid w:val="00640327"/>
    <w:pPr>
      <w:spacing w:before="100" w:beforeAutospacing="1" w:after="100" w:afterAutospacing="1"/>
    </w:pPr>
    <w:rPr>
      <w:rFonts w:ascii="Times New Roman" w:hAnsi="Times New Roman"/>
      <w:szCs w:val="24"/>
      <w:lang w:eastAsia="nb-NO"/>
    </w:rPr>
  </w:style>
  <w:style w:type="character" w:customStyle="1" w:styleId="s6b621b36">
    <w:name w:val="s6b621b36"/>
    <w:basedOn w:val="DefaultParagraphFont"/>
    <w:rsid w:val="00640327"/>
  </w:style>
  <w:style w:type="character" w:customStyle="1" w:styleId="sb8d990e2">
    <w:name w:val="sb8d990e2"/>
    <w:basedOn w:val="DefaultParagraphFont"/>
    <w:rsid w:val="00640327"/>
  </w:style>
  <w:style w:type="paragraph" w:styleId="Revision">
    <w:name w:val="Revision"/>
    <w:hidden/>
    <w:uiPriority w:val="99"/>
    <w:semiHidden/>
    <w:rsid w:val="00BF0047"/>
    <w:pPr>
      <w:spacing w:after="0" w:line="240" w:lineRule="auto"/>
    </w:pPr>
    <w:rPr>
      <w:rFonts w:ascii="DepCentury Old Style" w:eastAsia="Times New Roman" w:hAnsi="DepCentury Old Style" w:cs="Times New Roman"/>
      <w:sz w:val="24"/>
      <w:szCs w:val="20"/>
    </w:rPr>
  </w:style>
  <w:style w:type="paragraph" w:customStyle="1" w:styleId="BrdtekstA">
    <w:name w:val="Brødtekst A"/>
    <w:rsid w:val="00B841A1"/>
    <w:pPr>
      <w:pBdr>
        <w:top w:val="nil"/>
        <w:left w:val="nil"/>
        <w:bottom w:val="nil"/>
        <w:right w:val="nil"/>
        <w:between w:val="nil"/>
        <w:bar w:val="nil"/>
      </w:pBdr>
      <w:spacing w:after="0" w:line="240" w:lineRule="auto"/>
    </w:pPr>
    <w:rPr>
      <w:rFonts w:ascii="DepCentury Old Style" w:eastAsia="DepCentury Old Style" w:hAnsi="DepCentury Old Style" w:cs="DepCentury Old Style"/>
      <w:color w:val="000000"/>
      <w:sz w:val="24"/>
      <w:szCs w:val="24"/>
      <w:u w:color="000000"/>
      <w:bdr w:val="nil"/>
      <w:lang w:val="en-US" w:eastAsia="nb-NO"/>
    </w:rPr>
  </w:style>
  <w:style w:type="paragraph" w:styleId="FootnoteText">
    <w:name w:val="footnote text"/>
    <w:basedOn w:val="Normal"/>
    <w:link w:val="FootnoteTextChar"/>
    <w:uiPriority w:val="99"/>
    <w:semiHidden/>
    <w:unhideWhenUsed/>
    <w:rsid w:val="00B841A1"/>
    <w:rPr>
      <w:sz w:val="20"/>
    </w:rPr>
  </w:style>
  <w:style w:type="character" w:customStyle="1" w:styleId="FootnoteTextChar">
    <w:name w:val="Footnote Text Char"/>
    <w:basedOn w:val="DefaultParagraphFont"/>
    <w:link w:val="FootnoteText"/>
    <w:uiPriority w:val="99"/>
    <w:semiHidden/>
    <w:rsid w:val="00B841A1"/>
    <w:rPr>
      <w:rFonts w:ascii="DepCentury Old Style" w:eastAsia="Times New Roman" w:hAnsi="DepCentury Old Style" w:cs="Times New Roman"/>
      <w:sz w:val="20"/>
      <w:szCs w:val="20"/>
    </w:rPr>
  </w:style>
  <w:style w:type="character" w:styleId="FootnoteReference">
    <w:name w:val="footnote reference"/>
    <w:basedOn w:val="DefaultParagraphFont"/>
    <w:uiPriority w:val="99"/>
    <w:semiHidden/>
    <w:unhideWhenUsed/>
    <w:rsid w:val="00B841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AD"/>
    <w:pPr>
      <w:spacing w:after="0" w:line="240" w:lineRule="auto"/>
    </w:pPr>
    <w:rPr>
      <w:rFonts w:ascii="DepCentury Old Style" w:eastAsia="Times New Roman" w:hAnsi="DepCentury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D8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E16C4"/>
    <w:pPr>
      <w:ind w:left="720"/>
      <w:contextualSpacing/>
    </w:pPr>
  </w:style>
  <w:style w:type="character" w:styleId="Hyperlink">
    <w:name w:val="Hyperlink"/>
    <w:basedOn w:val="DefaultParagraphFont"/>
    <w:uiPriority w:val="99"/>
    <w:semiHidden/>
    <w:unhideWhenUsed/>
    <w:rsid w:val="0099495B"/>
    <w:rPr>
      <w:color w:val="0000FF"/>
      <w:u w:val="single"/>
    </w:rPr>
  </w:style>
  <w:style w:type="character" w:styleId="FollowedHyperlink">
    <w:name w:val="FollowedHyperlink"/>
    <w:basedOn w:val="DefaultParagraphFont"/>
    <w:uiPriority w:val="99"/>
    <w:semiHidden/>
    <w:unhideWhenUsed/>
    <w:rsid w:val="000A1230"/>
    <w:rPr>
      <w:color w:val="954F72" w:themeColor="followedHyperlink"/>
      <w:u w:val="single"/>
    </w:rPr>
  </w:style>
  <w:style w:type="character" w:styleId="Emphasis">
    <w:name w:val="Emphasis"/>
    <w:basedOn w:val="DefaultParagraphFont"/>
    <w:uiPriority w:val="20"/>
    <w:qFormat/>
    <w:rsid w:val="00AD09B6"/>
    <w:rPr>
      <w:i/>
      <w:iCs/>
    </w:rPr>
  </w:style>
  <w:style w:type="paragraph" w:styleId="BalloonText">
    <w:name w:val="Balloon Text"/>
    <w:basedOn w:val="Normal"/>
    <w:link w:val="BalloonTextChar"/>
    <w:uiPriority w:val="99"/>
    <w:semiHidden/>
    <w:unhideWhenUsed/>
    <w:rsid w:val="0061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A6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F1BAC"/>
    <w:rPr>
      <w:sz w:val="16"/>
      <w:szCs w:val="16"/>
    </w:rPr>
  </w:style>
  <w:style w:type="paragraph" w:styleId="CommentText">
    <w:name w:val="annotation text"/>
    <w:basedOn w:val="Normal"/>
    <w:link w:val="CommentTextChar"/>
    <w:uiPriority w:val="99"/>
    <w:semiHidden/>
    <w:unhideWhenUsed/>
    <w:rsid w:val="00EF1BAC"/>
    <w:rPr>
      <w:sz w:val="20"/>
    </w:rPr>
  </w:style>
  <w:style w:type="character" w:customStyle="1" w:styleId="CommentTextChar">
    <w:name w:val="Comment Text Char"/>
    <w:basedOn w:val="DefaultParagraphFont"/>
    <w:link w:val="CommentText"/>
    <w:uiPriority w:val="99"/>
    <w:semiHidden/>
    <w:rsid w:val="00EF1BAC"/>
    <w:rPr>
      <w:rFonts w:ascii="DepCentury Old Style" w:eastAsia="Times New Roman" w:hAnsi="DepCentury Old Style" w:cs="Times New Roman"/>
      <w:sz w:val="20"/>
      <w:szCs w:val="20"/>
    </w:rPr>
  </w:style>
  <w:style w:type="paragraph" w:styleId="CommentSubject">
    <w:name w:val="annotation subject"/>
    <w:basedOn w:val="CommentText"/>
    <w:next w:val="CommentText"/>
    <w:link w:val="CommentSubjectChar"/>
    <w:uiPriority w:val="99"/>
    <w:semiHidden/>
    <w:unhideWhenUsed/>
    <w:rsid w:val="00EF1BAC"/>
    <w:rPr>
      <w:b/>
      <w:bCs/>
    </w:rPr>
  </w:style>
  <w:style w:type="character" w:customStyle="1" w:styleId="CommentSubjectChar">
    <w:name w:val="Comment Subject Char"/>
    <w:basedOn w:val="CommentTextChar"/>
    <w:link w:val="CommentSubject"/>
    <w:uiPriority w:val="99"/>
    <w:semiHidden/>
    <w:rsid w:val="00EF1BAC"/>
    <w:rPr>
      <w:rFonts w:ascii="DepCentury Old Style" w:eastAsia="Times New Roman" w:hAnsi="DepCentury Old Style" w:cs="Times New Roman"/>
      <w:b/>
      <w:bCs/>
      <w:sz w:val="20"/>
      <w:szCs w:val="20"/>
    </w:rPr>
  </w:style>
  <w:style w:type="character" w:customStyle="1" w:styleId="s7d2086b4">
    <w:name w:val="s7d2086b4"/>
    <w:basedOn w:val="DefaultParagraphFont"/>
    <w:rsid w:val="009017F3"/>
  </w:style>
  <w:style w:type="character" w:customStyle="1" w:styleId="wordhighlighted">
    <w:name w:val="wordhighlighted"/>
    <w:basedOn w:val="DefaultParagraphFont"/>
    <w:rsid w:val="009017F3"/>
  </w:style>
  <w:style w:type="paragraph" w:customStyle="1" w:styleId="s32b251d">
    <w:name w:val="s32b251d"/>
    <w:basedOn w:val="Normal"/>
    <w:rsid w:val="00640327"/>
    <w:pPr>
      <w:spacing w:before="100" w:beforeAutospacing="1" w:after="100" w:afterAutospacing="1"/>
    </w:pPr>
    <w:rPr>
      <w:rFonts w:ascii="Times New Roman" w:hAnsi="Times New Roman"/>
      <w:szCs w:val="24"/>
      <w:lang w:eastAsia="nb-NO"/>
    </w:rPr>
  </w:style>
  <w:style w:type="character" w:customStyle="1" w:styleId="s6b621b36">
    <w:name w:val="s6b621b36"/>
    <w:basedOn w:val="DefaultParagraphFont"/>
    <w:rsid w:val="00640327"/>
  </w:style>
  <w:style w:type="character" w:customStyle="1" w:styleId="sb8d990e2">
    <w:name w:val="sb8d990e2"/>
    <w:basedOn w:val="DefaultParagraphFont"/>
    <w:rsid w:val="00640327"/>
  </w:style>
  <w:style w:type="paragraph" w:styleId="Revision">
    <w:name w:val="Revision"/>
    <w:hidden/>
    <w:uiPriority w:val="99"/>
    <w:semiHidden/>
    <w:rsid w:val="00BF0047"/>
    <w:pPr>
      <w:spacing w:after="0" w:line="240" w:lineRule="auto"/>
    </w:pPr>
    <w:rPr>
      <w:rFonts w:ascii="DepCentury Old Style" w:eastAsia="Times New Roman" w:hAnsi="DepCentury Old Style" w:cs="Times New Roman"/>
      <w:sz w:val="24"/>
      <w:szCs w:val="20"/>
    </w:rPr>
  </w:style>
  <w:style w:type="paragraph" w:customStyle="1" w:styleId="BrdtekstA">
    <w:name w:val="Brødtekst A"/>
    <w:rsid w:val="00B841A1"/>
    <w:pPr>
      <w:pBdr>
        <w:top w:val="nil"/>
        <w:left w:val="nil"/>
        <w:bottom w:val="nil"/>
        <w:right w:val="nil"/>
        <w:between w:val="nil"/>
        <w:bar w:val="nil"/>
      </w:pBdr>
      <w:spacing w:after="0" w:line="240" w:lineRule="auto"/>
    </w:pPr>
    <w:rPr>
      <w:rFonts w:ascii="DepCentury Old Style" w:eastAsia="DepCentury Old Style" w:hAnsi="DepCentury Old Style" w:cs="DepCentury Old Style"/>
      <w:color w:val="000000"/>
      <w:sz w:val="24"/>
      <w:szCs w:val="24"/>
      <w:u w:color="000000"/>
      <w:bdr w:val="nil"/>
      <w:lang w:val="en-US" w:eastAsia="nb-NO"/>
    </w:rPr>
  </w:style>
  <w:style w:type="paragraph" w:styleId="FootnoteText">
    <w:name w:val="footnote text"/>
    <w:basedOn w:val="Normal"/>
    <w:link w:val="FootnoteTextChar"/>
    <w:uiPriority w:val="99"/>
    <w:semiHidden/>
    <w:unhideWhenUsed/>
    <w:rsid w:val="00B841A1"/>
    <w:rPr>
      <w:sz w:val="20"/>
    </w:rPr>
  </w:style>
  <w:style w:type="character" w:customStyle="1" w:styleId="FootnoteTextChar">
    <w:name w:val="Footnote Text Char"/>
    <w:basedOn w:val="DefaultParagraphFont"/>
    <w:link w:val="FootnoteText"/>
    <w:uiPriority w:val="99"/>
    <w:semiHidden/>
    <w:rsid w:val="00B841A1"/>
    <w:rPr>
      <w:rFonts w:ascii="DepCentury Old Style" w:eastAsia="Times New Roman" w:hAnsi="DepCentury Old Style" w:cs="Times New Roman"/>
      <w:sz w:val="20"/>
      <w:szCs w:val="20"/>
    </w:rPr>
  </w:style>
  <w:style w:type="character" w:styleId="FootnoteReference">
    <w:name w:val="footnote reference"/>
    <w:basedOn w:val="DefaultParagraphFont"/>
    <w:uiPriority w:val="99"/>
    <w:semiHidden/>
    <w:unhideWhenUsed/>
    <w:rsid w:val="00B841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3465">
      <w:bodyDiv w:val="1"/>
      <w:marLeft w:val="0"/>
      <w:marRight w:val="0"/>
      <w:marTop w:val="0"/>
      <w:marBottom w:val="0"/>
      <w:divBdr>
        <w:top w:val="none" w:sz="0" w:space="0" w:color="auto"/>
        <w:left w:val="none" w:sz="0" w:space="0" w:color="auto"/>
        <w:bottom w:val="none" w:sz="0" w:space="0" w:color="auto"/>
        <w:right w:val="none" w:sz="0" w:space="0" w:color="auto"/>
      </w:divBdr>
    </w:div>
    <w:div w:id="412750510">
      <w:bodyDiv w:val="1"/>
      <w:marLeft w:val="0"/>
      <w:marRight w:val="0"/>
      <w:marTop w:val="0"/>
      <w:marBottom w:val="0"/>
      <w:divBdr>
        <w:top w:val="none" w:sz="0" w:space="0" w:color="auto"/>
        <w:left w:val="none" w:sz="0" w:space="0" w:color="auto"/>
        <w:bottom w:val="none" w:sz="0" w:space="0" w:color="auto"/>
        <w:right w:val="none" w:sz="0" w:space="0" w:color="auto"/>
      </w:divBdr>
    </w:div>
    <w:div w:id="504394716">
      <w:bodyDiv w:val="1"/>
      <w:marLeft w:val="0"/>
      <w:marRight w:val="0"/>
      <w:marTop w:val="0"/>
      <w:marBottom w:val="0"/>
      <w:divBdr>
        <w:top w:val="none" w:sz="0" w:space="0" w:color="auto"/>
        <w:left w:val="none" w:sz="0" w:space="0" w:color="auto"/>
        <w:bottom w:val="none" w:sz="0" w:space="0" w:color="auto"/>
        <w:right w:val="none" w:sz="0" w:space="0" w:color="auto"/>
      </w:divBdr>
    </w:div>
    <w:div w:id="905723067">
      <w:bodyDiv w:val="1"/>
      <w:marLeft w:val="0"/>
      <w:marRight w:val="0"/>
      <w:marTop w:val="0"/>
      <w:marBottom w:val="0"/>
      <w:divBdr>
        <w:top w:val="none" w:sz="0" w:space="0" w:color="auto"/>
        <w:left w:val="none" w:sz="0" w:space="0" w:color="auto"/>
        <w:bottom w:val="none" w:sz="0" w:space="0" w:color="auto"/>
        <w:right w:val="none" w:sz="0" w:space="0" w:color="auto"/>
      </w:divBdr>
      <w:divsChild>
        <w:div w:id="1188564944">
          <w:marLeft w:val="0"/>
          <w:marRight w:val="0"/>
          <w:marTop w:val="0"/>
          <w:marBottom w:val="0"/>
          <w:divBdr>
            <w:top w:val="none" w:sz="0" w:space="0" w:color="auto"/>
            <w:left w:val="none" w:sz="0" w:space="0" w:color="auto"/>
            <w:bottom w:val="none" w:sz="0" w:space="0" w:color="auto"/>
            <w:right w:val="none" w:sz="0" w:space="0" w:color="auto"/>
          </w:divBdr>
          <w:divsChild>
            <w:div w:id="1183789445">
              <w:marLeft w:val="0"/>
              <w:marRight w:val="0"/>
              <w:marTop w:val="0"/>
              <w:marBottom w:val="0"/>
              <w:divBdr>
                <w:top w:val="none" w:sz="0" w:space="0" w:color="auto"/>
                <w:left w:val="none" w:sz="0" w:space="0" w:color="auto"/>
                <w:bottom w:val="none" w:sz="0" w:space="0" w:color="auto"/>
                <w:right w:val="none" w:sz="0" w:space="0" w:color="auto"/>
              </w:divBdr>
              <w:divsChild>
                <w:div w:id="240453401">
                  <w:marLeft w:val="0"/>
                  <w:marRight w:val="0"/>
                  <w:marTop w:val="0"/>
                  <w:marBottom w:val="0"/>
                  <w:divBdr>
                    <w:top w:val="none" w:sz="0" w:space="0" w:color="auto"/>
                    <w:left w:val="none" w:sz="0" w:space="0" w:color="auto"/>
                    <w:bottom w:val="none" w:sz="0" w:space="0" w:color="auto"/>
                    <w:right w:val="none" w:sz="0" w:space="0" w:color="auto"/>
                  </w:divBdr>
                  <w:divsChild>
                    <w:div w:id="2097047036">
                      <w:marLeft w:val="0"/>
                      <w:marRight w:val="0"/>
                      <w:marTop w:val="0"/>
                      <w:marBottom w:val="0"/>
                      <w:divBdr>
                        <w:top w:val="none" w:sz="0" w:space="0" w:color="auto"/>
                        <w:left w:val="none" w:sz="0" w:space="0" w:color="auto"/>
                        <w:bottom w:val="none" w:sz="0" w:space="0" w:color="auto"/>
                        <w:right w:val="none" w:sz="0" w:space="0" w:color="auto"/>
                      </w:divBdr>
                      <w:divsChild>
                        <w:div w:id="1626111161">
                          <w:marLeft w:val="0"/>
                          <w:marRight w:val="0"/>
                          <w:marTop w:val="0"/>
                          <w:marBottom w:val="0"/>
                          <w:divBdr>
                            <w:top w:val="none" w:sz="0" w:space="0" w:color="auto"/>
                            <w:left w:val="none" w:sz="0" w:space="0" w:color="auto"/>
                            <w:bottom w:val="none" w:sz="0" w:space="0" w:color="auto"/>
                            <w:right w:val="none" w:sz="0" w:space="0" w:color="auto"/>
                          </w:divBdr>
                          <w:divsChild>
                            <w:div w:id="12622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72193">
      <w:bodyDiv w:val="1"/>
      <w:marLeft w:val="0"/>
      <w:marRight w:val="0"/>
      <w:marTop w:val="0"/>
      <w:marBottom w:val="0"/>
      <w:divBdr>
        <w:top w:val="none" w:sz="0" w:space="0" w:color="auto"/>
        <w:left w:val="none" w:sz="0" w:space="0" w:color="auto"/>
        <w:bottom w:val="none" w:sz="0" w:space="0" w:color="auto"/>
        <w:right w:val="none" w:sz="0" w:space="0" w:color="auto"/>
      </w:divBdr>
      <w:divsChild>
        <w:div w:id="925724445">
          <w:marLeft w:val="0"/>
          <w:marRight w:val="0"/>
          <w:marTop w:val="0"/>
          <w:marBottom w:val="0"/>
          <w:divBdr>
            <w:top w:val="none" w:sz="0" w:space="0" w:color="auto"/>
            <w:left w:val="none" w:sz="0" w:space="0" w:color="auto"/>
            <w:bottom w:val="none" w:sz="0" w:space="0" w:color="auto"/>
            <w:right w:val="none" w:sz="0" w:space="0" w:color="auto"/>
          </w:divBdr>
          <w:divsChild>
            <w:div w:id="1179538149">
              <w:marLeft w:val="0"/>
              <w:marRight w:val="0"/>
              <w:marTop w:val="0"/>
              <w:marBottom w:val="0"/>
              <w:divBdr>
                <w:top w:val="none" w:sz="0" w:space="0" w:color="auto"/>
                <w:left w:val="none" w:sz="0" w:space="0" w:color="auto"/>
                <w:bottom w:val="none" w:sz="0" w:space="0" w:color="auto"/>
                <w:right w:val="none" w:sz="0" w:space="0" w:color="auto"/>
              </w:divBdr>
              <w:divsChild>
                <w:div w:id="461072450">
                  <w:marLeft w:val="0"/>
                  <w:marRight w:val="0"/>
                  <w:marTop w:val="0"/>
                  <w:marBottom w:val="0"/>
                  <w:divBdr>
                    <w:top w:val="none" w:sz="0" w:space="0" w:color="auto"/>
                    <w:left w:val="none" w:sz="0" w:space="0" w:color="auto"/>
                    <w:bottom w:val="none" w:sz="0" w:space="0" w:color="auto"/>
                    <w:right w:val="none" w:sz="0" w:space="0" w:color="auto"/>
                  </w:divBdr>
                  <w:divsChild>
                    <w:div w:id="1358238925">
                      <w:marLeft w:val="0"/>
                      <w:marRight w:val="0"/>
                      <w:marTop w:val="0"/>
                      <w:marBottom w:val="0"/>
                      <w:divBdr>
                        <w:top w:val="none" w:sz="0" w:space="0" w:color="auto"/>
                        <w:left w:val="none" w:sz="0" w:space="0" w:color="auto"/>
                        <w:bottom w:val="none" w:sz="0" w:space="0" w:color="auto"/>
                        <w:right w:val="none" w:sz="0" w:space="0" w:color="auto"/>
                      </w:divBdr>
                      <w:divsChild>
                        <w:div w:id="754325851">
                          <w:marLeft w:val="0"/>
                          <w:marRight w:val="0"/>
                          <w:marTop w:val="0"/>
                          <w:marBottom w:val="0"/>
                          <w:divBdr>
                            <w:top w:val="none" w:sz="0" w:space="0" w:color="auto"/>
                            <w:left w:val="none" w:sz="0" w:space="0" w:color="auto"/>
                            <w:bottom w:val="none" w:sz="0" w:space="0" w:color="auto"/>
                            <w:right w:val="none" w:sz="0" w:space="0" w:color="auto"/>
                          </w:divBdr>
                          <w:divsChild>
                            <w:div w:id="1907185177">
                              <w:marLeft w:val="0"/>
                              <w:marRight w:val="0"/>
                              <w:marTop w:val="0"/>
                              <w:marBottom w:val="0"/>
                              <w:divBdr>
                                <w:top w:val="none" w:sz="0" w:space="0" w:color="auto"/>
                                <w:left w:val="none" w:sz="0" w:space="0" w:color="auto"/>
                                <w:bottom w:val="none" w:sz="0" w:space="0" w:color="auto"/>
                                <w:right w:val="none" w:sz="0" w:space="0" w:color="auto"/>
                              </w:divBdr>
                              <w:divsChild>
                                <w:div w:id="636035227">
                                  <w:marLeft w:val="0"/>
                                  <w:marRight w:val="0"/>
                                  <w:marTop w:val="0"/>
                                  <w:marBottom w:val="0"/>
                                  <w:divBdr>
                                    <w:top w:val="none" w:sz="0" w:space="0" w:color="auto"/>
                                    <w:left w:val="none" w:sz="0" w:space="0" w:color="auto"/>
                                    <w:bottom w:val="none" w:sz="0" w:space="0" w:color="auto"/>
                                    <w:right w:val="none" w:sz="0" w:space="0" w:color="auto"/>
                                  </w:divBdr>
                                  <w:divsChild>
                                    <w:div w:id="1746099651">
                                      <w:marLeft w:val="0"/>
                                      <w:marRight w:val="0"/>
                                      <w:marTop w:val="0"/>
                                      <w:marBottom w:val="0"/>
                                      <w:divBdr>
                                        <w:top w:val="none" w:sz="0" w:space="0" w:color="auto"/>
                                        <w:left w:val="none" w:sz="0" w:space="0" w:color="auto"/>
                                        <w:bottom w:val="none" w:sz="0" w:space="0" w:color="auto"/>
                                        <w:right w:val="none" w:sz="0" w:space="0" w:color="auto"/>
                                      </w:divBdr>
                                      <w:divsChild>
                                        <w:div w:id="1644391084">
                                          <w:marLeft w:val="0"/>
                                          <w:marRight w:val="0"/>
                                          <w:marTop w:val="0"/>
                                          <w:marBottom w:val="0"/>
                                          <w:divBdr>
                                            <w:top w:val="none" w:sz="0" w:space="0" w:color="auto"/>
                                            <w:left w:val="none" w:sz="0" w:space="0" w:color="auto"/>
                                            <w:bottom w:val="none" w:sz="0" w:space="0" w:color="auto"/>
                                            <w:right w:val="none" w:sz="0" w:space="0" w:color="auto"/>
                                          </w:divBdr>
                                          <w:divsChild>
                                            <w:div w:id="202333226">
                                              <w:marLeft w:val="0"/>
                                              <w:marRight w:val="0"/>
                                              <w:marTop w:val="75"/>
                                              <w:marBottom w:val="0"/>
                                              <w:divBdr>
                                                <w:top w:val="none" w:sz="0" w:space="0" w:color="auto"/>
                                                <w:left w:val="none" w:sz="0" w:space="0" w:color="auto"/>
                                                <w:bottom w:val="none" w:sz="0" w:space="0" w:color="auto"/>
                                                <w:right w:val="none" w:sz="0" w:space="0" w:color="auto"/>
                                              </w:divBdr>
                                              <w:divsChild>
                                                <w:div w:id="1101604396">
                                                  <w:marLeft w:val="0"/>
                                                  <w:marRight w:val="0"/>
                                                  <w:marTop w:val="0"/>
                                                  <w:marBottom w:val="0"/>
                                                  <w:divBdr>
                                                    <w:top w:val="none" w:sz="0" w:space="0" w:color="auto"/>
                                                    <w:left w:val="none" w:sz="0" w:space="0" w:color="auto"/>
                                                    <w:bottom w:val="none" w:sz="0" w:space="0" w:color="auto"/>
                                                    <w:right w:val="none" w:sz="0" w:space="0" w:color="auto"/>
                                                  </w:divBdr>
                                                  <w:divsChild>
                                                    <w:div w:id="457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057479">
      <w:bodyDiv w:val="1"/>
      <w:marLeft w:val="0"/>
      <w:marRight w:val="0"/>
      <w:marTop w:val="0"/>
      <w:marBottom w:val="0"/>
      <w:divBdr>
        <w:top w:val="none" w:sz="0" w:space="0" w:color="auto"/>
        <w:left w:val="none" w:sz="0" w:space="0" w:color="auto"/>
        <w:bottom w:val="none" w:sz="0" w:space="0" w:color="auto"/>
        <w:right w:val="none" w:sz="0" w:space="0" w:color="auto"/>
      </w:divBdr>
    </w:div>
    <w:div w:id="1536962486">
      <w:bodyDiv w:val="1"/>
      <w:marLeft w:val="0"/>
      <w:marRight w:val="0"/>
      <w:marTop w:val="0"/>
      <w:marBottom w:val="0"/>
      <w:divBdr>
        <w:top w:val="none" w:sz="0" w:space="0" w:color="auto"/>
        <w:left w:val="none" w:sz="0" w:space="0" w:color="auto"/>
        <w:bottom w:val="none" w:sz="0" w:space="0" w:color="auto"/>
        <w:right w:val="none" w:sz="0" w:space="0" w:color="auto"/>
      </w:divBdr>
    </w:div>
    <w:div w:id="1710447431">
      <w:bodyDiv w:val="1"/>
      <w:marLeft w:val="0"/>
      <w:marRight w:val="0"/>
      <w:marTop w:val="0"/>
      <w:marBottom w:val="0"/>
      <w:divBdr>
        <w:top w:val="none" w:sz="0" w:space="0" w:color="auto"/>
        <w:left w:val="none" w:sz="0" w:space="0" w:color="auto"/>
        <w:bottom w:val="none" w:sz="0" w:space="0" w:color="auto"/>
        <w:right w:val="none" w:sz="0" w:space="0" w:color="auto"/>
      </w:divBdr>
    </w:div>
    <w:div w:id="1729303651">
      <w:bodyDiv w:val="1"/>
      <w:marLeft w:val="0"/>
      <w:marRight w:val="0"/>
      <w:marTop w:val="0"/>
      <w:marBottom w:val="0"/>
      <w:divBdr>
        <w:top w:val="none" w:sz="0" w:space="0" w:color="auto"/>
        <w:left w:val="none" w:sz="0" w:space="0" w:color="auto"/>
        <w:bottom w:val="none" w:sz="0" w:space="0" w:color="auto"/>
        <w:right w:val="none" w:sz="0" w:space="0" w:color="auto"/>
      </w:divBdr>
    </w:div>
    <w:div w:id="20837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7D6FA9-3878-4D26-8DE4-959FBA63CF4A}"/>
</file>

<file path=customXml/itemProps2.xml><?xml version="1.0" encoding="utf-8"?>
<ds:datastoreItem xmlns:ds="http://schemas.openxmlformats.org/officeDocument/2006/customXml" ds:itemID="{0BDF847E-D965-4648-B258-40AC5F13EF51}"/>
</file>

<file path=customXml/itemProps3.xml><?xml version="1.0" encoding="utf-8"?>
<ds:datastoreItem xmlns:ds="http://schemas.openxmlformats.org/officeDocument/2006/customXml" ds:itemID="{A39E1B87-A61F-4B58-8E6A-740B8ACF675E}"/>
</file>

<file path=customXml/itemProps4.xml><?xml version="1.0" encoding="utf-8"?>
<ds:datastoreItem xmlns:ds="http://schemas.openxmlformats.org/officeDocument/2006/customXml" ds:itemID="{323B52B2-9587-4250-9ADE-4F3A4CA6F569}"/>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4902</Characters>
  <Application>Microsoft Office Word</Application>
  <DocSecurity>0</DocSecurity>
  <Lines>40</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Justis- og beredskapsdepartementet</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Drazdiak</dc:creator>
  <cp:lastModifiedBy>Jorge ARAYA</cp:lastModifiedBy>
  <cp:revision>2</cp:revision>
  <cp:lastPrinted>2017-04-06T10:54:00Z</cp:lastPrinted>
  <dcterms:created xsi:type="dcterms:W3CDTF">2017-06-30T09:43:00Z</dcterms:created>
  <dcterms:modified xsi:type="dcterms:W3CDTF">2017-06-30T09:43:00Z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