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189F2" w14:textId="77777777" w:rsidR="00B324B7" w:rsidRDefault="009B401E">
      <w:pPr>
        <w:rPr>
          <w:rFonts w:ascii="Avenir Book" w:hAnsi="Avenir Book"/>
        </w:rPr>
      </w:pPr>
      <w:r w:rsidRPr="004C3B1E">
        <w:rPr>
          <w:noProof/>
          <w:lang w:val="en-GB" w:eastAsia="en-GB"/>
        </w:rPr>
        <mc:AlternateContent>
          <mc:Choice Requires="wps">
            <w:drawing>
              <wp:anchor distT="0" distB="0" distL="114300" distR="114300" simplePos="0" relativeHeight="251663360" behindDoc="0" locked="0" layoutInCell="1" allowOverlap="0" wp14:anchorId="092D691B" wp14:editId="2E25E376">
                <wp:simplePos x="0" y="0"/>
                <wp:positionH relativeFrom="margin">
                  <wp:posOffset>0</wp:posOffset>
                </wp:positionH>
                <wp:positionV relativeFrom="page">
                  <wp:posOffset>1257300</wp:posOffset>
                </wp:positionV>
                <wp:extent cx="6305550" cy="1271016"/>
                <wp:effectExtent l="0" t="0" r="0" b="8255"/>
                <wp:wrapTopAndBottom/>
                <wp:docPr id="5" name="Text Box 5"/>
                <wp:cNvGraphicFramePr/>
                <a:graphic xmlns:a="http://schemas.openxmlformats.org/drawingml/2006/main">
                  <a:graphicData uri="http://schemas.microsoft.com/office/word/2010/wordprocessingShape">
                    <wps:wsp>
                      <wps:cNvSpPr txBox="1"/>
                      <wps:spPr>
                        <a:xfrm>
                          <a:off x="0" y="0"/>
                          <a:ext cx="6305550" cy="12710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Pr>
                            <w:tblGrid>
                              <w:gridCol w:w="6757"/>
                              <w:gridCol w:w="2253"/>
                            </w:tblGrid>
                            <w:tr w:rsidR="009B401E" w:rsidRPr="009B401E" w14:paraId="2F5DE754" w14:textId="77777777" w:rsidTr="004C3B1E">
                              <w:trPr>
                                <w:trHeight w:val="53"/>
                              </w:trPr>
                              <w:tc>
                                <w:tcPr>
                                  <w:tcW w:w="3750" w:type="pct"/>
                                </w:tcPr>
                                <w:p w14:paraId="27630FD1" w14:textId="77777777" w:rsidR="009B401E" w:rsidRPr="00C5190E" w:rsidRDefault="009B401E" w:rsidP="006A7D41">
                                  <w:pPr>
                                    <w:pStyle w:val="Header"/>
                                    <w:rPr>
                                      <w:lang w:val="en-GB"/>
                                    </w:rPr>
                                  </w:pPr>
                                  <w:r w:rsidRPr="00C5190E">
                                    <w:rPr>
                                      <w:lang w:val="en-GB"/>
                                    </w:rPr>
                                    <w:t xml:space="preserve">Global Alliance of National Human Rights Institutions </w:t>
                                  </w:r>
                                </w:p>
                                <w:p w14:paraId="1E628E35" w14:textId="77777777" w:rsidR="009B401E" w:rsidRDefault="009B401E" w:rsidP="006A7D41">
                                  <w:pPr>
                                    <w:pStyle w:val="Header"/>
                                    <w:rPr>
                                      <w:lang w:val="fr-CH"/>
                                    </w:rPr>
                                  </w:pPr>
                                  <w:r>
                                    <w:rPr>
                                      <w:lang w:val="fr-CH"/>
                                    </w:rPr>
                                    <w:t>Palais des Nations</w:t>
                                  </w:r>
                                </w:p>
                                <w:p w14:paraId="45F65375" w14:textId="77777777" w:rsidR="009B401E" w:rsidRPr="00673678" w:rsidRDefault="009B401E" w:rsidP="006A7D41">
                                  <w:pPr>
                                    <w:pStyle w:val="Header"/>
                                    <w:rPr>
                                      <w:lang w:val="fr-CH"/>
                                    </w:rPr>
                                  </w:pPr>
                                  <w:r w:rsidRPr="00C5190E">
                                    <w:rPr>
                                      <w:lang w:val="fr-CH"/>
                                    </w:rPr>
                                    <w:t>1211 Genève, Switzerland</w:t>
                                  </w:r>
                                </w:p>
                                <w:p w14:paraId="15EC7EEE" w14:textId="77777777" w:rsidR="009B401E" w:rsidRPr="009B401E" w:rsidRDefault="009B401E" w:rsidP="006A7D41">
                                  <w:pPr>
                                    <w:pStyle w:val="Header"/>
                                    <w:rPr>
                                      <w:lang w:val="fr-CH"/>
                                    </w:rPr>
                                  </w:pPr>
                                  <w:r w:rsidRPr="009B401E">
                                    <w:rPr>
                                      <w:lang w:val="fr-CH"/>
                                    </w:rPr>
                                    <w:t>Tel + 41 22 917 16 74 </w:t>
                                  </w:r>
                                </w:p>
                                <w:p w14:paraId="2CCE389E" w14:textId="77777777" w:rsidR="009B401E" w:rsidRPr="009B401E" w:rsidRDefault="009B401E" w:rsidP="006A7D41">
                                  <w:pPr>
                                    <w:pStyle w:val="Header"/>
                                    <w:rPr>
                                      <w:lang w:val="fr-CH"/>
                                    </w:rPr>
                                  </w:pPr>
                                  <w:r w:rsidRPr="009B401E">
                                    <w:rPr>
                                      <w:color w:val="3087B4"/>
                                      <w:lang w:val="fr-CH"/>
                                    </w:rPr>
                                    <w:t>www.ganhri.org</w:t>
                                  </w:r>
                                </w:p>
                              </w:tc>
                              <w:tc>
                                <w:tcPr>
                                  <w:tcW w:w="1250" w:type="pct"/>
                                </w:tcPr>
                                <w:p w14:paraId="7E5EDC29" w14:textId="77777777" w:rsidR="009B401E" w:rsidRPr="009B401E" w:rsidRDefault="009B401E" w:rsidP="006A7D41">
                                  <w:pPr>
                                    <w:pStyle w:val="Header"/>
                                    <w:rPr>
                                      <w:noProof/>
                                      <w:lang w:val="fr-CH" w:eastAsia="en-GB"/>
                                    </w:rPr>
                                  </w:pPr>
                                </w:p>
                                <w:p w14:paraId="18311E23" w14:textId="77777777" w:rsidR="009B401E" w:rsidRPr="009B401E" w:rsidRDefault="009B401E" w:rsidP="006A7D41">
                                  <w:pPr>
                                    <w:pStyle w:val="Header"/>
                                    <w:rPr>
                                      <w:lang w:val="fr-CH"/>
                                    </w:rPr>
                                  </w:pPr>
                                  <w:r>
                                    <w:rPr>
                                      <w:rFonts w:ascii="Arial" w:hAnsi="Arial"/>
                                      <w:b/>
                                      <w:noProof/>
                                      <w:sz w:val="22"/>
                                      <w:szCs w:val="22"/>
                                      <w:lang w:val="en-GB" w:bidi="ar-EG"/>
                                    </w:rPr>
                                    <w:drawing>
                                      <wp:inline distT="0" distB="0" distL="0" distR="0" wp14:anchorId="7F77763C" wp14:editId="24FFE179">
                                        <wp:extent cx="1195182" cy="110324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nhri_logo_mainHR_cropped.jpg"/>
                                                <pic:cNvPicPr/>
                                              </pic:nvPicPr>
                                              <pic:blipFill>
                                                <a:blip r:embed="rId7">
                                                  <a:extLst>
                                                    <a:ext uri="{28A0092B-C50C-407E-A947-70E740481C1C}">
                                                      <a14:useLocalDpi xmlns:a14="http://schemas.microsoft.com/office/drawing/2010/main" val="0"/>
                                                    </a:ext>
                                                  </a:extLst>
                                                </a:blip>
                                                <a:stretch>
                                                  <a:fillRect/>
                                                </a:stretch>
                                              </pic:blipFill>
                                              <pic:spPr>
                                                <a:xfrm>
                                                  <a:off x="0" y="0"/>
                                                  <a:ext cx="1213212" cy="1119887"/>
                                                </a:xfrm>
                                                <a:prstGeom prst="rect">
                                                  <a:avLst/>
                                                </a:prstGeom>
                                              </pic:spPr>
                                            </pic:pic>
                                          </a:graphicData>
                                        </a:graphic>
                                      </wp:inline>
                                    </w:drawing>
                                  </w:r>
                                </w:p>
                              </w:tc>
                            </w:tr>
                          </w:tbl>
                          <w:p w14:paraId="40804759" w14:textId="77777777" w:rsidR="009B401E" w:rsidRPr="009B401E" w:rsidRDefault="009B401E" w:rsidP="009B401E">
                            <w:pPr>
                              <w:rPr>
                                <w:lang w:val="fr-CH"/>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15000</wp14:pctHeight>
                </wp14:sizeRelV>
              </wp:anchor>
            </w:drawing>
          </mc:Choice>
          <mc:Fallback>
            <w:pict>
              <v:shapetype w14:anchorId="092D691B" id="_x0000_t202" coordsize="21600,21600" o:spt="202" path="m,l,21600r21600,l21600,xe">
                <v:stroke joinstyle="miter"/>
                <v:path gradientshapeok="t" o:connecttype="rect"/>
              </v:shapetype>
              <v:shape id="Text Box 5" o:spid="_x0000_s1026" type="#_x0000_t202" style="position:absolute;margin-left:0;margin-top:99pt;width:496.5pt;height:100.1pt;z-index:251663360;visibility:visible;mso-wrap-style:square;mso-width-percent:1000;mso-height-percent:150;mso-wrap-distance-left:9pt;mso-wrap-distance-top:0;mso-wrap-distance-right:9pt;mso-wrap-distance-bottom:0;mso-position-horizontal:absolute;mso-position-horizontal-relative:margin;mso-position-vertical:absolute;mso-position-vertical-relative:page;mso-width-percent:1000;mso-height-percent:15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" o:allowoverlap="f" filled="f" stroked="f" strokeweight=".5pt">
                <v:textbox style="mso-fit-shape-to-text:t" inset="0,0,0,0">
                  <w:txbxContent>
                    <w:tbl>
                      <w:tblPr>
                        <w:tblW w:w="5000" w:type="pct"/>
                        <w:tblCellMar>
                          <w:left w:w="0" w:type="dxa"/>
                          <w:right w:w="0" w:type="dxa"/>
                        </w:tblCellMar>
                        <w:tblLook w:val="04A0" w:firstRow="1" w:lastRow="0" w:firstColumn="1" w:lastColumn="0" w:noHBand="0" w:noVBand="1"/>
                      </w:tblPr>
                      <w:tblGrid>
                        <w:gridCol w:w="6757"/>
                        <w:gridCol w:w="2253"/>
                      </w:tblGrid>
                      <w:tr w:rsidR="009B401E" w:rsidRPr="009B401E" w14:paraId="2F5DE754" w14:textId="77777777" w:rsidTr="004C3B1E">
                        <w:trPr>
                          <w:trHeight w:val="53"/>
                        </w:trPr>
                        <w:tc>
                          <w:tcPr>
                            <w:tcW w:w="3750" w:type="pct"/>
                          </w:tcPr>
                          <w:p w14:paraId="27630FD1" w14:textId="77777777" w:rsidR="009B401E" w:rsidRPr="00C5190E" w:rsidRDefault="009B401E" w:rsidP="006A7D41">
                            <w:pPr>
                              <w:pStyle w:val="Header"/>
                              <w:rPr>
                                <w:lang w:val="en-GB"/>
                              </w:rPr>
                            </w:pPr>
                            <w:r w:rsidRPr="00C5190E">
                              <w:rPr>
                                <w:lang w:val="en-GB"/>
                              </w:rPr>
                              <w:t xml:space="preserve">Global Alliance of National Human Rights Institutions </w:t>
                            </w:r>
                          </w:p>
                          <w:p w14:paraId="1E628E35" w14:textId="77777777" w:rsidR="009B401E" w:rsidRDefault="009B401E" w:rsidP="006A7D41">
                            <w:pPr>
                              <w:pStyle w:val="Header"/>
                              <w:rPr>
                                <w:lang w:val="fr-CH"/>
                              </w:rPr>
                            </w:pPr>
                            <w:r>
                              <w:rPr>
                                <w:lang w:val="fr-CH"/>
                              </w:rPr>
                              <w:t>Palais des Nations</w:t>
                            </w:r>
                          </w:p>
                          <w:p w14:paraId="45F65375" w14:textId="77777777" w:rsidR="009B401E" w:rsidRPr="00673678" w:rsidRDefault="009B401E" w:rsidP="006A7D41">
                            <w:pPr>
                              <w:pStyle w:val="Header"/>
                              <w:rPr>
                                <w:lang w:val="fr-CH"/>
                              </w:rPr>
                            </w:pPr>
                            <w:r w:rsidRPr="00C5190E">
                              <w:rPr>
                                <w:lang w:val="fr-CH"/>
                              </w:rPr>
                              <w:t>1211 Genève, Switzerland</w:t>
                            </w:r>
                          </w:p>
                          <w:p w14:paraId="15EC7EEE" w14:textId="77777777" w:rsidR="009B401E" w:rsidRPr="009B401E" w:rsidRDefault="009B401E" w:rsidP="006A7D41">
                            <w:pPr>
                              <w:pStyle w:val="Header"/>
                              <w:rPr>
                                <w:lang w:val="fr-CH"/>
                              </w:rPr>
                            </w:pPr>
                            <w:r w:rsidRPr="009B401E">
                              <w:rPr>
                                <w:lang w:val="fr-CH"/>
                              </w:rPr>
                              <w:t>Tel + 41 22 917 16 74 </w:t>
                            </w:r>
                          </w:p>
                          <w:p w14:paraId="2CCE389E" w14:textId="77777777" w:rsidR="009B401E" w:rsidRPr="009B401E" w:rsidRDefault="009B401E" w:rsidP="006A7D41">
                            <w:pPr>
                              <w:pStyle w:val="Header"/>
                              <w:rPr>
                                <w:lang w:val="fr-CH"/>
                              </w:rPr>
                            </w:pPr>
                            <w:r w:rsidRPr="009B401E">
                              <w:rPr>
                                <w:color w:val="3087B4"/>
                                <w:lang w:val="fr-CH"/>
                              </w:rPr>
                              <w:t>www.ganhri.org</w:t>
                            </w:r>
                          </w:p>
                        </w:tc>
                        <w:tc>
                          <w:tcPr>
                            <w:tcW w:w="1250" w:type="pct"/>
                          </w:tcPr>
                          <w:p w14:paraId="7E5EDC29" w14:textId="77777777" w:rsidR="009B401E" w:rsidRPr="009B401E" w:rsidRDefault="009B401E" w:rsidP="006A7D41">
                            <w:pPr>
                              <w:pStyle w:val="Header"/>
                              <w:rPr>
                                <w:noProof/>
                                <w:lang w:val="fr-CH" w:eastAsia="en-GB"/>
                              </w:rPr>
                            </w:pPr>
                          </w:p>
                          <w:p w14:paraId="18311E23" w14:textId="77777777" w:rsidR="009B401E" w:rsidRPr="009B401E" w:rsidRDefault="009B401E" w:rsidP="006A7D41">
                            <w:pPr>
                              <w:pStyle w:val="Header"/>
                              <w:rPr>
                                <w:lang w:val="fr-CH"/>
                              </w:rPr>
                            </w:pPr>
                            <w:r>
                              <w:rPr>
                                <w:rFonts w:ascii="Arial" w:hAnsi="Arial"/>
                                <w:b/>
                                <w:noProof/>
                                <w:sz w:val="22"/>
                                <w:szCs w:val="22"/>
                                <w:lang w:val="en-GB" w:bidi="ar-EG"/>
                              </w:rPr>
                              <w:drawing>
                                <wp:inline distT="0" distB="0" distL="0" distR="0" wp14:anchorId="7F77763C" wp14:editId="24FFE179">
                                  <wp:extent cx="1195182" cy="110324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nhri_logo_mainHR_cropped.jpg"/>
                                          <pic:cNvPicPr/>
                                        </pic:nvPicPr>
                                        <pic:blipFill>
                                          <a:blip r:embed="rId7">
                                            <a:extLst>
                                              <a:ext uri="{28A0092B-C50C-407E-A947-70E740481C1C}">
                                                <a14:useLocalDpi xmlns:a14="http://schemas.microsoft.com/office/drawing/2010/main" val="0"/>
                                              </a:ext>
                                            </a:extLst>
                                          </a:blip>
                                          <a:stretch>
                                            <a:fillRect/>
                                          </a:stretch>
                                        </pic:blipFill>
                                        <pic:spPr>
                                          <a:xfrm>
                                            <a:off x="0" y="0"/>
                                            <a:ext cx="1213212" cy="1119887"/>
                                          </a:xfrm>
                                          <a:prstGeom prst="rect">
                                            <a:avLst/>
                                          </a:prstGeom>
                                        </pic:spPr>
                                      </pic:pic>
                                    </a:graphicData>
                                  </a:graphic>
                                </wp:inline>
                              </w:drawing>
                            </w:r>
                          </w:p>
                        </w:tc>
                      </w:tr>
                    </w:tbl>
                    <w:p w14:paraId="40804759" w14:textId="77777777" w:rsidR="009B401E" w:rsidRPr="009B401E" w:rsidRDefault="009B401E" w:rsidP="009B401E">
                      <w:pPr>
                        <w:rPr>
                          <w:lang w:val="fr-CH"/>
                        </w:rPr>
                      </w:pPr>
                    </w:p>
                  </w:txbxContent>
                </v:textbox>
                <w10:wrap type="topAndBottom" anchorx="margin" anchory="page"/>
              </v:shape>
            </w:pict>
          </mc:Fallback>
        </mc:AlternateContent>
      </w:r>
      <w:bookmarkStart w:id="0" w:name="_MON_1588494309"/>
      <w:bookmarkEnd w:id="0"/>
      <w:r w:rsidRPr="009B401E">
        <w:rPr>
          <w:rFonts w:ascii="Arial" w:hAnsi="Arial" w:cs="Arial"/>
          <w:b/>
          <w:noProof/>
          <w:lang w:val="en-GB" w:bidi="ar-EG"/>
        </w:rPr>
        <w:t xml:space="preserve"> </w:t>
      </w:r>
      <w:r>
        <w:rPr>
          <w:rFonts w:ascii="Avenir Book" w:hAnsi="Avenir Book"/>
          <w:noProof/>
        </w:rPr>
        <w:t xml:space="preserve"> </w:t>
      </w:r>
    </w:p>
    <w:p w14:paraId="03E5E634" w14:textId="77777777" w:rsidR="009B401E" w:rsidRDefault="009B401E">
      <w:pPr>
        <w:rPr>
          <w:rFonts w:ascii="Avenir Book" w:hAnsi="Avenir Book"/>
        </w:rPr>
      </w:pPr>
    </w:p>
    <w:p w14:paraId="25BD11D7" w14:textId="77777777" w:rsidR="009B401E" w:rsidRDefault="009B401E">
      <w:pPr>
        <w:rPr>
          <w:rFonts w:ascii="Avenir Book" w:hAnsi="Avenir Book"/>
        </w:rPr>
      </w:pPr>
      <w:r>
        <w:rPr>
          <w:rFonts w:ascii="Avenir Book" w:hAnsi="Avenir Book"/>
          <w:noProof/>
          <w:lang w:val="fr-FR" w:eastAsia="fr-FR"/>
        </w:rPr>
        <mc:AlternateContent>
          <mc:Choice Requires="wps">
            <w:drawing>
              <wp:anchor distT="0" distB="0" distL="114300" distR="114300" simplePos="0" relativeHeight="251659264" behindDoc="0" locked="0" layoutInCell="1" allowOverlap="1" wp14:anchorId="4D36DEEE" wp14:editId="4D133E01">
                <wp:simplePos x="0" y="0"/>
                <wp:positionH relativeFrom="column">
                  <wp:posOffset>-25400</wp:posOffset>
                </wp:positionH>
                <wp:positionV relativeFrom="paragraph">
                  <wp:posOffset>265430</wp:posOffset>
                </wp:positionV>
                <wp:extent cx="5943600" cy="13716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1371600"/>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2E00BF71" w14:textId="77777777" w:rsidR="009B401E" w:rsidRPr="00985969" w:rsidRDefault="009B401E" w:rsidP="009B401E">
                            <w:pPr>
                              <w:spacing w:after="0" w:line="240" w:lineRule="auto"/>
                              <w:jc w:val="center"/>
                              <w:rPr>
                                <w:rFonts w:ascii="Avenir Book" w:hAnsi="Avenir Book" w:cs="Arial"/>
                                <w:b/>
                                <w:sz w:val="52"/>
                                <w:szCs w:val="52"/>
                              </w:rPr>
                            </w:pPr>
                            <w:r w:rsidRPr="00985969">
                              <w:rPr>
                                <w:rFonts w:ascii="Avenir Book" w:hAnsi="Avenir Book" w:cs="Arial"/>
                                <w:b/>
                                <w:smallCaps/>
                                <w:sz w:val="52"/>
                                <w:szCs w:val="52"/>
                              </w:rPr>
                              <w:t xml:space="preserve">The Global Alliance of National Human Rights Institutions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6DEEE" id="Text Box 9" o:spid="_x0000_s1027" type="#_x0000_t202" style="position:absolute;margin-left:-2pt;margin-top:20.9pt;width:46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" stroked="f" strokecolor="white" strokeweight="0">
                <v:fill opacity="0"/>
                <v:path arrowok="t"/>
                <v:textbox>
                  <w:txbxContent>
                    <w:p w14:paraId="2E00BF71" w14:textId="77777777" w:rsidR="009B401E" w:rsidRPr="00985969" w:rsidRDefault="009B401E" w:rsidP="009B401E">
                      <w:pPr>
                        <w:spacing w:after="0" w:line="240" w:lineRule="auto"/>
                        <w:jc w:val="center"/>
                        <w:rPr>
                          <w:rFonts w:ascii="Avenir Book" w:hAnsi="Avenir Book" w:cs="Arial"/>
                          <w:b/>
                          <w:sz w:val="52"/>
                          <w:szCs w:val="52"/>
                        </w:rPr>
                      </w:pPr>
                      <w:r w:rsidRPr="00985969">
                        <w:rPr>
                          <w:rFonts w:ascii="Avenir Book" w:hAnsi="Avenir Book" w:cs="Arial"/>
                          <w:b/>
                          <w:smallCaps/>
                          <w:sz w:val="52"/>
                          <w:szCs w:val="52"/>
                        </w:rPr>
                        <w:t xml:space="preserve">The Global Alliance of National Human Rights Institutions </w:t>
                      </w:r>
                    </w:p>
                  </w:txbxContent>
                </v:textbox>
              </v:shape>
            </w:pict>
          </mc:Fallback>
        </mc:AlternateContent>
      </w:r>
    </w:p>
    <w:p w14:paraId="61621A61" w14:textId="77777777" w:rsidR="009B401E" w:rsidRDefault="009B401E">
      <w:pPr>
        <w:rPr>
          <w:rFonts w:ascii="Avenir Book" w:hAnsi="Avenir Book"/>
        </w:rPr>
      </w:pPr>
    </w:p>
    <w:p w14:paraId="0B9ADAB3" w14:textId="77777777" w:rsidR="009B401E" w:rsidRDefault="009B401E">
      <w:pPr>
        <w:rPr>
          <w:rFonts w:ascii="Avenir Book" w:hAnsi="Avenir Book"/>
        </w:rPr>
      </w:pPr>
    </w:p>
    <w:p w14:paraId="4EC4C83D" w14:textId="77777777" w:rsidR="009B401E" w:rsidRDefault="009B401E">
      <w:pPr>
        <w:rPr>
          <w:rFonts w:ascii="Avenir Book" w:hAnsi="Avenir Book"/>
        </w:rPr>
      </w:pPr>
    </w:p>
    <w:p w14:paraId="6E42A360" w14:textId="77777777" w:rsidR="009B401E" w:rsidRDefault="009B401E">
      <w:pPr>
        <w:rPr>
          <w:rFonts w:ascii="Avenir Book" w:hAnsi="Avenir Book"/>
        </w:rPr>
      </w:pPr>
    </w:p>
    <w:p w14:paraId="0D828434" w14:textId="77777777" w:rsidR="009B401E" w:rsidRDefault="009B401E">
      <w:pPr>
        <w:rPr>
          <w:rFonts w:ascii="Avenir Book" w:hAnsi="Avenir Book"/>
        </w:rPr>
      </w:pPr>
    </w:p>
    <w:p w14:paraId="631668C6" w14:textId="18E15FD7" w:rsidR="009B401E" w:rsidRDefault="009B401E"/>
    <w:p w14:paraId="6DBE625F" w14:textId="19266A76" w:rsidR="009B401E" w:rsidRDefault="00672C01">
      <w:r>
        <w:rPr>
          <w:rFonts w:ascii="Avenir Book" w:hAnsi="Avenir Book"/>
          <w:noProof/>
          <w:lang w:val="fr-FR" w:eastAsia="fr-FR"/>
        </w:rPr>
        <mc:AlternateContent>
          <mc:Choice Requires="wps">
            <w:drawing>
              <wp:anchor distT="0" distB="0" distL="114300" distR="114300" simplePos="0" relativeHeight="251661312" behindDoc="0" locked="0" layoutInCell="1" allowOverlap="1" wp14:anchorId="68C7BB58" wp14:editId="5286C243">
                <wp:simplePos x="0" y="0"/>
                <wp:positionH relativeFrom="column">
                  <wp:posOffset>-63500</wp:posOffset>
                </wp:positionH>
                <wp:positionV relativeFrom="paragraph">
                  <wp:posOffset>231775</wp:posOffset>
                </wp:positionV>
                <wp:extent cx="6009005" cy="323723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9005" cy="3237230"/>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0C04CA1E" w14:textId="77777777" w:rsidR="009B401E" w:rsidRPr="00985969" w:rsidRDefault="009B401E" w:rsidP="009B401E">
                            <w:pPr>
                              <w:spacing w:after="0" w:line="240" w:lineRule="auto"/>
                              <w:jc w:val="center"/>
                              <w:rPr>
                                <w:rFonts w:ascii="Avenir Book" w:hAnsi="Avenir Book" w:cs="Arial"/>
                                <w:b/>
                                <w:smallCaps/>
                                <w:sz w:val="32"/>
                                <w:szCs w:val="32"/>
                              </w:rPr>
                            </w:pPr>
                          </w:p>
                          <w:p w14:paraId="2ECA9952" w14:textId="77777777" w:rsidR="009B401E" w:rsidRPr="00985969" w:rsidRDefault="009B401E" w:rsidP="009B401E">
                            <w:pPr>
                              <w:spacing w:after="0" w:line="240" w:lineRule="auto"/>
                              <w:jc w:val="center"/>
                              <w:rPr>
                                <w:rFonts w:ascii="Avenir Book" w:hAnsi="Avenir Book" w:cs="Arial"/>
                                <w:b/>
                                <w:smallCaps/>
                                <w:sz w:val="32"/>
                                <w:szCs w:val="32"/>
                              </w:rPr>
                            </w:pPr>
                            <w:r w:rsidRPr="00985969">
                              <w:rPr>
                                <w:rFonts w:ascii="Avenir Book" w:hAnsi="Avenir Book" w:cs="Arial"/>
                                <w:b/>
                                <w:smallCaps/>
                                <w:sz w:val="32"/>
                                <w:szCs w:val="32"/>
                              </w:rPr>
                              <w:t xml:space="preserve">Submission to the </w:t>
                            </w:r>
                          </w:p>
                          <w:p w14:paraId="2D68B003" w14:textId="77777777" w:rsidR="009B401E" w:rsidRPr="00985969" w:rsidRDefault="009B401E" w:rsidP="009B401E">
                            <w:pPr>
                              <w:jc w:val="center"/>
                              <w:rPr>
                                <w:rFonts w:ascii="Avenir Book" w:hAnsi="Avenir Book" w:cs="Arial"/>
                                <w:b/>
                                <w:smallCaps/>
                                <w:sz w:val="32"/>
                                <w:szCs w:val="32"/>
                              </w:rPr>
                            </w:pPr>
                            <w:r w:rsidRPr="00985969">
                              <w:rPr>
                                <w:rFonts w:ascii="Avenir Book" w:hAnsi="Avenir Book" w:cs="Arial"/>
                                <w:b/>
                                <w:smallCaps/>
                                <w:sz w:val="32"/>
                                <w:szCs w:val="32"/>
                              </w:rPr>
                              <w:t>Committee on the Rights of Persons with Disabilities</w:t>
                            </w:r>
                            <w:r w:rsidRPr="00985969">
                              <w:rPr>
                                <w:rFonts w:ascii="Avenir Book" w:hAnsi="Avenir Book"/>
                                <w:sz w:val="32"/>
                                <w:szCs w:val="32"/>
                              </w:rPr>
                              <w:t xml:space="preserve"> </w:t>
                            </w:r>
                            <w:r w:rsidRPr="00985969">
                              <w:rPr>
                                <w:rFonts w:ascii="Avenir Book" w:hAnsi="Avenir Book" w:cs="Arial"/>
                                <w:b/>
                                <w:smallCaps/>
                                <w:sz w:val="32"/>
                                <w:szCs w:val="32"/>
                              </w:rPr>
                              <w:t xml:space="preserve">on the </w:t>
                            </w:r>
                          </w:p>
                          <w:p w14:paraId="24353909" w14:textId="77777777" w:rsidR="009B401E" w:rsidRPr="00985969" w:rsidRDefault="009B401E" w:rsidP="009B401E">
                            <w:pPr>
                              <w:jc w:val="center"/>
                              <w:rPr>
                                <w:rFonts w:ascii="Avenir Book" w:hAnsi="Avenir Book"/>
                                <w:b/>
                                <w:sz w:val="32"/>
                                <w:szCs w:val="32"/>
                              </w:rPr>
                            </w:pPr>
                            <w:r w:rsidRPr="00985969">
                              <w:rPr>
                                <w:rFonts w:ascii="Avenir Book" w:hAnsi="Avenir Book" w:cs="Arial"/>
                                <w:b/>
                                <w:smallCaps/>
                                <w:sz w:val="32"/>
                                <w:szCs w:val="32"/>
                              </w:rPr>
                              <w:t xml:space="preserve">Draft </w:t>
                            </w:r>
                            <w:r w:rsidRPr="00985969">
                              <w:rPr>
                                <w:rFonts w:ascii="Avenir Book" w:hAnsi="Avenir Book"/>
                                <w:b/>
                                <w:sz w:val="32"/>
                                <w:szCs w:val="32"/>
                              </w:rPr>
                              <w:t xml:space="preserve">General Comment </w:t>
                            </w:r>
                            <w:r>
                              <w:rPr>
                                <w:rFonts w:ascii="Avenir Book" w:hAnsi="Avenir Book"/>
                                <w:b/>
                                <w:sz w:val="32"/>
                                <w:szCs w:val="32"/>
                              </w:rPr>
                              <w:t xml:space="preserve">No 7 on Article 4.3 and 33.3 of the Convention </w:t>
                            </w:r>
                            <w:r w:rsidRPr="009B401E">
                              <w:rPr>
                                <w:rFonts w:ascii="Avenir Roman" w:hAnsi="Avenir Roman"/>
                                <w:b/>
                                <w:sz w:val="32"/>
                                <w:szCs w:val="32"/>
                              </w:rPr>
                              <w:t xml:space="preserve">on the </w:t>
                            </w:r>
                            <w:r w:rsidRPr="009B401E">
                              <w:rPr>
                                <w:rFonts w:ascii="Avenir Roman" w:hAnsi="Avenir Roman" w:cs="Arial"/>
                                <w:b/>
                                <w:sz w:val="32"/>
                                <w:szCs w:val="32"/>
                                <w:lang w:val="en-GB" w:bidi="ar-EG"/>
                              </w:rPr>
                              <w:t>participation of persons with disabilities in the implementation and monitoring of the Convention</w:t>
                            </w:r>
                          </w:p>
                          <w:p w14:paraId="28D9CEDC" w14:textId="77777777" w:rsidR="009B401E" w:rsidRPr="00985969" w:rsidRDefault="009B401E" w:rsidP="009B401E">
                            <w:pPr>
                              <w:spacing w:after="0" w:line="240" w:lineRule="auto"/>
                              <w:jc w:val="center"/>
                              <w:rPr>
                                <w:rFonts w:ascii="Avenir Book" w:hAnsi="Avenir Book" w:cs="Arial"/>
                                <w:b/>
                                <w:smallCaps/>
                                <w:sz w:val="32"/>
                                <w:szCs w:val="32"/>
                              </w:rPr>
                            </w:pPr>
                          </w:p>
                          <w:p w14:paraId="46E1976D" w14:textId="77777777" w:rsidR="009B401E" w:rsidRPr="00985969" w:rsidRDefault="009B401E" w:rsidP="009B401E">
                            <w:pPr>
                              <w:jc w:val="center"/>
                              <w:rPr>
                                <w:rFonts w:ascii="Avenir Book" w:hAnsi="Avenir Book" w:cs="Arial"/>
                                <w:b/>
                                <w:smallCaps/>
                                <w:sz w:val="32"/>
                                <w:szCs w:val="32"/>
                              </w:rPr>
                            </w:pPr>
                            <w:r>
                              <w:rPr>
                                <w:rFonts w:ascii="Avenir Book" w:hAnsi="Avenir Book" w:cs="Arial"/>
                                <w:b/>
                                <w:smallCaps/>
                                <w:sz w:val="32"/>
                                <w:szCs w:val="32"/>
                              </w:rPr>
                              <w:t>MAY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C7BB58" id="Text Box 8" o:spid="_x0000_s1028" type="#_x0000_t202" style="position:absolute;margin-left:-5pt;margin-top:18.25pt;width:473.15pt;height:2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" stroked="f" strokecolor="white" strokeweight="0">
                <v:fill opacity="0"/>
                <v:path arrowok="t"/>
                <v:textbox>
                  <w:txbxContent>
                    <w:p w14:paraId="0C04CA1E" w14:textId="77777777" w:rsidR="009B401E" w:rsidRPr="00985969" w:rsidRDefault="009B401E" w:rsidP="009B401E">
                      <w:pPr>
                        <w:spacing w:after="0" w:line="240" w:lineRule="auto"/>
                        <w:jc w:val="center"/>
                        <w:rPr>
                          <w:rFonts w:ascii="Avenir Book" w:hAnsi="Avenir Book" w:cs="Arial"/>
                          <w:b/>
                          <w:smallCaps/>
                          <w:sz w:val="32"/>
                          <w:szCs w:val="32"/>
                        </w:rPr>
                      </w:pPr>
                    </w:p>
                    <w:p w14:paraId="2ECA9952" w14:textId="77777777" w:rsidR="009B401E" w:rsidRPr="00985969" w:rsidRDefault="009B401E" w:rsidP="009B401E">
                      <w:pPr>
                        <w:spacing w:after="0" w:line="240" w:lineRule="auto"/>
                        <w:jc w:val="center"/>
                        <w:rPr>
                          <w:rFonts w:ascii="Avenir Book" w:hAnsi="Avenir Book" w:cs="Arial"/>
                          <w:b/>
                          <w:smallCaps/>
                          <w:sz w:val="32"/>
                          <w:szCs w:val="32"/>
                        </w:rPr>
                      </w:pPr>
                      <w:r w:rsidRPr="00985969">
                        <w:rPr>
                          <w:rFonts w:ascii="Avenir Book" w:hAnsi="Avenir Book" w:cs="Arial"/>
                          <w:b/>
                          <w:smallCaps/>
                          <w:sz w:val="32"/>
                          <w:szCs w:val="32"/>
                        </w:rPr>
                        <w:t xml:space="preserve">Submission to the </w:t>
                      </w:r>
                    </w:p>
                    <w:p w14:paraId="2D68B003" w14:textId="77777777" w:rsidR="009B401E" w:rsidRPr="00985969" w:rsidRDefault="009B401E" w:rsidP="009B401E">
                      <w:pPr>
                        <w:jc w:val="center"/>
                        <w:rPr>
                          <w:rFonts w:ascii="Avenir Book" w:hAnsi="Avenir Book" w:cs="Arial"/>
                          <w:b/>
                          <w:smallCaps/>
                          <w:sz w:val="32"/>
                          <w:szCs w:val="32"/>
                        </w:rPr>
                      </w:pPr>
                      <w:r w:rsidRPr="00985969">
                        <w:rPr>
                          <w:rFonts w:ascii="Avenir Book" w:hAnsi="Avenir Book" w:cs="Arial"/>
                          <w:b/>
                          <w:smallCaps/>
                          <w:sz w:val="32"/>
                          <w:szCs w:val="32"/>
                        </w:rPr>
                        <w:t>Committee on the Rights of Persons with Disabilities</w:t>
                      </w:r>
                      <w:r w:rsidRPr="00985969">
                        <w:rPr>
                          <w:rFonts w:ascii="Avenir Book" w:hAnsi="Avenir Book"/>
                          <w:sz w:val="32"/>
                          <w:szCs w:val="32"/>
                        </w:rPr>
                        <w:t xml:space="preserve"> </w:t>
                      </w:r>
                      <w:r w:rsidRPr="00985969">
                        <w:rPr>
                          <w:rFonts w:ascii="Avenir Book" w:hAnsi="Avenir Book" w:cs="Arial"/>
                          <w:b/>
                          <w:smallCaps/>
                          <w:sz w:val="32"/>
                          <w:szCs w:val="32"/>
                        </w:rPr>
                        <w:t xml:space="preserve">on the </w:t>
                      </w:r>
                    </w:p>
                    <w:p w14:paraId="24353909" w14:textId="77777777" w:rsidR="009B401E" w:rsidRPr="00985969" w:rsidRDefault="009B401E" w:rsidP="009B401E">
                      <w:pPr>
                        <w:jc w:val="center"/>
                        <w:rPr>
                          <w:rFonts w:ascii="Avenir Book" w:hAnsi="Avenir Book"/>
                          <w:b/>
                          <w:sz w:val="32"/>
                          <w:szCs w:val="32"/>
                        </w:rPr>
                      </w:pPr>
                      <w:r w:rsidRPr="00985969">
                        <w:rPr>
                          <w:rFonts w:ascii="Avenir Book" w:hAnsi="Avenir Book" w:cs="Arial"/>
                          <w:b/>
                          <w:smallCaps/>
                          <w:sz w:val="32"/>
                          <w:szCs w:val="32"/>
                        </w:rPr>
                        <w:t xml:space="preserve">Draft </w:t>
                      </w:r>
                      <w:r w:rsidRPr="00985969">
                        <w:rPr>
                          <w:rFonts w:ascii="Avenir Book" w:hAnsi="Avenir Book"/>
                          <w:b/>
                          <w:sz w:val="32"/>
                          <w:szCs w:val="32"/>
                        </w:rPr>
                        <w:t xml:space="preserve">General Comment </w:t>
                      </w:r>
                      <w:r>
                        <w:rPr>
                          <w:rFonts w:ascii="Avenir Book" w:hAnsi="Avenir Book"/>
                          <w:b/>
                          <w:sz w:val="32"/>
                          <w:szCs w:val="32"/>
                        </w:rPr>
                        <w:t xml:space="preserve">No 7 on Article 4.3 and 33.3 of the Convention </w:t>
                      </w:r>
                      <w:r w:rsidRPr="009B401E">
                        <w:rPr>
                          <w:rFonts w:ascii="Avenir Roman" w:hAnsi="Avenir Roman"/>
                          <w:b/>
                          <w:sz w:val="32"/>
                          <w:szCs w:val="32"/>
                        </w:rPr>
                        <w:t xml:space="preserve">on the </w:t>
                      </w:r>
                      <w:r w:rsidRPr="009B401E">
                        <w:rPr>
                          <w:rFonts w:ascii="Avenir Roman" w:hAnsi="Avenir Roman" w:cs="Arial"/>
                          <w:b/>
                          <w:sz w:val="32"/>
                          <w:szCs w:val="32"/>
                          <w:lang w:val="en-GB" w:bidi="ar-EG"/>
                        </w:rPr>
                        <w:t>participation of persons with disabilities in the implementation and monitoring of the Convention</w:t>
                      </w:r>
                    </w:p>
                    <w:p w14:paraId="28D9CEDC" w14:textId="77777777" w:rsidR="009B401E" w:rsidRPr="00985969" w:rsidRDefault="009B401E" w:rsidP="009B401E">
                      <w:pPr>
                        <w:spacing w:after="0" w:line="240" w:lineRule="auto"/>
                        <w:jc w:val="center"/>
                        <w:rPr>
                          <w:rFonts w:ascii="Avenir Book" w:hAnsi="Avenir Book" w:cs="Arial"/>
                          <w:b/>
                          <w:smallCaps/>
                          <w:sz w:val="32"/>
                          <w:szCs w:val="32"/>
                        </w:rPr>
                      </w:pPr>
                    </w:p>
                    <w:p w14:paraId="46E1976D" w14:textId="77777777" w:rsidR="009B401E" w:rsidRPr="00985969" w:rsidRDefault="009B401E" w:rsidP="009B401E">
                      <w:pPr>
                        <w:jc w:val="center"/>
                        <w:rPr>
                          <w:rFonts w:ascii="Avenir Book" w:hAnsi="Avenir Book" w:cs="Arial"/>
                          <w:b/>
                          <w:smallCaps/>
                          <w:sz w:val="32"/>
                          <w:szCs w:val="32"/>
                        </w:rPr>
                      </w:pPr>
                      <w:r>
                        <w:rPr>
                          <w:rFonts w:ascii="Avenir Book" w:hAnsi="Avenir Book" w:cs="Arial"/>
                          <w:b/>
                          <w:smallCaps/>
                          <w:sz w:val="32"/>
                          <w:szCs w:val="32"/>
                        </w:rPr>
                        <w:t>MAY  2018</w:t>
                      </w:r>
                    </w:p>
                  </w:txbxContent>
                </v:textbox>
              </v:shape>
            </w:pict>
          </mc:Fallback>
        </mc:AlternateContent>
      </w:r>
    </w:p>
    <w:p w14:paraId="3BD0CCAD" w14:textId="77777777" w:rsidR="009B401E" w:rsidRDefault="009B401E"/>
    <w:p w14:paraId="5448CD8E" w14:textId="77777777" w:rsidR="009B401E" w:rsidRDefault="009B401E"/>
    <w:p w14:paraId="0802B015" w14:textId="77777777" w:rsidR="009B401E" w:rsidRDefault="009B401E"/>
    <w:p w14:paraId="6A29D3E4" w14:textId="77777777" w:rsidR="009B401E" w:rsidRDefault="009B401E"/>
    <w:p w14:paraId="61B2CFDB" w14:textId="77777777" w:rsidR="009B401E" w:rsidRDefault="009B401E"/>
    <w:p w14:paraId="23DCF255" w14:textId="77777777" w:rsidR="009B401E" w:rsidRDefault="009B401E"/>
    <w:p w14:paraId="6E495E53" w14:textId="77777777" w:rsidR="009B401E" w:rsidRDefault="009B401E"/>
    <w:p w14:paraId="0FB47FE1" w14:textId="77777777" w:rsidR="009B401E" w:rsidRDefault="009B401E"/>
    <w:p w14:paraId="1A9A999B" w14:textId="77777777" w:rsidR="009B401E" w:rsidRDefault="009B401E"/>
    <w:p w14:paraId="380391FF" w14:textId="4CD583D0" w:rsidR="009B401E" w:rsidRDefault="009B401E">
      <w:pPr>
        <w:rPr>
          <w:rFonts w:ascii="Avenir Roman" w:hAnsi="Avenir Roman"/>
        </w:rPr>
      </w:pPr>
    </w:p>
    <w:p w14:paraId="362E9270" w14:textId="77777777" w:rsidR="00AF0516" w:rsidRPr="009B401E" w:rsidRDefault="00AF0516">
      <w:pPr>
        <w:rPr>
          <w:rFonts w:ascii="Avenir Roman" w:hAnsi="Avenir Roman"/>
        </w:rPr>
      </w:pPr>
    </w:p>
    <w:p w14:paraId="7C04B06F" w14:textId="6FACC160" w:rsidR="009B401E" w:rsidRDefault="009B401E">
      <w:pPr>
        <w:rPr>
          <w:rFonts w:ascii="Avenir Roman" w:hAnsi="Avenir Roman"/>
        </w:rPr>
      </w:pPr>
    </w:p>
    <w:p w14:paraId="5AF1997E" w14:textId="04DC039E" w:rsidR="009B401E" w:rsidRPr="009B401E" w:rsidRDefault="009B401E" w:rsidP="009B401E">
      <w:pPr>
        <w:jc w:val="both"/>
        <w:rPr>
          <w:rFonts w:ascii="Avenir Roman" w:hAnsi="Avenir Roman" w:cs="Arial"/>
          <w:b/>
          <w:bCs/>
          <w:lang w:val="en-GB" w:bidi="ar-EG"/>
        </w:rPr>
      </w:pPr>
      <w:r w:rsidRPr="009B401E">
        <w:rPr>
          <w:rFonts w:ascii="Avenir Roman" w:hAnsi="Avenir Roman" w:cs="Arial"/>
          <w:b/>
          <w:bCs/>
          <w:lang w:val="en-GB" w:bidi="ar-EG"/>
        </w:rPr>
        <w:t>ABOUT THE GLOBAL ALLIANCE OF NATIONAL HUMAN RIGHTS INSTITUTIONS</w:t>
      </w:r>
    </w:p>
    <w:p w14:paraId="019A6AB1" w14:textId="77777777" w:rsidR="009B401E" w:rsidRPr="009B401E" w:rsidRDefault="009B401E" w:rsidP="009B401E">
      <w:pPr>
        <w:jc w:val="both"/>
        <w:rPr>
          <w:rFonts w:ascii="Avenir Roman" w:hAnsi="Avenir Roman" w:cs="Arial"/>
          <w:lang w:val="en-GB" w:bidi="ar-EG"/>
        </w:rPr>
      </w:pPr>
      <w:r w:rsidRPr="009B401E">
        <w:rPr>
          <w:rFonts w:ascii="Avenir Roman" w:hAnsi="Avenir Roman" w:cs="Arial"/>
          <w:lang w:val="en-GB" w:bidi="ar-EG"/>
        </w:rPr>
        <w:t xml:space="preserve">The Global Alliance of National Human Rights Institutions (GANHRI) is the international association of national human rights institutions from all parts of the globe. Established in 1993 as the ICC (International Coordinating Committee of National Institutions for the Promotion and Protection of Human Rights), GANHRI promotes and strengthens national human rights institutions (NHRIs) to be in accordance with the UN Paris Principles, and provides leadership in the promotion and protection of human rights in order to strengthen human rights domestically and internationally. </w:t>
      </w:r>
    </w:p>
    <w:p w14:paraId="1BFBBBB4" w14:textId="77777777" w:rsidR="009B401E" w:rsidRPr="009B401E" w:rsidRDefault="009B401E" w:rsidP="009B401E">
      <w:pPr>
        <w:jc w:val="both"/>
        <w:rPr>
          <w:rFonts w:ascii="Avenir Roman" w:hAnsi="Avenir Roman" w:cs="Arial"/>
          <w:lang w:val="en-GB" w:bidi="ar-EG"/>
        </w:rPr>
      </w:pPr>
      <w:r w:rsidRPr="009B401E">
        <w:rPr>
          <w:rFonts w:ascii="Avenir Roman" w:hAnsi="Avenir Roman" w:cs="Arial"/>
          <w:lang w:val="en-GB" w:bidi="ar-EG"/>
        </w:rPr>
        <w:t xml:space="preserve">At an international level, GANHRI coordinates the activities of NHRIs so as to support the work of human rights bodies by bringing NHRIs’ insights to bear. GANHRI undertakes accreditation of NHRIs under the auspices of the Office of the United Nations High Commissioner for Human </w:t>
      </w:r>
      <w:proofErr w:type="gramStart"/>
      <w:r w:rsidRPr="009B401E">
        <w:rPr>
          <w:rFonts w:ascii="Avenir Roman" w:hAnsi="Avenir Roman" w:cs="Arial"/>
          <w:lang w:val="en-GB" w:bidi="ar-EG"/>
        </w:rPr>
        <w:t>Rights, and</w:t>
      </w:r>
      <w:proofErr w:type="gramEnd"/>
      <w:r w:rsidRPr="009B401E">
        <w:rPr>
          <w:rFonts w:ascii="Avenir Roman" w:hAnsi="Avenir Roman" w:cs="Arial"/>
          <w:lang w:val="en-GB" w:bidi="ar-EG"/>
        </w:rPr>
        <w:t xml:space="preserve"> holds an annual meeting and international conferences to strengthen cooperation and share good practice between NHRIs. </w:t>
      </w:r>
    </w:p>
    <w:p w14:paraId="235CB319" w14:textId="77777777" w:rsidR="009B401E" w:rsidRPr="009B401E" w:rsidRDefault="009B401E" w:rsidP="009B401E">
      <w:pPr>
        <w:jc w:val="both"/>
        <w:rPr>
          <w:rFonts w:ascii="Avenir Roman" w:hAnsi="Avenir Roman" w:cs="Arial"/>
          <w:lang w:val="en-GB" w:bidi="ar-EG"/>
        </w:rPr>
      </w:pPr>
      <w:r w:rsidRPr="009B401E">
        <w:rPr>
          <w:rFonts w:ascii="Avenir Roman" w:hAnsi="Avenir Roman" w:cs="Arial"/>
          <w:lang w:val="en-GB" w:bidi="ar-EG"/>
        </w:rPr>
        <w:t xml:space="preserve">The current GANHRI Chairperson is Professor Dr </w:t>
      </w:r>
      <w:proofErr w:type="spellStart"/>
      <w:r w:rsidRPr="009B401E">
        <w:rPr>
          <w:rFonts w:ascii="Avenir Roman" w:hAnsi="Avenir Roman" w:cs="Arial"/>
          <w:lang w:val="en-GB" w:bidi="ar-EG"/>
        </w:rPr>
        <w:t>Beate</w:t>
      </w:r>
      <w:proofErr w:type="spellEnd"/>
      <w:r w:rsidRPr="009B401E">
        <w:rPr>
          <w:rFonts w:ascii="Avenir Roman" w:hAnsi="Avenir Roman" w:cs="Arial"/>
          <w:lang w:val="en-GB" w:bidi="ar-EG"/>
        </w:rPr>
        <w:t xml:space="preserve"> Rudolf, Director of the German Institute for Human Rights. </w:t>
      </w:r>
    </w:p>
    <w:p w14:paraId="364F88BB" w14:textId="77777777" w:rsidR="009B401E" w:rsidRPr="009B401E" w:rsidRDefault="009B401E" w:rsidP="009B401E">
      <w:pPr>
        <w:jc w:val="center"/>
        <w:rPr>
          <w:rFonts w:ascii="Avenir Roman" w:hAnsi="Avenir Roman" w:cs="Arial"/>
          <w:b/>
          <w:lang w:val="en-GB" w:bidi="ar-EG"/>
        </w:rPr>
      </w:pPr>
    </w:p>
    <w:p w14:paraId="243D4A6F" w14:textId="77777777" w:rsidR="009B401E" w:rsidRPr="009B401E" w:rsidRDefault="009B401E" w:rsidP="009B401E">
      <w:pPr>
        <w:jc w:val="both"/>
        <w:rPr>
          <w:rFonts w:ascii="Avenir Roman" w:hAnsi="Avenir Roman" w:cs="Arial"/>
          <w:b/>
          <w:bCs/>
          <w:lang w:val="en-GB" w:bidi="ar-EG"/>
        </w:rPr>
      </w:pPr>
      <w:r w:rsidRPr="009B401E">
        <w:rPr>
          <w:rFonts w:ascii="Avenir Roman" w:hAnsi="Avenir Roman" w:cs="Arial"/>
          <w:b/>
          <w:bCs/>
          <w:lang w:val="en-GB" w:bidi="ar-EG"/>
        </w:rPr>
        <w:t xml:space="preserve">ABOUT THIS PAPER </w:t>
      </w:r>
    </w:p>
    <w:p w14:paraId="5E5D540C" w14:textId="77777777" w:rsidR="009B401E" w:rsidRPr="009B401E" w:rsidRDefault="009B401E" w:rsidP="009B401E">
      <w:pPr>
        <w:jc w:val="both"/>
        <w:rPr>
          <w:rFonts w:ascii="Avenir Roman" w:hAnsi="Avenir Roman" w:cs="Arial"/>
          <w:lang w:val="en-GB" w:bidi="ar-EG"/>
        </w:rPr>
      </w:pPr>
      <w:r w:rsidRPr="009B401E">
        <w:rPr>
          <w:rFonts w:ascii="Avenir Roman" w:hAnsi="Avenir Roman" w:cs="Arial"/>
          <w:lang w:val="en-GB" w:bidi="ar-EG"/>
        </w:rPr>
        <w:t xml:space="preserve">In this paper GANHRI sets out its views and provides suggestions on the Draft General Comment developed by the Committee on the Rights of Persons with Disabilities (CRPD) on the on the participation of persons with disabilities in the implementation and monitoring of the Convention. The paper is structured as follows: </w:t>
      </w:r>
    </w:p>
    <w:p w14:paraId="3D6E3464" w14:textId="77777777" w:rsidR="009B401E" w:rsidRPr="009B401E" w:rsidRDefault="009B401E" w:rsidP="009B401E">
      <w:pPr>
        <w:numPr>
          <w:ilvl w:val="0"/>
          <w:numId w:val="2"/>
        </w:numPr>
        <w:suppressAutoHyphens/>
        <w:spacing w:after="0"/>
        <w:jc w:val="both"/>
        <w:rPr>
          <w:rFonts w:ascii="Avenir Roman" w:hAnsi="Avenir Roman" w:cs="Arial"/>
          <w:lang w:val="en-GB" w:bidi="ar-EG"/>
        </w:rPr>
      </w:pPr>
      <w:r w:rsidRPr="009B401E">
        <w:rPr>
          <w:rFonts w:ascii="Avenir Roman" w:hAnsi="Avenir Roman" w:cs="Arial"/>
          <w:lang w:val="en-GB" w:bidi="ar-EG"/>
        </w:rPr>
        <w:t xml:space="preserve">Introduction  </w:t>
      </w:r>
    </w:p>
    <w:p w14:paraId="47DCA69C" w14:textId="77777777" w:rsidR="009B401E" w:rsidRPr="009B401E" w:rsidRDefault="009B401E" w:rsidP="009B401E">
      <w:pPr>
        <w:numPr>
          <w:ilvl w:val="0"/>
          <w:numId w:val="2"/>
        </w:numPr>
        <w:suppressAutoHyphens/>
        <w:spacing w:after="0"/>
        <w:jc w:val="both"/>
        <w:rPr>
          <w:rFonts w:ascii="Avenir Roman" w:hAnsi="Avenir Roman" w:cs="Arial"/>
          <w:lang w:val="en-GB" w:bidi="ar-EG"/>
        </w:rPr>
      </w:pPr>
      <w:r w:rsidRPr="009B401E">
        <w:rPr>
          <w:rFonts w:ascii="Avenir Roman" w:hAnsi="Avenir Roman" w:cs="Arial"/>
          <w:lang w:val="en-GB" w:bidi="ar-EG"/>
        </w:rPr>
        <w:t xml:space="preserve">GANHRI comments  </w:t>
      </w:r>
    </w:p>
    <w:p w14:paraId="76F0970B" w14:textId="77777777" w:rsidR="009B401E" w:rsidRPr="009B401E" w:rsidRDefault="009B401E" w:rsidP="009B401E">
      <w:pPr>
        <w:numPr>
          <w:ilvl w:val="0"/>
          <w:numId w:val="2"/>
        </w:numPr>
        <w:suppressAutoHyphens/>
        <w:spacing w:after="0"/>
        <w:jc w:val="both"/>
        <w:rPr>
          <w:rFonts w:ascii="Avenir Roman" w:hAnsi="Avenir Roman" w:cs="Arial"/>
          <w:lang w:val="en-GB" w:bidi="ar-EG"/>
        </w:rPr>
      </w:pPr>
      <w:r w:rsidRPr="009B401E">
        <w:rPr>
          <w:rFonts w:ascii="Avenir Roman" w:hAnsi="Avenir Roman" w:cs="Arial"/>
          <w:lang w:val="en-GB" w:bidi="ar-EG"/>
        </w:rPr>
        <w:t xml:space="preserve">Conclusion </w:t>
      </w:r>
    </w:p>
    <w:p w14:paraId="06DF822D" w14:textId="77777777" w:rsidR="009B401E" w:rsidRPr="009B401E" w:rsidRDefault="009B401E" w:rsidP="009B401E">
      <w:pPr>
        <w:numPr>
          <w:ilvl w:val="0"/>
          <w:numId w:val="2"/>
        </w:numPr>
        <w:suppressAutoHyphens/>
        <w:spacing w:after="0"/>
        <w:jc w:val="both"/>
        <w:rPr>
          <w:rFonts w:ascii="Avenir Roman" w:hAnsi="Avenir Roman" w:cs="Arial"/>
          <w:lang w:val="en-GB" w:bidi="ar-EG"/>
        </w:rPr>
      </w:pPr>
      <w:r w:rsidRPr="009B401E">
        <w:rPr>
          <w:rFonts w:ascii="Avenir Roman" w:hAnsi="Avenir Roman" w:cs="Arial"/>
          <w:lang w:val="en-GB" w:bidi="ar-EG"/>
        </w:rPr>
        <w:t xml:space="preserve">Summary of suggestions </w:t>
      </w:r>
    </w:p>
    <w:p w14:paraId="3B54057F" w14:textId="33B49E4B" w:rsidR="009B401E" w:rsidRPr="009B401E" w:rsidRDefault="009B401E" w:rsidP="009B401E">
      <w:pPr>
        <w:jc w:val="center"/>
        <w:rPr>
          <w:rFonts w:ascii="Avenir Roman" w:hAnsi="Avenir Roman" w:cs="Arial"/>
          <w:b/>
          <w:lang w:val="en-GB" w:bidi="ar-EG"/>
        </w:rPr>
      </w:pPr>
    </w:p>
    <w:p w14:paraId="2163AC3C" w14:textId="77777777" w:rsidR="009B401E" w:rsidRPr="009B401E" w:rsidRDefault="009B401E" w:rsidP="009B401E">
      <w:pPr>
        <w:rPr>
          <w:rFonts w:ascii="Avenir Roman" w:hAnsi="Avenir Roman" w:cs="Arial"/>
          <w:b/>
          <w:lang w:val="en-GB" w:bidi="ar-EG"/>
        </w:rPr>
      </w:pPr>
      <w:r w:rsidRPr="009B401E">
        <w:rPr>
          <w:rFonts w:ascii="Avenir Roman" w:hAnsi="Avenir Roman" w:cs="Arial"/>
          <w:b/>
          <w:lang w:val="en-GB" w:bidi="ar-EG"/>
        </w:rPr>
        <w:t>FURTHER INFORMATION</w:t>
      </w:r>
    </w:p>
    <w:p w14:paraId="07D33E23" w14:textId="77777777" w:rsidR="009B401E" w:rsidRPr="009B401E" w:rsidRDefault="009B401E" w:rsidP="009B401E">
      <w:pPr>
        <w:jc w:val="both"/>
        <w:rPr>
          <w:rFonts w:ascii="Avenir Roman" w:hAnsi="Avenir Roman" w:cs="Arial"/>
          <w:b/>
          <w:lang w:val="en-GB" w:bidi="ar-EG"/>
        </w:rPr>
      </w:pPr>
      <w:r w:rsidRPr="009B401E">
        <w:rPr>
          <w:rFonts w:ascii="Avenir Roman" w:hAnsi="Avenir Roman" w:cs="Arial"/>
          <w:bCs/>
          <w:lang w:val="en-GB" w:bidi="ar-EG"/>
        </w:rPr>
        <w:t>For further information about GANHRI or this paper please contact: Katharina Rose GANHRI Geneva Representative at</w:t>
      </w:r>
      <w:r w:rsidRPr="009B401E">
        <w:rPr>
          <w:rFonts w:ascii="Avenir Roman" w:hAnsi="Avenir Roman" w:cs="Arial"/>
          <w:b/>
          <w:lang w:val="en-GB" w:bidi="ar-EG"/>
        </w:rPr>
        <w:t xml:space="preserve"> </w:t>
      </w:r>
      <w:r w:rsidRPr="009B401E">
        <w:rPr>
          <w:rFonts w:ascii="Avenir Roman" w:hAnsi="Avenir Roman" w:cs="Arial"/>
          <w:lang w:val="en-GB" w:bidi="ar-EG"/>
        </w:rPr>
        <w:t>k.rose@ganhri.org</w:t>
      </w:r>
      <w:r w:rsidRPr="009B401E">
        <w:rPr>
          <w:rFonts w:ascii="Avenir Roman" w:hAnsi="Avenir Roman" w:cs="Arial"/>
          <w:b/>
          <w:lang w:val="en-GB" w:bidi="ar-EG"/>
        </w:rPr>
        <w:t xml:space="preserve"> </w:t>
      </w:r>
      <w:r w:rsidRPr="009B401E">
        <w:rPr>
          <w:rFonts w:ascii="Avenir Roman" w:hAnsi="Avenir Roman" w:cs="Arial"/>
          <w:bCs/>
          <w:lang w:val="en-GB" w:bidi="ar-EG"/>
        </w:rPr>
        <w:t>or visit</w:t>
      </w:r>
      <w:r w:rsidRPr="009B401E">
        <w:rPr>
          <w:rFonts w:ascii="Avenir Roman" w:hAnsi="Avenir Roman" w:cs="Arial"/>
          <w:b/>
          <w:lang w:val="en-GB" w:bidi="ar-EG"/>
        </w:rPr>
        <w:t xml:space="preserve"> </w:t>
      </w:r>
      <w:hyperlink r:id="rId8" w:history="1">
        <w:r w:rsidRPr="009B401E">
          <w:rPr>
            <w:rStyle w:val="Hyperlink"/>
            <w:rFonts w:ascii="Avenir Roman" w:hAnsi="Avenir Roman" w:cs="Arial"/>
            <w:lang w:val="en-GB" w:bidi="ar-EG"/>
          </w:rPr>
          <w:t>http://nhri.ohchr.org/</w:t>
        </w:r>
      </w:hyperlink>
      <w:r w:rsidRPr="009B401E">
        <w:rPr>
          <w:rFonts w:ascii="Avenir Roman" w:hAnsi="Avenir Roman" w:cs="Arial"/>
          <w:b/>
          <w:lang w:val="en-GB" w:bidi="ar-EG"/>
        </w:rPr>
        <w:t xml:space="preserve">. </w:t>
      </w:r>
    </w:p>
    <w:p w14:paraId="4E036B01" w14:textId="3A00F19A" w:rsidR="009B401E" w:rsidRDefault="009B401E" w:rsidP="009B401E">
      <w:pPr>
        <w:jc w:val="both"/>
        <w:rPr>
          <w:rFonts w:ascii="Avenir Roman" w:hAnsi="Avenir Roman" w:cs="Arial"/>
          <w:b/>
          <w:lang w:val="en-GB" w:bidi="ar-EG"/>
        </w:rPr>
      </w:pPr>
    </w:p>
    <w:p w14:paraId="51418400" w14:textId="5971D2C8" w:rsidR="005B5581" w:rsidRDefault="005B5581" w:rsidP="009B401E">
      <w:pPr>
        <w:jc w:val="both"/>
        <w:rPr>
          <w:rFonts w:ascii="Avenir Roman" w:hAnsi="Avenir Roman" w:cs="Arial"/>
          <w:b/>
          <w:lang w:val="en-GB" w:bidi="ar-EG"/>
        </w:rPr>
      </w:pPr>
    </w:p>
    <w:p w14:paraId="742CD83B" w14:textId="295B9F85" w:rsidR="009B401E" w:rsidRPr="009B401E" w:rsidRDefault="009B401E" w:rsidP="009B401E">
      <w:pPr>
        <w:rPr>
          <w:rFonts w:ascii="Avenir Roman" w:hAnsi="Avenir Roman" w:cs="Arial"/>
          <w:b/>
          <w:lang w:val="en-GB" w:bidi="ar-E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646"/>
      </w:tblGrid>
      <w:tr w:rsidR="009B401E" w:rsidRPr="009B401E" w14:paraId="2A10B8F2" w14:textId="77777777" w:rsidTr="00071C36">
        <w:tc>
          <w:tcPr>
            <w:tcW w:w="8646" w:type="dxa"/>
            <w:tcBorders>
              <w:top w:val="single" w:sz="1" w:space="0" w:color="000000"/>
              <w:left w:val="single" w:sz="1" w:space="0" w:color="000000"/>
              <w:bottom w:val="single" w:sz="1" w:space="0" w:color="000000"/>
              <w:right w:val="single" w:sz="1" w:space="0" w:color="000000"/>
            </w:tcBorders>
            <w:shd w:val="clear" w:color="auto" w:fill="auto"/>
          </w:tcPr>
          <w:p w14:paraId="77704B96" w14:textId="77777777" w:rsidR="009B401E" w:rsidRPr="009B401E" w:rsidRDefault="009B401E" w:rsidP="00071C36">
            <w:pPr>
              <w:snapToGrid w:val="0"/>
              <w:rPr>
                <w:rFonts w:ascii="Avenir Roman" w:hAnsi="Avenir Roman" w:cs="Arial"/>
                <w:b/>
                <w:lang w:val="en-GB" w:bidi="ar-EG"/>
              </w:rPr>
            </w:pPr>
            <w:r w:rsidRPr="009B401E">
              <w:rPr>
                <w:rFonts w:ascii="Avenir Roman" w:hAnsi="Avenir Roman" w:cs="Arial"/>
                <w:b/>
                <w:lang w:val="en-GB" w:bidi="ar-EG"/>
              </w:rPr>
              <w:t xml:space="preserve">Introduction </w:t>
            </w:r>
          </w:p>
        </w:tc>
      </w:tr>
    </w:tbl>
    <w:p w14:paraId="5E93F4B4" w14:textId="77777777" w:rsidR="009B401E" w:rsidRPr="009B401E" w:rsidRDefault="009B401E" w:rsidP="009B401E">
      <w:pPr>
        <w:rPr>
          <w:rFonts w:ascii="Avenir Roman" w:hAnsi="Avenir Roman" w:cs="Arial"/>
          <w:b/>
          <w:lang w:val="en-GB" w:bidi="ar-EG"/>
        </w:rPr>
      </w:pPr>
    </w:p>
    <w:p w14:paraId="6D1F8098"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The Global Alliance of National Human Rights Institutions (‘GANHRI’) welcomes the opportunity to provide the United Nations Committee on the Rights of Persons with Disabilities (‘the Committee’) with comments on the Committee’s Draft General Comment No 7 on the participation of persons with disabilities in the implementation and monitoring of the Convention (‘the General Comment’). The present comments were consulted among the GANHRI member institutions, many of whom fulfil the role of national monitoring mechanism for the Convention on the Rights of Persons with Disabilities (‘the Convention’).</w:t>
      </w:r>
    </w:p>
    <w:p w14:paraId="6C9533F0"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32F66D9B"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GANHRI acknowledges the long-standing and productive cooperation among the Committee, GANHRI and National Human Rights Institutions (‘NHRIs’) and recognises the significant and complementary role of NHRIs and the Committee in promoting and protecting the rights of persons with disabilities. As independent state bodies with a legal or constitutional mandate to promote and protect human rights, NHRIs monitor their state’s compliance with their human rights obligations, identify problems, and provide advice to Government and Parliament on implementing human rights domestically.</w:t>
      </w:r>
    </w:p>
    <w:p w14:paraId="32D7B10C" w14:textId="77777777" w:rsidR="009B401E" w:rsidRPr="009B401E" w:rsidRDefault="009B401E" w:rsidP="009B401E">
      <w:pPr>
        <w:pStyle w:val="FarbigeListe-Akzent11"/>
        <w:tabs>
          <w:tab w:val="left" w:pos="142"/>
        </w:tabs>
        <w:spacing w:line="276" w:lineRule="auto"/>
        <w:ind w:left="567" w:hanging="567"/>
        <w:jc w:val="both"/>
        <w:rPr>
          <w:rFonts w:ascii="Avenir Roman" w:hAnsi="Avenir Roman" w:cs="Arial"/>
          <w:sz w:val="22"/>
          <w:szCs w:val="22"/>
          <w:lang w:val="en-GB" w:bidi="ar-EG"/>
        </w:rPr>
      </w:pPr>
    </w:p>
    <w:p w14:paraId="17AFD5C1"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GANHRI strongly supports the adoption of the General Comment. It sets out a framework that strengthens and reinforces the crucial role that Disabled Peoples Organisations (‘DPOs’) have in enabling the participation of people with disabilities in the various mechanisms and processes that State Parties utilise in their monitoring and implementation of the Convention.</w:t>
      </w:r>
    </w:p>
    <w:p w14:paraId="4FA81006" w14:textId="77777777" w:rsidR="009B401E" w:rsidRPr="009B401E" w:rsidRDefault="009B401E" w:rsidP="009B401E">
      <w:pPr>
        <w:pStyle w:val="FarbigeListe-Akzent11"/>
        <w:spacing w:line="276" w:lineRule="auto"/>
        <w:jc w:val="both"/>
        <w:rPr>
          <w:rFonts w:ascii="Avenir Roman" w:hAnsi="Avenir Roman" w:cs="Arial"/>
          <w:sz w:val="22"/>
          <w:szCs w:val="22"/>
          <w:lang w:val="en-GB" w:bidi="ar-EG"/>
        </w:rPr>
      </w:pPr>
    </w:p>
    <w:p w14:paraId="7D7B97E2"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In addition, the General Comment will also reinforce NHRI advocacy aimed at promoting and advancing the participation of DPOs, representative organisations and individuals with disabilities, in the policies, processes and practices that engage the duties and obligations of States Parties under the Convention.</w:t>
      </w:r>
    </w:p>
    <w:p w14:paraId="5CC8C065" w14:textId="49B732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1C89B8DD" w14:textId="77777777" w:rsidR="009B401E" w:rsidRDefault="009B401E" w:rsidP="009B401E">
      <w:pPr>
        <w:pStyle w:val="FarbigeListe-Akzent11"/>
        <w:tabs>
          <w:tab w:val="left" w:pos="142"/>
        </w:tabs>
        <w:spacing w:line="276" w:lineRule="auto"/>
        <w:ind w:left="567" w:hanging="567"/>
        <w:jc w:val="both"/>
        <w:rPr>
          <w:rFonts w:ascii="Avenir Roman" w:hAnsi="Avenir Roman" w:cs="Arial"/>
          <w:sz w:val="22"/>
          <w:szCs w:val="22"/>
          <w:lang w:val="en-GB" w:bidi="ar-EG"/>
        </w:rPr>
      </w:pPr>
      <w:bookmarkStart w:id="1" w:name="_Ref453195736"/>
      <w:r w:rsidRPr="009B401E">
        <w:rPr>
          <w:rFonts w:ascii="Avenir Roman" w:hAnsi="Avenir Roman" w:cs="Arial"/>
          <w:sz w:val="22"/>
          <w:szCs w:val="22"/>
          <w:lang w:val="en-GB" w:bidi="ar-EG"/>
        </w:rPr>
        <w:t>GANHRI sets out its detailed comments and specific suggestions below.</w:t>
      </w:r>
      <w:bookmarkEnd w:id="1"/>
    </w:p>
    <w:p w14:paraId="6A85A56A"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2427B704" w14:textId="77777777" w:rsid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22A4D053" w14:textId="77777777" w:rsid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27D8B8A6" w14:textId="77777777" w:rsid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4030907F" w14:textId="56A712C3" w:rsid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6287ACB6" w14:textId="77777777" w:rsidR="005B5581" w:rsidRDefault="005B5581" w:rsidP="009B401E">
      <w:pPr>
        <w:pStyle w:val="FarbigeListe-Akzent11"/>
        <w:tabs>
          <w:tab w:val="left" w:pos="142"/>
        </w:tabs>
        <w:spacing w:line="276" w:lineRule="auto"/>
        <w:ind w:left="0"/>
        <w:jc w:val="both"/>
        <w:rPr>
          <w:rFonts w:ascii="Avenir Roman" w:hAnsi="Avenir Roman" w:cs="Arial"/>
          <w:sz w:val="22"/>
          <w:szCs w:val="22"/>
          <w:lang w:val="en-GB" w:bidi="ar-EG"/>
        </w:rPr>
      </w:pPr>
    </w:p>
    <w:p w14:paraId="222429F6"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646"/>
      </w:tblGrid>
      <w:tr w:rsidR="009B401E" w:rsidRPr="009B401E" w14:paraId="713D19DC" w14:textId="77777777" w:rsidTr="00071C36">
        <w:tc>
          <w:tcPr>
            <w:tcW w:w="8646" w:type="dxa"/>
            <w:tcBorders>
              <w:top w:val="single" w:sz="1" w:space="0" w:color="000000"/>
              <w:left w:val="single" w:sz="1" w:space="0" w:color="000000"/>
              <w:bottom w:val="single" w:sz="1" w:space="0" w:color="000000"/>
              <w:right w:val="single" w:sz="1" w:space="0" w:color="000000"/>
            </w:tcBorders>
            <w:shd w:val="clear" w:color="auto" w:fill="auto"/>
          </w:tcPr>
          <w:p w14:paraId="606A8354" w14:textId="77777777" w:rsidR="009B401E" w:rsidRPr="009B401E" w:rsidRDefault="009B401E" w:rsidP="00071C36">
            <w:pPr>
              <w:pStyle w:val="FarbigeListe-Akzent11"/>
              <w:tabs>
                <w:tab w:val="left" w:pos="142"/>
              </w:tabs>
              <w:snapToGrid w:val="0"/>
              <w:spacing w:line="276" w:lineRule="auto"/>
              <w:ind w:left="0"/>
              <w:jc w:val="both"/>
              <w:rPr>
                <w:rFonts w:ascii="Avenir Roman" w:hAnsi="Avenir Roman" w:cs="Arial"/>
                <w:b/>
                <w:sz w:val="22"/>
                <w:szCs w:val="22"/>
                <w:lang w:val="en-GB" w:bidi="ar-EG"/>
              </w:rPr>
            </w:pPr>
            <w:r w:rsidRPr="009B401E">
              <w:rPr>
                <w:rFonts w:ascii="Avenir Roman" w:hAnsi="Avenir Roman" w:cs="Arial"/>
                <w:b/>
                <w:sz w:val="22"/>
                <w:szCs w:val="22"/>
                <w:lang w:val="en-GB" w:bidi="ar-EG"/>
              </w:rPr>
              <w:t>GANHRI Comments</w:t>
            </w:r>
          </w:p>
        </w:tc>
      </w:tr>
    </w:tbl>
    <w:p w14:paraId="5015FFC9" w14:textId="77777777" w:rsidR="009B401E" w:rsidRPr="009B401E" w:rsidRDefault="009B401E" w:rsidP="009B401E">
      <w:pPr>
        <w:tabs>
          <w:tab w:val="left" w:pos="142"/>
        </w:tabs>
        <w:ind w:hanging="360"/>
        <w:jc w:val="both"/>
        <w:rPr>
          <w:rFonts w:ascii="Avenir Roman" w:hAnsi="Avenir Roman" w:cs="Arial"/>
          <w:lang w:val="en-GB" w:bidi="ar-EG"/>
        </w:rPr>
      </w:pPr>
    </w:p>
    <w:p w14:paraId="7702AD64" w14:textId="77777777" w:rsidR="009B401E" w:rsidRPr="009B401E" w:rsidRDefault="009B401E" w:rsidP="009B401E">
      <w:pPr>
        <w:tabs>
          <w:tab w:val="left" w:pos="142"/>
        </w:tabs>
        <w:jc w:val="both"/>
        <w:rPr>
          <w:rFonts w:ascii="Avenir Roman" w:hAnsi="Avenir Roman" w:cs="Arial"/>
          <w:lang w:val="en-GB" w:bidi="ar-EG"/>
        </w:rPr>
      </w:pPr>
      <w:r w:rsidRPr="009B401E">
        <w:rPr>
          <w:rFonts w:ascii="Avenir Roman" w:hAnsi="Avenir Roman" w:cs="Arial"/>
          <w:u w:val="single"/>
          <w:lang w:val="en-GB" w:bidi="ar-EG"/>
        </w:rPr>
        <w:t xml:space="preserve">Title and Introduction of the General Comment </w:t>
      </w:r>
    </w:p>
    <w:p w14:paraId="3CC2BA55"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Read together, the scope of Article 4.3 and 33.3 applies beyond the mechanics of Convention monitoring and implementation. While Article 33.3 specifically relates to monitoring, the participation principle under Article 4.3 covers:</w:t>
      </w:r>
    </w:p>
    <w:p w14:paraId="15732307"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7D137657"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The development and implementation of legislation and policies to implement the Convention; and</w:t>
      </w:r>
    </w:p>
    <w:p w14:paraId="6EAFEDA6"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Other decision-making processes concerning issues relating to persons with disabilities.</w:t>
      </w:r>
    </w:p>
    <w:p w14:paraId="6E3CF7DB" w14:textId="77777777" w:rsidR="009B401E" w:rsidRPr="009B401E" w:rsidRDefault="009B401E" w:rsidP="009B401E">
      <w:pPr>
        <w:pStyle w:val="FarbigeListe-Akzent11"/>
        <w:tabs>
          <w:tab w:val="left" w:pos="142"/>
        </w:tabs>
        <w:spacing w:line="276" w:lineRule="auto"/>
        <w:ind w:left="1440"/>
        <w:jc w:val="both"/>
        <w:rPr>
          <w:rFonts w:ascii="Avenir Roman" w:hAnsi="Avenir Roman" w:cs="Arial"/>
          <w:sz w:val="22"/>
          <w:szCs w:val="22"/>
          <w:lang w:val="en-GB" w:bidi="ar-EG"/>
        </w:rPr>
      </w:pPr>
    </w:p>
    <w:p w14:paraId="33FD84D2"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It is notable that the term “implementation” referred to in the first limb of Article 4.3 is connected specifically to the legislative and policy process of government and does not appear intended as a term to cover all forms of decision-making activity.</w:t>
      </w:r>
    </w:p>
    <w:p w14:paraId="1FDD344C"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042C1072"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By contrast, the second limb of Article 4.3 is not limited to any specific practice, policy of function of government. On its face, it appears to apply to all decision-making processes that are vested directly, or indirectly, under the delegated authority of the government of the State Party. This includes administrative procedures, practices and services provided by government, non-government and business organisations on behalf the State Party and judicial and quasi-judicial entities. </w:t>
      </w:r>
    </w:p>
    <w:p w14:paraId="297F87CF"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1C89D1FD"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The broad scope of Article 4.3 is reflected in Part IV of the General Comment which considers its application across the various sectors covered by the articles of the Convention, such as those that regard employment, education, justice, social security and health. Each sector has its own specific policy, practice and services framework governed by a variety of decision-making procedures and institutions.</w:t>
      </w:r>
    </w:p>
    <w:p w14:paraId="6E499CD1"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911E9D3"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Accordingly, in order to best reflect the scope of Article 4.3,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title of the General Comment is amended to include reference to “other decision-making processes”. An example is set out below:</w:t>
      </w:r>
    </w:p>
    <w:p w14:paraId="5F440CB5"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50A8596A"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b/>
          <w:i/>
          <w:sz w:val="22"/>
          <w:szCs w:val="22"/>
          <w:lang w:val="en-GB" w:bidi="ar-EG"/>
        </w:rPr>
      </w:pPr>
      <w:r w:rsidRPr="009B401E">
        <w:rPr>
          <w:rFonts w:ascii="Avenir Roman" w:hAnsi="Avenir Roman" w:cs="Arial"/>
          <w:i/>
          <w:sz w:val="22"/>
          <w:szCs w:val="22"/>
          <w:lang w:val="en-GB" w:bidi="ar-EG"/>
        </w:rPr>
        <w:t>General Comment on articles 4.3 and 33.3 of the Convention on the Rights of Persons with Disabilities on the participation of</w:t>
      </w:r>
      <w:r w:rsidRPr="009B401E">
        <w:rPr>
          <w:rStyle w:val="FootnoteReference"/>
          <w:rFonts w:ascii="Avenir Roman" w:hAnsi="Avenir Roman" w:cs="Arial"/>
          <w:i/>
          <w:sz w:val="22"/>
          <w:szCs w:val="22"/>
          <w:lang w:val="en-GB" w:bidi="ar-EG"/>
        </w:rPr>
        <w:footnoteReference w:id="1"/>
      </w:r>
      <w:r w:rsidRPr="009B401E">
        <w:rPr>
          <w:rFonts w:ascii="Avenir Roman" w:hAnsi="Avenir Roman" w:cs="Arial"/>
          <w:i/>
          <w:sz w:val="22"/>
          <w:szCs w:val="22"/>
          <w:lang w:val="en-GB" w:bidi="ar-EG"/>
        </w:rPr>
        <w:t xml:space="preserve"> persons with disabilities in the implementation </w:t>
      </w:r>
      <w:r w:rsidRPr="009B401E">
        <w:rPr>
          <w:rFonts w:ascii="Avenir Roman" w:hAnsi="Avenir Roman" w:cs="Arial"/>
          <w:i/>
          <w:sz w:val="22"/>
          <w:szCs w:val="22"/>
          <w:lang w:val="en-GB" w:bidi="ar-EG"/>
        </w:rPr>
        <w:lastRenderedPageBreak/>
        <w:t xml:space="preserve">and monitoring of the Convention </w:t>
      </w:r>
      <w:r w:rsidRPr="009B401E">
        <w:rPr>
          <w:rFonts w:ascii="Avenir Roman" w:hAnsi="Avenir Roman" w:cs="Arial"/>
          <w:b/>
          <w:i/>
          <w:sz w:val="22"/>
          <w:szCs w:val="22"/>
          <w:lang w:val="en-GB" w:bidi="ar-EG"/>
        </w:rPr>
        <w:t>and other decision-making processes relating to them.</w:t>
      </w:r>
    </w:p>
    <w:p w14:paraId="657B134B" w14:textId="77777777" w:rsidR="009B401E" w:rsidRPr="009B401E" w:rsidRDefault="009B401E" w:rsidP="009B401E">
      <w:pPr>
        <w:pStyle w:val="FarbigeListe-Akzent11"/>
        <w:tabs>
          <w:tab w:val="left" w:pos="142"/>
        </w:tabs>
        <w:spacing w:line="276" w:lineRule="auto"/>
        <w:ind w:left="0"/>
        <w:jc w:val="both"/>
        <w:rPr>
          <w:rStyle w:val="Kommentarzeichen2"/>
          <w:rFonts w:ascii="Avenir Roman" w:hAnsi="Avenir Roman"/>
          <w:sz w:val="22"/>
          <w:szCs w:val="22"/>
          <w:lang w:val="en-GB" w:bidi="ar-EG"/>
        </w:rPr>
      </w:pPr>
    </w:p>
    <w:p w14:paraId="3DA011A4"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 xml:space="preserve">There is also a need for the General Comment to directly address the apparent limitations of Article 4.3. Unlike Article 33.3, Article 4.3 does not explicitly confer a right of individual participation. Instead, it only provides for participation through “representative organisations.” Accordingly, on its face, Article 4.3 is narrower than the right to participation as provided under the Universal Declaration of Human Rights (UDHR) and adapted in several human rights treaties, all of which confer the right to individuals. </w:t>
      </w:r>
    </w:p>
    <w:p w14:paraId="40D1A1E9" w14:textId="77777777" w:rsidR="009B401E" w:rsidRPr="009B401E" w:rsidRDefault="009B401E" w:rsidP="009B401E">
      <w:pPr>
        <w:pStyle w:val="ListParagraph"/>
        <w:spacing w:line="276" w:lineRule="auto"/>
        <w:rPr>
          <w:rStyle w:val="Kommentarzeichen2"/>
          <w:rFonts w:ascii="Avenir Roman" w:hAnsi="Avenir Roman"/>
          <w:sz w:val="22"/>
          <w:szCs w:val="22"/>
          <w:lang w:val="en-GB" w:bidi="ar-EG"/>
        </w:rPr>
      </w:pPr>
    </w:p>
    <w:p w14:paraId="453D3F9C"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The introduction to the General Comment makes two related observations of fundamental importance when considering this issue. Firstly, persons with disabilities, whether as individuals or as groups, experience exclusion from decision-making that affect them. Secondly, the purpose of Article 4.3 addresses this by placing an obligation on States Parties to enable participation through consulting with and actively involving persons with disabilities in such decision-making processes.</w:t>
      </w:r>
    </w:p>
    <w:p w14:paraId="59BE26F3" w14:textId="77777777" w:rsidR="009B401E" w:rsidRPr="009B401E" w:rsidRDefault="009B401E" w:rsidP="009B401E">
      <w:pPr>
        <w:pStyle w:val="ListParagraph"/>
        <w:spacing w:line="276" w:lineRule="auto"/>
        <w:rPr>
          <w:rStyle w:val="Kommentarzeichen2"/>
          <w:rFonts w:ascii="Avenir Roman" w:hAnsi="Avenir Roman"/>
          <w:sz w:val="22"/>
          <w:szCs w:val="22"/>
          <w:lang w:val="en-GB" w:bidi="ar-EG"/>
        </w:rPr>
      </w:pPr>
    </w:p>
    <w:p w14:paraId="6EE92BF7"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Taking into account the above, GANHRI considers that Article 4.3 should not read so as to restrict the enjoyment of participation rights to representative organisations only. Instead it should be read alongside the general principle conferred under Article 3 of the Convention of “full and effective participation and inclusion in society” and the broad right to participation as conferred under the UDHR and other human rights instruments.</w:t>
      </w:r>
    </w:p>
    <w:p w14:paraId="02488DF5" w14:textId="77777777" w:rsidR="009B401E" w:rsidRPr="009B401E" w:rsidRDefault="009B401E" w:rsidP="009B401E">
      <w:pPr>
        <w:pStyle w:val="ListParagraph"/>
        <w:spacing w:line="276" w:lineRule="auto"/>
        <w:rPr>
          <w:rStyle w:val="Kommentarzeichen2"/>
          <w:rFonts w:ascii="Avenir Roman" w:hAnsi="Avenir Roman"/>
          <w:sz w:val="22"/>
          <w:szCs w:val="22"/>
          <w:lang w:val="en-GB" w:bidi="ar-EG"/>
        </w:rPr>
      </w:pPr>
    </w:p>
    <w:p w14:paraId="347AA0C9"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 xml:space="preserve">GANHRI accordingly </w:t>
      </w:r>
      <w:r w:rsidRPr="009B401E">
        <w:rPr>
          <w:rStyle w:val="Kommentarzeichen2"/>
          <w:rFonts w:ascii="Avenir Roman" w:hAnsi="Avenir Roman"/>
          <w:b/>
          <w:sz w:val="22"/>
          <w:szCs w:val="22"/>
          <w:u w:val="single"/>
          <w:lang w:val="en-GB" w:bidi="ar-EG"/>
        </w:rPr>
        <w:t>suggests</w:t>
      </w:r>
      <w:r w:rsidRPr="009B401E">
        <w:rPr>
          <w:rStyle w:val="Kommentarzeichen2"/>
          <w:rFonts w:ascii="Avenir Roman" w:hAnsi="Avenir Roman"/>
          <w:sz w:val="22"/>
          <w:szCs w:val="22"/>
          <w:lang w:val="en-GB" w:bidi="ar-EG"/>
        </w:rPr>
        <w:t xml:space="preserve"> that the General Comment clearly state that Article 4.3 should not be interpreted as in any way limiting the right of individual persons with disabilities to participate in implementation or decision-making processes. </w:t>
      </w:r>
    </w:p>
    <w:p w14:paraId="5F76FC03" w14:textId="77777777" w:rsidR="009B401E" w:rsidRPr="009B401E" w:rsidRDefault="009B401E" w:rsidP="009B401E">
      <w:pPr>
        <w:pStyle w:val="ListParagraph"/>
        <w:spacing w:line="276" w:lineRule="auto"/>
        <w:ind w:left="0"/>
        <w:rPr>
          <w:rStyle w:val="Kommentarzeichen2"/>
          <w:rFonts w:ascii="Avenir Roman" w:hAnsi="Avenir Roman"/>
          <w:sz w:val="22"/>
          <w:szCs w:val="22"/>
          <w:lang w:val="en-GB" w:bidi="ar-EG"/>
        </w:rPr>
      </w:pPr>
    </w:p>
    <w:p w14:paraId="72AEEA62"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t>General observation on content and format</w:t>
      </w:r>
    </w:p>
    <w:p w14:paraId="3B62B600" w14:textId="77777777" w:rsidR="009B401E" w:rsidRPr="009B401E" w:rsidRDefault="009B401E" w:rsidP="009B401E">
      <w:pPr>
        <w:pStyle w:val="FarbigeListe-Akzent11"/>
        <w:tabs>
          <w:tab w:val="left" w:pos="142"/>
        </w:tabs>
        <w:spacing w:line="276" w:lineRule="auto"/>
        <w:ind w:left="0"/>
        <w:jc w:val="both"/>
        <w:rPr>
          <w:rStyle w:val="Kommentarzeichen2"/>
          <w:rFonts w:ascii="Avenir Roman" w:hAnsi="Avenir Roman"/>
          <w:sz w:val="22"/>
          <w:szCs w:val="22"/>
          <w:lang w:val="en-GB" w:bidi="ar-EG"/>
        </w:rPr>
      </w:pPr>
    </w:p>
    <w:p w14:paraId="54ECF657"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GANHRI notes that while the current version of the draft published on the Committee’s website is extensive, aspects of it appear very much to be a work in progress. For example, the content of some paragraphs is framed in brackets</w:t>
      </w:r>
      <w:r w:rsidRPr="009B401E">
        <w:rPr>
          <w:rStyle w:val="FootnoteReference"/>
          <w:rFonts w:ascii="Avenir Roman" w:hAnsi="Avenir Roman" w:cs="Arial"/>
          <w:sz w:val="22"/>
          <w:szCs w:val="22"/>
          <w:lang w:val="en-GB" w:bidi="ar-EG"/>
        </w:rPr>
        <w:footnoteReference w:id="2"/>
      </w:r>
      <w:r w:rsidRPr="009B401E">
        <w:rPr>
          <w:rStyle w:val="Kommentarzeichen2"/>
          <w:rFonts w:ascii="Avenir Roman" w:hAnsi="Avenir Roman"/>
          <w:sz w:val="22"/>
          <w:szCs w:val="22"/>
          <w:lang w:val="en-GB" w:bidi="ar-EG"/>
        </w:rPr>
        <w:t>, suggesting that the content therein is provisional or perhaps contentious.</w:t>
      </w:r>
    </w:p>
    <w:p w14:paraId="21B3475E" w14:textId="77777777" w:rsidR="009B401E" w:rsidRPr="009B401E" w:rsidRDefault="009B401E" w:rsidP="009B401E">
      <w:pPr>
        <w:pStyle w:val="FarbigeListe-Akzent11"/>
        <w:tabs>
          <w:tab w:val="left" w:pos="142"/>
        </w:tabs>
        <w:spacing w:line="276" w:lineRule="auto"/>
        <w:ind w:left="567"/>
        <w:jc w:val="both"/>
        <w:rPr>
          <w:rStyle w:val="Kommentarzeichen2"/>
          <w:rFonts w:ascii="Avenir Roman" w:hAnsi="Avenir Roman"/>
          <w:sz w:val="22"/>
          <w:szCs w:val="22"/>
          <w:lang w:val="en-GB" w:bidi="ar-EG"/>
        </w:rPr>
      </w:pPr>
    </w:p>
    <w:p w14:paraId="75C599DE"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lastRenderedPageBreak/>
        <w:t xml:space="preserve">GANHRI therefore </w:t>
      </w:r>
      <w:r w:rsidRPr="009B401E">
        <w:rPr>
          <w:rStyle w:val="Kommentarzeichen2"/>
          <w:rFonts w:ascii="Avenir Roman" w:hAnsi="Avenir Roman"/>
          <w:b/>
          <w:sz w:val="22"/>
          <w:szCs w:val="22"/>
          <w:u w:val="single"/>
          <w:lang w:val="en-GB" w:bidi="ar-EG"/>
        </w:rPr>
        <w:t>suggests</w:t>
      </w:r>
      <w:r w:rsidRPr="009B401E">
        <w:rPr>
          <w:rStyle w:val="Kommentarzeichen2"/>
          <w:rFonts w:ascii="Avenir Roman" w:hAnsi="Avenir Roman"/>
          <w:sz w:val="22"/>
          <w:szCs w:val="22"/>
          <w:lang w:val="en-GB" w:bidi="ar-EG"/>
        </w:rPr>
        <w:t xml:space="preserve"> that both the content and format of the General Comment would benefit from further editing so to ensure that the Committee’s jurisprudential positions are readily identifiable, concise and clearly defined.</w:t>
      </w:r>
    </w:p>
    <w:p w14:paraId="38ACC6BF" w14:textId="77777777" w:rsidR="009B401E" w:rsidRPr="009B401E" w:rsidRDefault="009B401E" w:rsidP="009B401E">
      <w:pPr>
        <w:pStyle w:val="ListParagraph"/>
        <w:spacing w:line="276" w:lineRule="auto"/>
        <w:rPr>
          <w:rStyle w:val="Kommentarzeichen2"/>
          <w:rFonts w:ascii="Avenir Roman" w:hAnsi="Avenir Roman"/>
          <w:sz w:val="22"/>
          <w:szCs w:val="22"/>
          <w:lang w:val="en-GB" w:bidi="ar-EG"/>
        </w:rPr>
      </w:pPr>
    </w:p>
    <w:p w14:paraId="575152D8"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Furthermore, care and precision should also be exercised to ensure that the terminology used conforms with human rights jurisprudence. For example, terms such as “full-fledged right”</w:t>
      </w:r>
      <w:r w:rsidRPr="009B401E">
        <w:rPr>
          <w:rStyle w:val="FootnoteReference"/>
          <w:rFonts w:ascii="Avenir Roman" w:hAnsi="Avenir Roman" w:cs="Arial"/>
          <w:sz w:val="22"/>
          <w:szCs w:val="22"/>
          <w:lang w:val="en-GB" w:bidi="ar-EG"/>
        </w:rPr>
        <w:footnoteReference w:id="3"/>
      </w:r>
      <w:r w:rsidRPr="009B401E">
        <w:rPr>
          <w:rStyle w:val="Kommentarzeichen2"/>
          <w:rFonts w:ascii="Avenir Roman" w:hAnsi="Avenir Roman"/>
          <w:sz w:val="22"/>
          <w:szCs w:val="22"/>
          <w:lang w:val="en-GB" w:bidi="ar-EG"/>
        </w:rPr>
        <w:t xml:space="preserve"> or “full-fledged strong obligation”</w:t>
      </w:r>
      <w:r w:rsidRPr="009B401E">
        <w:rPr>
          <w:rStyle w:val="FootnoteReference"/>
          <w:rFonts w:ascii="Avenir Roman" w:hAnsi="Avenir Roman" w:cs="Arial"/>
          <w:sz w:val="22"/>
          <w:szCs w:val="22"/>
          <w:lang w:val="en-GB" w:bidi="ar-EG"/>
        </w:rPr>
        <w:footnoteReference w:id="4"/>
      </w:r>
      <w:r w:rsidRPr="009B401E">
        <w:rPr>
          <w:rStyle w:val="Kommentarzeichen2"/>
          <w:rFonts w:ascii="Avenir Roman" w:hAnsi="Avenir Roman"/>
          <w:sz w:val="22"/>
          <w:szCs w:val="22"/>
          <w:lang w:val="en-GB" w:bidi="ar-EG"/>
        </w:rPr>
        <w:t xml:space="preserve"> should be avoided. </w:t>
      </w:r>
      <w:r w:rsidRPr="009B401E">
        <w:rPr>
          <w:rFonts w:ascii="Avenir Roman" w:hAnsi="Avenir Roman" w:cs="Arial"/>
          <w:sz w:val="22"/>
          <w:szCs w:val="22"/>
          <w:lang w:val="en-GB" w:bidi="ar-EG"/>
        </w:rPr>
        <w:t>The structure and content of General Comment should also be reviewed to ensure that it effectively distinguishes between the respective legal purposes of Articles 4.3 and 33.3 as regards implementation and decision-making on the one hand, and monitoring on the other.</w:t>
      </w:r>
    </w:p>
    <w:p w14:paraId="65E410EB" w14:textId="77777777" w:rsidR="009B401E" w:rsidRPr="009B401E" w:rsidRDefault="009B401E" w:rsidP="009B401E">
      <w:pPr>
        <w:pStyle w:val="ListParagraph"/>
        <w:spacing w:line="276" w:lineRule="auto"/>
        <w:rPr>
          <w:rStyle w:val="Kommentarzeichen2"/>
          <w:rFonts w:ascii="Avenir Roman" w:hAnsi="Avenir Roman"/>
          <w:sz w:val="22"/>
          <w:szCs w:val="22"/>
          <w:lang w:val="en-GB" w:bidi="ar-EG"/>
        </w:rPr>
      </w:pPr>
    </w:p>
    <w:p w14:paraId="7969E926" w14:textId="77777777" w:rsidR="009B401E" w:rsidRPr="009B401E" w:rsidRDefault="009B401E" w:rsidP="009B401E">
      <w:pPr>
        <w:pStyle w:val="FarbigeListe-Akzent11"/>
        <w:numPr>
          <w:ilvl w:val="0"/>
          <w:numId w:val="1"/>
        </w:numPr>
        <w:tabs>
          <w:tab w:val="left" w:pos="142"/>
        </w:tabs>
        <w:spacing w:line="276" w:lineRule="auto"/>
        <w:ind w:left="567"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 xml:space="preserve">This will improve its effectiveness as a key point of reference for NHRIs, DPOs and others in their advocacy efforts aimed at promoting the full implementation of Articles 4.3 and 33.3 by States Parties. </w:t>
      </w:r>
    </w:p>
    <w:p w14:paraId="6F225894" w14:textId="77777777" w:rsidR="009B401E" w:rsidRPr="009B401E" w:rsidRDefault="009B401E" w:rsidP="009B401E">
      <w:pPr>
        <w:pStyle w:val="FarbigeListe-Akzent11"/>
        <w:tabs>
          <w:tab w:val="left" w:pos="142"/>
        </w:tabs>
        <w:spacing w:line="276" w:lineRule="auto"/>
        <w:ind w:left="0"/>
        <w:jc w:val="both"/>
        <w:rPr>
          <w:rStyle w:val="Kommentarzeichen2"/>
          <w:rFonts w:ascii="Avenir Roman" w:hAnsi="Avenir Roman"/>
          <w:sz w:val="22"/>
          <w:szCs w:val="22"/>
          <w:lang w:val="en-GB" w:bidi="ar-EG"/>
        </w:rPr>
      </w:pPr>
    </w:p>
    <w:p w14:paraId="13AD16B0" w14:textId="77777777" w:rsidR="009B401E" w:rsidRPr="009B401E" w:rsidRDefault="009B401E" w:rsidP="009B401E">
      <w:pPr>
        <w:tabs>
          <w:tab w:val="left" w:pos="142"/>
        </w:tabs>
        <w:jc w:val="both"/>
        <w:rPr>
          <w:rFonts w:ascii="Avenir Roman" w:hAnsi="Avenir Roman" w:cs="Arial"/>
          <w:u w:val="single"/>
          <w:lang w:val="en-GB" w:bidi="ar-EG"/>
        </w:rPr>
      </w:pPr>
      <w:r w:rsidRPr="009B401E">
        <w:rPr>
          <w:rFonts w:ascii="Avenir Roman" w:hAnsi="Avenir Roman" w:cs="Arial"/>
          <w:u w:val="single"/>
          <w:lang w:val="en-GB" w:bidi="ar-EG"/>
        </w:rPr>
        <w:t xml:space="preserve">The defining elements of “representative organisations” </w:t>
      </w:r>
    </w:p>
    <w:p w14:paraId="724C0738" w14:textId="77777777" w:rsidR="009B401E" w:rsidRPr="009B401E" w:rsidRDefault="009B401E" w:rsidP="009B401E">
      <w:pPr>
        <w:pStyle w:val="FarbigeListe-Akzent11"/>
        <w:spacing w:line="276" w:lineRule="auto"/>
        <w:jc w:val="both"/>
        <w:rPr>
          <w:rFonts w:ascii="Avenir Roman" w:hAnsi="Avenir Roman" w:cs="Arial"/>
          <w:sz w:val="22"/>
          <w:szCs w:val="22"/>
          <w:lang w:val="en-GB" w:bidi="ar-EG"/>
        </w:rPr>
      </w:pPr>
    </w:p>
    <w:p w14:paraId="69BDF2C4"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Section II (Paragraphs 13-16) of the General Comment is in many ways the cornerstone of the General Comment, as it defines the elements of what constitutes a “representative organisation” for the purposes of Article 4.3 and 33.3.</w:t>
      </w:r>
    </w:p>
    <w:p w14:paraId="37173A1F" w14:textId="77777777" w:rsidR="009B401E" w:rsidRPr="009B401E" w:rsidRDefault="009B401E" w:rsidP="009B401E">
      <w:pPr>
        <w:pStyle w:val="FarbigeListe-Akzent11"/>
        <w:spacing w:line="276" w:lineRule="auto"/>
        <w:jc w:val="both"/>
        <w:rPr>
          <w:rFonts w:ascii="Avenir Roman" w:hAnsi="Avenir Roman" w:cs="Arial"/>
          <w:sz w:val="22"/>
          <w:szCs w:val="22"/>
          <w:lang w:val="en-GB" w:bidi="ar-EG"/>
        </w:rPr>
      </w:pPr>
    </w:p>
    <w:p w14:paraId="111D86D7"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Article 4.3 establishes “representative organisations” as the entities responsible for facilitating the participation of people with disabilities in the Convention’s monitoring, implementation and other related decision-making processes. </w:t>
      </w:r>
    </w:p>
    <w:p w14:paraId="34CA95D6"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5AE30144"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Paragraph 13 of the General Comment provides that DPOs are the “representative organisations” for the purposes of Articles 4.3 and 33.3 and, by doing so, implies that other types of organisations are excluded from the definition. GANHRI notes that this appears to draw a clear distinction between DPOs and other Civil Society Organisations (CSOs) in this respect.</w:t>
      </w:r>
    </w:p>
    <w:p w14:paraId="51B47554"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305F960"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Paragraph 14(a) of the General Comment then sets out the essential characteristics and components of a DPO. These include requirements that:</w:t>
      </w:r>
    </w:p>
    <w:p w14:paraId="673C93E4"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A027EA0"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DPOs are governed, led and directed by people with disabilities; and</w:t>
      </w:r>
    </w:p>
    <w:p w14:paraId="6CC09012"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They are comprised of a majority of people with disabilities themselves; and</w:t>
      </w:r>
    </w:p>
    <w:p w14:paraId="3263FB79"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lastRenderedPageBreak/>
        <w:t xml:space="preserve">A clear majority of DPO members are recruited among people with disabilities. </w:t>
      </w:r>
    </w:p>
    <w:p w14:paraId="40B33164" w14:textId="77777777" w:rsidR="009B401E" w:rsidRPr="009B401E" w:rsidRDefault="009B401E" w:rsidP="009B401E">
      <w:pPr>
        <w:pStyle w:val="FarbigeListe-Akzent11"/>
        <w:spacing w:line="276" w:lineRule="auto"/>
        <w:jc w:val="both"/>
        <w:rPr>
          <w:rFonts w:ascii="Avenir Roman" w:hAnsi="Avenir Roman" w:cs="Arial"/>
          <w:sz w:val="22"/>
          <w:szCs w:val="22"/>
          <w:lang w:val="en-GB" w:bidi="ar-EG"/>
        </w:rPr>
      </w:pPr>
    </w:p>
    <w:p w14:paraId="357A9A67"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Paragraphs 14(a)(</w:t>
      </w:r>
      <w:proofErr w:type="spellStart"/>
      <w:r w:rsidRPr="009B401E">
        <w:rPr>
          <w:rFonts w:ascii="Avenir Roman" w:hAnsi="Avenir Roman" w:cs="Arial"/>
          <w:sz w:val="22"/>
          <w:szCs w:val="22"/>
          <w:lang w:val="en-GB" w:bidi="ar-EG"/>
        </w:rPr>
        <w:t>i</w:t>
      </w:r>
      <w:proofErr w:type="spellEnd"/>
      <w:r w:rsidRPr="009B401E">
        <w:rPr>
          <w:rFonts w:ascii="Avenir Roman" w:hAnsi="Avenir Roman" w:cs="Arial"/>
          <w:sz w:val="22"/>
          <w:szCs w:val="22"/>
          <w:lang w:val="en-GB" w:bidi="ar-EG"/>
        </w:rPr>
        <w:t>)-(ii) go on to provide that DPOs:</w:t>
      </w:r>
    </w:p>
    <w:p w14:paraId="3B82296D"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0B7C036E"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Are established with the aim of collectively acting, expressing, promoting, pursuing and/or defending the rights of person with disabilities</w:t>
      </w:r>
    </w:p>
    <w:p w14:paraId="2F9C5BB8"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Should be “generally recognised”</w:t>
      </w:r>
    </w:p>
    <w:p w14:paraId="1C7763A2"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May represent one or more constituencies among people with disabilities, and may include those from a broad, diverse range of backgrounds</w:t>
      </w:r>
    </w:p>
    <w:p w14:paraId="2B3603C3"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Should meaningfully participate in an inclusive and accessible manner in decision-making processes that affect the lives of persons with disabilities at all levels and within all sectors. </w:t>
      </w:r>
    </w:p>
    <w:p w14:paraId="523B155F"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3FAFCCEE"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Paragraph 14(a)(iii) further provides that DPOs may have different structures, such as coalitions, umbrella organisations and cross-disability organisations, and represent specific population groups, such as women, children and indigenous people. </w:t>
      </w:r>
    </w:p>
    <w:p w14:paraId="5655A41F"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2E86150D"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The General Comment then sets out definitions of other “representative organisations” in paragraphs 14(b)-14(f). GANHRI notes many of the types of organisations set out these paragraphs would also constitute a DPO, so long as they meet the criteria specified in paragraph 14(a). However, the current formatting of the General Comment does not make this clear and could be read as meaning that these organisations are distinct from DPOs. </w:t>
      </w:r>
    </w:p>
    <w:p w14:paraId="68E25AC1"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4EC07F72"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accordingly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draft General Comment is amended to clarify the types of organisations listed in paragraph 14 that may fall under the DPO category. This could be done through the insertion after paragraph 14(a)(iii) of a sub-title such as </w:t>
      </w:r>
      <w:r w:rsidRPr="009B401E">
        <w:rPr>
          <w:rFonts w:ascii="Avenir Roman" w:hAnsi="Avenir Roman" w:cs="Arial"/>
          <w:i/>
          <w:sz w:val="22"/>
          <w:szCs w:val="22"/>
          <w:lang w:val="en-GB" w:bidi="ar-EG"/>
        </w:rPr>
        <w:t>“Types of DPOs”</w:t>
      </w:r>
      <w:r w:rsidRPr="009B401E">
        <w:rPr>
          <w:rFonts w:ascii="Avenir Roman" w:hAnsi="Avenir Roman" w:cs="Arial"/>
          <w:sz w:val="22"/>
          <w:szCs w:val="22"/>
          <w:lang w:val="en-GB" w:bidi="ar-EG"/>
        </w:rPr>
        <w:t xml:space="preserve"> or words to that effect. GANHRI considers that this is a matter of interpretative importance, as the draft General Comment almost exclusively refers to DPOs as the representative organisation throughout Parts IIB-C, III, IV and V. </w:t>
      </w:r>
    </w:p>
    <w:p w14:paraId="49E61061"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A0F3C85"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also </w:t>
      </w:r>
      <w:r w:rsidRPr="009B401E">
        <w:rPr>
          <w:rFonts w:ascii="Avenir Roman" w:hAnsi="Avenir Roman" w:cs="Arial"/>
          <w:b/>
          <w:sz w:val="22"/>
          <w:szCs w:val="22"/>
          <w:u w:val="single"/>
          <w:lang w:val="en-GB" w:bidi="ar-EG"/>
        </w:rPr>
        <w:t xml:space="preserve">suggests </w:t>
      </w:r>
      <w:r w:rsidRPr="009B401E">
        <w:rPr>
          <w:rFonts w:ascii="Avenir Roman" w:hAnsi="Avenir Roman" w:cs="Arial"/>
          <w:sz w:val="22"/>
          <w:szCs w:val="22"/>
          <w:lang w:val="en-GB" w:bidi="ar-EG"/>
        </w:rPr>
        <w:t>that the General Comment draw further attention to DPOs that represent population groups who are particularly vulnerable to experiencing additional systemic discrimination. These include:</w:t>
      </w:r>
    </w:p>
    <w:p w14:paraId="559187A4"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4B0D89CD"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Organisations of indigenous people with disabilities</w:t>
      </w:r>
    </w:p>
    <w:p w14:paraId="616C548A"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Organisations of ethnic minorities, migrants and refugees with disabilities</w:t>
      </w:r>
    </w:p>
    <w:p w14:paraId="13F40E86"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Organisations of LGBTI/SOGISC people with disabilities.</w:t>
      </w:r>
    </w:p>
    <w:p w14:paraId="14DDDCBC"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E69D8AA"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lastRenderedPageBreak/>
        <w:t>Paragraph 15 highlights the distinction between organisations that comprise of people with disabilities, such as DPOs, and organisations “for” people with disabilities, which tend to be service providers. The paragraph goes on to note that while these latter organisations often advocate for persons with disabilities, such advocacy may be inconsistent with the Convention due to potential for conflicts of interests arising where such organisations advocate with their own gain in mind, rather than in support of DPOs. It concludes that States Parties should accordingly give priority to the views of DPOs over those other organisations.</w:t>
      </w:r>
    </w:p>
    <w:p w14:paraId="5DA9A65B"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505FDE87"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GANHRI notes that the Committee’s Guidelines on the Participation of DPOs and CSOs in the work of the Committee gives “particular value”</w:t>
      </w:r>
      <w:r w:rsidRPr="009B401E">
        <w:rPr>
          <w:rStyle w:val="FootnoteReference"/>
          <w:rFonts w:ascii="Avenir Roman" w:hAnsi="Avenir Roman" w:cs="Arial"/>
          <w:sz w:val="22"/>
          <w:szCs w:val="22"/>
          <w:lang w:val="en-GB" w:bidi="ar-EG"/>
        </w:rPr>
        <w:footnoteReference w:id="5"/>
      </w:r>
      <w:r w:rsidRPr="009B401E">
        <w:rPr>
          <w:rFonts w:ascii="Avenir Roman" w:hAnsi="Avenir Roman" w:cs="Arial"/>
          <w:sz w:val="22"/>
          <w:szCs w:val="22"/>
          <w:lang w:val="en-GB" w:bidi="ar-EG"/>
        </w:rPr>
        <w:t xml:space="preserve"> to the participation of DPOs. GANHRI therefore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in order to better reflect the inclusive tone of the Guidelines as regards DPO and CSO participation, paragraph 15 is amended to provide for a requirement that State Parties should give </w:t>
      </w:r>
      <w:r w:rsidRPr="009B401E">
        <w:rPr>
          <w:rFonts w:ascii="Avenir Roman" w:hAnsi="Avenir Roman" w:cs="Arial"/>
          <w:i/>
          <w:sz w:val="22"/>
          <w:szCs w:val="22"/>
          <w:lang w:val="en-GB" w:bidi="ar-EG"/>
        </w:rPr>
        <w:t>particular value</w:t>
      </w:r>
      <w:r w:rsidRPr="009B401E">
        <w:rPr>
          <w:rFonts w:ascii="Avenir Roman" w:hAnsi="Avenir Roman" w:cs="Arial"/>
          <w:sz w:val="22"/>
          <w:szCs w:val="22"/>
          <w:lang w:val="en-GB" w:bidi="ar-EG"/>
        </w:rPr>
        <w:t xml:space="preserve"> to the views of DPOs and ensure that </w:t>
      </w:r>
      <w:r w:rsidRPr="009B401E">
        <w:rPr>
          <w:rFonts w:ascii="Avenir Roman" w:hAnsi="Avenir Roman" w:cs="Arial"/>
          <w:i/>
          <w:sz w:val="22"/>
          <w:szCs w:val="22"/>
          <w:lang w:val="en-GB" w:bidi="ar-EG"/>
        </w:rPr>
        <w:t>priority is given to ascertaining the views of DPOs</w:t>
      </w:r>
      <w:r w:rsidRPr="009B401E">
        <w:rPr>
          <w:rFonts w:ascii="Avenir Roman" w:hAnsi="Avenir Roman" w:cs="Arial"/>
          <w:sz w:val="22"/>
          <w:szCs w:val="22"/>
          <w:lang w:val="en-GB" w:bidi="ar-EG"/>
        </w:rPr>
        <w:t xml:space="preserve"> for this purpose.</w:t>
      </w:r>
    </w:p>
    <w:p w14:paraId="08E8C959"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658108D0"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Furthermore,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paragraph 15 is reframed to highlight ways in which such CSOs can mitigate against conflicts of interest in their advocacy work. This could include expressly encouraging constructive engagement between DPOs and other organisations that work with people with disabilities. It should also encourage large, well-funded CSOs to support DPOs through resource and network support, and collaboration where appropriate. These organisations may have the resources, in the form of dedicated advocacy functions and services, to undertake systemic advocacy work that seeks to advance or promote the rights under the Convention. Such organisations may accordingly have the potential to play an important role in facilitating and supporting the advocacy work undertaken by DPOs, whether via direct collaboration or through the provision of financial or in-kind support.</w:t>
      </w:r>
    </w:p>
    <w:p w14:paraId="223BF738" w14:textId="77777777" w:rsidR="009B401E" w:rsidRPr="009B401E" w:rsidRDefault="009B401E" w:rsidP="009B401E">
      <w:pPr>
        <w:pStyle w:val="ListParagraph"/>
        <w:spacing w:line="276" w:lineRule="auto"/>
        <w:ind w:left="0"/>
        <w:rPr>
          <w:rFonts w:ascii="Avenir Roman" w:hAnsi="Avenir Roman" w:cs="Arial"/>
          <w:sz w:val="22"/>
          <w:szCs w:val="22"/>
          <w:lang w:val="en-GB" w:bidi="ar-EG"/>
        </w:rPr>
      </w:pPr>
    </w:p>
    <w:p w14:paraId="7187E925"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Paragraph 16 of the General Comment provides for a further distinction between DPOs and CSOs. It concludes that </w:t>
      </w:r>
      <w:r w:rsidRPr="009B401E">
        <w:rPr>
          <w:rFonts w:ascii="Avenir Roman" w:hAnsi="Avenir Roman" w:cs="Arial"/>
          <w:i/>
          <w:sz w:val="22"/>
          <w:szCs w:val="22"/>
          <w:lang w:val="en-GB" w:bidi="ar-EG"/>
        </w:rPr>
        <w:t>“while DPOs are part of civil society… in general CSOs and NGOs should not be considered to be DPOs”.</w:t>
      </w:r>
      <w:r w:rsidRPr="009B401E">
        <w:rPr>
          <w:rFonts w:ascii="Avenir Roman" w:hAnsi="Avenir Roman" w:cs="Arial"/>
          <w:sz w:val="22"/>
          <w:szCs w:val="22"/>
          <w:lang w:val="en-GB" w:bidi="ar-EG"/>
        </w:rPr>
        <w:t xml:space="preserve"> The point being implicitly made here is that the characteristics of DPOs should be generally recognised as distinct from other CSOs/NGOs. This services to reinforce the specific role that the Convention attributes to “representative organisations” under Articles 4.3 and 33.3 and the “particular value” ascribed to the participation of DPOs under Committee guidelines.</w:t>
      </w:r>
    </w:p>
    <w:p w14:paraId="06082D6D"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02C3612E"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lastRenderedPageBreak/>
        <w:t xml:space="preserve">However, on a practical level, the distinctions set out in paragraph 16 could be interpreted as somewhat contradictory and may cause some confusion. GANHRI therefore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paragraph 16 is amended to simply provide that DPOs are civil society entities that have a distinct role under the Convention in enabling the participation of people with disabilities in monitoring, implementation and other decision-making processes. </w:t>
      </w:r>
    </w:p>
    <w:p w14:paraId="1C73C621"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20849E1C"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t>Section IIB – Scope of Article 4.3</w:t>
      </w:r>
    </w:p>
    <w:p w14:paraId="1AB2528B"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46156514"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GANHRI welcomes the extensive analysis of Article 4.3 provided in this section of the General Comment.</w:t>
      </w:r>
    </w:p>
    <w:p w14:paraId="3DD38E27"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7801387E"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Paragraphs 18-20 identifies that Article 4.3 not only applies to all aspects of the legislative and regulatory decision-making framework of States Parties, but also extends to administrative measures and practices, budgetary decisions as well as decision-making processes made with the delegated authority, or in partnership with, States Parties. </w:t>
      </w:r>
    </w:p>
    <w:p w14:paraId="61E1412B" w14:textId="77777777" w:rsidR="009B401E" w:rsidRPr="009B401E" w:rsidRDefault="009B401E" w:rsidP="009B401E">
      <w:pPr>
        <w:pStyle w:val="ListParagraph"/>
        <w:spacing w:line="276" w:lineRule="auto"/>
        <w:ind w:left="0"/>
        <w:rPr>
          <w:rFonts w:ascii="Avenir Roman" w:hAnsi="Avenir Roman" w:cs="Arial"/>
          <w:sz w:val="22"/>
          <w:szCs w:val="22"/>
          <w:lang w:val="en-GB" w:bidi="ar-EG"/>
        </w:rPr>
      </w:pPr>
    </w:p>
    <w:p w14:paraId="198DF128"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reference is also included in this section of the General Comment to the application of Article 4.3 to private enterprises, in particular those providing services on behalf of the State Party via procurement contracts or other forms of outsourcing arrangements. Further,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General Comment provide that all decision-making activities that impact of people with disabilities that are undertaken by private enterprises and State Parties, either individually or via agreement, conform with the three pillars of the UN Guiding Principles on Business and Human Rights.</w:t>
      </w:r>
    </w:p>
    <w:p w14:paraId="75693989" w14:textId="77777777" w:rsidR="009B401E" w:rsidRPr="009B401E" w:rsidRDefault="009B401E" w:rsidP="009B401E">
      <w:pPr>
        <w:pStyle w:val="FarbigeListe-Akzent11"/>
        <w:spacing w:line="276" w:lineRule="auto"/>
        <w:ind w:left="0"/>
        <w:jc w:val="both"/>
        <w:rPr>
          <w:rFonts w:ascii="Avenir Roman" w:hAnsi="Avenir Roman" w:cs="Arial"/>
          <w:sz w:val="22"/>
          <w:szCs w:val="22"/>
          <w:lang w:val="en-GB" w:bidi="ar-EG"/>
        </w:rPr>
      </w:pPr>
    </w:p>
    <w:p w14:paraId="60D12AD6"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As regards the obligation under Article 4.3 to </w:t>
      </w:r>
      <w:r w:rsidRPr="009B401E">
        <w:rPr>
          <w:rFonts w:ascii="Avenir Roman" w:hAnsi="Avenir Roman" w:cs="Arial"/>
          <w:i/>
          <w:sz w:val="22"/>
          <w:szCs w:val="22"/>
          <w:lang w:val="en-GB" w:bidi="ar-EG"/>
        </w:rPr>
        <w:t xml:space="preserve">“closely consult with and actively involve” </w:t>
      </w:r>
      <w:r w:rsidRPr="009B401E">
        <w:rPr>
          <w:rFonts w:ascii="Avenir Roman" w:hAnsi="Avenir Roman" w:cs="Arial"/>
          <w:sz w:val="22"/>
          <w:szCs w:val="22"/>
          <w:lang w:val="en-GB" w:bidi="ar-EG"/>
        </w:rPr>
        <w:t xml:space="preserve">people with disabilities,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reference is made to the implementation of supported-decision making criteria for people with disabilities that may otherwise be excluded from direct participation on the basis of capacity. This should include the availability of support services for this purpose. </w:t>
      </w:r>
    </w:p>
    <w:p w14:paraId="53654D80"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705B07B5"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In addition,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General Comment include a requirement that digital communications platforms, including those operated by private social media enterprises, ensure that they meet international accessibility standards, in particular where those platforms are used for consultative purposes.</w:t>
      </w:r>
    </w:p>
    <w:p w14:paraId="6F438D48" w14:textId="77777777" w:rsidR="009B401E" w:rsidRPr="009B401E" w:rsidRDefault="009B401E" w:rsidP="009B401E">
      <w:pPr>
        <w:pStyle w:val="FarbigeListe-Akzent11"/>
        <w:spacing w:line="276" w:lineRule="auto"/>
        <w:jc w:val="both"/>
        <w:rPr>
          <w:rFonts w:ascii="Avenir Roman" w:hAnsi="Avenir Roman" w:cs="Arial"/>
          <w:sz w:val="22"/>
          <w:szCs w:val="22"/>
          <w:lang w:val="en-GB" w:bidi="ar-EG"/>
        </w:rPr>
      </w:pPr>
    </w:p>
    <w:p w14:paraId="0D8FFDF8"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welcomes the particular focus in paragraph 22 on including the participation of children with disabilities, through their DPOs, in the development and </w:t>
      </w:r>
      <w:r w:rsidRPr="009B401E">
        <w:rPr>
          <w:rFonts w:ascii="Avenir Roman" w:hAnsi="Avenir Roman" w:cs="Arial"/>
          <w:sz w:val="22"/>
          <w:szCs w:val="22"/>
          <w:lang w:val="en-GB" w:bidi="ar-EG"/>
        </w:rPr>
        <w:lastRenderedPageBreak/>
        <w:t>implementation of legislation and policies and in decision-making processes that affect them. The Committee on the Rights of the Child (“CRC Committee”) has described the right of the child to be heard as one of the “fundamental values” underpinning the framework of children’s rights set out in the Convention on the Rights of the Child.</w:t>
      </w:r>
      <w:r w:rsidRPr="009B401E">
        <w:rPr>
          <w:rStyle w:val="FootnoteReference"/>
          <w:rFonts w:ascii="Avenir Roman" w:hAnsi="Avenir Roman" w:cs="Arial"/>
          <w:sz w:val="22"/>
          <w:szCs w:val="22"/>
          <w:lang w:val="en-GB" w:bidi="ar-EG"/>
        </w:rPr>
        <w:footnoteReference w:id="6"/>
      </w:r>
      <w:r w:rsidRPr="009B401E">
        <w:rPr>
          <w:rFonts w:ascii="Avenir Roman" w:hAnsi="Avenir Roman" w:cs="Arial"/>
          <w:sz w:val="22"/>
          <w:szCs w:val="22"/>
          <w:lang w:val="en-GB" w:bidi="ar-EG"/>
        </w:rPr>
        <w:t xml:space="preserve"> </w:t>
      </w:r>
    </w:p>
    <w:p w14:paraId="680EBB7A"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83B33DB"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paragraph 22 refers to the basic requirements for the implementation of the right of the child to be heard established by the CRC Committee in its General Comment No 12</w:t>
      </w:r>
      <w:r w:rsidRPr="009B401E">
        <w:rPr>
          <w:rStyle w:val="FootnoteReference"/>
          <w:rFonts w:ascii="Avenir Roman" w:hAnsi="Avenir Roman" w:cs="Arial"/>
          <w:sz w:val="22"/>
          <w:szCs w:val="22"/>
          <w:lang w:val="en-GB" w:bidi="ar-EG"/>
        </w:rPr>
        <w:footnoteReference w:id="7"/>
      </w:r>
      <w:r w:rsidRPr="009B401E">
        <w:rPr>
          <w:rFonts w:ascii="Avenir Roman" w:hAnsi="Avenir Roman" w:cs="Arial"/>
          <w:sz w:val="22"/>
          <w:szCs w:val="22"/>
          <w:lang w:val="en-GB" w:bidi="ar-EG"/>
        </w:rPr>
        <w:t xml:space="preserve">. This requires that all decision-making processes in which children are heard are transparent and informative, voluntary respectful, relevant, child-friendly, inclusive, supported by training, safe ad sensitive to risk, and accountable. Paragraph 22 should also make it clear that these requirements apply equally to DPOs that represent the views of children with disabilities in decision-making processes as they do to decision-making institutions themselves. </w:t>
      </w:r>
    </w:p>
    <w:p w14:paraId="324107B1"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03D0CE72"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As regards the principle of </w:t>
      </w:r>
      <w:r w:rsidRPr="009B401E">
        <w:rPr>
          <w:rFonts w:ascii="Avenir Roman" w:hAnsi="Avenir Roman" w:cs="Arial"/>
          <w:i/>
          <w:sz w:val="22"/>
          <w:szCs w:val="22"/>
          <w:lang w:val="en-GB" w:bidi="ar-EG"/>
        </w:rPr>
        <w:t>“full and effective participation”</w:t>
      </w:r>
      <w:r w:rsidRPr="009B401E">
        <w:rPr>
          <w:rFonts w:ascii="Avenir Roman" w:hAnsi="Avenir Roman" w:cs="Arial"/>
          <w:sz w:val="22"/>
          <w:szCs w:val="22"/>
          <w:lang w:val="en-GB" w:bidi="ar-EG"/>
        </w:rPr>
        <w:t xml:space="preserve"> more generally, GANHRI notes the importance of ensuring that participation mechanisms are integrated into standard processes and procedures. Ad hoc, one-off consultative events are not sufficient to meet the requirements of this principle.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General Comment provide that States Parties ensure that such participation mechanisms are a standard component of all policy and legislative development and implementation procedures. This could be done through the establishment of advisory boards (or similar) comprising of representative DPOs and individuals with disabilities, that provide input, as a matter of course, into relevant policy and legislative initiatives.</w:t>
      </w:r>
    </w:p>
    <w:p w14:paraId="7C8CA747"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3AFA5404"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In addition, as noted in paragraph 24, representation of people with disabilities in decision-making entities and institutions is also essential in ensuring full and effective participation. This includes within NHRIs. This aligns with the requirement under the Paris Principles that the composition of NHRIs is sufficiently pluralist.</w:t>
      </w:r>
      <w:r w:rsidRPr="009B401E">
        <w:rPr>
          <w:rStyle w:val="FootnoteReference"/>
          <w:rFonts w:ascii="Avenir Roman" w:hAnsi="Avenir Roman" w:cs="Arial"/>
          <w:sz w:val="22"/>
          <w:szCs w:val="22"/>
          <w:lang w:val="en-GB" w:bidi="ar-EG"/>
        </w:rPr>
        <w:footnoteReference w:id="8"/>
      </w:r>
      <w:r w:rsidRPr="009B401E">
        <w:rPr>
          <w:rFonts w:ascii="Avenir Roman" w:hAnsi="Avenir Roman" w:cs="Arial"/>
          <w:sz w:val="22"/>
          <w:szCs w:val="22"/>
          <w:lang w:val="en-GB" w:bidi="ar-EG"/>
        </w:rPr>
        <w:t xml:space="preserve"> GANHRI notes that many NHRIs have office-holders (such as Disability Rights Commissioners or Ombudspersons) who have a specific statutory role to protect and promote the rights of persons with disabilities.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General Comment could assist NHRIs in their capacity-building in this respect by recommending that the composition of NHRIs include specific disability rights office-holders. Ideally such roles should be held and advised by people with disabilities.</w:t>
      </w:r>
    </w:p>
    <w:p w14:paraId="3075F5CB"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680E85EC" w14:textId="77777777" w:rsidR="00673678" w:rsidRDefault="00673678" w:rsidP="009B401E">
      <w:pPr>
        <w:pStyle w:val="FarbigeListe-Akzent11"/>
        <w:tabs>
          <w:tab w:val="left" w:pos="142"/>
        </w:tabs>
        <w:spacing w:line="276" w:lineRule="auto"/>
        <w:ind w:left="0"/>
        <w:jc w:val="both"/>
        <w:rPr>
          <w:rFonts w:ascii="Avenir Roman" w:hAnsi="Avenir Roman" w:cs="Arial"/>
          <w:sz w:val="22"/>
          <w:szCs w:val="22"/>
          <w:u w:val="single"/>
          <w:lang w:val="en-GB" w:bidi="ar-EG"/>
        </w:rPr>
      </w:pPr>
    </w:p>
    <w:p w14:paraId="4E6D52C6" w14:textId="77777777" w:rsidR="00673678" w:rsidRDefault="00673678" w:rsidP="009B401E">
      <w:pPr>
        <w:pStyle w:val="FarbigeListe-Akzent11"/>
        <w:tabs>
          <w:tab w:val="left" w:pos="142"/>
        </w:tabs>
        <w:spacing w:line="276" w:lineRule="auto"/>
        <w:ind w:left="0"/>
        <w:jc w:val="both"/>
        <w:rPr>
          <w:rFonts w:ascii="Avenir Roman" w:hAnsi="Avenir Roman" w:cs="Arial"/>
          <w:sz w:val="22"/>
          <w:szCs w:val="22"/>
          <w:u w:val="single"/>
          <w:lang w:val="en-GB" w:bidi="ar-EG"/>
        </w:rPr>
      </w:pPr>
    </w:p>
    <w:p w14:paraId="38634C81" w14:textId="1034A36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lastRenderedPageBreak/>
        <w:t>Article 33.3 - The involvement of civil society/NHRIs</w:t>
      </w:r>
    </w:p>
    <w:p w14:paraId="547ACFF2"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06886403"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The participation requirement under Article 33.3 is linked specifically to the monitoring obligations set out in Article 33.2 that require States Parties to establish “a </w:t>
      </w:r>
      <w:r w:rsidRPr="009B401E">
        <w:rPr>
          <w:rFonts w:ascii="Avenir Roman" w:hAnsi="Avenir Roman" w:cs="Arial"/>
          <w:sz w:val="22"/>
          <w:szCs w:val="22"/>
          <w:lang w:bidi="ar-EG"/>
        </w:rPr>
        <w:t>framework, including one or more independent mechanisms, as appropriate, to promote, protect and monitor implementation of the…Convention.” Article 33.2 also provides that such mechanisms “take into account the principles relating to the status and functioning of national institutions for protection and promotion of human rights.”</w:t>
      </w:r>
    </w:p>
    <w:p w14:paraId="39718C8D"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5429BF4F"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bidi="ar-EG"/>
        </w:rPr>
        <w:t>GANHRI accordingly</w:t>
      </w:r>
      <w:r w:rsidRPr="009B401E">
        <w:rPr>
          <w:rFonts w:ascii="Avenir Roman" w:hAnsi="Avenir Roman" w:cs="Arial"/>
          <w:b/>
          <w:sz w:val="22"/>
          <w:szCs w:val="22"/>
          <w:lang w:bidi="ar-EG"/>
        </w:rPr>
        <w:t xml:space="preserve"> </w:t>
      </w:r>
      <w:r w:rsidRPr="009B401E">
        <w:rPr>
          <w:rFonts w:ascii="Avenir Roman" w:hAnsi="Avenir Roman" w:cs="Arial"/>
          <w:b/>
          <w:sz w:val="22"/>
          <w:szCs w:val="22"/>
          <w:u w:val="single"/>
          <w:lang w:bidi="ar-EG"/>
        </w:rPr>
        <w:t>suggests</w:t>
      </w:r>
      <w:r w:rsidRPr="009B401E">
        <w:rPr>
          <w:rFonts w:ascii="Avenir Roman" w:hAnsi="Avenir Roman" w:cs="Arial"/>
          <w:sz w:val="22"/>
          <w:szCs w:val="22"/>
          <w:lang w:bidi="ar-EG"/>
        </w:rPr>
        <w:t xml:space="preserve"> that it would be helpful for this section of the General Comment to provide an introductory overview of Article 33.2 and its elements.</w:t>
      </w:r>
    </w:p>
    <w:p w14:paraId="609D1B7B"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0634191A"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In reflection of Article 33.2, paragraph 27 of the General Comment describes NHRIs as having a “key role” in the monitoring of the Convention, including “bridging” DPOs with the international human rights system. GANHRI welcomes this acknowledgement and notes that, in addition, the Paris Principles require that NHRIs shall develop relations with non-government organisations who promote and protect the human rights of vulnerable groups, including people with disabilities.</w:t>
      </w:r>
      <w:r w:rsidRPr="009B401E">
        <w:rPr>
          <w:rStyle w:val="FootnoteReference"/>
          <w:rFonts w:ascii="Avenir Roman" w:hAnsi="Avenir Roman" w:cs="Arial"/>
          <w:sz w:val="22"/>
          <w:szCs w:val="22"/>
          <w:lang w:val="en-GB" w:bidi="ar-EG"/>
        </w:rPr>
        <w:footnoteReference w:id="9"/>
      </w:r>
      <w:r w:rsidRPr="009B401E">
        <w:rPr>
          <w:rFonts w:ascii="Avenir Roman" w:hAnsi="Avenir Roman" w:cs="Arial"/>
          <w:sz w:val="22"/>
          <w:szCs w:val="22"/>
          <w:lang w:val="en-GB" w:bidi="ar-EG"/>
        </w:rPr>
        <w:t xml:space="preserve"> </w:t>
      </w:r>
    </w:p>
    <w:p w14:paraId="17B39EA3"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60D9A2C9"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The General Comment goes on to state that “the Paris Principles require that DPOs should either be represented in independent mechanisms or be able to co-operate closely with those mechanisms, and preferably be appointed to their board, if one exists”. While GANHRI notes that the Paris Principles do not address this point explicitly, we consider that they underpin the role NHRIs have in promoting the representation of DPO on IMMs. </w:t>
      </w:r>
    </w:p>
    <w:p w14:paraId="1846F57A"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754417D8"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This role is, of course, subject to the over-riding requirement under the Paris Principles that NHRIs are independent institutions that discharge their activities and decision-making processes independently from both government and civil society organisations. GANHRI accordingly </w:t>
      </w:r>
      <w:r w:rsidRPr="009B401E">
        <w:rPr>
          <w:rFonts w:ascii="Avenir Roman" w:hAnsi="Avenir Roman" w:cs="Arial"/>
          <w:b/>
          <w:sz w:val="22"/>
          <w:szCs w:val="22"/>
          <w:u w:val="single"/>
          <w:lang w:val="en-GB" w:bidi="ar-EG"/>
        </w:rPr>
        <w:t xml:space="preserve">suggests </w:t>
      </w:r>
      <w:r w:rsidRPr="009B401E">
        <w:rPr>
          <w:rFonts w:ascii="Avenir Roman" w:hAnsi="Avenir Roman" w:cs="Arial"/>
          <w:sz w:val="22"/>
          <w:szCs w:val="22"/>
          <w:lang w:val="en-GB" w:bidi="ar-EG"/>
        </w:rPr>
        <w:t>that the General Comment duly acknowledge the independence of NHRIs under the Paris Principles when facilitating the representation of DPOs and persons with disabilities in monitoring processes mandated under Article 33.2.</w:t>
      </w:r>
    </w:p>
    <w:p w14:paraId="5053A118"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3357F7A7"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Further to this point, GANHRI notes that the Committee’s </w:t>
      </w:r>
      <w:r w:rsidRPr="009B401E">
        <w:rPr>
          <w:rFonts w:ascii="Avenir Roman" w:hAnsi="Avenir Roman" w:cs="Arial"/>
          <w:i/>
          <w:sz w:val="22"/>
          <w:szCs w:val="22"/>
          <w:lang w:val="en-GB" w:bidi="ar-EG"/>
        </w:rPr>
        <w:t>Guidelines on Independent Monitoring Frameworks and their participation in the work of the Committee</w:t>
      </w:r>
      <w:r w:rsidRPr="009B401E">
        <w:rPr>
          <w:rFonts w:ascii="Avenir Roman" w:hAnsi="Avenir Roman" w:cs="Arial"/>
          <w:sz w:val="22"/>
          <w:szCs w:val="22"/>
          <w:lang w:val="en-GB" w:bidi="ar-EG"/>
        </w:rPr>
        <w:t>:</w:t>
      </w:r>
    </w:p>
    <w:p w14:paraId="50C484A7"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1E21E358"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lastRenderedPageBreak/>
        <w:t xml:space="preserve">Provides that IMMs </w:t>
      </w:r>
      <w:r w:rsidRPr="009B401E">
        <w:rPr>
          <w:rFonts w:ascii="Avenir Roman" w:hAnsi="Avenir Roman" w:cs="Arial"/>
          <w:sz w:val="22"/>
          <w:szCs w:val="22"/>
          <w:lang w:bidi="ar-EG"/>
        </w:rPr>
        <w:t>should “ensure the full involvement and participation of persons with disabilities through their representative organizations in all areas of its work”.</w:t>
      </w:r>
      <w:r w:rsidRPr="009B401E">
        <w:rPr>
          <w:rStyle w:val="FootnoteReference"/>
          <w:rFonts w:ascii="Avenir Roman" w:hAnsi="Avenir Roman" w:cs="Arial"/>
          <w:sz w:val="22"/>
          <w:szCs w:val="22"/>
          <w:lang w:bidi="ar-EG"/>
        </w:rPr>
        <w:footnoteReference w:id="10"/>
      </w:r>
      <w:r w:rsidRPr="009B401E">
        <w:rPr>
          <w:rFonts w:ascii="Avenir Roman" w:hAnsi="Avenir Roman" w:cs="Arial"/>
          <w:sz w:val="22"/>
          <w:szCs w:val="22"/>
          <w:lang w:bidi="ar-EG"/>
        </w:rPr>
        <w:t xml:space="preserve"> </w:t>
      </w:r>
    </w:p>
    <w:p w14:paraId="151B774B" w14:textId="77777777" w:rsidR="009B401E" w:rsidRPr="009B401E" w:rsidRDefault="009B401E" w:rsidP="009B401E">
      <w:pPr>
        <w:pStyle w:val="FarbigeListe-Akzent11"/>
        <w:tabs>
          <w:tab w:val="left" w:pos="142"/>
        </w:tabs>
        <w:spacing w:line="276" w:lineRule="auto"/>
        <w:ind w:left="1440"/>
        <w:jc w:val="both"/>
        <w:rPr>
          <w:rFonts w:ascii="Avenir Roman" w:hAnsi="Avenir Roman" w:cs="Arial"/>
          <w:sz w:val="22"/>
          <w:szCs w:val="22"/>
          <w:lang w:val="en-GB" w:bidi="ar-EG"/>
        </w:rPr>
      </w:pPr>
    </w:p>
    <w:p w14:paraId="59BC474B"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Encourages States Parties to equip NHRIs with adequate budgetary resources and skilled human resources to meet their mandate under Article 33.2</w:t>
      </w:r>
      <w:r w:rsidRPr="009B401E">
        <w:rPr>
          <w:rStyle w:val="FootnoteReference"/>
          <w:rFonts w:ascii="Avenir Roman" w:hAnsi="Avenir Roman" w:cs="Arial"/>
          <w:sz w:val="22"/>
          <w:szCs w:val="22"/>
          <w:lang w:val="en-GB" w:bidi="ar-EG"/>
        </w:rPr>
        <w:footnoteReference w:id="11"/>
      </w:r>
      <w:r w:rsidRPr="009B401E">
        <w:rPr>
          <w:rFonts w:ascii="Avenir Roman" w:hAnsi="Avenir Roman" w:cs="Arial"/>
          <w:sz w:val="22"/>
          <w:szCs w:val="22"/>
          <w:lang w:val="en-GB" w:bidi="ar-EG"/>
        </w:rPr>
        <w:t xml:space="preserve"> (being “</w:t>
      </w:r>
      <w:r w:rsidRPr="009B401E">
        <w:rPr>
          <w:rFonts w:ascii="Avenir Roman" w:hAnsi="Avenir Roman" w:cs="Arial"/>
          <w:sz w:val="22"/>
          <w:szCs w:val="22"/>
          <w:lang w:bidi="ar-EG"/>
        </w:rPr>
        <w:t>the principles relating to the status and functioning of national institutions for protection and promotion of human rights”)</w:t>
      </w:r>
    </w:p>
    <w:p w14:paraId="2707FA4A"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7819ADE4"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In addition, the obligation under Article 33.3 is not limited to participation “through representative organisations” as is the case with Article </w:t>
      </w:r>
      <w:proofErr w:type="gramStart"/>
      <w:r w:rsidRPr="009B401E">
        <w:rPr>
          <w:rFonts w:ascii="Avenir Roman" w:hAnsi="Avenir Roman" w:cs="Arial"/>
          <w:sz w:val="22"/>
          <w:szCs w:val="22"/>
          <w:lang w:val="en-GB" w:bidi="ar-EG"/>
        </w:rPr>
        <w:t>4.3, but</w:t>
      </w:r>
      <w:proofErr w:type="gramEnd"/>
      <w:r w:rsidRPr="009B401E">
        <w:rPr>
          <w:rFonts w:ascii="Avenir Roman" w:hAnsi="Avenir Roman" w:cs="Arial"/>
          <w:sz w:val="22"/>
          <w:szCs w:val="22"/>
          <w:lang w:val="en-GB" w:bidi="ar-EG"/>
        </w:rPr>
        <w:t xml:space="preserve"> extends to individual persons with disabilities. The effect of Article 33.3 is to require that any framework established under Article 33.2 provides for the full involvement and participation of people with disabilities in the monitoring process. It follows that the design and operation of the framework should include functions that enable this degree of participation and that are backed by a sufficient level of resource.</w:t>
      </w:r>
    </w:p>
    <w:p w14:paraId="0C30E8D6"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4B610786"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Accordingly,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this section of the General Comment highlights the obligation of States Parties to ensure that monitoring frameworks – including the IMMs and NHRIs within them -  are sufficiently resourced to support the full participation of individual people with disabilities and DPOs in all aspects of the monitoring process. This also should include a reasonable level of resources to support such participation in the engagements with the international human rights system that occur as a matter of course during the monitoring process (such as the periodic reporting process under Article 35 of the Convention or the annual Conference of States Parties (COSP)).</w:t>
      </w:r>
    </w:p>
    <w:p w14:paraId="646A78D8"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63AAD626"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further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references to “implementation” in paragraph 28 are removed. Articles 33.2 and 33.3 apply specifically to the monitoring </w:t>
      </w:r>
      <w:r w:rsidRPr="009B401E">
        <w:rPr>
          <w:rFonts w:ascii="Avenir Roman" w:hAnsi="Avenir Roman" w:cs="Arial"/>
          <w:i/>
          <w:sz w:val="22"/>
          <w:szCs w:val="22"/>
          <w:lang w:val="en-GB" w:bidi="ar-EG"/>
        </w:rPr>
        <w:t>of</w:t>
      </w:r>
      <w:r w:rsidRPr="009B401E">
        <w:rPr>
          <w:rFonts w:ascii="Avenir Roman" w:hAnsi="Avenir Roman" w:cs="Arial"/>
          <w:sz w:val="22"/>
          <w:szCs w:val="22"/>
          <w:lang w:val="en-GB" w:bidi="ar-EG"/>
        </w:rPr>
        <w:t xml:space="preserve"> the implementation of the Convention, not implementation itself. As noted above</w:t>
      </w:r>
      <w:r w:rsidRPr="009B401E">
        <w:rPr>
          <w:rStyle w:val="FootnoteReference"/>
          <w:rFonts w:ascii="Avenir Roman" w:hAnsi="Avenir Roman" w:cs="Arial"/>
          <w:sz w:val="22"/>
          <w:szCs w:val="22"/>
          <w:lang w:val="en-GB" w:bidi="ar-EG"/>
        </w:rPr>
        <w:footnoteReference w:id="12"/>
      </w:r>
      <w:r w:rsidRPr="009B401E">
        <w:rPr>
          <w:rFonts w:ascii="Avenir Roman" w:hAnsi="Avenir Roman" w:cs="Arial"/>
          <w:sz w:val="22"/>
          <w:szCs w:val="22"/>
          <w:lang w:val="en-GB" w:bidi="ar-EG"/>
        </w:rPr>
        <w:t xml:space="preserve">, we consider that care should be taken to avoid conflating the respective purposes of Articles 4.3 and 33.3. </w:t>
      </w:r>
    </w:p>
    <w:p w14:paraId="2BE66E49"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lang w:val="en-GB" w:bidi="ar-EG"/>
        </w:rPr>
      </w:pPr>
    </w:p>
    <w:p w14:paraId="4221B160" w14:textId="530D6426" w:rsidR="009B401E" w:rsidRDefault="009B401E" w:rsidP="009B401E">
      <w:pPr>
        <w:pStyle w:val="ListParagraph"/>
        <w:spacing w:line="276" w:lineRule="auto"/>
        <w:rPr>
          <w:rFonts w:ascii="Avenir Roman" w:hAnsi="Avenir Roman" w:cs="Arial"/>
          <w:sz w:val="22"/>
          <w:szCs w:val="22"/>
          <w:lang w:val="en-GB" w:bidi="ar-EG"/>
        </w:rPr>
      </w:pPr>
    </w:p>
    <w:p w14:paraId="43C7E710" w14:textId="66F821CF" w:rsidR="00673678" w:rsidRDefault="00673678" w:rsidP="009B401E">
      <w:pPr>
        <w:pStyle w:val="ListParagraph"/>
        <w:spacing w:line="276" w:lineRule="auto"/>
        <w:rPr>
          <w:rFonts w:ascii="Avenir Roman" w:hAnsi="Avenir Roman" w:cs="Arial"/>
          <w:sz w:val="22"/>
          <w:szCs w:val="22"/>
          <w:lang w:val="en-GB" w:bidi="ar-EG"/>
        </w:rPr>
      </w:pPr>
    </w:p>
    <w:p w14:paraId="5835E999" w14:textId="274F85E6" w:rsidR="00673678" w:rsidRDefault="00673678" w:rsidP="009B401E">
      <w:pPr>
        <w:pStyle w:val="ListParagraph"/>
        <w:spacing w:line="276" w:lineRule="auto"/>
        <w:rPr>
          <w:rFonts w:ascii="Avenir Roman" w:hAnsi="Avenir Roman" w:cs="Arial"/>
          <w:sz w:val="22"/>
          <w:szCs w:val="22"/>
          <w:lang w:val="en-GB" w:bidi="ar-EG"/>
        </w:rPr>
      </w:pPr>
    </w:p>
    <w:p w14:paraId="30D090F0" w14:textId="77777777" w:rsidR="00673678" w:rsidRPr="009B401E" w:rsidRDefault="00673678" w:rsidP="009B401E">
      <w:pPr>
        <w:pStyle w:val="ListParagraph"/>
        <w:spacing w:line="276" w:lineRule="auto"/>
        <w:rPr>
          <w:rFonts w:ascii="Avenir Roman" w:hAnsi="Avenir Roman" w:cs="Arial"/>
          <w:sz w:val="22"/>
          <w:szCs w:val="22"/>
          <w:lang w:val="en-GB" w:bidi="ar-EG"/>
        </w:rPr>
      </w:pPr>
    </w:p>
    <w:p w14:paraId="219E74F6"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lastRenderedPageBreak/>
        <w:t>III. Obligations of States parties</w:t>
      </w:r>
    </w:p>
    <w:p w14:paraId="56F9C6F9"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475334D8"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GANHRI welcomes the extensive analysis of the obligations of States Parties set out in section III of the General Comment. However, we suggest that, for reasons outlined above, that the references in paragraphs 41 and 46 to Article 33.3 being “read in conjunction with” Article 4.3 in respect of monitoring are removed.</w:t>
      </w:r>
    </w:p>
    <w:p w14:paraId="5E1F1C02"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6A8254E3"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As regards the policy and legislative process,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General Comment provide that States Parties develop and utilise consultation channels with DPOs and people with disabilities as a matter of course during the policy development process, via a human rights impact assessment (HRIA) policy mechanism.</w:t>
      </w:r>
    </w:p>
    <w:p w14:paraId="24FF7257"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76D24054"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HRIAs are described as “a structured process for identifying, understanding, assessing and addressing the potential or actual adverse effects of policies, laws, programmes or projects.”</w:t>
      </w:r>
      <w:r w:rsidRPr="009B401E">
        <w:rPr>
          <w:rStyle w:val="FootnoteReference"/>
          <w:rFonts w:ascii="Avenir Roman" w:hAnsi="Avenir Roman" w:cs="Arial"/>
          <w:sz w:val="22"/>
          <w:szCs w:val="22"/>
          <w:lang w:val="en-GB" w:bidi="ar-EG"/>
        </w:rPr>
        <w:footnoteReference w:id="13"/>
      </w:r>
      <w:r w:rsidRPr="009B401E">
        <w:rPr>
          <w:rFonts w:ascii="Avenir Roman" w:hAnsi="Avenir Roman" w:cs="Arial"/>
          <w:sz w:val="22"/>
          <w:szCs w:val="22"/>
          <w:lang w:val="en-GB" w:bidi="ar-EG"/>
        </w:rPr>
        <w:t xml:space="preserve"> The steps involved in a HRIA process are well established and include</w:t>
      </w:r>
      <w:r w:rsidRPr="009B401E">
        <w:rPr>
          <w:rStyle w:val="FootnoteReference"/>
          <w:rFonts w:ascii="Avenir Roman" w:hAnsi="Avenir Roman" w:cs="Arial"/>
          <w:sz w:val="22"/>
          <w:szCs w:val="22"/>
          <w:lang w:val="en-GB" w:bidi="ar-EG"/>
        </w:rPr>
        <w:footnoteReference w:id="14"/>
      </w:r>
      <w:r w:rsidRPr="009B401E">
        <w:rPr>
          <w:rFonts w:ascii="Avenir Roman" w:hAnsi="Avenir Roman" w:cs="Arial"/>
          <w:sz w:val="22"/>
          <w:szCs w:val="22"/>
          <w:lang w:val="en-GB" w:bidi="ar-EG"/>
        </w:rPr>
        <w:t>:</w:t>
      </w:r>
    </w:p>
    <w:p w14:paraId="7AFAD6B7"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040C2298"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preparation and screening of possible human rights impacts in </w:t>
      </w:r>
      <w:r w:rsidRPr="009B401E">
        <w:rPr>
          <w:rFonts w:ascii="Avenir Roman" w:hAnsi="Avenir Roman" w:cs="Arial"/>
          <w:i/>
          <w:sz w:val="22"/>
          <w:szCs w:val="22"/>
          <w:lang w:val="en-GB" w:bidi="ar-EG"/>
        </w:rPr>
        <w:t>consultation with affected groups</w:t>
      </w:r>
      <w:r w:rsidRPr="009B401E">
        <w:rPr>
          <w:rFonts w:ascii="Avenir Roman" w:hAnsi="Avenir Roman" w:cs="Arial"/>
          <w:sz w:val="22"/>
          <w:szCs w:val="22"/>
          <w:lang w:val="en-GB" w:bidi="ar-EG"/>
        </w:rPr>
        <w:t xml:space="preserve"> [emphasis added]</w:t>
      </w:r>
    </w:p>
    <w:p w14:paraId="6097DB49"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scoping;</w:t>
      </w:r>
    </w:p>
    <w:p w14:paraId="3CC476F5"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evidence gathering and data collection using qualitative and quantitative methods; </w:t>
      </w:r>
    </w:p>
    <w:p w14:paraId="58145D02"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analysing impacts;</w:t>
      </w:r>
    </w:p>
    <w:p w14:paraId="204104EC"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formulation of recommendations aimed at preventing adverse human rights impacts or ensuring that they are mitigated;</w:t>
      </w:r>
    </w:p>
    <w:p w14:paraId="79669A7D"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reporting and presentation of findings;</w:t>
      </w:r>
    </w:p>
    <w:p w14:paraId="7041958F" w14:textId="77777777" w:rsidR="009B401E" w:rsidRPr="009B401E" w:rsidRDefault="009B401E" w:rsidP="009B401E">
      <w:pPr>
        <w:pStyle w:val="FarbigeListe-Akzent11"/>
        <w:numPr>
          <w:ilvl w:val="1"/>
          <w:numId w:val="1"/>
        </w:numPr>
        <w:tabs>
          <w:tab w:val="left" w:pos="142"/>
        </w:tabs>
        <w:spacing w:line="276" w:lineRule="auto"/>
        <w:jc w:val="both"/>
        <w:rPr>
          <w:rFonts w:ascii="Avenir Roman" w:hAnsi="Avenir Roman" w:cs="Arial"/>
          <w:sz w:val="22"/>
          <w:szCs w:val="22"/>
          <w:lang w:val="en-GB" w:bidi="ar-EG"/>
        </w:rPr>
      </w:pPr>
      <w:r w:rsidRPr="009B401E">
        <w:rPr>
          <w:rFonts w:ascii="Avenir Roman" w:hAnsi="Avenir Roman" w:cs="Arial"/>
          <w:sz w:val="22"/>
          <w:szCs w:val="22"/>
          <w:lang w:val="en-GB" w:bidi="ar-EG"/>
        </w:rPr>
        <w:t>ongoing evaluation and monitoring of actual impacts.</w:t>
      </w:r>
    </w:p>
    <w:p w14:paraId="1F137B5F"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4970BF0E"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notes that consultation is the first step in the HRIA process. The HRIA model accordingly enables participation of DPOs and people with disabilities at the front end of its process. However, for the purposes of Article 4.3, such participation should extend throughout the HRIA process to include aspects such as the formulation of recommendations for preventing/mitigating against adverse outcomes and ongoing monitoring and evaluation. </w:t>
      </w:r>
    </w:p>
    <w:p w14:paraId="055E6A3C"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121E33BA"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HRIA processes that include DPO participation should also be extended to policy decisions concerning procurement and commissioning arrangements with non-government and private business enterprises for the delivery of services to people with disabilities.</w:t>
      </w:r>
    </w:p>
    <w:p w14:paraId="2BB31554"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1045F82F"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further considers that Article 4.2 of the Convention and Article 2.1 of ICESCR require States Parties to ensure that sufficient funding is made available to propagate the establishment and ongoing sustainability of DPOs. </w:t>
      </w:r>
    </w:p>
    <w:p w14:paraId="674ECD2F"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5522610F"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members have noted that the limited reach of DPOs often hinders </w:t>
      </w:r>
      <w:r w:rsidRPr="009B401E">
        <w:rPr>
          <w:rFonts w:ascii="Avenir Roman" w:hAnsi="Avenir Roman" w:cs="Arial"/>
          <w:sz w:val="22"/>
          <w:szCs w:val="22"/>
        </w:rPr>
        <w:t>the participation of persons with disabilities in consultation processes. This is particularly the case in rural or economically deprived regions. Members have identified a need for institutional and funding mechanisms to be developed that both enable DPOs to localise and widen their reach and that empower people with disabilities to organise themselves independently or via a DPO</w:t>
      </w:r>
      <w:r w:rsidRPr="009B401E">
        <w:rPr>
          <w:rStyle w:val="FootnoteReference"/>
          <w:rFonts w:ascii="Avenir Roman" w:hAnsi="Avenir Roman" w:cs="Arial"/>
          <w:sz w:val="22"/>
          <w:szCs w:val="22"/>
        </w:rPr>
        <w:footnoteReference w:id="15"/>
      </w:r>
      <w:r w:rsidRPr="009B401E">
        <w:rPr>
          <w:rFonts w:ascii="Avenir Roman" w:hAnsi="Avenir Roman" w:cs="Arial"/>
          <w:sz w:val="22"/>
          <w:szCs w:val="22"/>
        </w:rPr>
        <w:t xml:space="preserve">. </w:t>
      </w:r>
      <w:r w:rsidRPr="009B401E">
        <w:rPr>
          <w:rFonts w:ascii="Avenir Roman" w:hAnsi="Avenir Roman" w:cs="Arial"/>
          <w:sz w:val="22"/>
          <w:szCs w:val="22"/>
          <w:lang w:val="en-GB" w:bidi="ar-EG"/>
        </w:rPr>
        <w:t xml:space="preserve">GANHRI accordingly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the General Comment encourage States Parties to establish specific pools of ring-fenced funding for that purpose. </w:t>
      </w:r>
    </w:p>
    <w:p w14:paraId="22F26640"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48496B02"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GANHRI also notes that, on the issue of consultation, paragraph 35 of the General Comment provides that, in order to avoid tokenism, States Parties should “take into account the results of such consultations and reflect them in the decisions adopted” and, “as a legal duty…give priority to the views of DPOs”.</w:t>
      </w:r>
    </w:p>
    <w:p w14:paraId="439B09B0"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2DCF763C"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Further to our comments above</w:t>
      </w:r>
      <w:r w:rsidRPr="009B401E">
        <w:rPr>
          <w:rStyle w:val="FootnoteReference"/>
          <w:rFonts w:ascii="Avenir Roman" w:hAnsi="Avenir Roman" w:cs="Arial"/>
          <w:sz w:val="22"/>
          <w:szCs w:val="22"/>
          <w:lang w:val="en-GB" w:bidi="ar-EG"/>
        </w:rPr>
        <w:footnoteReference w:id="16"/>
      </w:r>
      <w:r w:rsidRPr="009B401E">
        <w:rPr>
          <w:rFonts w:ascii="Avenir Roman" w:hAnsi="Avenir Roman" w:cs="Arial"/>
          <w:sz w:val="22"/>
          <w:szCs w:val="22"/>
          <w:lang w:val="en-GB" w:bidi="ar-EG"/>
        </w:rPr>
        <w:t xml:space="preserve">, GANHRI considers that this approach is problematic. </w:t>
      </w:r>
      <w:r w:rsidRPr="009B401E">
        <w:rPr>
          <w:rFonts w:ascii="Avenir Roman" w:hAnsi="Avenir Roman" w:cs="Arial"/>
          <w:sz w:val="22"/>
          <w:szCs w:val="22"/>
          <w:lang w:val="en-GB"/>
        </w:rPr>
        <w:t xml:space="preserve">While it is crucial to ensure that consultation processes are integrated into transparent and accountable decision-making frameworks, there is a risk that prescribing priority to DPOs over other groups or individuals may lead to unbalanced decision-making. Furthermore, such an approach risks marginalising the participation rights of people with disabilities who are not represented by a DPO. </w:t>
      </w:r>
    </w:p>
    <w:p w14:paraId="0AF7B8B6" w14:textId="77777777" w:rsidR="009B401E" w:rsidRPr="009B401E" w:rsidRDefault="009B401E" w:rsidP="009B401E">
      <w:pPr>
        <w:pStyle w:val="ListParagraph"/>
        <w:spacing w:line="276" w:lineRule="auto"/>
        <w:rPr>
          <w:rFonts w:ascii="Avenir Roman" w:hAnsi="Avenir Roman" w:cs="Arial"/>
          <w:sz w:val="22"/>
          <w:szCs w:val="22"/>
          <w:lang w:val="en-GB"/>
        </w:rPr>
      </w:pPr>
    </w:p>
    <w:p w14:paraId="5C75DA95"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rPr>
        <w:t xml:space="preserve">GANHRI accordingly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paragraph 35 of the General Comment is amended to align with the Committee’s Guidelines on participation</w:t>
      </w:r>
      <w:r w:rsidRPr="009B401E">
        <w:rPr>
          <w:rStyle w:val="FootnoteReference"/>
          <w:rFonts w:ascii="Avenir Roman" w:hAnsi="Avenir Roman" w:cs="Arial"/>
          <w:sz w:val="22"/>
          <w:szCs w:val="22"/>
          <w:lang w:val="en-GB" w:bidi="ar-EG"/>
        </w:rPr>
        <w:footnoteReference w:id="17"/>
      </w:r>
      <w:r w:rsidRPr="009B401E">
        <w:rPr>
          <w:rFonts w:ascii="Avenir Roman" w:hAnsi="Avenir Roman" w:cs="Arial"/>
          <w:sz w:val="22"/>
          <w:szCs w:val="22"/>
          <w:lang w:val="en-GB" w:bidi="ar-EG"/>
        </w:rPr>
        <w:t xml:space="preserve"> and provide that consultative processes prescribe </w:t>
      </w:r>
      <w:r w:rsidRPr="009B401E">
        <w:rPr>
          <w:rFonts w:ascii="Avenir Roman" w:hAnsi="Avenir Roman" w:cs="Arial"/>
          <w:i/>
          <w:sz w:val="22"/>
          <w:szCs w:val="22"/>
          <w:lang w:val="en-GB" w:bidi="ar-EG"/>
        </w:rPr>
        <w:t>particular value</w:t>
      </w:r>
      <w:r w:rsidRPr="009B401E">
        <w:rPr>
          <w:rFonts w:ascii="Avenir Roman" w:hAnsi="Avenir Roman" w:cs="Arial"/>
          <w:sz w:val="22"/>
          <w:szCs w:val="22"/>
          <w:lang w:val="en-GB" w:bidi="ar-EG"/>
        </w:rPr>
        <w:t xml:space="preserve"> </w:t>
      </w:r>
      <w:r w:rsidRPr="009B401E">
        <w:rPr>
          <w:rFonts w:ascii="Avenir Roman" w:hAnsi="Avenir Roman" w:cs="Arial"/>
          <w:i/>
          <w:sz w:val="22"/>
          <w:szCs w:val="22"/>
          <w:lang w:val="en-GB" w:bidi="ar-EG"/>
        </w:rPr>
        <w:t xml:space="preserve">to the views of DPOs and other people with disabilities </w:t>
      </w:r>
      <w:r w:rsidRPr="009B401E">
        <w:rPr>
          <w:rFonts w:ascii="Avenir Roman" w:hAnsi="Avenir Roman" w:cs="Arial"/>
          <w:sz w:val="22"/>
          <w:szCs w:val="22"/>
          <w:lang w:val="en-GB" w:bidi="ar-EG"/>
        </w:rPr>
        <w:t xml:space="preserve">and ensure that </w:t>
      </w:r>
      <w:r w:rsidRPr="009B401E">
        <w:rPr>
          <w:rFonts w:ascii="Avenir Roman" w:hAnsi="Avenir Roman" w:cs="Arial"/>
          <w:i/>
          <w:sz w:val="22"/>
          <w:szCs w:val="22"/>
          <w:lang w:val="en-GB" w:bidi="ar-EG"/>
        </w:rPr>
        <w:t>priority is given to ascertaining the views of DPOs and people with disabilities</w:t>
      </w:r>
      <w:r w:rsidRPr="009B401E">
        <w:rPr>
          <w:rFonts w:ascii="Avenir Roman" w:hAnsi="Avenir Roman" w:cs="Arial"/>
          <w:sz w:val="22"/>
          <w:szCs w:val="22"/>
          <w:lang w:val="en-GB" w:bidi="ar-EG"/>
        </w:rPr>
        <w:t xml:space="preserve"> for this purpose.</w:t>
      </w:r>
    </w:p>
    <w:p w14:paraId="304F765F" w14:textId="77777777" w:rsidR="009B401E" w:rsidRPr="009B401E" w:rsidRDefault="009B401E" w:rsidP="009B401E">
      <w:pPr>
        <w:pStyle w:val="ListParagraph"/>
        <w:rPr>
          <w:rFonts w:ascii="Avenir Roman" w:hAnsi="Avenir Roman" w:cs="Arial"/>
          <w:sz w:val="22"/>
          <w:szCs w:val="22"/>
          <w:lang w:val="en-GB" w:bidi="ar-EG"/>
        </w:rPr>
      </w:pPr>
    </w:p>
    <w:p w14:paraId="737CF818" w14:textId="77777777" w:rsidR="009B401E" w:rsidRPr="009B401E" w:rsidRDefault="009B401E" w:rsidP="009B401E">
      <w:pPr>
        <w:pStyle w:val="FarbigeListe-Akzent11"/>
        <w:tabs>
          <w:tab w:val="left" w:pos="142"/>
        </w:tabs>
        <w:ind w:left="567"/>
        <w:jc w:val="both"/>
        <w:rPr>
          <w:rFonts w:ascii="Avenir Roman" w:hAnsi="Avenir Roman" w:cs="Arial"/>
          <w:sz w:val="22"/>
          <w:szCs w:val="22"/>
          <w:lang w:val="en-GB" w:bidi="ar-EG"/>
        </w:rPr>
      </w:pPr>
    </w:p>
    <w:p w14:paraId="1C46ABE7" w14:textId="4C550C7F" w:rsidR="009B401E" w:rsidRDefault="009B401E" w:rsidP="009B401E">
      <w:pPr>
        <w:pStyle w:val="ListParagraph"/>
        <w:spacing w:line="276" w:lineRule="auto"/>
        <w:rPr>
          <w:rFonts w:ascii="Avenir Roman" w:hAnsi="Avenir Roman" w:cs="Arial"/>
          <w:sz w:val="22"/>
          <w:szCs w:val="22"/>
          <w:lang w:val="en-GB" w:bidi="ar-EG"/>
        </w:rPr>
      </w:pPr>
    </w:p>
    <w:p w14:paraId="75CD3EA6" w14:textId="5DE95054" w:rsidR="00673678" w:rsidRDefault="00673678" w:rsidP="009B401E">
      <w:pPr>
        <w:pStyle w:val="ListParagraph"/>
        <w:spacing w:line="276" w:lineRule="auto"/>
        <w:rPr>
          <w:rFonts w:ascii="Avenir Roman" w:hAnsi="Avenir Roman" w:cs="Arial"/>
          <w:sz w:val="22"/>
          <w:szCs w:val="22"/>
          <w:lang w:val="en-GB" w:bidi="ar-EG"/>
        </w:rPr>
      </w:pPr>
    </w:p>
    <w:p w14:paraId="5ABB8141" w14:textId="77777777" w:rsidR="00673678" w:rsidRPr="009B401E" w:rsidRDefault="00673678" w:rsidP="009B401E">
      <w:pPr>
        <w:pStyle w:val="ListParagraph"/>
        <w:spacing w:line="276" w:lineRule="auto"/>
        <w:rPr>
          <w:rFonts w:ascii="Avenir Roman" w:hAnsi="Avenir Roman" w:cs="Arial"/>
          <w:sz w:val="22"/>
          <w:szCs w:val="22"/>
          <w:lang w:val="en-GB" w:bidi="ar-EG"/>
        </w:rPr>
      </w:pPr>
    </w:p>
    <w:p w14:paraId="5E3D8812"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lastRenderedPageBreak/>
        <w:t>IV. Relationship with other provisions of the Convention</w:t>
      </w:r>
    </w:p>
    <w:p w14:paraId="7999FB7E"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235212A0"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GANHRI welcomes the extensive assessment undertaken in this section of the draft General Comment. However, to reiterate our earlier suggestion, we </w:t>
      </w:r>
      <w:r w:rsidRPr="009B401E">
        <w:rPr>
          <w:rFonts w:ascii="Avenir Roman" w:hAnsi="Avenir Roman" w:cs="Arial"/>
          <w:b/>
          <w:sz w:val="22"/>
          <w:szCs w:val="22"/>
          <w:u w:val="single"/>
          <w:lang w:val="en-GB" w:bidi="ar-EG"/>
        </w:rPr>
        <w:t>suggest</w:t>
      </w:r>
      <w:r w:rsidRPr="009B401E">
        <w:rPr>
          <w:rFonts w:ascii="Avenir Roman" w:hAnsi="Avenir Roman" w:cs="Arial"/>
          <w:sz w:val="22"/>
          <w:szCs w:val="22"/>
          <w:lang w:val="en-GB" w:bidi="ar-EG"/>
        </w:rPr>
        <w:t xml:space="preserve"> that the General Comment reinforces the right to individuals, alongside DPOs, to participate in the areas of public life covered by the Conventions provisions. </w:t>
      </w:r>
    </w:p>
    <w:p w14:paraId="1EA155B9" w14:textId="77777777" w:rsidR="009B401E" w:rsidRPr="009B401E" w:rsidRDefault="009B401E" w:rsidP="009B401E">
      <w:pPr>
        <w:pStyle w:val="FarbigeListe-Akzent11"/>
        <w:tabs>
          <w:tab w:val="left" w:pos="142"/>
        </w:tabs>
        <w:spacing w:line="276" w:lineRule="auto"/>
        <w:ind w:left="567"/>
        <w:jc w:val="both"/>
        <w:rPr>
          <w:rFonts w:ascii="Avenir Roman" w:hAnsi="Avenir Roman" w:cs="Arial"/>
          <w:sz w:val="22"/>
          <w:szCs w:val="22"/>
          <w:lang w:val="en-GB" w:bidi="ar-EG"/>
        </w:rPr>
      </w:pPr>
    </w:p>
    <w:p w14:paraId="2E626CA1" w14:textId="77777777" w:rsidR="009B401E" w:rsidRP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Currently, this Part of the draft General Comment is largely focused on the participation of DPOs and does not contemplate to much extent the obligation on State Parties to ensure that marginalised people with disabilities, in particular those that do not have the benefit of representation through a DPO or CSO advocacy organisation, are provided with adequate participation opportunities.</w:t>
      </w:r>
    </w:p>
    <w:p w14:paraId="10EE2ED6" w14:textId="77777777" w:rsidR="009B401E" w:rsidRPr="009B401E" w:rsidRDefault="009B401E" w:rsidP="009B401E">
      <w:pPr>
        <w:pStyle w:val="ListParagraph"/>
        <w:spacing w:line="276" w:lineRule="auto"/>
        <w:ind w:left="0"/>
        <w:rPr>
          <w:rFonts w:ascii="Avenir Roman" w:hAnsi="Avenir Roman" w:cs="Arial"/>
          <w:sz w:val="22"/>
          <w:szCs w:val="22"/>
          <w:lang w:val="en-GB" w:bidi="ar-EG"/>
        </w:rPr>
      </w:pPr>
    </w:p>
    <w:p w14:paraId="1C87931F" w14:textId="77777777" w:rsidR="009B401E" w:rsidRPr="009B401E" w:rsidRDefault="009B401E" w:rsidP="009B401E">
      <w:pPr>
        <w:pStyle w:val="FarbigeListe-Akzent11"/>
        <w:tabs>
          <w:tab w:val="left" w:pos="142"/>
        </w:tabs>
        <w:spacing w:line="276" w:lineRule="auto"/>
        <w:ind w:left="0"/>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t>V. Implementation at the national level</w:t>
      </w:r>
    </w:p>
    <w:p w14:paraId="1823DBC3" w14:textId="77777777" w:rsidR="009B401E" w:rsidRPr="009B401E" w:rsidRDefault="009B401E" w:rsidP="009B401E">
      <w:pPr>
        <w:pStyle w:val="ListParagraph"/>
        <w:spacing w:line="276" w:lineRule="auto"/>
        <w:rPr>
          <w:rFonts w:ascii="Avenir Roman" w:hAnsi="Avenir Roman" w:cs="Arial"/>
          <w:sz w:val="22"/>
          <w:szCs w:val="22"/>
          <w:lang w:val="en-GB" w:bidi="ar-EG"/>
        </w:rPr>
      </w:pPr>
    </w:p>
    <w:p w14:paraId="32B296F7" w14:textId="77777777" w:rsidR="009B401E" w:rsidRDefault="009B401E" w:rsidP="009B401E">
      <w:pPr>
        <w:pStyle w:val="FarbigeListe-Akzent11"/>
        <w:numPr>
          <w:ilvl w:val="0"/>
          <w:numId w:val="1"/>
        </w:numPr>
        <w:tabs>
          <w:tab w:val="left" w:pos="142"/>
        </w:tabs>
        <w:spacing w:line="276" w:lineRule="auto"/>
        <w:ind w:left="567"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Further to our points raised earlier in the submission, GANHRI </w:t>
      </w:r>
      <w:r w:rsidRPr="009B401E">
        <w:rPr>
          <w:rFonts w:ascii="Avenir Roman" w:hAnsi="Avenir Roman" w:cs="Arial"/>
          <w:b/>
          <w:sz w:val="22"/>
          <w:szCs w:val="22"/>
          <w:u w:val="single"/>
          <w:lang w:val="en-GB" w:bidi="ar-EG"/>
        </w:rPr>
        <w:t>suggests</w:t>
      </w:r>
      <w:r w:rsidRPr="009B401E">
        <w:rPr>
          <w:rFonts w:ascii="Avenir Roman" w:hAnsi="Avenir Roman" w:cs="Arial"/>
          <w:sz w:val="22"/>
          <w:szCs w:val="22"/>
          <w:lang w:val="en-GB" w:bidi="ar-EG"/>
        </w:rPr>
        <w:t xml:space="preserve"> that this Part of the General Comment address the national implementation of Articles 4.3 and 33.3 separately. </w:t>
      </w:r>
    </w:p>
    <w:p w14:paraId="08565461" w14:textId="77777777" w:rsidR="009B401E" w:rsidRDefault="009B401E" w:rsidP="009B401E">
      <w:pPr>
        <w:pStyle w:val="FarbigeListe-Akzent11"/>
        <w:tabs>
          <w:tab w:val="left" w:pos="142"/>
        </w:tabs>
        <w:spacing w:line="276" w:lineRule="auto"/>
        <w:jc w:val="both"/>
        <w:rPr>
          <w:rFonts w:ascii="Avenir Roman" w:hAnsi="Avenir Roman" w:cs="Arial"/>
          <w:sz w:val="22"/>
          <w:szCs w:val="22"/>
          <w:lang w:val="en-GB" w:bidi="ar-EG"/>
        </w:rPr>
      </w:pPr>
    </w:p>
    <w:p w14:paraId="72EFCE20" w14:textId="1A2C1936" w:rsidR="009B401E" w:rsidRDefault="009B401E" w:rsidP="009B401E">
      <w:pPr>
        <w:pStyle w:val="FarbigeListe-Akzent11"/>
        <w:tabs>
          <w:tab w:val="left" w:pos="142"/>
        </w:tabs>
        <w:spacing w:line="276" w:lineRule="auto"/>
        <w:jc w:val="both"/>
        <w:rPr>
          <w:rFonts w:ascii="Avenir Roman" w:hAnsi="Avenir Roman" w:cs="Arial"/>
          <w:sz w:val="22"/>
          <w:szCs w:val="22"/>
          <w:lang w:val="en-GB" w:bidi="ar-EG"/>
        </w:rPr>
      </w:pPr>
    </w:p>
    <w:p w14:paraId="28CFEEC8" w14:textId="4C08310B"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714E4A49" w14:textId="6384C3CF"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7758CE9D" w14:textId="24FB44E3"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568E8903" w14:textId="352B1C0C"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51DFB7AC" w14:textId="0E962DFC"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326ED0A0" w14:textId="604646D1"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03179EB7" w14:textId="3C307D57"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2B45488D" w14:textId="1BFD20D1"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58E0B25D" w14:textId="3F277BB8"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68C204D4" w14:textId="764021B0"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155953A0" w14:textId="1EE9F02D"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0FAFBA07" w14:textId="6380638D"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4F77FD3A" w14:textId="493A6E37"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61A30D25" w14:textId="473C2420"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6942B7BD" w14:textId="3F8FBEE1"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089A82D3" w14:textId="2A999E43"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6259405D" w14:textId="15070954"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49FD9150" w14:textId="1FBC93F0"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20842AEB" w14:textId="096F2CDA"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p>
    <w:p w14:paraId="52B5D5E7" w14:textId="3476CE6B" w:rsidR="00196CDD" w:rsidRDefault="00196CDD" w:rsidP="009B401E">
      <w:pPr>
        <w:pStyle w:val="FarbigeListe-Akzent11"/>
        <w:tabs>
          <w:tab w:val="left" w:pos="142"/>
        </w:tabs>
        <w:spacing w:line="276" w:lineRule="auto"/>
        <w:jc w:val="both"/>
        <w:rPr>
          <w:rFonts w:ascii="Avenir Roman" w:hAnsi="Avenir Roman" w:cs="Arial"/>
          <w:sz w:val="22"/>
          <w:szCs w:val="22"/>
          <w:lang w:val="en-GB" w:bidi="ar-EG"/>
        </w:rPr>
      </w:pPr>
      <w:bookmarkStart w:id="3" w:name="_GoBack"/>
      <w:bookmarkEnd w:id="3"/>
    </w:p>
    <w:p w14:paraId="1FDB2A60" w14:textId="77777777" w:rsidR="00196CDD" w:rsidRPr="009B401E" w:rsidRDefault="00196CDD" w:rsidP="009B401E">
      <w:pPr>
        <w:pStyle w:val="FarbigeListe-Akzent11"/>
        <w:tabs>
          <w:tab w:val="left" w:pos="142"/>
        </w:tabs>
        <w:spacing w:line="276" w:lineRule="auto"/>
        <w:jc w:val="both"/>
        <w:rPr>
          <w:rFonts w:ascii="Avenir Roman" w:hAnsi="Avenir Roman" w:cs="Arial"/>
          <w:sz w:val="22"/>
          <w:szCs w:val="22"/>
          <w:lang w:val="en-GB" w:bidi="ar-E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648"/>
      </w:tblGrid>
      <w:tr w:rsidR="009B401E" w:rsidRPr="009B401E" w14:paraId="48CA028B" w14:textId="77777777" w:rsidTr="00071C36">
        <w:tc>
          <w:tcPr>
            <w:tcW w:w="8648" w:type="dxa"/>
            <w:tcBorders>
              <w:top w:val="single" w:sz="1" w:space="0" w:color="000000"/>
              <w:left w:val="single" w:sz="1" w:space="0" w:color="000000"/>
              <w:bottom w:val="single" w:sz="1" w:space="0" w:color="000000"/>
              <w:right w:val="single" w:sz="1" w:space="0" w:color="000000"/>
            </w:tcBorders>
            <w:shd w:val="clear" w:color="auto" w:fill="auto"/>
          </w:tcPr>
          <w:p w14:paraId="74C38700" w14:textId="77777777" w:rsidR="009B401E" w:rsidRPr="009B401E" w:rsidRDefault="009B401E" w:rsidP="00071C36">
            <w:pPr>
              <w:pStyle w:val="FarbigeListe-Akzent11"/>
              <w:tabs>
                <w:tab w:val="left" w:pos="142"/>
              </w:tabs>
              <w:snapToGrid w:val="0"/>
              <w:spacing w:line="276" w:lineRule="auto"/>
              <w:ind w:left="87"/>
              <w:jc w:val="both"/>
              <w:rPr>
                <w:rFonts w:ascii="Avenir Roman" w:hAnsi="Avenir Roman" w:cs="Arial"/>
                <w:sz w:val="22"/>
                <w:szCs w:val="22"/>
                <w:u w:val="single"/>
                <w:lang w:val="en-GB" w:bidi="ar-EG"/>
              </w:rPr>
            </w:pPr>
            <w:r w:rsidRPr="009B401E">
              <w:rPr>
                <w:rFonts w:ascii="Avenir Roman" w:hAnsi="Avenir Roman" w:cs="Arial"/>
                <w:sz w:val="22"/>
                <w:szCs w:val="22"/>
                <w:u w:val="single"/>
                <w:lang w:val="en-GB" w:bidi="ar-EG"/>
              </w:rPr>
              <w:t>Summary of GANHRI’s key suggestions</w:t>
            </w:r>
          </w:p>
          <w:p w14:paraId="0C1F0211" w14:textId="77777777" w:rsidR="009B401E" w:rsidRPr="009B401E" w:rsidRDefault="009B401E" w:rsidP="00071C36">
            <w:pPr>
              <w:pStyle w:val="FarbigeListe-Akzent11"/>
              <w:spacing w:line="276" w:lineRule="auto"/>
              <w:rPr>
                <w:rFonts w:ascii="Avenir Roman" w:hAnsi="Avenir Roman" w:cs="Arial"/>
                <w:sz w:val="22"/>
                <w:szCs w:val="22"/>
                <w:shd w:val="clear" w:color="auto" w:fill="FFFF00"/>
                <w:lang w:val="en-GB" w:bidi="ar-EG"/>
              </w:rPr>
            </w:pPr>
          </w:p>
          <w:p w14:paraId="1C9EEB6B" w14:textId="77777777" w:rsidR="009B401E" w:rsidRPr="009B401E" w:rsidRDefault="009B401E" w:rsidP="00071C36">
            <w:pPr>
              <w:pStyle w:val="FarbigeListe-Akzent11"/>
              <w:tabs>
                <w:tab w:val="left" w:pos="142"/>
              </w:tabs>
              <w:spacing w:line="276" w:lineRule="auto"/>
              <w:ind w:left="87" w:right="229"/>
              <w:jc w:val="both"/>
              <w:rPr>
                <w:rFonts w:ascii="Avenir Roman" w:hAnsi="Avenir Roman" w:cs="Arial"/>
                <w:sz w:val="22"/>
                <w:szCs w:val="22"/>
                <w:lang w:val="en-GB" w:bidi="ar-EG"/>
              </w:rPr>
            </w:pPr>
            <w:r w:rsidRPr="009B401E">
              <w:rPr>
                <w:rFonts w:ascii="Avenir Roman" w:hAnsi="Avenir Roman" w:cs="Arial"/>
                <w:sz w:val="22"/>
                <w:szCs w:val="22"/>
                <w:lang w:val="en-GB" w:bidi="ar-EG"/>
              </w:rPr>
              <w:t>In these comments, GANHRI has made a number of suggestions aimed at further strengthening the General Comment. These are summarised below:</w:t>
            </w:r>
          </w:p>
          <w:p w14:paraId="17BA25EA" w14:textId="77777777" w:rsidR="009B401E" w:rsidRPr="009B401E" w:rsidRDefault="009B401E" w:rsidP="00071C36">
            <w:pPr>
              <w:pStyle w:val="FarbigeListe-Akzent11"/>
              <w:tabs>
                <w:tab w:val="left" w:pos="142"/>
                <w:tab w:val="left" w:pos="796"/>
              </w:tabs>
              <w:spacing w:line="276" w:lineRule="auto"/>
              <w:ind w:left="796" w:right="229" w:hanging="567"/>
              <w:jc w:val="both"/>
              <w:rPr>
                <w:rFonts w:ascii="Avenir Roman" w:hAnsi="Avenir Roman" w:cs="Arial"/>
                <w:sz w:val="22"/>
                <w:szCs w:val="22"/>
                <w:lang w:val="en-GB" w:bidi="ar-EG"/>
              </w:rPr>
            </w:pPr>
          </w:p>
          <w:p w14:paraId="5B4D44C5"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title of the General Comment is amended to include reference to “other decision-making processes”.</w:t>
            </w:r>
          </w:p>
          <w:p w14:paraId="3E540D56"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That both the content and format of the General Comment would benefit from further editing so to ensure that the Committee’s jurisprudential positions are readily identifiable, concise and clearly defined.</w:t>
            </w:r>
          </w:p>
          <w:p w14:paraId="399078EE"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Style w:val="Kommentarzeichen2"/>
                <w:rFonts w:ascii="Avenir Roman" w:hAnsi="Avenir Roman"/>
                <w:sz w:val="22"/>
                <w:szCs w:val="22"/>
                <w:lang w:val="en-GB" w:bidi="ar-EG"/>
              </w:rPr>
            </w:pPr>
            <w:r w:rsidRPr="009B401E">
              <w:rPr>
                <w:rStyle w:val="Kommentarzeichen2"/>
                <w:rFonts w:ascii="Avenir Roman" w:hAnsi="Avenir Roman"/>
                <w:sz w:val="22"/>
                <w:szCs w:val="22"/>
                <w:lang w:val="en-GB" w:bidi="ar-EG"/>
              </w:rPr>
              <w:t>That t</w:t>
            </w:r>
            <w:r w:rsidRPr="009B401E">
              <w:rPr>
                <w:rFonts w:ascii="Avenir Roman" w:hAnsi="Avenir Roman" w:cs="Arial"/>
                <w:sz w:val="22"/>
                <w:szCs w:val="22"/>
                <w:lang w:val="en-GB" w:bidi="ar-EG"/>
              </w:rPr>
              <w:t>he structure and content of General Comment should also be reviewed to ensure that it effectively distinguishes the respective legal purposes of Articles 4.3 and 33.3.</w:t>
            </w:r>
          </w:p>
          <w:p w14:paraId="767C1062"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clearly state that Article 4.3 should not be interpreted as limiting the right of individual persons with disabilities to participate in implementation or decision-making processes.</w:t>
            </w:r>
          </w:p>
          <w:p w14:paraId="108D7C36"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is amended to clarify the types of organisations listed in paragraph 14 that may fall under the DPO category.</w:t>
            </w:r>
          </w:p>
          <w:p w14:paraId="1EE2D9CB"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draw further attention to DPOs that represent population groups who are particularly vulnerable to experiencing additional systemic discrimination, including those representing indigenous people, LGBTI people, ethnic minorities, migrants and refugees.</w:t>
            </w:r>
          </w:p>
          <w:p w14:paraId="7FCA00BB"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eastAsia="Lucida Grande" w:hAnsi="Avenir Roman" w:cs="Arial"/>
                <w:sz w:val="22"/>
                <w:szCs w:val="22"/>
                <w:lang w:val="en-GB" w:bidi="ar-EG"/>
              </w:rPr>
            </w:pPr>
            <w:r w:rsidRPr="009B401E">
              <w:rPr>
                <w:rFonts w:ascii="Avenir Roman" w:hAnsi="Avenir Roman" w:cs="Arial"/>
                <w:sz w:val="22"/>
                <w:szCs w:val="22"/>
                <w:lang w:val="en-GB" w:bidi="ar-EG"/>
              </w:rPr>
              <w:t xml:space="preserve">That, as regards participation, the General Comment is amended to provide for a requirement that State Parties should give </w:t>
            </w:r>
            <w:r w:rsidRPr="009B401E">
              <w:rPr>
                <w:rFonts w:ascii="Avenir Roman" w:hAnsi="Avenir Roman" w:cs="Arial"/>
                <w:i/>
                <w:sz w:val="22"/>
                <w:szCs w:val="22"/>
                <w:lang w:val="en-GB" w:bidi="ar-EG"/>
              </w:rPr>
              <w:t>particular value</w:t>
            </w:r>
            <w:r w:rsidRPr="009B401E">
              <w:rPr>
                <w:rFonts w:ascii="Avenir Roman" w:hAnsi="Avenir Roman" w:cs="Arial"/>
                <w:sz w:val="22"/>
                <w:szCs w:val="22"/>
                <w:lang w:val="en-GB" w:bidi="ar-EG"/>
              </w:rPr>
              <w:t xml:space="preserve"> </w:t>
            </w:r>
            <w:r w:rsidRPr="009B401E">
              <w:rPr>
                <w:rFonts w:ascii="Avenir Roman" w:hAnsi="Avenir Roman" w:cs="Arial"/>
                <w:i/>
                <w:sz w:val="22"/>
                <w:szCs w:val="22"/>
                <w:lang w:val="en-GB" w:bidi="ar-EG"/>
              </w:rPr>
              <w:t>to the views of DPOs</w:t>
            </w:r>
            <w:r w:rsidRPr="009B401E">
              <w:rPr>
                <w:rFonts w:ascii="Avenir Roman" w:hAnsi="Avenir Roman" w:cs="Arial"/>
                <w:sz w:val="22"/>
                <w:szCs w:val="22"/>
                <w:lang w:val="en-GB" w:bidi="ar-EG"/>
              </w:rPr>
              <w:t xml:space="preserve"> and ensure that </w:t>
            </w:r>
            <w:r w:rsidRPr="009B401E">
              <w:rPr>
                <w:rFonts w:ascii="Avenir Roman" w:hAnsi="Avenir Roman" w:cs="Arial"/>
                <w:i/>
                <w:sz w:val="22"/>
                <w:szCs w:val="22"/>
                <w:lang w:val="en-GB" w:bidi="ar-EG"/>
              </w:rPr>
              <w:t>priority is given to ascertaining the views of DPOs</w:t>
            </w:r>
            <w:r w:rsidRPr="009B401E">
              <w:rPr>
                <w:rFonts w:ascii="Avenir Roman" w:hAnsi="Avenir Roman" w:cs="Arial"/>
                <w:sz w:val="22"/>
                <w:szCs w:val="22"/>
                <w:lang w:val="en-GB" w:bidi="ar-EG"/>
              </w:rPr>
              <w:t xml:space="preserve"> for this purpose.</w:t>
            </w:r>
          </w:p>
          <w:p w14:paraId="038B0AC9"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is reframed to highlight ways in which CSOs can mitigate against conflicts of interest in their advocacy work.</w:t>
            </w:r>
          </w:p>
          <w:p w14:paraId="08297672"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That the General Comment clarifies that DPOs are civil society entities that have a distinct role under the Convention in enabling the participation of people with disabilities in monitoring, implementation and other decision-making processes. </w:t>
            </w:r>
          </w:p>
          <w:p w14:paraId="39B1BA72"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refer to the application of Article 4.3 to private enterprises, in particular those providing services on behalf of the State Party via procurement contracts or other forms of outsourcing arrangements.</w:t>
            </w:r>
          </w:p>
          <w:p w14:paraId="724A88BE"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provide that all decision-making activities that impact on people with disabilities that are undertaken by private enterprises and State Parties, either individually or via agreement, conform with the three pillars of the UN Guiding Principles on Business and Human Rights.</w:t>
            </w:r>
          </w:p>
          <w:p w14:paraId="306CDF5B"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lastRenderedPageBreak/>
              <w:t>That the General Comment refers to the implementation of supported-decision making criteria for people with disabilities that may otherwise be excluded from direct participation on the basis of capacity. This should include the availability of support services for this purpose.</w:t>
            </w:r>
          </w:p>
          <w:p w14:paraId="5BC16320"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include a requirement that digital communications platforms, including those operated by private social media enterprises, ensure that they meet international accessibility standards, in particular where those platforms are used for consultative purposes.</w:t>
            </w:r>
          </w:p>
          <w:p w14:paraId="25049DE4"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adopt the basic requirements for the implementation of the right of the child to be heard established by the CRC Committee in its General Comment No 12.</w:t>
            </w:r>
          </w:p>
          <w:p w14:paraId="3D29F072"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provide that States Parties ensure that participation mechanisms are a standard component of all policy and legislative development and implementation procedures.</w:t>
            </w:r>
          </w:p>
          <w:p w14:paraId="0CFA1D3C"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duly acknowledge the independent role of NHRIs as provided under the Paris Principles.</w:t>
            </w:r>
          </w:p>
          <w:p w14:paraId="724035C6"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 xml:space="preserve">That paragraph 28 of the General Comment is expanded to provide that States Parties should ensure that IMMs, and the NHRIs within them, are sufficiently resourced to support the full participation of DPOs in monitoring processes.  </w:t>
            </w:r>
          </w:p>
          <w:p w14:paraId="245BE8DD" w14:textId="77777777" w:rsidR="009B401E" w:rsidRPr="009B401E" w:rsidRDefault="009B401E" w:rsidP="00071C36">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provide that States Parties develop and utilise consultation channels with DPOs as a matter of course during the policy development process, via a human rights impact assessment (HRIA) policy mechanism that engages with DPOs.</w:t>
            </w:r>
          </w:p>
          <w:p w14:paraId="75012A8B" w14:textId="77777777" w:rsidR="009B401E" w:rsidRPr="009B401E" w:rsidRDefault="009B401E" w:rsidP="009B401E">
            <w:pPr>
              <w:pStyle w:val="FarbigeListe-Akzent11"/>
              <w:numPr>
                <w:ilvl w:val="0"/>
                <w:numId w:val="3"/>
              </w:numPr>
              <w:tabs>
                <w:tab w:val="left" w:pos="142"/>
                <w:tab w:val="left" w:pos="796"/>
              </w:tabs>
              <w:spacing w:line="276" w:lineRule="auto"/>
              <w:ind w:left="796" w:right="229" w:hanging="567"/>
              <w:jc w:val="both"/>
              <w:rPr>
                <w:rFonts w:ascii="Avenir Roman" w:hAnsi="Avenir Roman" w:cs="Arial"/>
                <w:sz w:val="22"/>
                <w:szCs w:val="22"/>
                <w:lang w:val="en-GB" w:bidi="ar-EG"/>
              </w:rPr>
            </w:pPr>
            <w:r w:rsidRPr="009B401E">
              <w:rPr>
                <w:rFonts w:ascii="Avenir Roman" w:hAnsi="Avenir Roman" w:cs="Arial"/>
                <w:sz w:val="22"/>
                <w:szCs w:val="22"/>
                <w:lang w:val="en-GB" w:bidi="ar-EG"/>
              </w:rPr>
              <w:t>That the General Comment encourage States Parties to establish specific pools of ring-fenced funding and funding mechanisms for the purpose of establishing and sustaining DPOs and enabling independent participation of people with disabilities in decision-making processes.</w:t>
            </w:r>
          </w:p>
        </w:tc>
      </w:tr>
    </w:tbl>
    <w:p w14:paraId="08D065A4" w14:textId="77777777" w:rsidR="009B401E" w:rsidRPr="009B401E" w:rsidRDefault="009B401E">
      <w:pPr>
        <w:rPr>
          <w:rFonts w:ascii="Avenir Roman" w:hAnsi="Avenir Roman"/>
        </w:rPr>
      </w:pPr>
    </w:p>
    <w:sectPr w:rsidR="009B401E" w:rsidRPr="009B401E" w:rsidSect="00DE6ED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5A42D" w14:textId="77777777" w:rsidR="009B401E" w:rsidRDefault="009B401E" w:rsidP="009B401E">
      <w:pPr>
        <w:spacing w:after="0" w:line="240" w:lineRule="auto"/>
      </w:pPr>
      <w:r>
        <w:separator/>
      </w:r>
    </w:p>
  </w:endnote>
  <w:endnote w:type="continuationSeparator" w:id="0">
    <w:p w14:paraId="2EED6E2B" w14:textId="77777777" w:rsidR="009B401E" w:rsidRDefault="009B401E" w:rsidP="009B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w:panose1 w:val="020B0503020203020204"/>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359C5" w14:textId="77777777" w:rsidR="009B401E" w:rsidRDefault="009B401E" w:rsidP="009B401E">
      <w:pPr>
        <w:spacing w:after="0" w:line="240" w:lineRule="auto"/>
      </w:pPr>
      <w:r>
        <w:separator/>
      </w:r>
    </w:p>
  </w:footnote>
  <w:footnote w:type="continuationSeparator" w:id="0">
    <w:p w14:paraId="6832DE13" w14:textId="77777777" w:rsidR="009B401E" w:rsidRDefault="009B401E" w:rsidP="009B401E">
      <w:pPr>
        <w:spacing w:after="0" w:line="240" w:lineRule="auto"/>
      </w:pPr>
      <w:r>
        <w:continuationSeparator/>
      </w:r>
    </w:p>
  </w:footnote>
  <w:footnote w:id="1">
    <w:p w14:paraId="009F6581" w14:textId="77777777" w:rsidR="009B401E" w:rsidRPr="009B401E" w:rsidRDefault="009B401E" w:rsidP="009B401E">
      <w:pPr>
        <w:pStyle w:val="FootnoteText"/>
        <w:rPr>
          <w:rFonts w:ascii="Avenir Roman" w:hAnsi="Avenir Roman" w:cs="Arial"/>
          <w:sz w:val="16"/>
          <w:szCs w:val="16"/>
        </w:rPr>
      </w:pPr>
      <w:r w:rsidRPr="009B401E">
        <w:rPr>
          <w:rStyle w:val="FootnoteReference"/>
          <w:rFonts w:ascii="Avenir Roman" w:hAnsi="Avenir Roman"/>
        </w:rPr>
        <w:footnoteRef/>
      </w:r>
      <w:r w:rsidRPr="009B401E">
        <w:rPr>
          <w:rFonts w:ascii="Avenir Roman" w:hAnsi="Avenir Roman"/>
        </w:rPr>
        <w:t xml:space="preserve"> </w:t>
      </w:r>
      <w:r w:rsidRPr="009B401E">
        <w:rPr>
          <w:rFonts w:ascii="Avenir Roman" w:hAnsi="Avenir Roman"/>
        </w:rPr>
        <w:tab/>
      </w:r>
      <w:r w:rsidRPr="009B401E">
        <w:rPr>
          <w:rFonts w:ascii="Avenir Roman" w:hAnsi="Avenir Roman"/>
        </w:rPr>
        <w:tab/>
      </w:r>
      <w:r w:rsidRPr="009B401E">
        <w:rPr>
          <w:rFonts w:ascii="Avenir Roman" w:hAnsi="Avenir Roman" w:cs="Arial"/>
          <w:sz w:val="16"/>
          <w:szCs w:val="16"/>
        </w:rPr>
        <w:t>‘of’ is changed from ‘with’, which is used in the title of the current draft General Comment</w:t>
      </w:r>
    </w:p>
  </w:footnote>
  <w:footnote w:id="2">
    <w:p w14:paraId="7E05C720" w14:textId="77777777" w:rsidR="009B401E" w:rsidRPr="009B401E" w:rsidRDefault="009B401E" w:rsidP="009B401E">
      <w:pPr>
        <w:pStyle w:val="FootnoteText"/>
        <w:rPr>
          <w:rFonts w:ascii="Avenir Roman" w:hAnsi="Avenir Roman"/>
        </w:rPr>
      </w:pPr>
      <w:r w:rsidRPr="009B401E">
        <w:rPr>
          <w:rStyle w:val="FootnoteReference"/>
          <w:rFonts w:ascii="Avenir Roman" w:hAnsi="Avenir Roman"/>
        </w:rPr>
        <w:footnoteRef/>
      </w:r>
      <w:r w:rsidRPr="009B401E">
        <w:rPr>
          <w:rFonts w:ascii="Avenir Roman" w:hAnsi="Avenir Roman"/>
        </w:rPr>
        <w:t xml:space="preserve"> </w:t>
      </w:r>
      <w:r w:rsidRPr="009B401E">
        <w:rPr>
          <w:rFonts w:ascii="Avenir Roman" w:hAnsi="Avenir Roman"/>
        </w:rPr>
        <w:tab/>
      </w:r>
      <w:r w:rsidRPr="009B401E">
        <w:rPr>
          <w:rFonts w:ascii="Avenir Roman" w:hAnsi="Avenir Roman"/>
        </w:rPr>
        <w:tab/>
      </w:r>
      <w:r w:rsidRPr="009B401E">
        <w:rPr>
          <w:rFonts w:ascii="Avenir Roman" w:hAnsi="Avenir Roman" w:cs="Arial"/>
          <w:sz w:val="16"/>
          <w:szCs w:val="16"/>
        </w:rPr>
        <w:t>Such as paragraphs 33 and 34 for example</w:t>
      </w:r>
    </w:p>
  </w:footnote>
  <w:footnote w:id="3">
    <w:p w14:paraId="3EB503FB" w14:textId="77777777" w:rsidR="009B401E" w:rsidRPr="009B401E" w:rsidRDefault="009B401E" w:rsidP="009B401E">
      <w:pPr>
        <w:pStyle w:val="FootnoteText"/>
        <w:rPr>
          <w:rFonts w:ascii="Avenir Roman" w:hAnsi="Avenir Roman"/>
        </w:rPr>
      </w:pPr>
      <w:r w:rsidRPr="009B401E">
        <w:rPr>
          <w:rStyle w:val="FootnoteReference"/>
          <w:rFonts w:ascii="Avenir Roman" w:hAnsi="Avenir Roman"/>
        </w:rPr>
        <w:footnoteRef/>
      </w:r>
      <w:r w:rsidRPr="009B401E">
        <w:rPr>
          <w:rFonts w:ascii="Avenir Roman" w:hAnsi="Avenir Roman"/>
        </w:rPr>
        <w:t xml:space="preserve"> </w:t>
      </w:r>
      <w:r w:rsidRPr="009B401E">
        <w:rPr>
          <w:rFonts w:ascii="Avenir Roman" w:hAnsi="Avenir Roman"/>
        </w:rPr>
        <w:tab/>
      </w:r>
      <w:r w:rsidRPr="009B401E">
        <w:rPr>
          <w:rFonts w:ascii="Avenir Roman" w:hAnsi="Avenir Roman"/>
        </w:rPr>
        <w:tab/>
      </w:r>
      <w:r w:rsidRPr="009B401E">
        <w:rPr>
          <w:rFonts w:ascii="Avenir Roman" w:hAnsi="Avenir Roman" w:cs="Arial"/>
          <w:sz w:val="16"/>
          <w:szCs w:val="16"/>
        </w:rPr>
        <w:t>See paragraph 29 of the Draft General Comment</w:t>
      </w:r>
    </w:p>
  </w:footnote>
  <w:footnote w:id="4">
    <w:p w14:paraId="41668E53" w14:textId="77777777" w:rsidR="009B401E" w:rsidRPr="009B401E" w:rsidRDefault="009B401E" w:rsidP="009B401E">
      <w:pPr>
        <w:pStyle w:val="FootnoteText"/>
        <w:rPr>
          <w:rFonts w:ascii="Avenir Roman" w:hAnsi="Avenir Roman"/>
        </w:rPr>
      </w:pPr>
      <w:r w:rsidRPr="009B401E">
        <w:rPr>
          <w:rStyle w:val="FootnoteReference"/>
          <w:rFonts w:ascii="Avenir Roman" w:hAnsi="Avenir Roman"/>
        </w:rPr>
        <w:footnoteRef/>
      </w:r>
      <w:r w:rsidRPr="009B401E">
        <w:rPr>
          <w:rFonts w:ascii="Avenir Roman" w:hAnsi="Avenir Roman"/>
        </w:rPr>
        <w:t xml:space="preserve"> </w:t>
      </w:r>
      <w:r w:rsidRPr="009B401E">
        <w:rPr>
          <w:rFonts w:ascii="Avenir Roman" w:hAnsi="Avenir Roman"/>
        </w:rPr>
        <w:tab/>
      </w:r>
      <w:r w:rsidRPr="009B401E">
        <w:rPr>
          <w:rFonts w:ascii="Avenir Roman" w:hAnsi="Avenir Roman"/>
        </w:rPr>
        <w:tab/>
      </w:r>
      <w:r w:rsidRPr="009B401E">
        <w:rPr>
          <w:rFonts w:ascii="Avenir Roman" w:hAnsi="Avenir Roman" w:cs="Arial"/>
          <w:sz w:val="16"/>
          <w:szCs w:val="16"/>
        </w:rPr>
        <w:t>Ibid at paragraph 21</w:t>
      </w:r>
    </w:p>
  </w:footnote>
  <w:footnote w:id="5">
    <w:p w14:paraId="166ECD56" w14:textId="77777777" w:rsidR="009B401E" w:rsidRPr="009B401E" w:rsidRDefault="009B401E" w:rsidP="009B401E">
      <w:pPr>
        <w:pStyle w:val="FootnoteText"/>
        <w:ind w:left="709" w:hanging="709"/>
        <w:rPr>
          <w:rFonts w:ascii="Avenir Roman" w:hAnsi="Avenir Roman" w:cs="Arial"/>
          <w:sz w:val="16"/>
          <w:szCs w:val="16"/>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t xml:space="preserve">Per the Committees </w:t>
      </w:r>
      <w:r w:rsidRPr="009B401E">
        <w:rPr>
          <w:rFonts w:ascii="Avenir Roman" w:hAnsi="Avenir Roman" w:cs="Arial"/>
          <w:sz w:val="16"/>
          <w:szCs w:val="16"/>
          <w:lang w:val="en-GB"/>
        </w:rPr>
        <w:t>Guidelines on the Participation of DPOs and CSOs in the work of the Committee, para 2, CRPD/C/11/2, Annex 2</w:t>
      </w:r>
    </w:p>
  </w:footnote>
  <w:footnote w:id="6">
    <w:p w14:paraId="33C82526" w14:textId="77777777" w:rsidR="009B401E" w:rsidRPr="009B401E" w:rsidRDefault="009B401E" w:rsidP="009B401E">
      <w:pPr>
        <w:pStyle w:val="FootnoteText"/>
        <w:rPr>
          <w:rFonts w:ascii="Avenir Roman" w:hAnsi="Avenir Roman" w:cs="Arial"/>
          <w:sz w:val="16"/>
          <w:szCs w:val="16"/>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bookmarkStart w:id="2" w:name="_Hlk511382397"/>
      <w:r w:rsidRPr="009B401E">
        <w:rPr>
          <w:rFonts w:ascii="Avenir Roman" w:hAnsi="Avenir Roman" w:cs="Arial"/>
          <w:sz w:val="16"/>
          <w:szCs w:val="16"/>
        </w:rPr>
        <w:tab/>
      </w:r>
      <w:r w:rsidRPr="009B401E">
        <w:rPr>
          <w:rFonts w:ascii="Avenir Roman" w:hAnsi="Avenir Roman" w:cs="Arial"/>
          <w:sz w:val="16"/>
          <w:szCs w:val="16"/>
        </w:rPr>
        <w:tab/>
        <w:t>CRC/C/GC/12, 20 July 2009, para 2</w:t>
      </w:r>
      <w:bookmarkEnd w:id="2"/>
    </w:p>
  </w:footnote>
  <w:footnote w:id="7">
    <w:p w14:paraId="2045F288" w14:textId="77777777" w:rsidR="009B401E" w:rsidRPr="009B401E" w:rsidRDefault="009B401E" w:rsidP="009B401E">
      <w:pPr>
        <w:pStyle w:val="FootnoteText"/>
        <w:rPr>
          <w:rFonts w:ascii="Avenir Roman" w:hAnsi="Avenir Roman"/>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t>CRC/C/GC/12, 20 July 2009, Section D, paragraph 134</w:t>
      </w:r>
    </w:p>
  </w:footnote>
  <w:footnote w:id="8">
    <w:p w14:paraId="36760913" w14:textId="77777777" w:rsidR="009B401E" w:rsidRPr="009B401E" w:rsidRDefault="009B401E" w:rsidP="009B401E">
      <w:pPr>
        <w:pStyle w:val="FootnoteText"/>
        <w:rPr>
          <w:rFonts w:ascii="Avenir Roman" w:hAnsi="Avenir Roman" w:cs="Arial"/>
          <w:sz w:val="16"/>
          <w:szCs w:val="16"/>
          <w:lang w:val="fr-FR"/>
        </w:rPr>
      </w:pPr>
      <w:r w:rsidRPr="009B401E">
        <w:rPr>
          <w:rStyle w:val="FootnoteReference"/>
          <w:rFonts w:ascii="Avenir Roman" w:hAnsi="Avenir Roman" w:cs="Arial"/>
          <w:sz w:val="16"/>
          <w:szCs w:val="16"/>
        </w:rPr>
        <w:footnoteRef/>
      </w:r>
      <w:r w:rsidRPr="009B401E">
        <w:rPr>
          <w:rFonts w:ascii="Avenir Roman" w:hAnsi="Avenir Roman" w:cs="Arial"/>
          <w:sz w:val="16"/>
          <w:szCs w:val="16"/>
          <w:lang w:val="fr-FR"/>
        </w:rPr>
        <w:t xml:space="preserve"> </w:t>
      </w:r>
      <w:r w:rsidRPr="009B401E">
        <w:rPr>
          <w:rFonts w:ascii="Avenir Roman" w:hAnsi="Avenir Roman" w:cs="Arial"/>
          <w:sz w:val="16"/>
          <w:szCs w:val="16"/>
          <w:lang w:val="fr-FR"/>
        </w:rPr>
        <w:tab/>
      </w:r>
      <w:r w:rsidRPr="009B401E">
        <w:rPr>
          <w:rFonts w:ascii="Avenir Roman" w:hAnsi="Avenir Roman" w:cs="Arial"/>
          <w:sz w:val="16"/>
          <w:szCs w:val="16"/>
          <w:lang w:val="fr-FR"/>
        </w:rPr>
        <w:tab/>
        <w:t xml:space="preserve">Paris </w:t>
      </w:r>
      <w:proofErr w:type="spellStart"/>
      <w:r w:rsidRPr="009B401E">
        <w:rPr>
          <w:rFonts w:ascii="Avenir Roman" w:hAnsi="Avenir Roman" w:cs="Arial"/>
          <w:sz w:val="16"/>
          <w:szCs w:val="16"/>
          <w:lang w:val="fr-FR"/>
        </w:rPr>
        <w:t>Principles</w:t>
      </w:r>
      <w:proofErr w:type="spellEnd"/>
      <w:r w:rsidRPr="009B401E">
        <w:rPr>
          <w:rFonts w:ascii="Avenir Roman" w:hAnsi="Avenir Roman" w:cs="Arial"/>
          <w:sz w:val="16"/>
          <w:szCs w:val="16"/>
          <w:lang w:val="fr-FR"/>
        </w:rPr>
        <w:t>, page 2 at point 1</w:t>
      </w:r>
    </w:p>
  </w:footnote>
  <w:footnote w:id="9">
    <w:p w14:paraId="6946E42F" w14:textId="77777777" w:rsidR="009B401E" w:rsidRPr="009B401E" w:rsidRDefault="009B401E" w:rsidP="009B401E">
      <w:pPr>
        <w:pStyle w:val="FootnoteText"/>
        <w:rPr>
          <w:rFonts w:ascii="Avenir Roman" w:hAnsi="Avenir Roman"/>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t>Ibid, page 3, at (g)</w:t>
      </w:r>
    </w:p>
  </w:footnote>
  <w:footnote w:id="10">
    <w:p w14:paraId="5FACC773" w14:textId="77777777" w:rsidR="009B401E" w:rsidRPr="009B401E" w:rsidRDefault="009B401E" w:rsidP="009B401E">
      <w:pPr>
        <w:pStyle w:val="FootnoteText"/>
        <w:ind w:left="709" w:hanging="709"/>
        <w:rPr>
          <w:rFonts w:ascii="Avenir Roman" w:hAnsi="Avenir Roman" w:cs="Arial"/>
          <w:sz w:val="16"/>
          <w:szCs w:val="16"/>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r>
      <w:r w:rsidRPr="009B401E">
        <w:rPr>
          <w:rFonts w:ascii="Avenir Roman" w:hAnsi="Avenir Roman" w:cs="Arial"/>
          <w:i/>
          <w:sz w:val="16"/>
          <w:szCs w:val="16"/>
          <w:lang w:val="en-GB" w:bidi="ar-EG"/>
        </w:rPr>
        <w:t xml:space="preserve">Guidelines on Independent Monitoring Frameworks and their participation in the work of the </w:t>
      </w:r>
      <w:proofErr w:type="gramStart"/>
      <w:r w:rsidRPr="009B401E">
        <w:rPr>
          <w:rFonts w:ascii="Avenir Roman" w:hAnsi="Avenir Roman" w:cs="Arial"/>
          <w:i/>
          <w:sz w:val="16"/>
          <w:szCs w:val="16"/>
          <w:lang w:val="en-GB" w:bidi="ar-EG"/>
        </w:rPr>
        <w:t>Committee</w:t>
      </w:r>
      <w:r w:rsidRPr="009B401E">
        <w:rPr>
          <w:rFonts w:ascii="Avenir Roman" w:hAnsi="Avenir Roman" w:cs="Arial"/>
          <w:sz w:val="16"/>
          <w:szCs w:val="16"/>
          <w:lang w:val="en-GB" w:bidi="ar-EG"/>
        </w:rPr>
        <w:t>,,</w:t>
      </w:r>
      <w:proofErr w:type="gramEnd"/>
      <w:r w:rsidRPr="009B401E">
        <w:rPr>
          <w:rFonts w:ascii="Avenir Roman" w:hAnsi="Avenir Roman" w:cs="Arial"/>
          <w:sz w:val="16"/>
          <w:szCs w:val="16"/>
          <w:lang w:val="en-GB" w:bidi="ar-EG"/>
        </w:rPr>
        <w:t xml:space="preserve"> p</w:t>
      </w:r>
      <w:proofErr w:type="spellStart"/>
      <w:r w:rsidRPr="009B401E">
        <w:rPr>
          <w:rFonts w:ascii="Avenir Roman" w:hAnsi="Avenir Roman" w:cs="Arial"/>
          <w:sz w:val="16"/>
          <w:szCs w:val="16"/>
        </w:rPr>
        <w:t>ara</w:t>
      </w:r>
      <w:proofErr w:type="spellEnd"/>
      <w:r w:rsidRPr="009B401E">
        <w:rPr>
          <w:rFonts w:ascii="Avenir Roman" w:hAnsi="Avenir Roman" w:cs="Arial"/>
          <w:sz w:val="16"/>
          <w:szCs w:val="16"/>
        </w:rPr>
        <w:t xml:space="preserve"> 18</w:t>
      </w:r>
    </w:p>
  </w:footnote>
  <w:footnote w:id="11">
    <w:p w14:paraId="026C6198" w14:textId="77777777" w:rsidR="009B401E" w:rsidRPr="009B401E" w:rsidRDefault="009B401E" w:rsidP="009B401E">
      <w:pPr>
        <w:pStyle w:val="FootnoteText"/>
        <w:rPr>
          <w:rFonts w:ascii="Avenir Roman" w:hAnsi="Avenir Roman" w:cs="Arial"/>
          <w:sz w:val="16"/>
          <w:szCs w:val="16"/>
          <w:lang w:val="es-ES"/>
        </w:rPr>
      </w:pPr>
      <w:r w:rsidRPr="009B401E">
        <w:rPr>
          <w:rStyle w:val="FootnoteReference"/>
          <w:rFonts w:ascii="Avenir Roman" w:hAnsi="Avenir Roman" w:cs="Arial"/>
          <w:sz w:val="16"/>
          <w:szCs w:val="16"/>
        </w:rPr>
        <w:footnoteRef/>
      </w:r>
      <w:r w:rsidRPr="009B401E">
        <w:rPr>
          <w:rFonts w:ascii="Avenir Roman" w:hAnsi="Avenir Roman" w:cs="Arial"/>
          <w:sz w:val="16"/>
          <w:szCs w:val="16"/>
          <w:lang w:val="es-ES"/>
        </w:rPr>
        <w:t xml:space="preserve"> </w:t>
      </w:r>
      <w:r w:rsidRPr="009B401E">
        <w:rPr>
          <w:rFonts w:ascii="Avenir Roman" w:hAnsi="Avenir Roman" w:cs="Arial"/>
          <w:sz w:val="16"/>
          <w:szCs w:val="16"/>
          <w:lang w:val="es-ES"/>
        </w:rPr>
        <w:tab/>
      </w:r>
      <w:r w:rsidRPr="009B401E">
        <w:rPr>
          <w:rFonts w:ascii="Avenir Roman" w:hAnsi="Avenir Roman" w:cs="Arial"/>
          <w:sz w:val="16"/>
          <w:szCs w:val="16"/>
          <w:lang w:val="es-ES"/>
        </w:rPr>
        <w:tab/>
      </w:r>
      <w:proofErr w:type="spellStart"/>
      <w:r w:rsidRPr="009B401E">
        <w:rPr>
          <w:rFonts w:ascii="Avenir Roman" w:hAnsi="Avenir Roman" w:cs="Arial"/>
          <w:sz w:val="16"/>
          <w:szCs w:val="16"/>
          <w:lang w:val="es-ES"/>
        </w:rPr>
        <w:t>Ibid</w:t>
      </w:r>
      <w:proofErr w:type="spellEnd"/>
      <w:r w:rsidRPr="009B401E">
        <w:rPr>
          <w:rFonts w:ascii="Avenir Roman" w:hAnsi="Avenir Roman" w:cs="Arial"/>
          <w:sz w:val="16"/>
          <w:szCs w:val="16"/>
          <w:lang w:val="es-ES"/>
        </w:rPr>
        <w:t xml:space="preserve"> para 15</w:t>
      </w:r>
    </w:p>
  </w:footnote>
  <w:footnote w:id="12">
    <w:p w14:paraId="12E8BD64" w14:textId="77777777" w:rsidR="009B401E" w:rsidRPr="009B401E" w:rsidRDefault="009B401E" w:rsidP="009B401E">
      <w:pPr>
        <w:pStyle w:val="FootnoteText"/>
        <w:rPr>
          <w:rFonts w:ascii="Avenir Roman" w:hAnsi="Avenir Roman"/>
          <w:lang w:val="es-ES"/>
        </w:rPr>
      </w:pPr>
      <w:r w:rsidRPr="009B401E">
        <w:rPr>
          <w:rStyle w:val="FootnoteReference"/>
          <w:rFonts w:ascii="Avenir Roman" w:hAnsi="Avenir Roman" w:cs="Arial"/>
          <w:sz w:val="16"/>
          <w:szCs w:val="16"/>
        </w:rPr>
        <w:footnoteRef/>
      </w:r>
      <w:r w:rsidRPr="009B401E">
        <w:rPr>
          <w:rFonts w:ascii="Avenir Roman" w:hAnsi="Avenir Roman" w:cs="Arial"/>
          <w:sz w:val="16"/>
          <w:szCs w:val="16"/>
          <w:lang w:val="es-ES"/>
        </w:rPr>
        <w:t xml:space="preserve"> </w:t>
      </w:r>
      <w:r w:rsidRPr="009B401E">
        <w:rPr>
          <w:rFonts w:ascii="Avenir Roman" w:hAnsi="Avenir Roman" w:cs="Arial"/>
          <w:sz w:val="16"/>
          <w:szCs w:val="16"/>
          <w:lang w:val="es-ES"/>
        </w:rPr>
        <w:tab/>
      </w:r>
      <w:r w:rsidRPr="009B401E">
        <w:rPr>
          <w:rFonts w:ascii="Avenir Roman" w:hAnsi="Avenir Roman" w:cs="Arial"/>
          <w:sz w:val="16"/>
          <w:szCs w:val="16"/>
          <w:lang w:val="es-ES"/>
        </w:rPr>
        <w:tab/>
        <w:t xml:space="preserve">Supra at </w:t>
      </w:r>
      <w:proofErr w:type="spellStart"/>
      <w:r w:rsidRPr="009B401E">
        <w:rPr>
          <w:rFonts w:ascii="Avenir Roman" w:hAnsi="Avenir Roman" w:cs="Arial"/>
          <w:sz w:val="16"/>
          <w:szCs w:val="16"/>
          <w:lang w:val="es-ES"/>
        </w:rPr>
        <w:t>paragraph</w:t>
      </w:r>
      <w:proofErr w:type="spellEnd"/>
      <w:r w:rsidRPr="009B401E">
        <w:rPr>
          <w:rFonts w:ascii="Avenir Roman" w:hAnsi="Avenir Roman" w:cs="Arial"/>
          <w:sz w:val="16"/>
          <w:szCs w:val="16"/>
          <w:lang w:val="es-ES"/>
        </w:rPr>
        <w:t xml:space="preserve"> 12</w:t>
      </w:r>
    </w:p>
  </w:footnote>
  <w:footnote w:id="13">
    <w:p w14:paraId="05B66F83" w14:textId="77777777" w:rsidR="009B401E" w:rsidRPr="009B401E" w:rsidRDefault="009B401E" w:rsidP="009B401E">
      <w:pPr>
        <w:pStyle w:val="FootnoteText"/>
        <w:rPr>
          <w:rFonts w:ascii="Avenir Roman" w:hAnsi="Avenir Roman" w:cs="Arial"/>
          <w:sz w:val="16"/>
          <w:szCs w:val="16"/>
        </w:rPr>
      </w:pPr>
      <w:r w:rsidRPr="009B401E">
        <w:rPr>
          <w:rStyle w:val="FootnoteReference"/>
          <w:rFonts w:ascii="Avenir Roman" w:hAnsi="Avenir Roman" w:cs="Arial"/>
        </w:rPr>
        <w:footnoteRef/>
      </w:r>
      <w:r w:rsidRPr="009B401E">
        <w:rPr>
          <w:rFonts w:ascii="Avenir Roman" w:hAnsi="Avenir Roman" w:cs="Arial"/>
          <w:sz w:val="18"/>
          <w:szCs w:val="18"/>
        </w:rPr>
        <w:t xml:space="preserve"> </w:t>
      </w:r>
      <w:r w:rsidRPr="009B401E">
        <w:rPr>
          <w:rFonts w:ascii="Avenir Roman" w:hAnsi="Avenir Roman" w:cs="Arial"/>
          <w:sz w:val="18"/>
          <w:szCs w:val="18"/>
        </w:rPr>
        <w:tab/>
      </w:r>
      <w:r w:rsidRPr="009B401E">
        <w:rPr>
          <w:rFonts w:ascii="Avenir Roman" w:hAnsi="Avenir Roman" w:cs="Arial"/>
          <w:sz w:val="18"/>
          <w:szCs w:val="18"/>
        </w:rPr>
        <w:tab/>
      </w:r>
      <w:r w:rsidRPr="009B401E">
        <w:rPr>
          <w:rFonts w:ascii="Avenir Roman" w:hAnsi="Avenir Roman" w:cs="Arial"/>
          <w:sz w:val="16"/>
          <w:szCs w:val="16"/>
        </w:rPr>
        <w:t>A/HRC/37/54, 20 December 2017, para 36</w:t>
      </w:r>
    </w:p>
  </w:footnote>
  <w:footnote w:id="14">
    <w:p w14:paraId="42E0B853" w14:textId="77777777" w:rsidR="009B401E" w:rsidRPr="009B401E" w:rsidRDefault="009B401E" w:rsidP="009B401E">
      <w:pPr>
        <w:pStyle w:val="FootnoteText"/>
        <w:rPr>
          <w:rFonts w:ascii="Avenir Roman" w:hAnsi="Avenir Roman"/>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t>Ibid at para</w:t>
      </w:r>
      <w:r w:rsidRPr="009B401E">
        <w:rPr>
          <w:rFonts w:ascii="Avenir Roman" w:hAnsi="Avenir Roman"/>
          <w:sz w:val="16"/>
          <w:szCs w:val="16"/>
        </w:rPr>
        <w:t xml:space="preserve"> 46</w:t>
      </w:r>
    </w:p>
  </w:footnote>
  <w:footnote w:id="15">
    <w:p w14:paraId="420C29C9" w14:textId="77777777" w:rsidR="009B401E" w:rsidRPr="009B401E" w:rsidRDefault="009B401E" w:rsidP="009B401E">
      <w:pPr>
        <w:pStyle w:val="FootnoteText"/>
        <w:ind w:left="720" w:hanging="720"/>
        <w:rPr>
          <w:rFonts w:ascii="Avenir Roman" w:hAnsi="Avenir Roman" w:cs="Arial"/>
          <w:sz w:val="16"/>
          <w:szCs w:val="16"/>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t>Commission</w:t>
      </w:r>
      <w:r w:rsidRPr="009B401E">
        <w:rPr>
          <w:rFonts w:ascii="Avenir Roman" w:hAnsi="Avenir Roman"/>
        </w:rPr>
        <w:t xml:space="preserve"> </w:t>
      </w:r>
      <w:r w:rsidRPr="009B401E">
        <w:rPr>
          <w:rFonts w:ascii="Avenir Roman" w:hAnsi="Avenir Roman" w:cs="Arial"/>
          <w:sz w:val="16"/>
          <w:szCs w:val="16"/>
        </w:rPr>
        <w:t xml:space="preserve">on Human Rights of the Philippines, </w:t>
      </w:r>
      <w:r w:rsidRPr="009B401E">
        <w:rPr>
          <w:rFonts w:ascii="Avenir Roman" w:hAnsi="Avenir Roman" w:cs="Arial"/>
          <w:i/>
          <w:sz w:val="16"/>
          <w:szCs w:val="16"/>
        </w:rPr>
        <w:t xml:space="preserve">Inputs to Draft General Comment No 7 on Articles 4(3) and 33(3) (Draft) </w:t>
      </w:r>
      <w:r w:rsidRPr="009B401E">
        <w:rPr>
          <w:rFonts w:ascii="Avenir Roman" w:hAnsi="Avenir Roman" w:cs="Arial"/>
          <w:sz w:val="16"/>
          <w:szCs w:val="16"/>
        </w:rPr>
        <w:t>paragraphs 6-8</w:t>
      </w:r>
    </w:p>
  </w:footnote>
  <w:footnote w:id="16">
    <w:p w14:paraId="67ABD17E" w14:textId="77777777" w:rsidR="009B401E" w:rsidRPr="009B401E" w:rsidRDefault="009B401E" w:rsidP="009B401E">
      <w:pPr>
        <w:pStyle w:val="FootnoteText"/>
        <w:rPr>
          <w:rFonts w:ascii="Avenir Roman" w:hAnsi="Avenir Roman" w:cs="Arial"/>
          <w:sz w:val="16"/>
          <w:szCs w:val="16"/>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t>Supra paragraphs 26 and 27</w:t>
      </w:r>
    </w:p>
  </w:footnote>
  <w:footnote w:id="17">
    <w:p w14:paraId="4590C7EF" w14:textId="77777777" w:rsidR="009B401E" w:rsidRPr="009B401E" w:rsidRDefault="009B401E" w:rsidP="009B401E">
      <w:pPr>
        <w:pStyle w:val="FootnoteText"/>
        <w:ind w:left="709" w:hanging="709"/>
        <w:rPr>
          <w:rFonts w:ascii="Avenir Roman" w:hAnsi="Avenir Roman"/>
        </w:rPr>
      </w:pPr>
      <w:r w:rsidRPr="009B401E">
        <w:rPr>
          <w:rStyle w:val="FootnoteReference"/>
          <w:rFonts w:ascii="Avenir Roman" w:hAnsi="Avenir Roman" w:cs="Arial"/>
          <w:sz w:val="16"/>
          <w:szCs w:val="16"/>
        </w:rPr>
        <w:footnoteRef/>
      </w:r>
      <w:r w:rsidRPr="009B401E">
        <w:rPr>
          <w:rFonts w:ascii="Avenir Roman" w:hAnsi="Avenir Roman" w:cs="Arial"/>
          <w:sz w:val="16"/>
          <w:szCs w:val="16"/>
        </w:rPr>
        <w:t xml:space="preserve"> </w:t>
      </w:r>
      <w:r w:rsidRPr="009B401E">
        <w:rPr>
          <w:rFonts w:ascii="Avenir Roman" w:hAnsi="Avenir Roman" w:cs="Arial"/>
          <w:sz w:val="16"/>
          <w:szCs w:val="16"/>
        </w:rPr>
        <w:tab/>
      </w:r>
      <w:r w:rsidRPr="009B401E">
        <w:rPr>
          <w:rFonts w:ascii="Avenir Roman" w:hAnsi="Avenir Roman" w:cs="Arial"/>
          <w:sz w:val="16"/>
          <w:szCs w:val="16"/>
        </w:rPr>
        <w:tab/>
        <w:t xml:space="preserve">Per the Committees </w:t>
      </w:r>
      <w:r w:rsidRPr="009B401E">
        <w:rPr>
          <w:rFonts w:ascii="Avenir Roman" w:hAnsi="Avenir Roman" w:cs="Arial"/>
          <w:sz w:val="16"/>
          <w:szCs w:val="16"/>
          <w:lang w:val="en-GB"/>
        </w:rPr>
        <w:t>Guidelines on the Participation of DPOs and CSOs in the work of the Committee, para 2, CRPD/C/11/2, Annex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287"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01E"/>
    <w:rsid w:val="00196CDD"/>
    <w:rsid w:val="00565C52"/>
    <w:rsid w:val="005B5581"/>
    <w:rsid w:val="005F34EE"/>
    <w:rsid w:val="00672C01"/>
    <w:rsid w:val="00673678"/>
    <w:rsid w:val="009B401E"/>
    <w:rsid w:val="00AF0516"/>
    <w:rsid w:val="00CB3E54"/>
    <w:rsid w:val="00CF49CD"/>
    <w:rsid w:val="00DE6ED1"/>
    <w:rsid w:val="00E3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AFCC"/>
  <w14:defaultImageDpi w14:val="32767"/>
  <w15:chartTrackingRefBased/>
  <w15:docId w15:val="{75E155FC-A181-BC4F-AFC9-7C41D1C6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hidden/>
    <w:qFormat/>
    <w:rsid w:val="009B401E"/>
    <w:pPr>
      <w:spacing w:after="200" w:line="276" w:lineRule="auto"/>
    </w:pPr>
    <w:rPr>
      <w:rFonts w:ascii="Calibri" w:eastAsia="Calibri" w:hAnsi="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9B401E"/>
    <w:pPr>
      <w:spacing w:before="40" w:after="0" w:line="240" w:lineRule="auto"/>
    </w:pPr>
    <w:rPr>
      <w:rFonts w:ascii="Avenir" w:eastAsiaTheme="minorHAnsi" w:hAnsi="Avenir" w:cs="Arial"/>
      <w:color w:val="595959" w:themeColor="text1" w:themeTint="A6"/>
      <w:kern w:val="20"/>
      <w:sz w:val="21"/>
      <w:szCs w:val="21"/>
      <w:shd w:val="clear" w:color="auto" w:fill="FFFFFF"/>
      <w:lang w:eastAsia="ja-JP"/>
    </w:rPr>
  </w:style>
  <w:style w:type="character" w:customStyle="1" w:styleId="HeaderChar">
    <w:name w:val="Header Char"/>
    <w:basedOn w:val="DefaultParagraphFont"/>
    <w:link w:val="Header"/>
    <w:uiPriority w:val="99"/>
    <w:rsid w:val="009B401E"/>
    <w:rPr>
      <w:rFonts w:ascii="Avenir" w:hAnsi="Avenir" w:cs="Arial"/>
      <w:color w:val="595959" w:themeColor="text1" w:themeTint="A6"/>
      <w:kern w:val="20"/>
      <w:sz w:val="21"/>
      <w:szCs w:val="21"/>
      <w:lang w:val="en-US" w:eastAsia="ja-JP"/>
    </w:rPr>
  </w:style>
  <w:style w:type="character" w:styleId="Hyperlink">
    <w:name w:val="Hyperlink"/>
    <w:rsid w:val="009B401E"/>
  </w:style>
  <w:style w:type="character" w:customStyle="1" w:styleId="Kommentarzeichen2">
    <w:name w:val="Kommentarzeichen2"/>
    <w:rsid w:val="009B401E"/>
    <w:rPr>
      <w:sz w:val="18"/>
      <w:szCs w:val="18"/>
    </w:rPr>
  </w:style>
  <w:style w:type="character" w:styleId="CommentReference">
    <w:name w:val="annotation reference"/>
    <w:rsid w:val="009B401E"/>
    <w:rPr>
      <w:sz w:val="16"/>
      <w:szCs w:val="16"/>
    </w:rPr>
  </w:style>
  <w:style w:type="character" w:styleId="FootnoteReference">
    <w:name w:val="footnote reference"/>
    <w:rsid w:val="009B401E"/>
    <w:rPr>
      <w:vertAlign w:val="superscript"/>
    </w:rPr>
  </w:style>
  <w:style w:type="paragraph" w:customStyle="1" w:styleId="FarbigeListe-Akzent11">
    <w:name w:val="Farbige Liste - Akzent 11"/>
    <w:basedOn w:val="Normal"/>
    <w:rsid w:val="009B401E"/>
    <w:pPr>
      <w:suppressAutoHyphens/>
      <w:spacing w:after="0" w:line="240" w:lineRule="auto"/>
      <w:ind w:left="720"/>
    </w:pPr>
    <w:rPr>
      <w:rFonts w:ascii="Times New Roman" w:eastAsia="Times New Roman" w:hAnsi="Times New Roman"/>
      <w:sz w:val="20"/>
      <w:szCs w:val="20"/>
      <w:lang w:val="en-NZ" w:eastAsia="ar-SA"/>
    </w:rPr>
  </w:style>
  <w:style w:type="paragraph" w:styleId="FootnoteText">
    <w:name w:val="footnote text"/>
    <w:basedOn w:val="Normal"/>
    <w:link w:val="FootnoteTextChar"/>
    <w:rsid w:val="009B401E"/>
    <w:pPr>
      <w:suppressLineNumbers/>
      <w:suppressAutoHyphens/>
      <w:spacing w:after="0" w:line="240" w:lineRule="auto"/>
      <w:ind w:left="283" w:hanging="283"/>
    </w:pPr>
    <w:rPr>
      <w:rFonts w:ascii="Times New Roman" w:eastAsia="Times New Roman" w:hAnsi="Times New Roman"/>
      <w:sz w:val="20"/>
      <w:szCs w:val="20"/>
      <w:lang w:val="en-NZ" w:eastAsia="ar-SA"/>
    </w:rPr>
  </w:style>
  <w:style w:type="character" w:customStyle="1" w:styleId="FootnoteTextChar">
    <w:name w:val="Footnote Text Char"/>
    <w:basedOn w:val="DefaultParagraphFont"/>
    <w:link w:val="FootnoteText"/>
    <w:rsid w:val="009B401E"/>
    <w:rPr>
      <w:rFonts w:ascii="Times New Roman" w:eastAsia="Times New Roman" w:hAnsi="Times New Roman" w:cs="Times New Roman"/>
      <w:sz w:val="20"/>
      <w:szCs w:val="20"/>
      <w:lang w:val="en-NZ" w:eastAsia="ar-SA"/>
    </w:rPr>
  </w:style>
  <w:style w:type="paragraph" w:styleId="ListParagraph">
    <w:name w:val="List Paragraph"/>
    <w:basedOn w:val="Normal"/>
    <w:uiPriority w:val="34"/>
    <w:qFormat/>
    <w:rsid w:val="009B401E"/>
    <w:pPr>
      <w:suppressAutoHyphens/>
      <w:spacing w:after="0" w:line="240" w:lineRule="auto"/>
      <w:ind w:left="720"/>
    </w:pPr>
    <w:rPr>
      <w:rFonts w:ascii="Times New Roman" w:eastAsia="Times New Roman" w:hAnsi="Times New Roman"/>
      <w:sz w:val="20"/>
      <w:szCs w:val="20"/>
      <w:lang w:val="en-NZ" w:eastAsia="ar-SA"/>
    </w:rPr>
  </w:style>
  <w:style w:type="paragraph" w:styleId="CommentText">
    <w:name w:val="annotation text"/>
    <w:basedOn w:val="Normal"/>
    <w:link w:val="CommentTextChar"/>
    <w:rsid w:val="009B401E"/>
    <w:pPr>
      <w:suppressAutoHyphens/>
      <w:spacing w:after="0" w:line="240" w:lineRule="auto"/>
    </w:pPr>
    <w:rPr>
      <w:rFonts w:ascii="Times New Roman" w:eastAsia="Times New Roman" w:hAnsi="Times New Roman"/>
      <w:sz w:val="20"/>
      <w:szCs w:val="20"/>
      <w:lang w:val="en-NZ" w:eastAsia="ar-SA"/>
    </w:rPr>
  </w:style>
  <w:style w:type="character" w:customStyle="1" w:styleId="CommentTextChar">
    <w:name w:val="Comment Text Char"/>
    <w:basedOn w:val="DefaultParagraphFont"/>
    <w:link w:val="CommentText"/>
    <w:rsid w:val="009B401E"/>
    <w:rPr>
      <w:rFonts w:ascii="Times New Roman" w:eastAsia="Times New Roman" w:hAnsi="Times New Roman" w:cs="Times New Roman"/>
      <w:sz w:val="20"/>
      <w:szCs w:val="20"/>
      <w:lang w:val="en-NZ" w:eastAsia="ar-SA"/>
    </w:rPr>
  </w:style>
  <w:style w:type="paragraph" w:styleId="BalloonText">
    <w:name w:val="Balloon Text"/>
    <w:basedOn w:val="Normal"/>
    <w:link w:val="BalloonTextChar"/>
    <w:uiPriority w:val="99"/>
    <w:semiHidden/>
    <w:unhideWhenUsed/>
    <w:rsid w:val="009B401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B401E"/>
    <w:rPr>
      <w:rFonts w:ascii="Times New Roman" w:eastAsia="Calibri"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hri.ohchr.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6A5D7F-430C-4294-B8EC-38DABF0E4F64}"/>
</file>

<file path=customXml/itemProps2.xml><?xml version="1.0" encoding="utf-8"?>
<ds:datastoreItem xmlns:ds="http://schemas.openxmlformats.org/officeDocument/2006/customXml" ds:itemID="{89C2BE9D-6DAB-4A1F-9BAD-EBF8BB4D53A3}"/>
</file>

<file path=customXml/itemProps3.xml><?xml version="1.0" encoding="utf-8"?>
<ds:datastoreItem xmlns:ds="http://schemas.openxmlformats.org/officeDocument/2006/customXml" ds:itemID="{E100088C-18C3-477C-A0F4-91C9C8FE1221}"/>
</file>

<file path=docProps/app.xml><?xml version="1.0" encoding="utf-8"?>
<Properties xmlns="http://schemas.openxmlformats.org/officeDocument/2006/extended-properties" xmlns:vt="http://schemas.openxmlformats.org/officeDocument/2006/docPropsVTypes">
  <Template>Normal.dotm</Template>
  <TotalTime>3</TotalTime>
  <Pages>17</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cp:revision>
  <dcterms:created xsi:type="dcterms:W3CDTF">2018-05-22T10:01:00Z</dcterms:created>
  <dcterms:modified xsi:type="dcterms:W3CDTF">2018-05-22T10:10:00Z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