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74" w:rsidRPr="00C000EE" w:rsidRDefault="000A0574">
      <w:pPr>
        <w:rPr>
          <w:rFonts w:cstheme="minorHAnsi"/>
        </w:rPr>
      </w:pPr>
      <w:r w:rsidRPr="00C000EE">
        <w:rPr>
          <w:rFonts w:cstheme="minorHAnsi"/>
          <w:noProof/>
          <w:lang w:eastAsia="en-GB"/>
        </w:rPr>
        <w:drawing>
          <wp:anchor distT="0" distB="0" distL="114300" distR="114300" simplePos="0" relativeHeight="251659264" behindDoc="0" locked="0" layoutInCell="1" allowOverlap="1" wp14:anchorId="797E8A84" wp14:editId="0694DAA6">
            <wp:simplePos x="0" y="0"/>
            <wp:positionH relativeFrom="column">
              <wp:posOffset>4391025</wp:posOffset>
            </wp:positionH>
            <wp:positionV relativeFrom="page">
              <wp:posOffset>638175</wp:posOffset>
            </wp:positionV>
            <wp:extent cx="1745615" cy="94297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561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574" w:rsidRPr="00C000EE" w:rsidRDefault="000A0574">
      <w:pPr>
        <w:rPr>
          <w:rFonts w:cstheme="minorHAnsi"/>
        </w:rPr>
      </w:pPr>
    </w:p>
    <w:p w:rsidR="000A0574" w:rsidRPr="00C000EE" w:rsidRDefault="000A0574">
      <w:pPr>
        <w:rPr>
          <w:rFonts w:cstheme="minorHAnsi"/>
        </w:rPr>
      </w:pPr>
    </w:p>
    <w:p w:rsidR="00CC1ADB" w:rsidRPr="00C000EE" w:rsidRDefault="00CC1ADB">
      <w:pPr>
        <w:rPr>
          <w:rFonts w:cstheme="minorHAnsi"/>
          <w:b/>
        </w:rPr>
      </w:pPr>
      <w:r w:rsidRPr="00C000EE">
        <w:rPr>
          <w:rFonts w:cstheme="minorHAnsi"/>
          <w:b/>
        </w:rPr>
        <w:t>Committee on the Convention on the Rights of Persons with Disabilities</w:t>
      </w:r>
    </w:p>
    <w:p w:rsidR="00C10077" w:rsidRPr="00C000EE" w:rsidRDefault="00CC1ADB" w:rsidP="0057653C">
      <w:pPr>
        <w:rPr>
          <w:rFonts w:cstheme="minorHAnsi"/>
          <w:b/>
        </w:rPr>
      </w:pPr>
      <w:r w:rsidRPr="00C000EE">
        <w:rPr>
          <w:rFonts w:cstheme="minorHAnsi"/>
          <w:b/>
        </w:rPr>
        <w:t xml:space="preserve">Input into </w:t>
      </w:r>
      <w:r w:rsidR="0057653C" w:rsidRPr="00C000EE">
        <w:rPr>
          <w:rFonts w:cstheme="minorHAnsi"/>
          <w:b/>
          <w:lang w:val="en-US"/>
        </w:rPr>
        <w:t xml:space="preserve">General comment on </w:t>
      </w:r>
      <w:r w:rsidR="0057653C" w:rsidRPr="00C000EE">
        <w:rPr>
          <w:rFonts w:cstheme="minorHAnsi"/>
          <w:b/>
        </w:rPr>
        <w:t>article 4.3 and 33.3 of the convention on the participation with persons with disabilities in the implementation and monitoring of the Convention</w:t>
      </w:r>
    </w:p>
    <w:p w:rsidR="00234486" w:rsidRPr="00166B2D" w:rsidRDefault="000A0574" w:rsidP="00CC1ADB">
      <w:pPr>
        <w:pBdr>
          <w:top w:val="single" w:sz="4" w:space="1" w:color="auto"/>
          <w:left w:val="single" w:sz="4" w:space="4" w:color="auto"/>
          <w:bottom w:val="single" w:sz="4" w:space="1" w:color="auto"/>
          <w:right w:val="single" w:sz="4" w:space="4" w:color="auto"/>
        </w:pBdr>
        <w:rPr>
          <w:rFonts w:cstheme="minorHAnsi"/>
        </w:rPr>
      </w:pPr>
      <w:r w:rsidRPr="00166B2D">
        <w:rPr>
          <w:rFonts w:cstheme="minorHAnsi"/>
        </w:rPr>
        <w:t>Submission by the International HIV/AIDS Alliance</w:t>
      </w:r>
      <w:r w:rsidR="00CC1ADB" w:rsidRPr="00166B2D">
        <w:rPr>
          <w:rFonts w:cstheme="minorHAnsi"/>
        </w:rPr>
        <w:t xml:space="preserve"> – see:  </w:t>
      </w:r>
      <w:r w:rsidR="00234486" w:rsidRPr="00166B2D">
        <w:rPr>
          <w:rFonts w:cstheme="minorHAnsi"/>
        </w:rPr>
        <w:t>http://www.aidsalliance.org/</w:t>
      </w:r>
    </w:p>
    <w:p w:rsidR="0057653C" w:rsidRPr="00AF4A46" w:rsidRDefault="0057653C" w:rsidP="0057653C">
      <w:pPr>
        <w:numPr>
          <w:ilvl w:val="0"/>
          <w:numId w:val="9"/>
        </w:numPr>
        <w:shd w:val="clear" w:color="auto" w:fill="FFFFFF"/>
        <w:spacing w:before="100" w:beforeAutospacing="1" w:after="100" w:afterAutospacing="1" w:line="240" w:lineRule="auto"/>
        <w:rPr>
          <w:rFonts w:cstheme="minorHAnsi"/>
          <w:b/>
          <w:i/>
          <w:color w:val="FF0000"/>
        </w:rPr>
      </w:pPr>
      <w:r w:rsidRPr="00AF4A46">
        <w:rPr>
          <w:rFonts w:cstheme="minorHAnsi"/>
          <w:b/>
          <w:i/>
          <w:color w:val="FF0000"/>
        </w:rPr>
        <w:t>The defining elements of ‘representative organizations’ of persons with disabilities and the distinction between organizations of persons with disabilities and other civil society organizations;</w:t>
      </w:r>
    </w:p>
    <w:p w:rsidR="00C000EE" w:rsidRPr="00166B2D" w:rsidRDefault="00C000EE" w:rsidP="00AF4A46">
      <w:pPr>
        <w:rPr>
          <w:rFonts w:cstheme="minorHAnsi"/>
          <w:b/>
          <w:i/>
          <w:color w:val="000000"/>
          <w:u w:val="single"/>
        </w:rPr>
      </w:pPr>
      <w:r w:rsidRPr="00166B2D">
        <w:rPr>
          <w:rFonts w:cstheme="minorHAnsi"/>
          <w:b/>
          <w:i/>
          <w:color w:val="000000"/>
          <w:u w:val="single"/>
        </w:rPr>
        <w:t>Recommended text for inclusion:</w:t>
      </w:r>
    </w:p>
    <w:p w:rsidR="00166B2D" w:rsidRPr="00166B2D" w:rsidRDefault="00AF4A46" w:rsidP="00AF4A46">
      <w:pPr>
        <w:rPr>
          <w:rFonts w:cstheme="minorHAnsi"/>
          <w:b/>
          <w:i/>
          <w:color w:val="000000"/>
        </w:rPr>
      </w:pPr>
      <w:r>
        <w:rPr>
          <w:rFonts w:cstheme="minorHAnsi"/>
          <w:b/>
          <w:i/>
          <w:color w:val="000000"/>
        </w:rPr>
        <w:t xml:space="preserve">States should include HIV in national disability laws, thus ensuring people living with HIV and </w:t>
      </w:r>
      <w:r w:rsidR="00166B2D" w:rsidRPr="00166B2D">
        <w:rPr>
          <w:rFonts w:cstheme="minorHAnsi"/>
          <w:b/>
          <w:i/>
          <w:color w:val="000000"/>
        </w:rPr>
        <w:t>‘</w:t>
      </w:r>
      <w:r w:rsidR="00166B2D">
        <w:rPr>
          <w:rFonts w:cstheme="minorHAnsi"/>
          <w:b/>
          <w:i/>
          <w:color w:val="000000"/>
        </w:rPr>
        <w:t>O</w:t>
      </w:r>
      <w:r w:rsidR="0057653C" w:rsidRPr="00166B2D">
        <w:rPr>
          <w:rFonts w:cstheme="minorHAnsi"/>
          <w:b/>
          <w:i/>
          <w:color w:val="000000"/>
        </w:rPr>
        <w:t>rganisations of pers</w:t>
      </w:r>
      <w:r w:rsidR="00EE3D75" w:rsidRPr="00166B2D">
        <w:rPr>
          <w:rFonts w:cstheme="minorHAnsi"/>
          <w:b/>
          <w:i/>
          <w:color w:val="000000"/>
        </w:rPr>
        <w:t>ons living with HIV</w:t>
      </w:r>
      <w:r w:rsidR="00166B2D" w:rsidRPr="00166B2D">
        <w:rPr>
          <w:rFonts w:cstheme="minorHAnsi"/>
          <w:b/>
          <w:i/>
          <w:color w:val="000000"/>
        </w:rPr>
        <w:t>’</w:t>
      </w:r>
      <w:r>
        <w:rPr>
          <w:rFonts w:cstheme="minorHAnsi"/>
          <w:b/>
          <w:i/>
          <w:color w:val="000000"/>
        </w:rPr>
        <w:t xml:space="preserve"> are</w:t>
      </w:r>
      <w:r w:rsidR="00166B2D">
        <w:rPr>
          <w:rFonts w:cstheme="minorHAnsi"/>
          <w:b/>
          <w:i/>
          <w:color w:val="000000"/>
        </w:rPr>
        <w:t xml:space="preserve"> included in the definition of what constitutes an ‘organisation of persons with disabilities’.  </w:t>
      </w:r>
      <w:r w:rsidR="00EE3D75" w:rsidRPr="00166B2D">
        <w:rPr>
          <w:rFonts w:cstheme="minorHAnsi"/>
          <w:b/>
          <w:i/>
          <w:color w:val="000000"/>
        </w:rPr>
        <w:t xml:space="preserve"> </w:t>
      </w:r>
    </w:p>
    <w:p w:rsidR="0057653C" w:rsidRPr="00166B2D" w:rsidRDefault="00166B2D" w:rsidP="00AF4A46">
      <w:pPr>
        <w:rPr>
          <w:rFonts w:cstheme="minorHAnsi"/>
          <w:b/>
          <w:i/>
          <w:color w:val="000000"/>
          <w:shd w:val="clear" w:color="auto" w:fill="FFFFFF"/>
        </w:rPr>
      </w:pPr>
      <w:r w:rsidRPr="00166B2D">
        <w:rPr>
          <w:rFonts w:cstheme="minorHAnsi"/>
          <w:b/>
          <w:i/>
          <w:color w:val="000000"/>
        </w:rPr>
        <w:t xml:space="preserve">NB:  </w:t>
      </w:r>
      <w:r w:rsidR="00EE3D75" w:rsidRPr="00166B2D">
        <w:rPr>
          <w:rFonts w:cstheme="minorHAnsi"/>
          <w:b/>
          <w:i/>
          <w:color w:val="000000"/>
        </w:rPr>
        <w:t>These are organisations ‘of’ AL</w:t>
      </w:r>
      <w:r w:rsidR="0005554E" w:rsidRPr="00166B2D">
        <w:rPr>
          <w:rFonts w:cstheme="minorHAnsi"/>
          <w:b/>
          <w:i/>
          <w:color w:val="000000"/>
        </w:rPr>
        <w:t>L people living with HIV (</w:t>
      </w:r>
      <w:r w:rsidR="00EE3D75" w:rsidRPr="00166B2D">
        <w:rPr>
          <w:rFonts w:cstheme="minorHAnsi"/>
          <w:b/>
          <w:i/>
          <w:color w:val="000000"/>
        </w:rPr>
        <w:t>not just persons with disabilities</w:t>
      </w:r>
      <w:r w:rsidR="0005554E" w:rsidRPr="00166B2D">
        <w:rPr>
          <w:rFonts w:cstheme="minorHAnsi"/>
          <w:b/>
          <w:i/>
          <w:color w:val="000000"/>
        </w:rPr>
        <w:t xml:space="preserve"> living with HIV).</w:t>
      </w:r>
    </w:p>
    <w:p w:rsidR="00AF4A46" w:rsidRDefault="00EE3D75" w:rsidP="00AF4A46">
      <w:pPr>
        <w:pStyle w:val="ListParagraph"/>
        <w:numPr>
          <w:ilvl w:val="0"/>
          <w:numId w:val="11"/>
        </w:numPr>
        <w:rPr>
          <w:rFonts w:cstheme="minorHAnsi"/>
        </w:rPr>
      </w:pPr>
      <w:r w:rsidRPr="00C000EE">
        <w:rPr>
          <w:rFonts w:cstheme="minorHAnsi"/>
          <w:color w:val="000000"/>
          <w:shd w:val="clear" w:color="auto" w:fill="FFFFFF"/>
        </w:rPr>
        <w:t xml:space="preserve">The rights of people living with HIV are enshrined in the </w:t>
      </w:r>
      <w:r w:rsidRPr="00C000EE">
        <w:rPr>
          <w:rFonts w:cstheme="minorHAnsi"/>
        </w:rPr>
        <w:t>Convention on the Rights of Persons with Disabilities</w:t>
      </w:r>
      <w:r w:rsidRPr="00C000EE">
        <w:rPr>
          <w:rFonts w:cstheme="minorHAnsi"/>
        </w:rPr>
        <w:t xml:space="preserve"> under article 1</w:t>
      </w:r>
      <w:r w:rsidR="00AF4A46">
        <w:rPr>
          <w:rFonts w:cstheme="minorHAnsi"/>
        </w:rPr>
        <w:t xml:space="preserve">; </w:t>
      </w:r>
      <w:r w:rsidR="00AF4A46" w:rsidRPr="00C000EE">
        <w:rPr>
          <w:rFonts w:cstheme="minorHAnsi"/>
        </w:rPr>
        <w:t>irrespective of whether individuals self-identify</w:t>
      </w:r>
      <w:r w:rsidR="00AF4A46">
        <w:rPr>
          <w:rFonts w:cstheme="minorHAnsi"/>
        </w:rPr>
        <w:t xml:space="preserve"> or not,</w:t>
      </w:r>
      <w:r w:rsidR="00AF4A46" w:rsidRPr="00C000EE">
        <w:rPr>
          <w:rFonts w:cstheme="minorHAnsi"/>
        </w:rPr>
        <w:t xml:space="preserve"> as a person with a disability.</w:t>
      </w:r>
    </w:p>
    <w:p w:rsidR="0005554E" w:rsidRPr="00AF4A46" w:rsidRDefault="00EE3D75" w:rsidP="00AF4A46">
      <w:pPr>
        <w:pStyle w:val="ListParagraph"/>
        <w:numPr>
          <w:ilvl w:val="0"/>
          <w:numId w:val="11"/>
        </w:numPr>
        <w:rPr>
          <w:rFonts w:cstheme="minorHAnsi"/>
        </w:rPr>
      </w:pPr>
      <w:r w:rsidRPr="00AF4A46">
        <w:rPr>
          <w:rFonts w:cstheme="minorHAnsi"/>
        </w:rPr>
        <w:t xml:space="preserve">People living with HIV and those most </w:t>
      </w:r>
      <w:r w:rsidR="00C000EE" w:rsidRPr="00AF4A46">
        <w:rPr>
          <w:rFonts w:cstheme="minorHAnsi"/>
        </w:rPr>
        <w:t>at risk of acquiring HIV</w:t>
      </w:r>
      <w:r w:rsidR="00C000EE" w:rsidRPr="00C000EE">
        <w:rPr>
          <w:rStyle w:val="EndnoteReference"/>
          <w:rFonts w:cstheme="minorHAnsi"/>
          <w:sz w:val="22"/>
        </w:rPr>
        <w:endnoteReference w:id="1"/>
      </w:r>
      <w:r w:rsidR="00C000EE" w:rsidRPr="00AF4A46">
        <w:rPr>
          <w:rFonts w:cstheme="minorHAnsi"/>
        </w:rPr>
        <w:t xml:space="preserve"> </w:t>
      </w:r>
      <w:r w:rsidRPr="00AF4A46">
        <w:rPr>
          <w:rFonts w:cstheme="minorHAnsi"/>
        </w:rPr>
        <w:t>have the right to non-discrimination and equality</w:t>
      </w:r>
      <w:r w:rsidRPr="00AF4A46">
        <w:rPr>
          <w:rFonts w:cstheme="minorHAnsi"/>
        </w:rPr>
        <w:t xml:space="preserve">, including being consulted with and actively involved in decision-making processes that affect their lives.  </w:t>
      </w:r>
      <w:r w:rsidRPr="00AF4A46">
        <w:rPr>
          <w:rFonts w:cstheme="minorHAnsi"/>
        </w:rPr>
        <w:t>UNAIDS state that ‘the inclusion of HIV in national disability laws has been one of the most effective means by which to address discrimination based on HIV status or AIDS’</w:t>
      </w:r>
      <w:r w:rsidRPr="00C000EE">
        <w:rPr>
          <w:rStyle w:val="EndnoteReference"/>
          <w:rFonts w:cstheme="minorHAnsi"/>
          <w:sz w:val="22"/>
        </w:rPr>
        <w:endnoteReference w:id="2"/>
      </w:r>
      <w:r w:rsidRPr="00AF4A46">
        <w:rPr>
          <w:rFonts w:cstheme="minorHAnsi"/>
        </w:rPr>
        <w:t xml:space="preserve"> </w:t>
      </w:r>
    </w:p>
    <w:p w:rsidR="0005554E" w:rsidRPr="00166B2D" w:rsidRDefault="0005554E" w:rsidP="0005554E">
      <w:pPr>
        <w:pStyle w:val="ListParagraph"/>
        <w:rPr>
          <w:rFonts w:cstheme="minorHAnsi"/>
          <w:b/>
        </w:rPr>
      </w:pPr>
    </w:p>
    <w:p w:rsidR="00166B2D" w:rsidRPr="00AF4A46" w:rsidRDefault="00166B2D" w:rsidP="00166B2D">
      <w:pPr>
        <w:pStyle w:val="ListParagraph"/>
        <w:numPr>
          <w:ilvl w:val="0"/>
          <w:numId w:val="9"/>
        </w:numPr>
        <w:shd w:val="clear" w:color="auto" w:fill="FFFFFF"/>
        <w:spacing w:before="100" w:beforeAutospacing="1" w:after="100" w:afterAutospacing="1" w:line="240" w:lineRule="auto"/>
        <w:rPr>
          <w:rFonts w:cstheme="minorHAnsi"/>
          <w:b/>
          <w:i/>
          <w:color w:val="FF0000"/>
        </w:rPr>
      </w:pPr>
      <w:r w:rsidRPr="00AF4A46">
        <w:rPr>
          <w:rFonts w:cstheme="minorHAnsi"/>
          <w:b/>
          <w:i/>
          <w:color w:val="FF0000"/>
        </w:rPr>
        <w:t>The scope and criteria to fulfil the obligation to ‘consult closely’ and ‘actively involve’ persons with disabilities, through their representative organizations in decision-making processes;</w:t>
      </w:r>
    </w:p>
    <w:p w:rsidR="00166B2D" w:rsidRPr="00166B2D" w:rsidRDefault="00166B2D" w:rsidP="00166B2D">
      <w:pPr>
        <w:shd w:val="clear" w:color="auto" w:fill="FFFFFF"/>
        <w:spacing w:before="100" w:beforeAutospacing="1" w:after="100" w:afterAutospacing="1" w:line="240" w:lineRule="auto"/>
        <w:rPr>
          <w:rFonts w:cstheme="minorHAnsi"/>
          <w:b/>
          <w:i/>
          <w:color w:val="000000"/>
        </w:rPr>
      </w:pPr>
      <w:r w:rsidRPr="00166B2D">
        <w:rPr>
          <w:rFonts w:cstheme="minorHAnsi"/>
          <w:b/>
          <w:i/>
          <w:color w:val="000000"/>
        </w:rPr>
        <w:t>Recommended text for inclusion:</w:t>
      </w:r>
    </w:p>
    <w:p w:rsidR="00166B2D" w:rsidRPr="00166B2D" w:rsidRDefault="00166B2D" w:rsidP="00166B2D">
      <w:pPr>
        <w:shd w:val="clear" w:color="auto" w:fill="FFFFFF"/>
        <w:spacing w:before="100" w:beforeAutospacing="1" w:after="100" w:afterAutospacing="1" w:line="240" w:lineRule="auto"/>
        <w:rPr>
          <w:rFonts w:cstheme="minorHAnsi"/>
          <w:b/>
          <w:i/>
          <w:color w:val="000000"/>
        </w:rPr>
      </w:pPr>
      <w:r w:rsidRPr="00166B2D">
        <w:rPr>
          <w:rFonts w:cstheme="minorHAnsi"/>
          <w:b/>
          <w:i/>
          <w:color w:val="000000"/>
        </w:rPr>
        <w:t xml:space="preserve">States should routinely include </w:t>
      </w:r>
      <w:r w:rsidR="00AF4A46">
        <w:rPr>
          <w:rFonts w:cstheme="minorHAnsi"/>
          <w:b/>
          <w:i/>
          <w:color w:val="000000"/>
        </w:rPr>
        <w:t>organisations of p</w:t>
      </w:r>
      <w:bookmarkStart w:id="0" w:name="_GoBack"/>
      <w:bookmarkEnd w:id="0"/>
      <w:r w:rsidR="00AF4A46">
        <w:rPr>
          <w:rFonts w:cstheme="minorHAnsi"/>
          <w:b/>
          <w:i/>
          <w:color w:val="000000"/>
        </w:rPr>
        <w:t>eople</w:t>
      </w:r>
      <w:r w:rsidRPr="00166B2D">
        <w:rPr>
          <w:rFonts w:cstheme="minorHAnsi"/>
          <w:b/>
          <w:i/>
          <w:color w:val="000000"/>
        </w:rPr>
        <w:t xml:space="preserve"> living with HIV in decision-making processes affecting their lives</w:t>
      </w:r>
      <w:r w:rsidR="00AF4A46">
        <w:rPr>
          <w:rFonts w:cstheme="minorHAnsi"/>
          <w:b/>
          <w:i/>
          <w:color w:val="000000"/>
        </w:rPr>
        <w:t xml:space="preserve">.  This should extend to </w:t>
      </w:r>
      <w:r w:rsidR="00AF4A46" w:rsidRPr="00166B2D">
        <w:rPr>
          <w:rFonts w:cstheme="minorHAnsi"/>
          <w:b/>
          <w:i/>
          <w:color w:val="000000"/>
        </w:rPr>
        <w:t>representative orga</w:t>
      </w:r>
      <w:r w:rsidR="00AF4A46">
        <w:rPr>
          <w:rFonts w:cstheme="minorHAnsi"/>
          <w:b/>
          <w:i/>
          <w:color w:val="000000"/>
        </w:rPr>
        <w:t>nizations</w:t>
      </w:r>
      <w:r w:rsidR="00AF4A46">
        <w:rPr>
          <w:rFonts w:cstheme="minorHAnsi"/>
          <w:b/>
          <w:i/>
          <w:color w:val="000000"/>
        </w:rPr>
        <w:t xml:space="preserve"> </w:t>
      </w:r>
      <w:r w:rsidRPr="00166B2D">
        <w:rPr>
          <w:rFonts w:cstheme="minorHAnsi"/>
          <w:b/>
          <w:i/>
          <w:color w:val="000000"/>
        </w:rPr>
        <w:t>whose members may be criminalised under national law.  This would require States to adopt comprehensive anti-discrimination law ensuring the rights and fundamental freedoms of people</w:t>
      </w:r>
      <w:r w:rsidR="00AF4A46">
        <w:rPr>
          <w:rFonts w:cstheme="minorHAnsi"/>
          <w:b/>
          <w:i/>
          <w:color w:val="000000"/>
        </w:rPr>
        <w:t>,</w:t>
      </w:r>
      <w:r w:rsidRPr="00166B2D">
        <w:rPr>
          <w:rFonts w:cstheme="minorHAnsi"/>
          <w:b/>
          <w:i/>
          <w:color w:val="000000"/>
        </w:rPr>
        <w:t xml:space="preserve"> irrespective of their sexual orientation, gender identity or gender expression.</w:t>
      </w:r>
    </w:p>
    <w:p w:rsidR="00B77F5B" w:rsidRPr="00C000EE" w:rsidRDefault="00C000EE" w:rsidP="00EE3D75">
      <w:pPr>
        <w:pStyle w:val="NoSpacing"/>
        <w:numPr>
          <w:ilvl w:val="0"/>
          <w:numId w:val="12"/>
        </w:numPr>
        <w:rPr>
          <w:rFonts w:cstheme="minorHAnsi"/>
          <w:sz w:val="22"/>
          <w:szCs w:val="22"/>
        </w:rPr>
      </w:pPr>
      <w:r w:rsidRPr="00C000EE">
        <w:rPr>
          <w:rFonts w:cstheme="minorHAnsi"/>
          <w:color w:val="000000"/>
          <w:sz w:val="22"/>
          <w:szCs w:val="22"/>
          <w:shd w:val="clear" w:color="auto" w:fill="FFFFFF"/>
        </w:rPr>
        <w:t>Organizations</w:t>
      </w:r>
      <w:r w:rsidR="0005554E" w:rsidRPr="00C000EE">
        <w:rPr>
          <w:rFonts w:cstheme="minorHAnsi"/>
          <w:color w:val="000000"/>
          <w:sz w:val="22"/>
          <w:szCs w:val="22"/>
          <w:shd w:val="clear" w:color="auto" w:fill="FFFFFF"/>
        </w:rPr>
        <w:t xml:space="preserve"> of </w:t>
      </w:r>
      <w:r w:rsidRPr="00C000EE">
        <w:rPr>
          <w:rFonts w:cstheme="minorHAnsi"/>
          <w:color w:val="000000"/>
          <w:sz w:val="22"/>
          <w:szCs w:val="22"/>
          <w:shd w:val="clear" w:color="auto" w:fill="FFFFFF"/>
        </w:rPr>
        <w:t>people</w:t>
      </w:r>
      <w:r w:rsidR="0005554E" w:rsidRPr="00C000EE">
        <w:rPr>
          <w:rFonts w:cstheme="minorHAnsi"/>
          <w:color w:val="000000"/>
          <w:sz w:val="22"/>
          <w:szCs w:val="22"/>
          <w:shd w:val="clear" w:color="auto" w:fill="FFFFFF"/>
        </w:rPr>
        <w:t xml:space="preserve"> living with HIV are not included in </w:t>
      </w:r>
      <w:r w:rsidRPr="00C000EE">
        <w:rPr>
          <w:rFonts w:cstheme="minorHAnsi"/>
          <w:color w:val="000000"/>
          <w:sz w:val="22"/>
          <w:szCs w:val="22"/>
          <w:shd w:val="clear" w:color="auto" w:fill="FFFFFF"/>
        </w:rPr>
        <w:t>consultation</w:t>
      </w:r>
      <w:r w:rsidR="0005554E" w:rsidRPr="00C000EE">
        <w:rPr>
          <w:rFonts w:cstheme="minorHAnsi"/>
          <w:color w:val="000000"/>
          <w:sz w:val="22"/>
          <w:szCs w:val="22"/>
          <w:shd w:val="clear" w:color="auto" w:fill="FFFFFF"/>
        </w:rPr>
        <w:t xml:space="preserve"> processes by government</w:t>
      </w:r>
      <w:r>
        <w:rPr>
          <w:rFonts w:cstheme="minorHAnsi"/>
          <w:color w:val="000000"/>
          <w:sz w:val="22"/>
          <w:szCs w:val="22"/>
          <w:shd w:val="clear" w:color="auto" w:fill="FFFFFF"/>
        </w:rPr>
        <w:t>s</w:t>
      </w:r>
      <w:r w:rsidR="0005554E" w:rsidRPr="00C000EE">
        <w:rPr>
          <w:rFonts w:cstheme="minorHAnsi"/>
          <w:color w:val="000000"/>
          <w:sz w:val="22"/>
          <w:szCs w:val="22"/>
          <w:shd w:val="clear" w:color="auto" w:fill="FFFFFF"/>
        </w:rPr>
        <w:t xml:space="preserve"> in relati</w:t>
      </w:r>
      <w:r>
        <w:rPr>
          <w:rFonts w:cstheme="minorHAnsi"/>
          <w:color w:val="000000"/>
          <w:sz w:val="22"/>
          <w:szCs w:val="22"/>
          <w:shd w:val="clear" w:color="auto" w:fill="FFFFFF"/>
        </w:rPr>
        <w:t>on to disability</w:t>
      </w:r>
      <w:r w:rsidR="0005554E" w:rsidRPr="00C000EE">
        <w:rPr>
          <w:rFonts w:cstheme="minorHAnsi"/>
          <w:color w:val="000000"/>
          <w:sz w:val="22"/>
          <w:szCs w:val="22"/>
          <w:shd w:val="clear" w:color="auto" w:fill="FFFFFF"/>
        </w:rPr>
        <w:t xml:space="preserve"> </w:t>
      </w:r>
      <w:r w:rsidRPr="00C000EE">
        <w:rPr>
          <w:rFonts w:cstheme="minorHAnsi"/>
          <w:color w:val="000000"/>
          <w:sz w:val="22"/>
          <w:szCs w:val="22"/>
          <w:shd w:val="clear" w:color="auto" w:fill="FFFFFF"/>
        </w:rPr>
        <w:t>because</w:t>
      </w:r>
      <w:r w:rsidR="0005554E" w:rsidRPr="00C000EE">
        <w:rPr>
          <w:rFonts w:cstheme="minorHAnsi"/>
          <w:color w:val="000000"/>
          <w:sz w:val="22"/>
          <w:szCs w:val="22"/>
          <w:shd w:val="clear" w:color="auto" w:fill="FFFFFF"/>
        </w:rPr>
        <w:t xml:space="preserve"> the State’s definition of disability </w:t>
      </w:r>
      <w:r w:rsidR="00E969A3" w:rsidRPr="00C000EE">
        <w:rPr>
          <w:rFonts w:cstheme="minorHAnsi"/>
          <w:color w:val="000000"/>
          <w:sz w:val="22"/>
          <w:szCs w:val="22"/>
          <w:shd w:val="clear" w:color="auto" w:fill="FFFFFF"/>
        </w:rPr>
        <w:t>rarely</w:t>
      </w:r>
      <w:r w:rsidR="00E969A3" w:rsidRPr="00C000EE">
        <w:rPr>
          <w:rStyle w:val="EndnoteReference"/>
          <w:rFonts w:cstheme="minorHAnsi"/>
          <w:color w:val="000000"/>
          <w:sz w:val="22"/>
          <w:szCs w:val="22"/>
          <w:shd w:val="clear" w:color="auto" w:fill="FFFFFF"/>
        </w:rPr>
        <w:endnoteReference w:id="3"/>
      </w:r>
      <w:r w:rsidR="00E969A3" w:rsidRPr="00C000EE">
        <w:rPr>
          <w:rFonts w:cstheme="minorHAnsi"/>
          <w:color w:val="000000"/>
          <w:sz w:val="22"/>
          <w:szCs w:val="22"/>
          <w:shd w:val="clear" w:color="auto" w:fill="FFFFFF"/>
        </w:rPr>
        <w:t xml:space="preserve"> </w:t>
      </w:r>
      <w:r w:rsidR="0005554E" w:rsidRPr="00C000EE">
        <w:rPr>
          <w:rFonts w:cstheme="minorHAnsi"/>
          <w:color w:val="000000"/>
          <w:sz w:val="22"/>
          <w:szCs w:val="22"/>
          <w:shd w:val="clear" w:color="auto" w:fill="FFFFFF"/>
        </w:rPr>
        <w:t>extend</w:t>
      </w:r>
      <w:r w:rsidR="00E969A3" w:rsidRPr="00C000EE">
        <w:rPr>
          <w:rFonts w:cstheme="minorHAnsi"/>
          <w:color w:val="000000"/>
          <w:sz w:val="22"/>
          <w:szCs w:val="22"/>
          <w:shd w:val="clear" w:color="auto" w:fill="FFFFFF"/>
        </w:rPr>
        <w:t>s</w:t>
      </w:r>
      <w:r w:rsidR="0005554E" w:rsidRPr="00C000EE">
        <w:rPr>
          <w:rFonts w:cstheme="minorHAnsi"/>
          <w:color w:val="000000"/>
          <w:sz w:val="22"/>
          <w:szCs w:val="22"/>
          <w:shd w:val="clear" w:color="auto" w:fill="FFFFFF"/>
        </w:rPr>
        <w:t xml:space="preserve"> to </w:t>
      </w:r>
      <w:r w:rsidR="0005554E" w:rsidRPr="00C000EE">
        <w:rPr>
          <w:rFonts w:cstheme="minorHAnsi"/>
          <w:color w:val="000000"/>
          <w:sz w:val="22"/>
          <w:szCs w:val="22"/>
        </w:rPr>
        <w:t xml:space="preserve">protection against discrimination on the basis of actual or perceived HIV status.  </w:t>
      </w:r>
    </w:p>
    <w:p w:rsidR="0005554E" w:rsidRPr="00C000EE" w:rsidRDefault="0005554E" w:rsidP="00EE3D75">
      <w:pPr>
        <w:pStyle w:val="NoSpacing"/>
        <w:numPr>
          <w:ilvl w:val="0"/>
          <w:numId w:val="12"/>
        </w:numPr>
        <w:rPr>
          <w:rFonts w:cstheme="minorHAnsi"/>
          <w:sz w:val="22"/>
          <w:szCs w:val="22"/>
        </w:rPr>
      </w:pPr>
      <w:r w:rsidRPr="00C000EE">
        <w:rPr>
          <w:rFonts w:cstheme="minorHAnsi"/>
          <w:color w:val="000000"/>
          <w:sz w:val="22"/>
          <w:szCs w:val="22"/>
        </w:rPr>
        <w:t xml:space="preserve">A broader understanding of "disability" within or under existing legislation offers a key means of addressing discrimination against people living with HIV or those perceived to be </w:t>
      </w:r>
      <w:r w:rsidRPr="00C000EE">
        <w:rPr>
          <w:rFonts w:cstheme="minorHAnsi"/>
          <w:color w:val="000000"/>
          <w:sz w:val="22"/>
          <w:szCs w:val="22"/>
        </w:rPr>
        <w:lastRenderedPageBreak/>
        <w:t xml:space="preserve">living with HIV, as there is </w:t>
      </w:r>
      <w:r w:rsidRPr="00C000EE">
        <w:rPr>
          <w:rFonts w:cstheme="minorHAnsi"/>
          <w:color w:val="000000"/>
          <w:sz w:val="22"/>
          <w:szCs w:val="22"/>
          <w:shd w:val="clear" w:color="auto" w:fill="FFFFFF"/>
        </w:rPr>
        <w:t xml:space="preserve">there is no binding international law instrument dealing explicitly and directly with HIV and human rights. There is no guarantee that protection against discrimination on the ground of "health status", as articulated in international treaties, will be interpreted broadly, so as to include HIV/AIDS, in national legislation and by national courts or tribunals.  </w:t>
      </w:r>
    </w:p>
    <w:p w:rsidR="00E969A3" w:rsidRPr="00C000EE" w:rsidRDefault="00E969A3" w:rsidP="00EE3D75">
      <w:pPr>
        <w:pStyle w:val="NoSpacing"/>
        <w:numPr>
          <w:ilvl w:val="0"/>
          <w:numId w:val="12"/>
        </w:numPr>
        <w:rPr>
          <w:rFonts w:cstheme="minorHAnsi"/>
          <w:sz w:val="22"/>
          <w:szCs w:val="22"/>
        </w:rPr>
      </w:pPr>
      <w:r w:rsidRPr="00C000EE">
        <w:rPr>
          <w:rFonts w:cstheme="minorHAnsi"/>
          <w:color w:val="000000"/>
          <w:sz w:val="22"/>
          <w:szCs w:val="22"/>
          <w:shd w:val="clear" w:color="auto" w:fill="FFFFFF"/>
        </w:rPr>
        <w:t xml:space="preserve">Many </w:t>
      </w:r>
      <w:r w:rsidR="00C000EE" w:rsidRPr="00C000EE">
        <w:rPr>
          <w:rFonts w:cstheme="minorHAnsi"/>
          <w:color w:val="000000"/>
          <w:sz w:val="22"/>
          <w:szCs w:val="22"/>
          <w:shd w:val="clear" w:color="auto" w:fill="FFFFFF"/>
        </w:rPr>
        <w:t>organizations</w:t>
      </w:r>
      <w:r w:rsidR="00C000EE">
        <w:rPr>
          <w:rFonts w:cstheme="minorHAnsi"/>
          <w:color w:val="000000"/>
          <w:sz w:val="22"/>
          <w:szCs w:val="22"/>
          <w:shd w:val="clear" w:color="auto" w:fill="FFFFFF"/>
        </w:rPr>
        <w:t xml:space="preserve"> of people </w:t>
      </w:r>
      <w:r w:rsidRPr="00C000EE">
        <w:rPr>
          <w:rFonts w:cstheme="minorHAnsi"/>
          <w:color w:val="000000"/>
          <w:sz w:val="22"/>
          <w:szCs w:val="22"/>
          <w:shd w:val="clear" w:color="auto" w:fill="FFFFFF"/>
        </w:rPr>
        <w:t xml:space="preserve">living with HIV or representing </w:t>
      </w:r>
      <w:r w:rsidR="00C000EE" w:rsidRPr="00C000EE">
        <w:rPr>
          <w:rFonts w:cstheme="minorHAnsi"/>
          <w:color w:val="000000"/>
          <w:sz w:val="22"/>
          <w:szCs w:val="22"/>
          <w:shd w:val="clear" w:color="auto" w:fill="FFFFFF"/>
        </w:rPr>
        <w:t>people</w:t>
      </w:r>
      <w:r w:rsidRPr="00C000EE">
        <w:rPr>
          <w:rFonts w:cstheme="minorHAnsi"/>
          <w:color w:val="000000"/>
          <w:sz w:val="22"/>
          <w:szCs w:val="22"/>
          <w:shd w:val="clear" w:color="auto" w:fill="FFFFFF"/>
        </w:rPr>
        <w:t xml:space="preserve"> at most risk of acquiring HIV are not included in national </w:t>
      </w:r>
      <w:r w:rsidR="00C000EE" w:rsidRPr="00C000EE">
        <w:rPr>
          <w:rFonts w:cstheme="minorHAnsi"/>
          <w:color w:val="000000"/>
          <w:sz w:val="22"/>
          <w:szCs w:val="22"/>
          <w:shd w:val="clear" w:color="auto" w:fill="FFFFFF"/>
        </w:rPr>
        <w:t>consultations</w:t>
      </w:r>
      <w:r w:rsidRPr="00C000EE">
        <w:rPr>
          <w:rFonts w:cstheme="minorHAnsi"/>
          <w:color w:val="000000"/>
          <w:sz w:val="22"/>
          <w:szCs w:val="22"/>
          <w:shd w:val="clear" w:color="auto" w:fill="FFFFFF"/>
        </w:rPr>
        <w:t xml:space="preserve"> because they represent </w:t>
      </w:r>
      <w:r w:rsidR="00C000EE">
        <w:rPr>
          <w:rFonts w:cstheme="minorHAnsi"/>
          <w:color w:val="000000"/>
          <w:sz w:val="22"/>
          <w:szCs w:val="22"/>
          <w:shd w:val="clear" w:color="auto" w:fill="FFFFFF"/>
        </w:rPr>
        <w:t>groups who are criminalized</w:t>
      </w:r>
      <w:r w:rsidRPr="00C000EE">
        <w:rPr>
          <w:rFonts w:cstheme="minorHAnsi"/>
          <w:color w:val="000000"/>
          <w:sz w:val="22"/>
          <w:szCs w:val="22"/>
          <w:shd w:val="clear" w:color="auto" w:fill="FFFFFF"/>
        </w:rPr>
        <w:t xml:space="preserve"> under national legislation. For example, sex workers, men who have sex with men, gay, bi-sexual men, transgender women and people who use drugs.</w:t>
      </w:r>
    </w:p>
    <w:p w:rsidR="00E969A3" w:rsidRPr="00C000EE" w:rsidRDefault="00E969A3" w:rsidP="00E969A3">
      <w:pPr>
        <w:pStyle w:val="NoSpacing"/>
        <w:ind w:left="720"/>
        <w:rPr>
          <w:rFonts w:cstheme="minorHAnsi"/>
          <w:b/>
          <w:sz w:val="22"/>
          <w:szCs w:val="22"/>
        </w:rPr>
      </w:pPr>
    </w:p>
    <w:p w:rsidR="0005554E" w:rsidRPr="00C000EE" w:rsidRDefault="0005554E" w:rsidP="0005554E">
      <w:pPr>
        <w:rPr>
          <w:rFonts w:cstheme="minorHAnsi"/>
          <w:b/>
        </w:rPr>
      </w:pPr>
      <w:r w:rsidRPr="00C000EE">
        <w:rPr>
          <w:rFonts w:cstheme="minorHAnsi"/>
          <w:b/>
        </w:rPr>
        <w:t>Disability</w:t>
      </w:r>
      <w:r w:rsidRPr="00C000EE">
        <w:rPr>
          <w:rFonts w:cstheme="minorHAnsi"/>
          <w:b/>
        </w:rPr>
        <w:t xml:space="preserve"> and HIV</w:t>
      </w:r>
      <w:r w:rsidRPr="00C000EE">
        <w:rPr>
          <w:rFonts w:cstheme="minorHAnsi"/>
          <w:b/>
        </w:rPr>
        <w:t xml:space="preserve"> –</w:t>
      </w:r>
      <w:r w:rsidR="00C000EE" w:rsidRPr="00C000EE">
        <w:rPr>
          <w:rFonts w:cstheme="minorHAnsi"/>
          <w:b/>
        </w:rPr>
        <w:t xml:space="preserve"> additional</w:t>
      </w:r>
      <w:r w:rsidRPr="00C000EE">
        <w:rPr>
          <w:rFonts w:cstheme="minorHAnsi"/>
          <w:b/>
        </w:rPr>
        <w:t xml:space="preserve"> links</w:t>
      </w:r>
    </w:p>
    <w:tbl>
      <w:tblPr>
        <w:tblStyle w:val="TableGrid0"/>
        <w:tblW w:w="0" w:type="auto"/>
        <w:tblLook w:val="04A0" w:firstRow="1" w:lastRow="0" w:firstColumn="1" w:lastColumn="0" w:noHBand="0" w:noVBand="1"/>
      </w:tblPr>
      <w:tblGrid>
        <w:gridCol w:w="9016"/>
      </w:tblGrid>
      <w:tr w:rsidR="0005554E" w:rsidRPr="00C000EE" w:rsidTr="00853DE5">
        <w:tc>
          <w:tcPr>
            <w:tcW w:w="9016" w:type="dxa"/>
          </w:tcPr>
          <w:p w:rsidR="0005554E" w:rsidRPr="00C000EE" w:rsidRDefault="0005554E" w:rsidP="00C000EE">
            <w:pPr>
              <w:pStyle w:val="NoSpacing"/>
              <w:numPr>
                <w:ilvl w:val="0"/>
                <w:numId w:val="13"/>
              </w:numPr>
              <w:rPr>
                <w:rFonts w:cstheme="minorHAnsi"/>
                <w:sz w:val="22"/>
                <w:szCs w:val="22"/>
              </w:rPr>
            </w:pPr>
            <w:r w:rsidRPr="00C000EE">
              <w:rPr>
                <w:rFonts w:cstheme="minorHAnsi"/>
                <w:sz w:val="22"/>
                <w:szCs w:val="22"/>
              </w:rPr>
              <w:t>Between 30-75% of people living with HIV, in low and middle income countries report having one or more common mental health conditions, such as depression or anxiety</w:t>
            </w:r>
            <w:r w:rsidRPr="00C000EE">
              <w:rPr>
                <w:rStyle w:val="EndnoteReference"/>
                <w:rFonts w:cstheme="minorHAnsi"/>
                <w:b/>
                <w:sz w:val="22"/>
                <w:szCs w:val="22"/>
              </w:rPr>
              <w:endnoteReference w:id="4"/>
            </w:r>
            <w:r w:rsidRPr="00C000EE">
              <w:rPr>
                <w:rFonts w:cstheme="minorHAnsi"/>
                <w:sz w:val="22"/>
                <w:szCs w:val="22"/>
              </w:rPr>
              <w:t xml:space="preserve">. </w:t>
            </w:r>
          </w:p>
          <w:p w:rsidR="0005554E" w:rsidRPr="00C000EE" w:rsidRDefault="0005554E" w:rsidP="00C000EE">
            <w:pPr>
              <w:pStyle w:val="NoSpacing"/>
              <w:numPr>
                <w:ilvl w:val="0"/>
                <w:numId w:val="13"/>
              </w:numPr>
              <w:rPr>
                <w:rFonts w:cstheme="minorHAnsi"/>
                <w:sz w:val="22"/>
                <w:szCs w:val="22"/>
              </w:rPr>
            </w:pPr>
            <w:r w:rsidRPr="00C000EE">
              <w:rPr>
                <w:rFonts w:cstheme="minorHAnsi"/>
                <w:sz w:val="22"/>
                <w:szCs w:val="22"/>
              </w:rPr>
              <w:t xml:space="preserve">Global evidence also suggests that </w:t>
            </w:r>
            <w:r w:rsidR="00C000EE">
              <w:rPr>
                <w:rFonts w:cstheme="minorHAnsi"/>
                <w:sz w:val="22"/>
                <w:szCs w:val="22"/>
              </w:rPr>
              <w:t xml:space="preserve">people </w:t>
            </w:r>
            <w:r w:rsidR="00C000EE" w:rsidRPr="00C000EE">
              <w:rPr>
                <w:rFonts w:cstheme="minorHAnsi"/>
                <w:sz w:val="22"/>
                <w:szCs w:val="22"/>
              </w:rPr>
              <w:t xml:space="preserve">living with and most affected by HIV, </w:t>
            </w:r>
            <w:r w:rsidR="00C000EE">
              <w:rPr>
                <w:rFonts w:cstheme="minorHAnsi"/>
                <w:sz w:val="22"/>
                <w:szCs w:val="22"/>
              </w:rPr>
              <w:t xml:space="preserve">such as:  </w:t>
            </w:r>
            <w:r w:rsidRPr="00C000EE">
              <w:rPr>
                <w:rFonts w:cstheme="minorHAnsi"/>
                <w:sz w:val="22"/>
                <w:szCs w:val="22"/>
              </w:rPr>
              <w:t>sex</w:t>
            </w:r>
            <w:r w:rsidR="00C000EE">
              <w:rPr>
                <w:rFonts w:cstheme="minorHAnsi"/>
                <w:sz w:val="22"/>
                <w:szCs w:val="22"/>
              </w:rPr>
              <w:t xml:space="preserve"> workers, people who use drugs and </w:t>
            </w:r>
            <w:r w:rsidRPr="00C000EE">
              <w:rPr>
                <w:rFonts w:cstheme="minorHAnsi"/>
                <w:sz w:val="22"/>
                <w:szCs w:val="22"/>
              </w:rPr>
              <w:t>LGBTI people are disproportionately impacted by mental health conditions, when compared to the general population</w:t>
            </w:r>
            <w:r w:rsidRPr="00C000EE">
              <w:rPr>
                <w:rStyle w:val="EndnoteReference"/>
                <w:rFonts w:cstheme="minorHAnsi"/>
                <w:b/>
                <w:sz w:val="22"/>
                <w:szCs w:val="22"/>
              </w:rPr>
              <w:endnoteReference w:id="5"/>
            </w:r>
            <w:r w:rsidRPr="00C000EE">
              <w:rPr>
                <w:rFonts w:cstheme="minorHAnsi"/>
                <w:sz w:val="22"/>
                <w:szCs w:val="22"/>
              </w:rPr>
              <w:t>.</w:t>
            </w:r>
          </w:p>
          <w:p w:rsidR="0005554E" w:rsidRPr="00C000EE" w:rsidRDefault="0005554E" w:rsidP="00C000EE">
            <w:pPr>
              <w:pStyle w:val="NoSpacing"/>
              <w:numPr>
                <w:ilvl w:val="0"/>
                <w:numId w:val="13"/>
              </w:numPr>
              <w:rPr>
                <w:rFonts w:cstheme="minorHAnsi"/>
                <w:sz w:val="22"/>
                <w:szCs w:val="22"/>
              </w:rPr>
            </w:pPr>
            <w:r w:rsidRPr="00C000EE">
              <w:rPr>
                <w:rFonts w:cstheme="minorHAnsi"/>
                <w:sz w:val="22"/>
                <w:szCs w:val="22"/>
              </w:rPr>
              <w:t>Some groups of people living with HIV are reported to have an elevated risk of non HIV-specific chronic diseases, such as kidney and cardiovascular disease</w:t>
            </w:r>
            <w:r w:rsidRPr="00C000EE">
              <w:rPr>
                <w:rStyle w:val="EndnoteReference"/>
                <w:rFonts w:cstheme="minorHAnsi"/>
                <w:sz w:val="22"/>
                <w:szCs w:val="22"/>
              </w:rPr>
              <w:endnoteReference w:id="6"/>
            </w:r>
            <w:r w:rsidRPr="00C000EE">
              <w:rPr>
                <w:rFonts w:cstheme="minorHAnsi"/>
                <w:sz w:val="22"/>
                <w:szCs w:val="22"/>
              </w:rPr>
              <w:t>.</w:t>
            </w:r>
          </w:p>
          <w:p w:rsidR="0005554E" w:rsidRPr="00C000EE" w:rsidRDefault="0005554E" w:rsidP="00853DE5">
            <w:pPr>
              <w:pStyle w:val="NoSpacing"/>
              <w:numPr>
                <w:ilvl w:val="0"/>
                <w:numId w:val="12"/>
              </w:numPr>
              <w:rPr>
                <w:rFonts w:cstheme="minorHAnsi"/>
                <w:sz w:val="22"/>
                <w:szCs w:val="22"/>
              </w:rPr>
            </w:pPr>
            <w:r w:rsidRPr="00C000EE">
              <w:rPr>
                <w:rFonts w:cstheme="minorHAnsi"/>
                <w:sz w:val="22"/>
                <w:szCs w:val="22"/>
              </w:rPr>
              <w:t>A study of people living with HIV in England and Wales found that two-thirds of respondents had at least one long-term condition other than HIV, with the proportion higher (three-quarters) among those aged over 50 years</w:t>
            </w:r>
            <w:r w:rsidRPr="00C000EE">
              <w:rPr>
                <w:rStyle w:val="EndnoteReference"/>
                <w:rFonts w:cstheme="minorHAnsi"/>
                <w:sz w:val="22"/>
                <w:szCs w:val="22"/>
              </w:rPr>
              <w:endnoteReference w:id="7"/>
            </w:r>
            <w:r w:rsidRPr="00C000EE">
              <w:rPr>
                <w:rFonts w:cstheme="minorHAnsi"/>
                <w:sz w:val="22"/>
                <w:szCs w:val="22"/>
              </w:rPr>
              <w:t>.</w:t>
            </w:r>
          </w:p>
        </w:tc>
      </w:tr>
    </w:tbl>
    <w:p w:rsidR="0005554E" w:rsidRPr="00C000EE" w:rsidRDefault="0005554E" w:rsidP="00CC1ADB">
      <w:pPr>
        <w:ind w:right="46"/>
        <w:rPr>
          <w:rFonts w:cstheme="minorHAnsi"/>
        </w:rPr>
      </w:pPr>
    </w:p>
    <w:p w:rsidR="00A63CB6" w:rsidRPr="00C000EE" w:rsidRDefault="00A63CB6">
      <w:pPr>
        <w:rPr>
          <w:rFonts w:cstheme="minorHAnsi"/>
          <w:color w:val="000000"/>
          <w:shd w:val="clear" w:color="auto" w:fill="FFFFFF"/>
        </w:rPr>
      </w:pPr>
      <w:r w:rsidRPr="00C000EE">
        <w:rPr>
          <w:rFonts w:cstheme="minorHAnsi"/>
          <w:color w:val="000000"/>
          <w:shd w:val="clear" w:color="auto" w:fill="FFFFFF"/>
        </w:rPr>
        <w:t>For further information please contact:</w:t>
      </w:r>
    </w:p>
    <w:p w:rsidR="00A63CB6" w:rsidRPr="00C000EE" w:rsidRDefault="00A63CB6">
      <w:pPr>
        <w:rPr>
          <w:rFonts w:cstheme="minorHAnsi"/>
          <w:color w:val="000000"/>
          <w:shd w:val="clear" w:color="auto" w:fill="FFFFFF"/>
        </w:rPr>
      </w:pPr>
      <w:r w:rsidRPr="00C000EE">
        <w:rPr>
          <w:rFonts w:cstheme="minorHAnsi"/>
          <w:color w:val="000000"/>
          <w:shd w:val="clear" w:color="auto" w:fill="FFFFFF"/>
        </w:rPr>
        <w:t>Diane Kingston, Senior Advisor on Policy and Government Engagement</w:t>
      </w:r>
    </w:p>
    <w:p w:rsidR="00A63CB6" w:rsidRPr="00C000EE" w:rsidRDefault="00E606EA">
      <w:pPr>
        <w:rPr>
          <w:rFonts w:cstheme="minorHAnsi"/>
          <w:color w:val="000000"/>
          <w:shd w:val="clear" w:color="auto" w:fill="FFFFFF"/>
        </w:rPr>
      </w:pPr>
      <w:hyperlink r:id="rId9" w:history="1">
        <w:r w:rsidR="00A63CB6" w:rsidRPr="00C000EE">
          <w:rPr>
            <w:rStyle w:val="Hyperlink"/>
            <w:rFonts w:cstheme="minorHAnsi"/>
            <w:shd w:val="clear" w:color="auto" w:fill="FFFFFF"/>
          </w:rPr>
          <w:t>dkingston@aidsalliance.org</w:t>
        </w:r>
      </w:hyperlink>
    </w:p>
    <w:p w:rsidR="00A63CB6" w:rsidRPr="00C000EE" w:rsidRDefault="00A63CB6">
      <w:pPr>
        <w:rPr>
          <w:rFonts w:cstheme="minorHAnsi"/>
          <w:color w:val="000000"/>
          <w:shd w:val="clear" w:color="auto" w:fill="FFFFFF"/>
        </w:rPr>
      </w:pPr>
    </w:p>
    <w:sectPr w:rsidR="00A63CB6" w:rsidRPr="00C000EE" w:rsidSect="00C000EE">
      <w:footerReference w:type="default" r:id="rId10"/>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EA" w:rsidRDefault="00E606EA" w:rsidP="00BB1C1C">
      <w:pPr>
        <w:spacing w:after="0" w:line="240" w:lineRule="auto"/>
      </w:pPr>
      <w:r>
        <w:separator/>
      </w:r>
    </w:p>
  </w:endnote>
  <w:endnote w:type="continuationSeparator" w:id="0">
    <w:p w:rsidR="00E606EA" w:rsidRDefault="00E606EA" w:rsidP="00BB1C1C">
      <w:pPr>
        <w:spacing w:after="0" w:line="240" w:lineRule="auto"/>
      </w:pPr>
      <w:r>
        <w:continuationSeparator/>
      </w:r>
    </w:p>
  </w:endnote>
  <w:endnote w:id="1">
    <w:p w:rsidR="00C000EE" w:rsidRPr="00C000EE" w:rsidRDefault="00C000EE" w:rsidP="00C000EE">
      <w:pPr>
        <w:pStyle w:val="EndnoteText"/>
        <w:rPr>
          <w:rFonts w:cstheme="minorHAnsi"/>
          <w:b/>
          <w:sz w:val="18"/>
          <w:szCs w:val="18"/>
          <w:u w:val="single"/>
        </w:rPr>
      </w:pPr>
      <w:r w:rsidRPr="00C000EE">
        <w:rPr>
          <w:rFonts w:cstheme="minorHAnsi"/>
          <w:b/>
          <w:sz w:val="18"/>
          <w:szCs w:val="18"/>
          <w:u w:val="single"/>
        </w:rPr>
        <w:t>References:</w:t>
      </w:r>
    </w:p>
    <w:p w:rsidR="00C000EE" w:rsidRPr="00C000EE" w:rsidRDefault="00C000EE" w:rsidP="00C000EE">
      <w:pPr>
        <w:pStyle w:val="NoSpacing"/>
        <w:rPr>
          <w:rFonts w:cstheme="minorHAnsi"/>
          <w:sz w:val="18"/>
          <w:szCs w:val="18"/>
        </w:rPr>
      </w:pPr>
      <w:r w:rsidRPr="00C000EE">
        <w:rPr>
          <w:rStyle w:val="EndnoteReference"/>
          <w:rFonts w:cstheme="minorHAnsi"/>
          <w:sz w:val="18"/>
          <w:szCs w:val="18"/>
        </w:rPr>
        <w:endnoteRef/>
      </w:r>
      <w:r w:rsidRPr="00C000EE">
        <w:rPr>
          <w:rFonts w:cstheme="minorHAnsi"/>
          <w:sz w:val="18"/>
          <w:szCs w:val="18"/>
        </w:rPr>
        <w:t xml:space="preserve"> </w:t>
      </w:r>
      <w:r w:rsidRPr="00C000EE">
        <w:rPr>
          <w:rFonts w:cstheme="minorHAnsi"/>
          <w:sz w:val="18"/>
          <w:szCs w:val="18"/>
          <w:shd w:val="clear" w:color="auto" w:fill="FFFFFF"/>
        </w:rPr>
        <w:t>For example, sex workers, people who inject drugs, trans* people, prisoners, gay men, other men who have sex with men, and adolescent girls and young women in sub-Saharan Africa.</w:t>
      </w:r>
    </w:p>
  </w:endnote>
  <w:endnote w:id="2">
    <w:p w:rsidR="00EE3D75" w:rsidRPr="00C000EE" w:rsidRDefault="00EE3D75" w:rsidP="00C000EE">
      <w:pPr>
        <w:pStyle w:val="NoSpacing"/>
        <w:rPr>
          <w:rFonts w:cstheme="minorHAnsi"/>
          <w:sz w:val="18"/>
          <w:szCs w:val="18"/>
        </w:rPr>
      </w:pPr>
      <w:r w:rsidRPr="00C000EE">
        <w:rPr>
          <w:rStyle w:val="EndnoteReference"/>
          <w:rFonts w:cstheme="minorHAnsi"/>
          <w:sz w:val="18"/>
          <w:szCs w:val="18"/>
        </w:rPr>
        <w:endnoteRef/>
      </w:r>
      <w:r w:rsidRPr="00C000EE">
        <w:rPr>
          <w:rFonts w:cstheme="minorHAnsi"/>
          <w:sz w:val="18"/>
          <w:szCs w:val="18"/>
        </w:rPr>
        <w:t xml:space="preserve"> United Nations Commission on Human Rights. Sub-Commission on Prevention of Discrimination and Protection of Minorities, "HIV/AIDS and Disability" Statement by the UNAIDS. 48</w:t>
      </w:r>
      <w:r w:rsidRPr="00C000EE">
        <w:rPr>
          <w:rFonts w:cstheme="minorHAnsi"/>
          <w:sz w:val="18"/>
          <w:szCs w:val="18"/>
          <w:vertAlign w:val="superscript"/>
        </w:rPr>
        <w:t>th</w:t>
      </w:r>
      <w:r w:rsidRPr="00C000EE">
        <w:rPr>
          <w:rFonts w:cstheme="minorHAnsi"/>
          <w:sz w:val="18"/>
          <w:szCs w:val="18"/>
        </w:rPr>
        <w:t xml:space="preserve"> Session, August 1996.  </w:t>
      </w:r>
    </w:p>
  </w:endnote>
  <w:endnote w:id="3">
    <w:p w:rsidR="00E969A3" w:rsidRPr="00C000EE" w:rsidRDefault="00E969A3" w:rsidP="00C000EE">
      <w:pPr>
        <w:pStyle w:val="NoSpacing"/>
        <w:rPr>
          <w:rFonts w:cstheme="minorHAnsi"/>
          <w:color w:val="000000"/>
          <w:sz w:val="18"/>
          <w:szCs w:val="18"/>
        </w:rPr>
      </w:pPr>
      <w:r w:rsidRPr="00C000EE">
        <w:rPr>
          <w:rStyle w:val="EndnoteReference"/>
          <w:rFonts w:cstheme="minorHAnsi"/>
          <w:sz w:val="18"/>
          <w:szCs w:val="18"/>
        </w:rPr>
        <w:endnoteRef/>
      </w:r>
      <w:r w:rsidRPr="00C000EE">
        <w:rPr>
          <w:rFonts w:cstheme="minorHAnsi"/>
          <w:sz w:val="18"/>
          <w:szCs w:val="18"/>
        </w:rPr>
        <w:t xml:space="preserve"> </w:t>
      </w:r>
      <w:r w:rsidRPr="00C000EE">
        <w:rPr>
          <w:rFonts w:cstheme="minorHAnsi"/>
          <w:color w:val="000000"/>
          <w:sz w:val="18"/>
          <w:szCs w:val="18"/>
        </w:rPr>
        <w:t>People living with HIV have legal protection in some national anti-discrimination law, for example, the United Kingdom under the Equality Act and in South Africa.</w:t>
      </w:r>
    </w:p>
  </w:endnote>
  <w:endnote w:id="4">
    <w:p w:rsidR="0005554E" w:rsidRPr="00C000EE" w:rsidRDefault="0005554E" w:rsidP="00C000EE">
      <w:pPr>
        <w:pStyle w:val="NoSpacing"/>
        <w:rPr>
          <w:rFonts w:cstheme="minorHAnsi"/>
          <w:sz w:val="18"/>
          <w:szCs w:val="18"/>
        </w:rPr>
      </w:pPr>
      <w:r w:rsidRPr="00C000EE">
        <w:rPr>
          <w:rStyle w:val="EndnoteReference"/>
          <w:rFonts w:cstheme="minorHAnsi"/>
          <w:sz w:val="18"/>
          <w:szCs w:val="18"/>
        </w:rPr>
        <w:endnoteRef/>
      </w:r>
      <w:r w:rsidRPr="00C000EE">
        <w:rPr>
          <w:rFonts w:cstheme="minorHAnsi"/>
          <w:sz w:val="18"/>
          <w:szCs w:val="18"/>
        </w:rPr>
        <w:t xml:space="preserve"> Brandt, R. (2009). The mental health of people living with HIV/AIDS in Africa: a systematic review. African Journal of AIDS Research, 8(2), 123-133; See also Chibanda, D., Cowan, F. M., Healy, J. L., Abas, M., &amp; Lund, C. (2015). Psychological interventions for Common Mental Disorders for People Living with HIV in Low‐and Middle‐Income Countries: systematic review. Tropical Medicine &amp; International Health, 20(7), PP.830-839. Kodali, P. B. (2018). Mental Health Needs of People Living with HIV/AIDS: A Thematic Overview. MOJ Public Health 7 (1).</w:t>
      </w:r>
    </w:p>
  </w:endnote>
  <w:endnote w:id="5">
    <w:p w:rsidR="0005554E" w:rsidRPr="00C000EE" w:rsidRDefault="0005554E" w:rsidP="00C000EE">
      <w:pPr>
        <w:pStyle w:val="NoSpacing"/>
        <w:rPr>
          <w:rFonts w:cstheme="minorHAnsi"/>
          <w:sz w:val="18"/>
          <w:szCs w:val="18"/>
        </w:rPr>
      </w:pPr>
      <w:r w:rsidRPr="00C000EE">
        <w:rPr>
          <w:rStyle w:val="EndnoteReference"/>
          <w:rFonts w:cstheme="minorHAnsi"/>
          <w:sz w:val="18"/>
          <w:szCs w:val="18"/>
        </w:rPr>
        <w:endnoteRef/>
      </w:r>
      <w:r w:rsidRPr="00C000EE">
        <w:rPr>
          <w:rFonts w:cstheme="minorHAnsi"/>
          <w:sz w:val="18"/>
          <w:szCs w:val="18"/>
        </w:rPr>
        <w:t xml:space="preserve"> Pan American Health Organisation, (2011). Improving Access of Key Populations to Comprehensive HIV Health Services: Towards a Caribbean Consensus. </w:t>
      </w:r>
      <w:hyperlink r:id="rId1" w:history="1">
        <w:r w:rsidRPr="00C000EE">
          <w:rPr>
            <w:rStyle w:val="Hyperlink"/>
            <w:rFonts w:cstheme="minorHAnsi"/>
            <w:sz w:val="18"/>
            <w:szCs w:val="18"/>
          </w:rPr>
          <w:t>http://www.paho.org/hq/index.php?option=com_content&amp;view=article&amp;id=13964&amp;Itemid=72171&amp;lang=en</w:t>
        </w:r>
      </w:hyperlink>
      <w:r w:rsidRPr="00C000EE">
        <w:rPr>
          <w:rFonts w:cstheme="minorHAnsi"/>
          <w:sz w:val="18"/>
          <w:szCs w:val="18"/>
        </w:rPr>
        <w:t xml:space="preserve"> (accessed 4 April 2018)</w:t>
      </w:r>
    </w:p>
  </w:endnote>
  <w:endnote w:id="6">
    <w:p w:rsidR="0005554E" w:rsidRPr="00C000EE" w:rsidRDefault="0005554E" w:rsidP="00C000EE">
      <w:pPr>
        <w:pStyle w:val="NoSpacing"/>
        <w:rPr>
          <w:rFonts w:cstheme="minorHAnsi"/>
          <w:sz w:val="18"/>
          <w:szCs w:val="18"/>
        </w:rPr>
      </w:pPr>
      <w:r w:rsidRPr="00C000EE">
        <w:rPr>
          <w:rStyle w:val="EndnoteReference"/>
          <w:rFonts w:cstheme="minorHAnsi"/>
          <w:sz w:val="18"/>
          <w:szCs w:val="18"/>
        </w:rPr>
        <w:endnoteRef/>
      </w:r>
      <w:r w:rsidRPr="00C000EE">
        <w:rPr>
          <w:rFonts w:cstheme="minorHAnsi"/>
          <w:sz w:val="18"/>
          <w:szCs w:val="18"/>
        </w:rPr>
        <w:t xml:space="preserve"> </w:t>
      </w:r>
      <w:r w:rsidRPr="00C000EE">
        <w:rPr>
          <w:rFonts w:cstheme="minorHAnsi"/>
          <w:i/>
          <w:color w:val="000000" w:themeColor="text1"/>
          <w:sz w:val="18"/>
          <w:szCs w:val="18"/>
        </w:rPr>
        <w:t>Beyond Viral Suppression of HIV – the New Quality of Life Frontier</w:t>
      </w:r>
      <w:r w:rsidRPr="00C000EE">
        <w:rPr>
          <w:rFonts w:cstheme="minorHAnsi"/>
          <w:color w:val="000000" w:themeColor="text1"/>
          <w:sz w:val="18"/>
          <w:szCs w:val="18"/>
        </w:rPr>
        <w:t>, Jeffrey V. Lazarus, Kelly Safreed-Harmon, Simon E. Barton, Dominique Costagliola, Nikos Dedes, Julia del Amo Valero, Jose M. Gatell, Ricardo Baptista-Leite, Luís Mendão, Kholoud Porter, Stefano Vella and Jürgen Kurt Rockstroh, BMC Medicine, 22 June 2016.</w:t>
      </w:r>
    </w:p>
  </w:endnote>
  <w:endnote w:id="7">
    <w:p w:rsidR="0005554E" w:rsidRPr="00DC4ABB" w:rsidRDefault="0005554E" w:rsidP="00C000EE">
      <w:pPr>
        <w:pStyle w:val="NoSpacing"/>
        <w:rPr>
          <w:rFonts w:asciiTheme="majorHAnsi" w:hAnsiTheme="majorHAnsi" w:cstheme="majorHAnsi"/>
          <w:color w:val="000000" w:themeColor="text1"/>
          <w:sz w:val="16"/>
          <w:szCs w:val="16"/>
        </w:rPr>
      </w:pPr>
      <w:r w:rsidRPr="00C000EE">
        <w:rPr>
          <w:rStyle w:val="EndnoteReference"/>
          <w:rFonts w:cstheme="minorHAnsi"/>
          <w:color w:val="000000" w:themeColor="text1"/>
          <w:sz w:val="18"/>
          <w:szCs w:val="18"/>
        </w:rPr>
        <w:endnoteRef/>
      </w:r>
      <w:r w:rsidRPr="00C000EE">
        <w:rPr>
          <w:rFonts w:cstheme="minorHAnsi"/>
          <w:color w:val="000000" w:themeColor="text1"/>
          <w:sz w:val="18"/>
          <w:szCs w:val="18"/>
        </w:rPr>
        <w:t xml:space="preserve"> </w:t>
      </w:r>
      <w:r w:rsidRPr="00C000EE">
        <w:rPr>
          <w:rFonts w:cstheme="minorHAnsi"/>
          <w:i/>
          <w:color w:val="000000" w:themeColor="text1"/>
          <w:sz w:val="18"/>
          <w:szCs w:val="18"/>
        </w:rPr>
        <w:t>A Declaration on ‘Whole Person</w:t>
      </w:r>
      <w:r w:rsidRPr="00C000EE">
        <w:rPr>
          <w:i/>
          <w:color w:val="000000" w:themeColor="text1"/>
          <w:sz w:val="18"/>
          <w:szCs w:val="18"/>
        </w:rPr>
        <w:t xml:space="preserve"> Care’ in HIV Care and Support</w:t>
      </w:r>
      <w:r w:rsidRPr="00C000EE">
        <w:rPr>
          <w:color w:val="000000" w:themeColor="text1"/>
          <w:sz w:val="18"/>
          <w:szCs w:val="18"/>
        </w:rPr>
        <w:t>, NAT, THT, Positively UK, BASHH, NAZ, BHIVA and MSD, October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16942"/>
      <w:docPartObj>
        <w:docPartGallery w:val="Page Numbers (Bottom of Page)"/>
        <w:docPartUnique/>
      </w:docPartObj>
    </w:sdtPr>
    <w:sdtEndPr>
      <w:rPr>
        <w:noProof/>
      </w:rPr>
    </w:sdtEndPr>
    <w:sdtContent>
      <w:p w:rsidR="00CC1ADB" w:rsidRDefault="00CC1ADB">
        <w:pPr>
          <w:pStyle w:val="Footer"/>
          <w:jc w:val="center"/>
        </w:pPr>
        <w:r>
          <w:fldChar w:fldCharType="begin"/>
        </w:r>
        <w:r>
          <w:instrText xml:space="preserve"> PAGE   \* MERGEFORMAT </w:instrText>
        </w:r>
        <w:r>
          <w:fldChar w:fldCharType="separate"/>
        </w:r>
        <w:r w:rsidR="00AF4A46">
          <w:rPr>
            <w:noProof/>
          </w:rPr>
          <w:t>1</w:t>
        </w:r>
        <w:r>
          <w:rPr>
            <w:noProof/>
          </w:rPr>
          <w:fldChar w:fldCharType="end"/>
        </w:r>
      </w:p>
    </w:sdtContent>
  </w:sdt>
  <w:p w:rsidR="00CC1ADB" w:rsidRDefault="00CC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EA" w:rsidRDefault="00E606EA" w:rsidP="00BB1C1C">
      <w:pPr>
        <w:spacing w:after="0" w:line="240" w:lineRule="auto"/>
      </w:pPr>
      <w:r>
        <w:separator/>
      </w:r>
    </w:p>
  </w:footnote>
  <w:footnote w:type="continuationSeparator" w:id="0">
    <w:p w:rsidR="00E606EA" w:rsidRDefault="00E606EA" w:rsidP="00BB1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7EF"/>
    <w:multiLevelType w:val="hybridMultilevel"/>
    <w:tmpl w:val="3E16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4851"/>
    <w:multiLevelType w:val="multilevel"/>
    <w:tmpl w:val="F910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93941"/>
    <w:multiLevelType w:val="multilevel"/>
    <w:tmpl w:val="71A8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12980"/>
    <w:multiLevelType w:val="hybridMultilevel"/>
    <w:tmpl w:val="1974CA54"/>
    <w:lvl w:ilvl="0" w:tplc="907E9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B47F9"/>
    <w:multiLevelType w:val="multilevel"/>
    <w:tmpl w:val="9CD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F5C4D"/>
    <w:multiLevelType w:val="hybridMultilevel"/>
    <w:tmpl w:val="9572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34CBE"/>
    <w:multiLevelType w:val="hybridMultilevel"/>
    <w:tmpl w:val="9980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30E62"/>
    <w:multiLevelType w:val="hybridMultilevel"/>
    <w:tmpl w:val="F17C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818D3"/>
    <w:multiLevelType w:val="multilevel"/>
    <w:tmpl w:val="070EE75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DCA5EC8"/>
    <w:multiLevelType w:val="hybridMultilevel"/>
    <w:tmpl w:val="3602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042B"/>
    <w:multiLevelType w:val="hybridMultilevel"/>
    <w:tmpl w:val="4B38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A5A79"/>
    <w:multiLevelType w:val="hybridMultilevel"/>
    <w:tmpl w:val="549A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35A36"/>
    <w:multiLevelType w:val="hybridMultilevel"/>
    <w:tmpl w:val="0EA403D2"/>
    <w:lvl w:ilvl="0" w:tplc="E8CC69E0">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3"/>
  </w:num>
  <w:num w:numId="2">
    <w:abstractNumId w:val="8"/>
  </w:num>
  <w:num w:numId="3">
    <w:abstractNumId w:val="2"/>
  </w:num>
  <w:num w:numId="4">
    <w:abstractNumId w:val="11"/>
  </w:num>
  <w:num w:numId="5">
    <w:abstractNumId w:val="5"/>
  </w:num>
  <w:num w:numId="6">
    <w:abstractNumId w:val="0"/>
  </w:num>
  <w:num w:numId="7">
    <w:abstractNumId w:val="10"/>
  </w:num>
  <w:num w:numId="8">
    <w:abstractNumId w:val="4"/>
  </w:num>
  <w:num w:numId="9">
    <w:abstractNumId w:val="1"/>
  </w:num>
  <w:num w:numId="10">
    <w:abstractNumId w:val="12"/>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74"/>
    <w:rsid w:val="0005554E"/>
    <w:rsid w:val="000A0574"/>
    <w:rsid w:val="00166B2D"/>
    <w:rsid w:val="00234486"/>
    <w:rsid w:val="00322132"/>
    <w:rsid w:val="003A5575"/>
    <w:rsid w:val="0043370A"/>
    <w:rsid w:val="00542889"/>
    <w:rsid w:val="0057653C"/>
    <w:rsid w:val="005D4A18"/>
    <w:rsid w:val="00696FF5"/>
    <w:rsid w:val="006C72C7"/>
    <w:rsid w:val="006F53DA"/>
    <w:rsid w:val="00A63CB6"/>
    <w:rsid w:val="00AF4A46"/>
    <w:rsid w:val="00B77F5B"/>
    <w:rsid w:val="00BB1C1C"/>
    <w:rsid w:val="00C000EE"/>
    <w:rsid w:val="00C10077"/>
    <w:rsid w:val="00CC1ADB"/>
    <w:rsid w:val="00D96B0F"/>
    <w:rsid w:val="00DE2902"/>
    <w:rsid w:val="00E125A3"/>
    <w:rsid w:val="00E44B25"/>
    <w:rsid w:val="00E606EA"/>
    <w:rsid w:val="00E7622C"/>
    <w:rsid w:val="00E969A3"/>
    <w:rsid w:val="00EE3D75"/>
    <w:rsid w:val="00FF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7B83"/>
  <w15:chartTrackingRefBased/>
  <w15:docId w15:val="{F0C90A97-B19A-40FF-99FF-41AC6BDA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F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696FF5"/>
    <w:pPr>
      <w:numPr>
        <w:numId w:val="2"/>
      </w:numPr>
      <w:spacing w:line="240" w:lineRule="auto"/>
      <w:ind w:hanging="360"/>
    </w:pPr>
    <w:rPr>
      <w:b/>
      <w:color w:val="5B9BD5" w:themeColor="accent1"/>
    </w:rPr>
  </w:style>
  <w:style w:type="character" w:customStyle="1" w:styleId="Style1Char">
    <w:name w:val="Style1 Char"/>
    <w:basedOn w:val="Heading1Char"/>
    <w:link w:val="Style1"/>
    <w:rsid w:val="00696FF5"/>
    <w:rPr>
      <w:rFonts w:asciiTheme="majorHAnsi" w:eastAsiaTheme="majorEastAsia" w:hAnsiTheme="majorHAnsi" w:cstheme="majorBidi"/>
      <w:b/>
      <w:color w:val="5B9BD5" w:themeColor="accent1"/>
      <w:sz w:val="32"/>
      <w:szCs w:val="32"/>
    </w:rPr>
  </w:style>
  <w:style w:type="character" w:customStyle="1" w:styleId="Heading1Char">
    <w:name w:val="Heading 1 Char"/>
    <w:basedOn w:val="DefaultParagraphFont"/>
    <w:link w:val="Heading1"/>
    <w:uiPriority w:val="9"/>
    <w:rsid w:val="00696FF5"/>
    <w:rPr>
      <w:rFonts w:asciiTheme="majorHAnsi" w:eastAsiaTheme="majorEastAsia" w:hAnsiTheme="majorHAnsi" w:cstheme="majorBidi"/>
      <w:color w:val="2E74B5" w:themeColor="accent1" w:themeShade="BF"/>
      <w:sz w:val="32"/>
      <w:szCs w:val="32"/>
    </w:rPr>
  </w:style>
  <w:style w:type="paragraph" w:customStyle="1" w:styleId="p">
    <w:name w:val="p"/>
    <w:basedOn w:val="Normal"/>
    <w:rsid w:val="005D4A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A18"/>
    <w:rPr>
      <w:color w:val="0000FF"/>
      <w:u w:val="single"/>
    </w:rPr>
  </w:style>
  <w:style w:type="paragraph" w:styleId="NormalWeb">
    <w:name w:val="Normal (Web)"/>
    <w:basedOn w:val="Normal"/>
    <w:uiPriority w:val="99"/>
    <w:unhideWhenUsed/>
    <w:rsid w:val="005D4A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B1C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C1C"/>
    <w:rPr>
      <w:sz w:val="20"/>
      <w:szCs w:val="20"/>
    </w:rPr>
  </w:style>
  <w:style w:type="character" w:styleId="FootnoteReference">
    <w:name w:val="footnote reference"/>
    <w:basedOn w:val="DefaultParagraphFont"/>
    <w:uiPriority w:val="99"/>
    <w:semiHidden/>
    <w:unhideWhenUsed/>
    <w:rsid w:val="00BB1C1C"/>
    <w:rPr>
      <w:vertAlign w:val="superscript"/>
    </w:rPr>
  </w:style>
  <w:style w:type="character" w:customStyle="1" w:styleId="mixed-citation">
    <w:name w:val="mixed-citation"/>
    <w:basedOn w:val="DefaultParagraphFont"/>
    <w:rsid w:val="00BB1C1C"/>
  </w:style>
  <w:style w:type="character" w:customStyle="1" w:styleId="ref-journal">
    <w:name w:val="ref-journal"/>
    <w:basedOn w:val="DefaultParagraphFont"/>
    <w:rsid w:val="00BB1C1C"/>
  </w:style>
  <w:style w:type="paragraph" w:styleId="ListParagraph">
    <w:name w:val="List Paragraph"/>
    <w:basedOn w:val="Normal"/>
    <w:uiPriority w:val="34"/>
    <w:qFormat/>
    <w:rsid w:val="006F53DA"/>
    <w:pPr>
      <w:ind w:left="720"/>
      <w:contextualSpacing/>
    </w:pPr>
  </w:style>
  <w:style w:type="paragraph" w:customStyle="1" w:styleId="footnotedescription">
    <w:name w:val="footnote description"/>
    <w:next w:val="Normal"/>
    <w:link w:val="footnotedescriptionChar"/>
    <w:hidden/>
    <w:rsid w:val="006C72C7"/>
    <w:pPr>
      <w:spacing w:after="34"/>
      <w:jc w:val="both"/>
    </w:pPr>
    <w:rPr>
      <w:rFonts w:ascii="Calibri" w:eastAsia="Calibri" w:hAnsi="Calibri" w:cs="Calibri"/>
      <w:color w:val="000000"/>
      <w:sz w:val="13"/>
      <w:lang w:eastAsia="en-GB"/>
    </w:rPr>
  </w:style>
  <w:style w:type="character" w:customStyle="1" w:styleId="footnotedescriptionChar">
    <w:name w:val="footnote description Char"/>
    <w:link w:val="footnotedescription"/>
    <w:rsid w:val="006C72C7"/>
    <w:rPr>
      <w:rFonts w:ascii="Calibri" w:eastAsia="Calibri" w:hAnsi="Calibri" w:cs="Calibri"/>
      <w:color w:val="000000"/>
      <w:sz w:val="13"/>
      <w:lang w:eastAsia="en-GB"/>
    </w:rPr>
  </w:style>
  <w:style w:type="character" w:customStyle="1" w:styleId="footnotemark">
    <w:name w:val="footnote mark"/>
    <w:hidden/>
    <w:rsid w:val="006C72C7"/>
    <w:rPr>
      <w:rFonts w:ascii="Calibri" w:eastAsia="Calibri" w:hAnsi="Calibri" w:cs="Calibri"/>
      <w:color w:val="000000"/>
      <w:sz w:val="12"/>
      <w:vertAlign w:val="superscript"/>
    </w:rPr>
  </w:style>
  <w:style w:type="table" w:customStyle="1" w:styleId="TableGrid">
    <w:name w:val="TableGrid"/>
    <w:rsid w:val="0032213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3370A"/>
    <w:rPr>
      <w:sz w:val="16"/>
      <w:szCs w:val="16"/>
    </w:rPr>
  </w:style>
  <w:style w:type="paragraph" w:styleId="CommentText">
    <w:name w:val="annotation text"/>
    <w:basedOn w:val="Normal"/>
    <w:link w:val="CommentTextChar"/>
    <w:uiPriority w:val="99"/>
    <w:unhideWhenUsed/>
    <w:rsid w:val="0043370A"/>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3370A"/>
    <w:rPr>
      <w:rFonts w:ascii="Times New Roman" w:hAnsi="Times New Roman" w:cs="Times New Roman"/>
      <w:sz w:val="20"/>
      <w:szCs w:val="20"/>
      <w:lang w:val="en-US"/>
    </w:rPr>
  </w:style>
  <w:style w:type="paragraph" w:styleId="NoSpacing">
    <w:name w:val="No Spacing"/>
    <w:basedOn w:val="Normal"/>
    <w:link w:val="NoSpacingChar"/>
    <w:uiPriority w:val="1"/>
    <w:qFormat/>
    <w:rsid w:val="0043370A"/>
    <w:pPr>
      <w:spacing w:after="0" w:line="240" w:lineRule="auto"/>
    </w:pPr>
    <w:rPr>
      <w:rFonts w:eastAsiaTheme="minorEastAsia"/>
      <w:sz w:val="20"/>
      <w:szCs w:val="20"/>
      <w:lang w:val="en-US"/>
    </w:rPr>
  </w:style>
  <w:style w:type="character" w:customStyle="1" w:styleId="NoSpacingChar">
    <w:name w:val="No Spacing Char"/>
    <w:basedOn w:val="DefaultParagraphFont"/>
    <w:link w:val="NoSpacing"/>
    <w:uiPriority w:val="1"/>
    <w:rsid w:val="0043370A"/>
    <w:rPr>
      <w:rFonts w:eastAsiaTheme="minorEastAsia"/>
      <w:sz w:val="20"/>
      <w:szCs w:val="20"/>
      <w:lang w:val="en-US"/>
    </w:rPr>
  </w:style>
  <w:style w:type="paragraph" w:styleId="Header">
    <w:name w:val="header"/>
    <w:basedOn w:val="Normal"/>
    <w:link w:val="HeaderChar"/>
    <w:uiPriority w:val="99"/>
    <w:unhideWhenUsed/>
    <w:rsid w:val="00CC1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ADB"/>
  </w:style>
  <w:style w:type="paragraph" w:styleId="Footer">
    <w:name w:val="footer"/>
    <w:basedOn w:val="Normal"/>
    <w:link w:val="FooterChar"/>
    <w:uiPriority w:val="99"/>
    <w:unhideWhenUsed/>
    <w:rsid w:val="00CC1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ADB"/>
  </w:style>
  <w:style w:type="character" w:styleId="EndnoteReference">
    <w:name w:val="endnote reference"/>
    <w:basedOn w:val="DefaultParagraphFont"/>
    <w:uiPriority w:val="99"/>
    <w:unhideWhenUsed/>
    <w:rsid w:val="0057653C"/>
    <w:rPr>
      <w:rFonts w:asciiTheme="minorHAnsi" w:hAnsiTheme="minorHAnsi"/>
      <w:sz w:val="20"/>
      <w:vertAlign w:val="superscript"/>
    </w:rPr>
  </w:style>
  <w:style w:type="paragraph" w:customStyle="1" w:styleId="HeaderLevel3">
    <w:name w:val="Header Level 3"/>
    <w:basedOn w:val="Normal"/>
    <w:qFormat/>
    <w:rsid w:val="0057653C"/>
    <w:pPr>
      <w:keepNext/>
      <w:spacing w:after="220" w:line="240" w:lineRule="auto"/>
    </w:pPr>
    <w:rPr>
      <w:rFonts w:ascii="Arial" w:eastAsia="Times New Roman" w:hAnsi="Arial" w:cs="Times New Roman"/>
      <w:b/>
      <w:color w:val="8DC63F"/>
      <w:sz w:val="24"/>
      <w:lang w:val="en-US"/>
    </w:rPr>
  </w:style>
  <w:style w:type="paragraph" w:styleId="EndnoteText">
    <w:name w:val="endnote text"/>
    <w:basedOn w:val="Normal"/>
    <w:link w:val="EndnoteTextChar"/>
    <w:uiPriority w:val="99"/>
    <w:unhideWhenUsed/>
    <w:rsid w:val="0057653C"/>
    <w:pPr>
      <w:spacing w:after="0" w:line="240" w:lineRule="auto"/>
    </w:pPr>
    <w:rPr>
      <w:sz w:val="20"/>
      <w:szCs w:val="20"/>
    </w:rPr>
  </w:style>
  <w:style w:type="character" w:customStyle="1" w:styleId="EndnoteTextChar">
    <w:name w:val="Endnote Text Char"/>
    <w:basedOn w:val="DefaultParagraphFont"/>
    <w:link w:val="EndnoteText"/>
    <w:uiPriority w:val="99"/>
    <w:rsid w:val="0057653C"/>
    <w:rPr>
      <w:sz w:val="20"/>
      <w:szCs w:val="20"/>
    </w:rPr>
  </w:style>
  <w:style w:type="paragraph" w:styleId="BalloonText">
    <w:name w:val="Balloon Text"/>
    <w:basedOn w:val="Normal"/>
    <w:link w:val="BalloonTextChar"/>
    <w:uiPriority w:val="99"/>
    <w:unhideWhenUsed/>
    <w:rsid w:val="0057653C"/>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rsid w:val="0057653C"/>
    <w:rPr>
      <w:rFonts w:ascii="Lucida Grande" w:eastAsiaTheme="minorEastAsia" w:hAnsi="Lucida Grande" w:cs="Lucida Grande"/>
      <w:sz w:val="18"/>
      <w:szCs w:val="18"/>
    </w:rPr>
  </w:style>
  <w:style w:type="table" w:styleId="TableGrid0">
    <w:name w:val="Table Grid"/>
    <w:basedOn w:val="TableNormal"/>
    <w:uiPriority w:val="39"/>
    <w:rsid w:val="00055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4548">
      <w:bodyDiv w:val="1"/>
      <w:marLeft w:val="0"/>
      <w:marRight w:val="0"/>
      <w:marTop w:val="0"/>
      <w:marBottom w:val="0"/>
      <w:divBdr>
        <w:top w:val="none" w:sz="0" w:space="0" w:color="auto"/>
        <w:left w:val="none" w:sz="0" w:space="0" w:color="auto"/>
        <w:bottom w:val="none" w:sz="0" w:space="0" w:color="auto"/>
        <w:right w:val="none" w:sz="0" w:space="0" w:color="auto"/>
      </w:divBdr>
    </w:div>
    <w:div w:id="327640599">
      <w:bodyDiv w:val="1"/>
      <w:marLeft w:val="0"/>
      <w:marRight w:val="0"/>
      <w:marTop w:val="0"/>
      <w:marBottom w:val="0"/>
      <w:divBdr>
        <w:top w:val="none" w:sz="0" w:space="0" w:color="auto"/>
        <w:left w:val="none" w:sz="0" w:space="0" w:color="auto"/>
        <w:bottom w:val="none" w:sz="0" w:space="0" w:color="auto"/>
        <w:right w:val="none" w:sz="0" w:space="0" w:color="auto"/>
      </w:divBdr>
    </w:div>
    <w:div w:id="768551421">
      <w:bodyDiv w:val="1"/>
      <w:marLeft w:val="0"/>
      <w:marRight w:val="0"/>
      <w:marTop w:val="0"/>
      <w:marBottom w:val="0"/>
      <w:divBdr>
        <w:top w:val="none" w:sz="0" w:space="0" w:color="auto"/>
        <w:left w:val="none" w:sz="0" w:space="0" w:color="auto"/>
        <w:bottom w:val="none" w:sz="0" w:space="0" w:color="auto"/>
        <w:right w:val="none" w:sz="0" w:space="0" w:color="auto"/>
      </w:divBdr>
    </w:div>
    <w:div w:id="13530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ingston@aidsalliance.org"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www.paho.org/hq/index.php?option=com_content&amp;view=article&amp;id=13964&amp;Itemid=7217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FF2654-DAAD-48A2-97FC-3207978C31E7}">
  <ds:schemaRefs>
    <ds:schemaRef ds:uri="http://schemas.openxmlformats.org/officeDocument/2006/bibliography"/>
  </ds:schemaRefs>
</ds:datastoreItem>
</file>

<file path=customXml/itemProps2.xml><?xml version="1.0" encoding="utf-8"?>
<ds:datastoreItem xmlns:ds="http://schemas.openxmlformats.org/officeDocument/2006/customXml" ds:itemID="{129E57B1-3D18-4097-9F85-4B3F44547D93}"/>
</file>

<file path=customXml/itemProps3.xml><?xml version="1.0" encoding="utf-8"?>
<ds:datastoreItem xmlns:ds="http://schemas.openxmlformats.org/officeDocument/2006/customXml" ds:itemID="{67FA0225-B948-4A6E-A876-7228BCF4626F}"/>
</file>

<file path=customXml/itemProps4.xml><?xml version="1.0" encoding="utf-8"?>
<ds:datastoreItem xmlns:ds="http://schemas.openxmlformats.org/officeDocument/2006/customXml" ds:itemID="{B8F40CDC-AD97-4ACA-A3FD-98B97115DEBF}"/>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Kingston</dc:creator>
  <cp:keywords/>
  <dc:description/>
  <cp:lastModifiedBy>Diane Kingston OBE</cp:lastModifiedBy>
  <cp:revision>2</cp:revision>
  <dcterms:created xsi:type="dcterms:W3CDTF">2018-05-08T15:51:00Z</dcterms:created>
  <dcterms:modified xsi:type="dcterms:W3CDTF">2018-05-08T15:51:00Z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