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6BDCD" w14:textId="3896DFBA" w:rsidR="00783070" w:rsidRPr="007303B7" w:rsidRDefault="009F125B" w:rsidP="007B5425">
      <w:pPr>
        <w:spacing w:after="120" w:line="240" w:lineRule="auto"/>
        <w:jc w:val="right"/>
        <w:rPr>
          <w:rFonts w:cstheme="minorHAnsi"/>
          <w:sz w:val="24"/>
          <w:szCs w:val="24"/>
        </w:rPr>
      </w:pPr>
      <w:r>
        <w:rPr>
          <w:rFonts w:cstheme="minorHAnsi"/>
          <w:sz w:val="24"/>
          <w:szCs w:val="24"/>
        </w:rPr>
        <w:t>30</w:t>
      </w:r>
      <w:r w:rsidRPr="009F125B">
        <w:rPr>
          <w:rFonts w:cstheme="minorHAnsi"/>
          <w:sz w:val="24"/>
          <w:szCs w:val="24"/>
          <w:vertAlign w:val="superscript"/>
        </w:rPr>
        <w:t>th</w:t>
      </w:r>
      <w:r>
        <w:rPr>
          <w:rFonts w:cstheme="minorHAnsi"/>
          <w:sz w:val="24"/>
          <w:szCs w:val="24"/>
        </w:rPr>
        <w:t xml:space="preserve"> </w:t>
      </w:r>
      <w:r w:rsidR="00E24A24">
        <w:rPr>
          <w:rFonts w:cstheme="minorHAnsi"/>
          <w:sz w:val="24"/>
          <w:szCs w:val="24"/>
        </w:rPr>
        <w:t>November</w:t>
      </w:r>
      <w:r w:rsidR="008810ED" w:rsidRPr="007303B7">
        <w:rPr>
          <w:rFonts w:cstheme="minorHAnsi"/>
          <w:sz w:val="24"/>
          <w:szCs w:val="24"/>
        </w:rPr>
        <w:t xml:space="preserve"> 2017</w:t>
      </w:r>
    </w:p>
    <w:p w14:paraId="10B097CB" w14:textId="67D54377" w:rsidR="007F3D1A" w:rsidRDefault="00E24A24" w:rsidP="007B5425">
      <w:pPr>
        <w:spacing w:after="0" w:line="240" w:lineRule="auto"/>
        <w:jc w:val="center"/>
        <w:rPr>
          <w:rFonts w:cstheme="minorHAnsi"/>
          <w:b/>
          <w:bCs/>
          <w:color w:val="31849B" w:themeColor="accent5" w:themeShade="BF"/>
          <w:sz w:val="28"/>
          <w:szCs w:val="28"/>
        </w:rPr>
      </w:pPr>
      <w:r>
        <w:rPr>
          <w:rFonts w:cstheme="minorHAnsi"/>
          <w:b/>
          <w:bCs/>
          <w:color w:val="31849B" w:themeColor="accent5" w:themeShade="BF"/>
          <w:sz w:val="28"/>
          <w:szCs w:val="28"/>
        </w:rPr>
        <w:t>Feedback on Draft</w:t>
      </w:r>
      <w:r w:rsidR="00A320C7">
        <w:rPr>
          <w:rFonts w:cstheme="minorHAnsi"/>
          <w:b/>
          <w:bCs/>
          <w:color w:val="31849B" w:themeColor="accent5" w:themeShade="BF"/>
          <w:sz w:val="28"/>
          <w:szCs w:val="28"/>
        </w:rPr>
        <w:t xml:space="preserve"> of </w:t>
      </w:r>
      <w:r w:rsidR="009F125B" w:rsidRPr="009F125B">
        <w:rPr>
          <w:rFonts w:cstheme="minorHAnsi"/>
          <w:b/>
          <w:bCs/>
          <w:color w:val="31849B" w:themeColor="accent5" w:themeShade="BF"/>
          <w:sz w:val="28"/>
          <w:szCs w:val="28"/>
        </w:rPr>
        <w:t xml:space="preserve">General Comment on Article </w:t>
      </w:r>
      <w:r w:rsidR="00A320C7">
        <w:rPr>
          <w:rFonts w:cstheme="minorHAnsi"/>
          <w:b/>
          <w:bCs/>
          <w:color w:val="31849B" w:themeColor="accent5" w:themeShade="BF"/>
          <w:sz w:val="28"/>
          <w:szCs w:val="28"/>
        </w:rPr>
        <w:t>5</w:t>
      </w:r>
    </w:p>
    <w:p w14:paraId="729CC6CD" w14:textId="061BD01F" w:rsidR="009F125B" w:rsidRPr="009F125B" w:rsidRDefault="00A320C7" w:rsidP="007B5425">
      <w:pPr>
        <w:spacing w:after="0" w:line="240" w:lineRule="auto"/>
        <w:jc w:val="center"/>
        <w:rPr>
          <w:rFonts w:cstheme="minorHAnsi"/>
          <w:b/>
          <w:bCs/>
          <w:color w:val="31849B" w:themeColor="accent5" w:themeShade="BF"/>
          <w:sz w:val="28"/>
          <w:szCs w:val="28"/>
        </w:rPr>
      </w:pPr>
      <w:r>
        <w:rPr>
          <w:rFonts w:cstheme="minorHAnsi"/>
          <w:b/>
          <w:bCs/>
          <w:color w:val="31849B" w:themeColor="accent5" w:themeShade="BF"/>
          <w:sz w:val="28"/>
          <w:szCs w:val="28"/>
        </w:rPr>
        <w:t>Equality &amp; Non-Discrimination</w:t>
      </w:r>
    </w:p>
    <w:p w14:paraId="0383AE2C" w14:textId="4B7D3191" w:rsidR="009F125B" w:rsidRDefault="009F125B" w:rsidP="007B5425">
      <w:pPr>
        <w:spacing w:after="240" w:line="240" w:lineRule="auto"/>
        <w:jc w:val="center"/>
        <w:rPr>
          <w:rFonts w:cstheme="minorHAnsi"/>
          <w:b/>
          <w:bCs/>
          <w:color w:val="F79646" w:themeColor="accent6"/>
          <w:sz w:val="28"/>
          <w:szCs w:val="28"/>
        </w:rPr>
      </w:pPr>
      <w:r w:rsidRPr="009F125B">
        <w:rPr>
          <w:rFonts w:cstheme="minorHAnsi"/>
          <w:b/>
          <w:bCs/>
          <w:color w:val="F79646" w:themeColor="accent6"/>
          <w:sz w:val="28"/>
          <w:szCs w:val="28"/>
        </w:rPr>
        <w:t>Submission by AGE Platform Europe</w:t>
      </w:r>
    </w:p>
    <w:p w14:paraId="7E3AC3F5" w14:textId="0F11A3D6" w:rsidR="009F125B" w:rsidRDefault="009F125B" w:rsidP="007B5425">
      <w:pPr>
        <w:spacing w:before="120" w:after="120"/>
        <w:rPr>
          <w:rFonts w:ascii="Calibri" w:hAnsi="Calibri"/>
        </w:rPr>
      </w:pPr>
      <w:r w:rsidRPr="00FF59BE">
        <w:t>AGE Platform Europe</w:t>
      </w:r>
      <w:r w:rsidR="00A320C7">
        <w:t xml:space="preserve"> (AGE)</w:t>
      </w:r>
      <w:r w:rsidRPr="00FF59BE">
        <w:t xml:space="preserve">, as the largest EU network of organisations of older persons, welcomes the draft General Comment (GC) on Article </w:t>
      </w:r>
      <w:r w:rsidR="00A320C7">
        <w:t>5</w:t>
      </w:r>
      <w:r w:rsidRPr="00FF59BE">
        <w:t xml:space="preserve"> of the UN Convention on the Rights of Persons with Disabilities (CR</w:t>
      </w:r>
      <w:r w:rsidR="00A320C7">
        <w:t>PD). AGE</w:t>
      </w:r>
      <w:r w:rsidR="00A320C7" w:rsidRPr="00FF59BE">
        <w:t xml:space="preserve"> bring</w:t>
      </w:r>
      <w:r w:rsidR="00A320C7">
        <w:t>s</w:t>
      </w:r>
      <w:r w:rsidR="00A320C7" w:rsidRPr="00FF59BE">
        <w:t xml:space="preserve"> forward the views of the more than 40 million older persons who are directly represented through the organisations involved in our network</w:t>
      </w:r>
      <w:r w:rsidR="00A320C7">
        <w:t xml:space="preserve">. The objective of this written submission is to </w:t>
      </w:r>
      <w:r w:rsidR="008056C5" w:rsidRPr="00BA2BE1">
        <w:rPr>
          <w:rFonts w:ascii="Calibri" w:hAnsi="Calibri"/>
        </w:rPr>
        <w:t xml:space="preserve">raise awareness of the intersection of ageing and disability </w:t>
      </w:r>
      <w:r w:rsidR="008056C5">
        <w:rPr>
          <w:rFonts w:ascii="Calibri" w:hAnsi="Calibri"/>
        </w:rPr>
        <w:t xml:space="preserve">and to </w:t>
      </w:r>
      <w:r w:rsidR="00A320C7" w:rsidRPr="00BA2BE1">
        <w:rPr>
          <w:rFonts w:ascii="Calibri" w:hAnsi="Calibri"/>
        </w:rPr>
        <w:t xml:space="preserve">address the age discrimination faced by </w:t>
      </w:r>
      <w:r w:rsidR="00A320C7" w:rsidRPr="00A320C7">
        <w:rPr>
          <w:rFonts w:ascii="Calibri" w:hAnsi="Calibri"/>
          <w:i/>
        </w:rPr>
        <w:t>older persons with disabilities</w:t>
      </w:r>
      <w:r w:rsidR="00A320C7" w:rsidRPr="00BA2BE1">
        <w:rPr>
          <w:rFonts w:ascii="Calibri" w:hAnsi="Calibri"/>
        </w:rPr>
        <w:t xml:space="preserve">, i.e. </w:t>
      </w:r>
      <w:r w:rsidR="00A320C7" w:rsidRPr="00BA2BE1">
        <w:rPr>
          <w:rFonts w:ascii="Calibri" w:hAnsi="Calibri"/>
          <w:bCs/>
          <w:color w:val="000000"/>
        </w:rPr>
        <w:t>adults who are faced with impairments and functional limitations for the first time when they reach old age</w:t>
      </w:r>
      <w:r w:rsidR="008056C5">
        <w:rPr>
          <w:rFonts w:ascii="Calibri" w:hAnsi="Calibri"/>
          <w:bCs/>
          <w:color w:val="000000"/>
        </w:rPr>
        <w:t xml:space="preserve"> and by </w:t>
      </w:r>
      <w:r w:rsidR="008056C5" w:rsidRPr="007B5425">
        <w:rPr>
          <w:rFonts w:ascii="Calibri" w:hAnsi="Calibri"/>
          <w:bCs/>
          <w:i/>
          <w:color w:val="000000"/>
        </w:rPr>
        <w:t>ageing persons with disabilities</w:t>
      </w:r>
      <w:r w:rsidR="008056C5">
        <w:rPr>
          <w:rFonts w:ascii="Calibri" w:hAnsi="Calibri"/>
          <w:bCs/>
          <w:i/>
          <w:color w:val="000000"/>
        </w:rPr>
        <w:t>, i.e. people who age with a pre-existing disability.</w:t>
      </w:r>
      <w:r w:rsidR="008056C5">
        <w:rPr>
          <w:rStyle w:val="FootnoteReference"/>
          <w:rFonts w:ascii="Calibri" w:hAnsi="Calibri"/>
          <w:bCs/>
          <w:color w:val="000000"/>
        </w:rPr>
        <w:footnoteReference w:id="1"/>
      </w:r>
      <w:r w:rsidR="00A320C7" w:rsidRPr="00BA2BE1">
        <w:rPr>
          <w:rFonts w:ascii="Calibri" w:hAnsi="Calibri"/>
        </w:rPr>
        <w:t>.</w:t>
      </w:r>
      <w:r w:rsidR="00A320C7">
        <w:rPr>
          <w:rFonts w:ascii="Calibri" w:hAnsi="Calibri"/>
        </w:rPr>
        <w:t xml:space="preserve"> </w:t>
      </w:r>
    </w:p>
    <w:p w14:paraId="1B9A66CB" w14:textId="77777777" w:rsidR="00B15CF3" w:rsidRPr="004E298B" w:rsidRDefault="00B15CF3" w:rsidP="007B5425">
      <w:pPr>
        <w:pStyle w:val="Heading1"/>
        <w:spacing w:before="0" w:after="0" w:line="276" w:lineRule="auto"/>
        <w:rPr>
          <w:rFonts w:ascii="Calibri" w:hAnsi="Calibri"/>
          <w:sz w:val="24"/>
          <w:szCs w:val="24"/>
          <w:lang w:val="en-GB"/>
        </w:rPr>
      </w:pPr>
      <w:r w:rsidRPr="004E298B">
        <w:rPr>
          <w:rFonts w:ascii="Calibri" w:hAnsi="Calibri"/>
          <w:sz w:val="24"/>
          <w:szCs w:val="24"/>
          <w:lang w:val="en-GB"/>
        </w:rPr>
        <w:t>Introduction</w:t>
      </w:r>
    </w:p>
    <w:p w14:paraId="1C79E098" w14:textId="2FA8820C" w:rsidR="00E24A24" w:rsidRDefault="00E24A24" w:rsidP="007B5425">
      <w:pPr>
        <w:widowControl w:val="0"/>
        <w:autoSpaceDE w:val="0"/>
        <w:autoSpaceDN w:val="0"/>
        <w:adjustRightInd w:val="0"/>
        <w:spacing w:after="120"/>
        <w:rPr>
          <w:rFonts w:ascii="Calibri" w:hAnsi="Calibri"/>
          <w:bCs/>
          <w:color w:val="000000"/>
        </w:rPr>
      </w:pPr>
      <w:r>
        <w:rPr>
          <w:rFonts w:ascii="Calibri" w:hAnsi="Calibri"/>
          <w:bCs/>
          <w:color w:val="000000"/>
        </w:rPr>
        <w:t xml:space="preserve">In </w:t>
      </w:r>
      <w:hyperlink r:id="rId9" w:history="1">
        <w:r w:rsidRPr="005E7879">
          <w:rPr>
            <w:rStyle w:val="Hyperlink"/>
            <w:rFonts w:ascii="Calibri" w:hAnsi="Calibri"/>
            <w:bCs/>
          </w:rPr>
          <w:t>our previous contribution</w:t>
        </w:r>
      </w:hyperlink>
      <w:r>
        <w:rPr>
          <w:rFonts w:ascii="Calibri" w:hAnsi="Calibri"/>
          <w:bCs/>
          <w:color w:val="000000"/>
        </w:rPr>
        <w:t xml:space="preserve"> for the elab</w:t>
      </w:r>
      <w:r>
        <w:rPr>
          <w:rFonts w:ascii="Calibri" w:hAnsi="Calibri"/>
          <w:bCs/>
          <w:color w:val="000000"/>
        </w:rPr>
        <w:t>oration of this General Comment</w:t>
      </w:r>
      <w:r>
        <w:rPr>
          <w:rFonts w:ascii="Calibri" w:hAnsi="Calibri"/>
          <w:bCs/>
          <w:color w:val="000000"/>
        </w:rPr>
        <w:t xml:space="preserve"> </w:t>
      </w:r>
      <w:r w:rsidR="005E7879">
        <w:rPr>
          <w:rFonts w:ascii="Calibri" w:hAnsi="Calibri"/>
          <w:bCs/>
          <w:color w:val="000000"/>
        </w:rPr>
        <w:t xml:space="preserve">(GC) </w:t>
      </w:r>
      <w:r>
        <w:rPr>
          <w:rFonts w:ascii="Calibri" w:hAnsi="Calibri"/>
          <w:bCs/>
          <w:color w:val="000000"/>
        </w:rPr>
        <w:t xml:space="preserve">we have established through various concrete examples the disadvantageous treatment of older persons with disabilities, who often fall between the cracks of ageing and disability policies. </w:t>
      </w:r>
      <w:r>
        <w:rPr>
          <w:rFonts w:ascii="Calibri" w:hAnsi="Calibri"/>
          <w:bCs/>
          <w:color w:val="000000"/>
        </w:rPr>
        <w:t>While we warmly welcome a couple of references to older people</w:t>
      </w:r>
      <w:r w:rsidR="009A0AA3">
        <w:rPr>
          <w:rFonts w:ascii="Calibri" w:hAnsi="Calibri"/>
          <w:bCs/>
          <w:color w:val="000000"/>
        </w:rPr>
        <w:t xml:space="preserve"> and age</w:t>
      </w:r>
      <w:r>
        <w:rPr>
          <w:rFonts w:ascii="Calibri" w:hAnsi="Calibri"/>
          <w:bCs/>
          <w:color w:val="000000"/>
        </w:rPr>
        <w:t xml:space="preserve"> in the draft general comment</w:t>
      </w:r>
      <w:r w:rsidR="009A0AA3">
        <w:rPr>
          <w:rFonts w:ascii="Calibri" w:hAnsi="Calibri"/>
          <w:bCs/>
          <w:color w:val="000000"/>
        </w:rPr>
        <w:t xml:space="preserve"> (in particular in paragraphs 4 and 44)</w:t>
      </w:r>
      <w:r>
        <w:rPr>
          <w:rFonts w:ascii="Calibri" w:hAnsi="Calibri"/>
          <w:bCs/>
          <w:color w:val="000000"/>
        </w:rPr>
        <w:t>, we regret that the text does not give adequate guidance for duty bearers and rights holders regarding the intersection of ageing and disability.</w:t>
      </w:r>
    </w:p>
    <w:p w14:paraId="32C7043D" w14:textId="0AA9D9B9" w:rsidR="00E24A24" w:rsidRDefault="00B15CF3" w:rsidP="007B5425">
      <w:pPr>
        <w:widowControl w:val="0"/>
        <w:autoSpaceDE w:val="0"/>
        <w:autoSpaceDN w:val="0"/>
        <w:adjustRightInd w:val="0"/>
        <w:spacing w:after="120"/>
        <w:rPr>
          <w:rFonts w:ascii="Calibri" w:hAnsi="Calibri"/>
          <w:bCs/>
          <w:color w:val="000000"/>
        </w:rPr>
      </w:pPr>
      <w:r w:rsidRPr="004E298B">
        <w:rPr>
          <w:rFonts w:ascii="Calibri" w:hAnsi="Calibri"/>
          <w:color w:val="000000"/>
        </w:rPr>
        <w:t>T</w:t>
      </w:r>
      <w:r>
        <w:rPr>
          <w:rFonts w:ascii="Calibri" w:hAnsi="Calibri"/>
          <w:bCs/>
          <w:color w:val="000000"/>
        </w:rPr>
        <w:t xml:space="preserve">he </w:t>
      </w:r>
      <w:r w:rsidRPr="004E298B">
        <w:rPr>
          <w:rFonts w:ascii="Calibri" w:hAnsi="Calibri"/>
          <w:bCs/>
          <w:color w:val="000000"/>
        </w:rPr>
        <w:t xml:space="preserve">CRPD has </w:t>
      </w:r>
      <w:r w:rsidRPr="004E298B">
        <w:rPr>
          <w:rFonts w:ascii="Calibri" w:hAnsi="Calibri"/>
          <w:color w:val="000000"/>
        </w:rPr>
        <w:t>enshrined protection for two forms of intersectional discrimination affecting women and children with disabilities.  Although t</w:t>
      </w:r>
      <w:r w:rsidRPr="004E298B">
        <w:rPr>
          <w:rFonts w:ascii="Calibri" w:hAnsi="Calibri"/>
          <w:bCs/>
          <w:color w:val="000000"/>
        </w:rPr>
        <w:t>he link between older persons and persons with disabilities has been underlined by the UN CRPD Committee</w:t>
      </w:r>
      <w:r>
        <w:rPr>
          <w:rStyle w:val="FootnoteReference"/>
          <w:rFonts w:ascii="Calibri" w:hAnsi="Calibri"/>
          <w:bCs/>
          <w:color w:val="000000"/>
        </w:rPr>
        <w:footnoteReference w:id="2"/>
      </w:r>
      <w:r w:rsidRPr="004E298B">
        <w:rPr>
          <w:rFonts w:ascii="Calibri" w:hAnsi="Calibri"/>
          <w:bCs/>
          <w:color w:val="000000"/>
        </w:rPr>
        <w:t>, the OHCHR</w:t>
      </w:r>
      <w:r>
        <w:rPr>
          <w:rStyle w:val="FootnoteReference"/>
          <w:rFonts w:ascii="Calibri" w:hAnsi="Calibri"/>
          <w:bCs/>
          <w:color w:val="000000"/>
        </w:rPr>
        <w:footnoteReference w:id="3"/>
      </w:r>
      <w:r w:rsidRPr="004E298B">
        <w:rPr>
          <w:rFonts w:ascii="Calibri" w:hAnsi="Calibri"/>
          <w:bCs/>
          <w:color w:val="000000"/>
        </w:rPr>
        <w:t>, the Independent Expert on the Enjoyment of all Human Rights by Older Persons</w:t>
      </w:r>
      <w:r>
        <w:rPr>
          <w:rStyle w:val="FootnoteReference"/>
          <w:rFonts w:ascii="Calibri" w:hAnsi="Calibri"/>
          <w:bCs/>
          <w:color w:val="000000"/>
        </w:rPr>
        <w:footnoteReference w:id="4"/>
      </w:r>
      <w:r w:rsidRPr="004E298B">
        <w:rPr>
          <w:rFonts w:ascii="Calibri" w:hAnsi="Calibri"/>
          <w:bCs/>
          <w:color w:val="000000"/>
        </w:rPr>
        <w:t>, and the UN Secretary General</w:t>
      </w:r>
      <w:r>
        <w:rPr>
          <w:rStyle w:val="FootnoteReference"/>
          <w:rFonts w:ascii="Calibri" w:hAnsi="Calibri"/>
          <w:bCs/>
          <w:color w:val="000000"/>
        </w:rPr>
        <w:footnoteReference w:id="5"/>
      </w:r>
      <w:r w:rsidRPr="004E298B">
        <w:rPr>
          <w:rFonts w:ascii="Calibri" w:hAnsi="Calibri"/>
          <w:bCs/>
          <w:color w:val="000000"/>
        </w:rPr>
        <w:t xml:space="preserve"> among others, no substantive provision acknowledges the situation of older people with disabilities as a type of intersectional discrimination. </w:t>
      </w:r>
    </w:p>
    <w:p w14:paraId="54217335" w14:textId="50453B70" w:rsidR="00E24A24" w:rsidRDefault="00E24A24" w:rsidP="007B5425">
      <w:pPr>
        <w:widowControl w:val="0"/>
        <w:autoSpaceDE w:val="0"/>
        <w:autoSpaceDN w:val="0"/>
        <w:adjustRightInd w:val="0"/>
        <w:spacing w:after="120"/>
        <w:rPr>
          <w:rFonts w:ascii="Calibri" w:hAnsi="Calibri"/>
          <w:bCs/>
          <w:color w:val="000000"/>
        </w:rPr>
      </w:pPr>
      <w:r>
        <w:rPr>
          <w:rFonts w:ascii="Calibri" w:hAnsi="Calibri"/>
          <w:bCs/>
          <w:color w:val="000000"/>
        </w:rPr>
        <w:t xml:space="preserve">In our view this normative gap should not be a reason why the draft General Comment does not explain in more details how equality and non-discrimination apply at the intersection of ageing and disability. </w:t>
      </w:r>
      <w:r w:rsidR="00D15211">
        <w:rPr>
          <w:rFonts w:ascii="Calibri" w:hAnsi="Calibri"/>
          <w:bCs/>
          <w:color w:val="000000"/>
        </w:rPr>
        <w:t>U</w:t>
      </w:r>
      <w:r w:rsidR="00D15211" w:rsidRPr="004E298B">
        <w:rPr>
          <w:rFonts w:ascii="Calibri" w:hAnsi="Calibri"/>
          <w:bCs/>
          <w:color w:val="000000"/>
        </w:rPr>
        <w:t xml:space="preserve">nder international law </w:t>
      </w:r>
      <w:r w:rsidR="00D15211">
        <w:rPr>
          <w:rFonts w:ascii="Calibri" w:hAnsi="Calibri"/>
          <w:bCs/>
          <w:color w:val="000000"/>
        </w:rPr>
        <w:t>a</w:t>
      </w:r>
      <w:r w:rsidR="00B15CF3" w:rsidRPr="004E298B">
        <w:rPr>
          <w:rFonts w:ascii="Calibri" w:hAnsi="Calibri"/>
          <w:bCs/>
          <w:color w:val="000000"/>
        </w:rPr>
        <w:t>ge discrimination can be justified</w:t>
      </w:r>
      <w:r w:rsidR="00D15211">
        <w:rPr>
          <w:rFonts w:ascii="Calibri" w:hAnsi="Calibri"/>
          <w:bCs/>
          <w:color w:val="000000"/>
        </w:rPr>
        <w:t xml:space="preserve"> based </w:t>
      </w:r>
      <w:r w:rsidR="00D15211" w:rsidRPr="004E298B">
        <w:rPr>
          <w:rFonts w:ascii="Calibri" w:hAnsi="Calibri"/>
          <w:bCs/>
          <w:color w:val="000000"/>
        </w:rPr>
        <w:t>on reasonable and objective criteria</w:t>
      </w:r>
      <w:r w:rsidR="00D15211">
        <w:rPr>
          <w:rStyle w:val="FootnoteReference"/>
          <w:rFonts w:ascii="Calibri" w:hAnsi="Calibri"/>
          <w:bCs/>
          <w:color w:val="000000"/>
        </w:rPr>
        <w:footnoteReference w:id="6"/>
      </w:r>
      <w:r w:rsidR="00D15211">
        <w:rPr>
          <w:rFonts w:ascii="Calibri" w:hAnsi="Calibri"/>
          <w:bCs/>
          <w:color w:val="000000"/>
        </w:rPr>
        <w:t xml:space="preserve">. However, there is lack </w:t>
      </w:r>
      <w:r w:rsidR="00B15CF3" w:rsidRPr="004E298B">
        <w:rPr>
          <w:rFonts w:ascii="Calibri" w:hAnsi="Calibri"/>
          <w:bCs/>
          <w:color w:val="000000"/>
        </w:rPr>
        <w:t xml:space="preserve">of clarity as to what </w:t>
      </w:r>
      <w:r w:rsidR="00A40D7A" w:rsidRPr="004E298B">
        <w:rPr>
          <w:rFonts w:ascii="Calibri" w:hAnsi="Calibri"/>
          <w:bCs/>
          <w:color w:val="000000"/>
        </w:rPr>
        <w:t>a justified limitation to age equality is</w:t>
      </w:r>
      <w:r w:rsidR="00D15211">
        <w:rPr>
          <w:rFonts w:ascii="Calibri" w:hAnsi="Calibri"/>
          <w:bCs/>
          <w:color w:val="000000"/>
        </w:rPr>
        <w:t xml:space="preserve"> </w:t>
      </w:r>
      <w:r w:rsidR="00D15211">
        <w:rPr>
          <w:rFonts w:ascii="Calibri" w:hAnsi="Calibri"/>
          <w:bCs/>
          <w:color w:val="000000"/>
        </w:rPr>
        <w:lastRenderedPageBreak/>
        <w:t xml:space="preserve">and whether </w:t>
      </w:r>
      <w:r w:rsidR="00D15211" w:rsidRPr="004E298B">
        <w:rPr>
          <w:rFonts w:ascii="Calibri" w:hAnsi="Calibri"/>
          <w:bCs/>
          <w:color w:val="000000"/>
        </w:rPr>
        <w:t xml:space="preserve">general exclusions based on age are </w:t>
      </w:r>
      <w:r w:rsidR="00D15211">
        <w:rPr>
          <w:rFonts w:ascii="Calibri" w:hAnsi="Calibri"/>
          <w:bCs/>
          <w:color w:val="000000"/>
        </w:rPr>
        <w:t>legitimate</w:t>
      </w:r>
      <w:r w:rsidR="00D15211" w:rsidRPr="004E298B">
        <w:rPr>
          <w:rFonts w:ascii="Calibri" w:hAnsi="Calibri"/>
          <w:bCs/>
          <w:color w:val="000000"/>
        </w:rPr>
        <w:t>.</w:t>
      </w:r>
      <w:r w:rsidR="00D15211">
        <w:rPr>
          <w:rFonts w:ascii="Calibri" w:hAnsi="Calibri"/>
          <w:bCs/>
          <w:color w:val="000000"/>
        </w:rPr>
        <w:t xml:space="preserve"> </w:t>
      </w:r>
      <w:r>
        <w:rPr>
          <w:rFonts w:ascii="Calibri" w:hAnsi="Calibri"/>
          <w:bCs/>
          <w:color w:val="000000"/>
        </w:rPr>
        <w:t xml:space="preserve">The CRPD is responsible to explain whether situations, such as age limits and other age-related barriers, which are routinely applied by States parties in legal entitlements to disability benefits and </w:t>
      </w:r>
      <w:proofErr w:type="gramStart"/>
      <w:r>
        <w:rPr>
          <w:rFonts w:ascii="Calibri" w:hAnsi="Calibri"/>
          <w:bCs/>
          <w:color w:val="000000"/>
        </w:rPr>
        <w:t>services</w:t>
      </w:r>
      <w:proofErr w:type="gramEnd"/>
      <w:r>
        <w:rPr>
          <w:rFonts w:ascii="Calibri" w:hAnsi="Calibri"/>
          <w:bCs/>
          <w:color w:val="000000"/>
        </w:rPr>
        <w:t xml:space="preserve"> are legitimate distinctions under the Convention. As long as </w:t>
      </w:r>
      <w:r w:rsidR="00B15CF3" w:rsidRPr="004E298B">
        <w:rPr>
          <w:rFonts w:ascii="Calibri" w:hAnsi="Calibri"/>
          <w:bCs/>
          <w:color w:val="000000"/>
        </w:rPr>
        <w:t xml:space="preserve">the CRPD Committee </w:t>
      </w:r>
      <w:r>
        <w:rPr>
          <w:rFonts w:ascii="Calibri" w:hAnsi="Calibri"/>
          <w:bCs/>
          <w:color w:val="000000"/>
        </w:rPr>
        <w:t xml:space="preserve">does not address this differential treatment, States parties will continue to apply discriminatory policies and laws that work against older persons with disabilities. </w:t>
      </w:r>
    </w:p>
    <w:p w14:paraId="1609E776" w14:textId="6E91DC4D" w:rsidR="00E24A24" w:rsidRDefault="00E24A24" w:rsidP="00E24A24">
      <w:pPr>
        <w:widowControl w:val="0"/>
        <w:autoSpaceDE w:val="0"/>
        <w:autoSpaceDN w:val="0"/>
        <w:adjustRightInd w:val="0"/>
        <w:spacing w:after="120"/>
        <w:rPr>
          <w:rFonts w:ascii="Calibri" w:hAnsi="Calibri"/>
          <w:bCs/>
          <w:color w:val="000000"/>
        </w:rPr>
      </w:pPr>
      <w:r>
        <w:rPr>
          <w:rFonts w:ascii="Calibri" w:hAnsi="Calibri"/>
          <w:bCs/>
          <w:color w:val="000000"/>
        </w:rPr>
        <w:t xml:space="preserve">In light of the recent Expert Group meeting </w:t>
      </w:r>
      <w:r w:rsidRPr="00E24A24">
        <w:rPr>
          <w:rFonts w:ascii="Calibri" w:hAnsi="Calibri"/>
          <w:bCs/>
          <w:color w:val="000000"/>
        </w:rPr>
        <w:t>on supporting autonomy and independence of older persons with disabilities, which took place in New York on 25 and 26 October 2017,</w:t>
      </w:r>
      <w:r>
        <w:rPr>
          <w:rFonts w:ascii="Calibri" w:hAnsi="Calibri"/>
          <w:bCs/>
          <w:color w:val="000000"/>
        </w:rPr>
        <w:t xml:space="preserve"> we urge the Committee</w:t>
      </w:r>
      <w:r w:rsidR="009A0AA3">
        <w:rPr>
          <w:rFonts w:ascii="Calibri" w:hAnsi="Calibri"/>
          <w:bCs/>
          <w:color w:val="000000"/>
        </w:rPr>
        <w:t xml:space="preserve"> to</w:t>
      </w:r>
      <w:r>
        <w:rPr>
          <w:rFonts w:ascii="Calibri" w:hAnsi="Calibri"/>
          <w:bCs/>
          <w:color w:val="000000"/>
        </w:rPr>
        <w:t xml:space="preserve"> better reflect the risk of age-based biases in the implementation of disability measures</w:t>
      </w:r>
      <w:r w:rsidR="008055A5">
        <w:rPr>
          <w:rFonts w:ascii="Calibri" w:hAnsi="Calibri"/>
          <w:bCs/>
          <w:color w:val="000000"/>
        </w:rPr>
        <w:t>, by taking into account the following recommendations</w:t>
      </w:r>
      <w:r>
        <w:rPr>
          <w:rFonts w:ascii="Calibri" w:hAnsi="Calibri"/>
          <w:bCs/>
          <w:color w:val="000000"/>
        </w:rPr>
        <w:t xml:space="preserve">. </w:t>
      </w:r>
    </w:p>
    <w:p w14:paraId="0217C283" w14:textId="30FCBD74" w:rsidR="00E24A24" w:rsidRDefault="00E24A24" w:rsidP="00E24A24">
      <w:pPr>
        <w:pStyle w:val="Heading1"/>
        <w:spacing w:before="0" w:after="0" w:line="276" w:lineRule="auto"/>
        <w:rPr>
          <w:rFonts w:ascii="Calibri" w:hAnsi="Calibri"/>
          <w:bCs w:val="0"/>
          <w:color w:val="000000"/>
        </w:rPr>
      </w:pPr>
      <w:r w:rsidRPr="00E24A24">
        <w:rPr>
          <w:rFonts w:ascii="Calibri" w:hAnsi="Calibri"/>
          <w:sz w:val="24"/>
          <w:szCs w:val="24"/>
          <w:lang w:val="en-GB"/>
        </w:rPr>
        <w:t>Recommendations</w:t>
      </w:r>
    </w:p>
    <w:p w14:paraId="648DDA4E" w14:textId="26DD5EDC" w:rsidR="00E24A24" w:rsidRDefault="00E24A24" w:rsidP="00E24A24">
      <w:pPr>
        <w:widowControl w:val="0"/>
        <w:autoSpaceDE w:val="0"/>
        <w:autoSpaceDN w:val="0"/>
        <w:adjustRightInd w:val="0"/>
        <w:spacing w:after="120"/>
        <w:rPr>
          <w:rFonts w:ascii="Calibri" w:hAnsi="Calibri"/>
          <w:bCs/>
          <w:color w:val="000000"/>
        </w:rPr>
      </w:pPr>
      <w:r>
        <w:rPr>
          <w:rFonts w:ascii="Calibri" w:hAnsi="Calibri"/>
          <w:bCs/>
          <w:color w:val="000000"/>
        </w:rPr>
        <w:t xml:space="preserve">Under </w:t>
      </w:r>
      <w:r w:rsidRPr="008055A5">
        <w:rPr>
          <w:rFonts w:ascii="Calibri" w:hAnsi="Calibri"/>
          <w:b/>
          <w:bCs/>
          <w:color w:val="000000"/>
        </w:rPr>
        <w:t>paragraph 8</w:t>
      </w:r>
      <w:r w:rsidR="008055A5">
        <w:rPr>
          <w:rFonts w:ascii="Calibri" w:hAnsi="Calibri"/>
          <w:bCs/>
          <w:color w:val="000000"/>
        </w:rPr>
        <w:t xml:space="preserve"> we suggest including “ageism” in the following sentence, which describe some of the prejudices that serve as a basis for the exclusion of persons with disabilities.</w:t>
      </w:r>
    </w:p>
    <w:p w14:paraId="1DB9E19E" w14:textId="5AE492B4" w:rsidR="008055A5" w:rsidRDefault="008055A5" w:rsidP="008055A5">
      <w:pPr>
        <w:widowControl w:val="0"/>
        <w:autoSpaceDE w:val="0"/>
        <w:autoSpaceDN w:val="0"/>
        <w:adjustRightInd w:val="0"/>
        <w:spacing w:after="120"/>
        <w:ind w:left="720"/>
        <w:rPr>
          <w:i/>
        </w:rPr>
      </w:pPr>
      <w:r w:rsidRPr="008055A5">
        <w:rPr>
          <w:i/>
        </w:rPr>
        <w:t>Despite progress in disability law and policy, persons with disabilities continue to be systematically excluded from many areas of life, often based on notions of dominance, power and devaluation such as racism, sexism</w:t>
      </w:r>
      <w:r>
        <w:rPr>
          <w:i/>
        </w:rPr>
        <w:t xml:space="preserve">, </w:t>
      </w:r>
      <w:r w:rsidRPr="008055A5">
        <w:rPr>
          <w:i/>
          <w:color w:val="FF0000"/>
        </w:rPr>
        <w:t>ageism</w:t>
      </w:r>
      <w:r w:rsidRPr="008055A5">
        <w:rPr>
          <w:i/>
          <w:color w:val="FF0000"/>
        </w:rPr>
        <w:t xml:space="preserve"> </w:t>
      </w:r>
      <w:r w:rsidRPr="008055A5">
        <w:rPr>
          <w:i/>
        </w:rPr>
        <w:t xml:space="preserve">and </w:t>
      </w:r>
      <w:proofErr w:type="spellStart"/>
      <w:r w:rsidRPr="008055A5">
        <w:rPr>
          <w:i/>
        </w:rPr>
        <w:t>ableism</w:t>
      </w:r>
      <w:proofErr w:type="spellEnd"/>
      <w:r>
        <w:rPr>
          <w:i/>
        </w:rPr>
        <w:t>.</w:t>
      </w:r>
    </w:p>
    <w:p w14:paraId="0DDCDB23" w14:textId="71130D63" w:rsidR="008055A5" w:rsidRPr="008055A5" w:rsidRDefault="008055A5" w:rsidP="008055A5">
      <w:pPr>
        <w:widowControl w:val="0"/>
        <w:autoSpaceDE w:val="0"/>
        <w:autoSpaceDN w:val="0"/>
        <w:adjustRightInd w:val="0"/>
        <w:spacing w:after="120"/>
        <w:rPr>
          <w:rFonts w:ascii="Calibri" w:hAnsi="Calibri"/>
          <w:bCs/>
          <w:color w:val="000000"/>
        </w:rPr>
      </w:pPr>
      <w:r w:rsidRPr="008055A5">
        <w:rPr>
          <w:rFonts w:ascii="Calibri" w:hAnsi="Calibri"/>
          <w:bCs/>
          <w:color w:val="000000"/>
        </w:rPr>
        <w:t xml:space="preserve">Under </w:t>
      </w:r>
      <w:r w:rsidRPr="008055A5">
        <w:rPr>
          <w:rFonts w:ascii="Calibri" w:hAnsi="Calibri"/>
          <w:b/>
          <w:bCs/>
          <w:color w:val="000000"/>
        </w:rPr>
        <w:t>paragraph 38</w:t>
      </w:r>
      <w:r w:rsidRPr="008055A5">
        <w:rPr>
          <w:rFonts w:ascii="Calibri" w:hAnsi="Calibri"/>
          <w:bCs/>
          <w:color w:val="000000"/>
        </w:rPr>
        <w:t xml:space="preserve"> add “older persons” with regard to DPOs who represent various societal groups</w:t>
      </w:r>
    </w:p>
    <w:p w14:paraId="0A09C5F9" w14:textId="3ABD7DA8" w:rsidR="008055A5" w:rsidRPr="008055A5" w:rsidRDefault="008055A5" w:rsidP="006F4FF0">
      <w:pPr>
        <w:widowControl w:val="0"/>
        <w:autoSpaceDE w:val="0"/>
        <w:autoSpaceDN w:val="0"/>
        <w:adjustRightInd w:val="0"/>
        <w:spacing w:after="120"/>
        <w:ind w:left="720"/>
        <w:rPr>
          <w:i/>
        </w:rPr>
      </w:pPr>
      <w:r w:rsidRPr="006F4FF0">
        <w:rPr>
          <w:i/>
        </w:rPr>
        <w:t xml:space="preserve">States parties must ensure that they closely consult and actively involve DPOs who represent the vast diversity in society, including children, the LGBTI community, </w:t>
      </w:r>
      <w:r w:rsidRPr="009A0AA3">
        <w:rPr>
          <w:i/>
          <w:color w:val="FF0000"/>
        </w:rPr>
        <w:t xml:space="preserve">older persons </w:t>
      </w:r>
      <w:r w:rsidRPr="006F4FF0">
        <w:rPr>
          <w:i/>
        </w:rPr>
        <w:t xml:space="preserve">and indigenous and rural communities. </w:t>
      </w:r>
    </w:p>
    <w:p w14:paraId="442931C2" w14:textId="1E574D03" w:rsidR="006F4FF0" w:rsidRPr="006F4FF0" w:rsidRDefault="006F4FF0" w:rsidP="006F4FF0">
      <w:pPr>
        <w:widowControl w:val="0"/>
        <w:autoSpaceDE w:val="0"/>
        <w:autoSpaceDN w:val="0"/>
        <w:adjustRightInd w:val="0"/>
        <w:spacing w:after="120"/>
        <w:rPr>
          <w:rFonts w:ascii="Calibri" w:hAnsi="Calibri"/>
          <w:bCs/>
          <w:color w:val="000000"/>
        </w:rPr>
      </w:pPr>
      <w:r w:rsidRPr="006F4FF0">
        <w:rPr>
          <w:rFonts w:ascii="Calibri" w:hAnsi="Calibri"/>
          <w:bCs/>
          <w:color w:val="000000"/>
        </w:rPr>
        <w:t xml:space="preserve">Reflect on the situation of older persons with disabilities under </w:t>
      </w:r>
      <w:r w:rsidRPr="00985CB0">
        <w:rPr>
          <w:rFonts w:ascii="Calibri" w:hAnsi="Calibri"/>
          <w:b/>
          <w:bCs/>
          <w:color w:val="000000"/>
        </w:rPr>
        <w:t>section v on article 11 pertaining to s</w:t>
      </w:r>
      <w:r w:rsidRPr="00985CB0">
        <w:rPr>
          <w:rFonts w:ascii="Calibri" w:hAnsi="Calibri"/>
          <w:b/>
          <w:bCs/>
          <w:color w:val="000000"/>
        </w:rPr>
        <w:t>ituations of risk and humanitarian emergencies</w:t>
      </w:r>
      <w:r w:rsidR="009A0AA3">
        <w:rPr>
          <w:rFonts w:ascii="Calibri" w:hAnsi="Calibri"/>
          <w:bCs/>
          <w:color w:val="000000"/>
        </w:rPr>
        <w:t>.</w:t>
      </w:r>
      <w:r>
        <w:rPr>
          <w:rFonts w:ascii="Calibri" w:hAnsi="Calibri"/>
          <w:bCs/>
          <w:color w:val="000000"/>
        </w:rPr>
        <w:t xml:space="preserve"> </w:t>
      </w:r>
      <w:r w:rsidR="009A0AA3">
        <w:rPr>
          <w:rFonts w:ascii="Calibri" w:hAnsi="Calibri"/>
          <w:bCs/>
          <w:color w:val="000000"/>
        </w:rPr>
        <w:t>A</w:t>
      </w:r>
      <w:r>
        <w:rPr>
          <w:rFonts w:ascii="Calibri" w:hAnsi="Calibri"/>
          <w:bCs/>
          <w:color w:val="000000"/>
        </w:rPr>
        <w:t xml:space="preserve">ccording to Handicap International and </w:t>
      </w:r>
      <w:proofErr w:type="spellStart"/>
      <w:r>
        <w:rPr>
          <w:rFonts w:ascii="Calibri" w:hAnsi="Calibri"/>
          <w:bCs/>
          <w:color w:val="000000"/>
        </w:rPr>
        <w:t>Helpage</w:t>
      </w:r>
      <w:proofErr w:type="spellEnd"/>
      <w:r>
        <w:rPr>
          <w:rFonts w:ascii="Calibri" w:hAnsi="Calibri"/>
          <w:bCs/>
          <w:color w:val="000000"/>
        </w:rPr>
        <w:t xml:space="preserve"> International older persons with disabilities are at the highest risk </w:t>
      </w:r>
      <w:r w:rsidR="009A0AA3">
        <w:rPr>
          <w:rFonts w:ascii="Calibri" w:hAnsi="Calibri"/>
          <w:bCs/>
          <w:color w:val="000000"/>
        </w:rPr>
        <w:t xml:space="preserve">of exclusion </w:t>
      </w:r>
      <w:r>
        <w:rPr>
          <w:rFonts w:ascii="Calibri" w:hAnsi="Calibri"/>
          <w:bCs/>
          <w:color w:val="000000"/>
        </w:rPr>
        <w:t>during humanitarian emergencies. They are often invisibl</w:t>
      </w:r>
      <w:r w:rsidR="00985CB0">
        <w:rPr>
          <w:rFonts w:ascii="Calibri" w:hAnsi="Calibri"/>
          <w:bCs/>
          <w:color w:val="000000"/>
        </w:rPr>
        <w:t>e in interventions, their needs are rarely met and they</w:t>
      </w:r>
      <w:r>
        <w:rPr>
          <w:rFonts w:ascii="Calibri" w:hAnsi="Calibri"/>
          <w:bCs/>
          <w:color w:val="000000"/>
        </w:rPr>
        <w:t xml:space="preserve"> </w:t>
      </w:r>
      <w:r w:rsidRPr="00985CB0">
        <w:rPr>
          <w:rFonts w:ascii="Calibri" w:hAnsi="Calibri"/>
          <w:bCs/>
          <w:color w:val="000000"/>
        </w:rPr>
        <w:t>face particular threats to their safety, security and ability to survive</w:t>
      </w:r>
      <w:r w:rsidR="00985CB0">
        <w:rPr>
          <w:rStyle w:val="FootnoteReference"/>
          <w:rFonts w:ascii="Calibri" w:hAnsi="Calibri"/>
          <w:bCs/>
          <w:color w:val="000000"/>
        </w:rPr>
        <w:footnoteReference w:id="7"/>
      </w:r>
      <w:r w:rsidRPr="00985CB0">
        <w:rPr>
          <w:rFonts w:ascii="Calibri" w:hAnsi="Calibri"/>
          <w:bCs/>
          <w:color w:val="000000"/>
        </w:rPr>
        <w:t>.</w:t>
      </w:r>
    </w:p>
    <w:p w14:paraId="3312642D" w14:textId="6E722B8E" w:rsidR="00985CB0" w:rsidRDefault="00985CB0" w:rsidP="008055A5">
      <w:pPr>
        <w:widowControl w:val="0"/>
        <w:autoSpaceDE w:val="0"/>
        <w:autoSpaceDN w:val="0"/>
        <w:adjustRightInd w:val="0"/>
        <w:spacing w:after="120"/>
        <w:rPr>
          <w:lang w:val="en-US"/>
        </w:rPr>
      </w:pPr>
      <w:r w:rsidRPr="00985CB0">
        <w:rPr>
          <w:rFonts w:ascii="Calibri" w:hAnsi="Calibri"/>
          <w:b/>
          <w:bCs/>
          <w:color w:val="000000"/>
        </w:rPr>
        <w:t xml:space="preserve">Paragraph 66 </w:t>
      </w:r>
      <w:r w:rsidRPr="00985CB0">
        <w:rPr>
          <w:rFonts w:ascii="Calibri" w:hAnsi="Calibri"/>
          <w:bCs/>
          <w:color w:val="000000"/>
        </w:rPr>
        <w:t>which refers to article 19 of the convention can lead to further exclusion of older persons with disabilities by stating that</w:t>
      </w:r>
      <w:r>
        <w:rPr>
          <w:rFonts w:ascii="Calibri" w:hAnsi="Calibri"/>
          <w:bCs/>
          <w:i/>
          <w:color w:val="000000"/>
          <w:lang w:val="en-US"/>
        </w:rPr>
        <w:t xml:space="preserve"> </w:t>
      </w:r>
      <w:r w:rsidRPr="00985CB0">
        <w:rPr>
          <w:rFonts w:ascii="Calibri" w:hAnsi="Calibri"/>
          <w:bCs/>
          <w:i/>
          <w:color w:val="000000"/>
          <w:lang w:val="en-US"/>
        </w:rPr>
        <w:t xml:space="preserve">“Setting </w:t>
      </w:r>
      <w:r w:rsidRPr="00985CB0">
        <w:rPr>
          <w:i/>
          <w:lang w:val="en-US"/>
        </w:rPr>
        <w:t>up specific services for particular groups of persons with disabilities in accordance with their requirements, such as services for children, students, or employees with disabilities, is not considered as a discriminatory violation of the Convention but rather as fulfillment of the rights under article 19</w:t>
      </w:r>
      <w:r w:rsidRPr="00985CB0">
        <w:rPr>
          <w:i/>
          <w:lang w:val="en-US"/>
        </w:rPr>
        <w:t>”</w:t>
      </w:r>
      <w:r w:rsidRPr="00985CB0">
        <w:rPr>
          <w:i/>
          <w:lang w:val="en-US"/>
        </w:rPr>
        <w:t>.</w:t>
      </w:r>
      <w:r w:rsidRPr="00985CB0">
        <w:rPr>
          <w:lang w:val="en-US"/>
        </w:rPr>
        <w:t xml:space="preserve"> </w:t>
      </w:r>
      <w:r>
        <w:rPr>
          <w:lang w:val="en-US"/>
        </w:rPr>
        <w:t xml:space="preserve">Whereas we acknowledge the need for specific services targeting sub groups of persons with disabilities, the unconditional formulation of this paragraph can be used as an excuse for services </w:t>
      </w:r>
      <w:r w:rsidR="009A0AA3">
        <w:rPr>
          <w:lang w:val="en-US"/>
        </w:rPr>
        <w:t>that</w:t>
      </w:r>
      <w:r>
        <w:rPr>
          <w:lang w:val="en-US"/>
        </w:rPr>
        <w:t xml:space="preserve"> segregate older persons with disabilities, or for the unavailability of certain choices to people with disabilities of older age. As explained extensively in </w:t>
      </w:r>
      <w:hyperlink r:id="rId10" w:history="1">
        <w:r w:rsidRPr="005E7879">
          <w:rPr>
            <w:rStyle w:val="Hyperlink"/>
            <w:lang w:val="en-US"/>
          </w:rPr>
          <w:t>our previous contribution</w:t>
        </w:r>
      </w:hyperlink>
      <w:r>
        <w:rPr>
          <w:lang w:val="en-US"/>
        </w:rPr>
        <w:t xml:space="preserve"> older people tend to be excluded from services such as rehabilitation and to lack an entitlement to disability allowance and personal assistance, which is available to other age groups. </w:t>
      </w:r>
    </w:p>
    <w:p w14:paraId="6D7110B3" w14:textId="75AB1A93" w:rsidR="00985CB0" w:rsidRPr="005E7879" w:rsidRDefault="00985CB0" w:rsidP="00985CB0">
      <w:pPr>
        <w:widowControl w:val="0"/>
        <w:autoSpaceDE w:val="0"/>
        <w:autoSpaceDN w:val="0"/>
        <w:adjustRightInd w:val="0"/>
        <w:spacing w:after="120"/>
      </w:pPr>
      <w:r>
        <w:t xml:space="preserve">Recent research by the ILO has concluded that wide gaps of social protection coverage in long-term care and infrastructure and unequal treatment of older persons in need of support compared to younger persons with similar needs, such as health care, constitute a form of age-based </w:t>
      </w:r>
      <w:r>
        <w:lastRenderedPageBreak/>
        <w:t>discrimination</w:t>
      </w:r>
      <w:r>
        <w:rPr>
          <w:rStyle w:val="FootnoteReference"/>
        </w:rPr>
        <w:footnoteReference w:id="8"/>
      </w:r>
      <w:r w:rsidR="005E7879">
        <w:t xml:space="preserve">. </w:t>
      </w:r>
      <w:r w:rsidRPr="000231C3">
        <w:rPr>
          <w:rFonts w:ascii="Calibri" w:eastAsia="Cambria" w:hAnsi="Calibri" w:cs="Times New Roman"/>
        </w:rPr>
        <w:t>The Special Rapporteur on the human rights of persons with disabilities has highlighted some of the structural inequalities faced by older people that lead into poverty traps</w:t>
      </w:r>
      <w:r w:rsidRPr="000231C3">
        <w:rPr>
          <w:rFonts w:ascii="Calibri" w:eastAsia="Cambria" w:hAnsi="Calibri" w:cs="Times New Roman"/>
          <w:vertAlign w:val="superscript"/>
        </w:rPr>
        <w:footnoteReference w:id="9"/>
      </w:r>
      <w:r w:rsidRPr="000231C3">
        <w:rPr>
          <w:rFonts w:ascii="Calibri" w:eastAsia="Cambria" w:hAnsi="Calibri" w:cs="Times New Roman"/>
        </w:rPr>
        <w:t xml:space="preserve">. </w:t>
      </w:r>
      <w:r>
        <w:rPr>
          <w:rFonts w:ascii="Calibri" w:eastAsia="Cambria" w:hAnsi="Calibri" w:cs="Times New Roman"/>
        </w:rPr>
        <w:t xml:space="preserve">She has moreover called for a lifecycle approach in disability assessments. On the other hand, the OHCHR thematic study on non-discrimination has only paid attention to </w:t>
      </w:r>
      <w:r w:rsidRPr="00F71D94">
        <w:t>ensuring coverage of disability-related costs w</w:t>
      </w:r>
      <w:r>
        <w:t>hen transitioning to retirement</w:t>
      </w:r>
      <w:r>
        <w:rPr>
          <w:rStyle w:val="FootnoteReference"/>
        </w:rPr>
        <w:footnoteReference w:id="10"/>
      </w:r>
      <w:r>
        <w:t xml:space="preserve">, and did not reflect the problems faced by those people with disabilities who are already in retirement when disability occurs. The GC should adequately address the barriers faced both by ageing and </w:t>
      </w:r>
      <w:r w:rsidR="005E7879">
        <w:t xml:space="preserve">older persons with disabilities, by explicitly stating that age limits in disability schemes constitute a form of age discrimination, which impede older persons with disabilities from living independently in the community on an equal basis with others. </w:t>
      </w:r>
    </w:p>
    <w:p w14:paraId="4D977D65" w14:textId="04173C42" w:rsidR="002E2615" w:rsidRDefault="002E2615" w:rsidP="002E2615">
      <w:pPr>
        <w:widowControl w:val="0"/>
        <w:autoSpaceDE w:val="0"/>
        <w:autoSpaceDN w:val="0"/>
        <w:adjustRightInd w:val="0"/>
        <w:spacing w:after="120"/>
      </w:pPr>
      <w:r w:rsidRPr="002E2615">
        <w:rPr>
          <w:b/>
        </w:rPr>
        <w:t>Paragraph 75</w:t>
      </w:r>
      <w:r>
        <w:t xml:space="preserve"> in addition to referring to data disaggregation by </w:t>
      </w:r>
      <w:proofErr w:type="gramStart"/>
      <w:r>
        <w:t>age,</w:t>
      </w:r>
      <w:proofErr w:type="gramEnd"/>
      <w:r>
        <w:t xml:space="preserve"> should also reflect that data sets should not have age limits, but also that disaggregation should avoid large age groups. National </w:t>
      </w:r>
      <w:r w:rsidR="009A0AA3">
        <w:t>d</w:t>
      </w:r>
      <w:r>
        <w:t>ata</w:t>
      </w:r>
      <w:r w:rsidR="009A0AA3">
        <w:t>bases</w:t>
      </w:r>
      <w:r>
        <w:t xml:space="preserve"> often stop around the age of 70 or even earlier, and/or include very broad age brackets such as 65+.</w:t>
      </w:r>
    </w:p>
    <w:p w14:paraId="14185684" w14:textId="45B95C5E" w:rsidR="009A0AA3" w:rsidRPr="009A0AA3" w:rsidRDefault="009A0AA3" w:rsidP="009A0AA3">
      <w:pPr>
        <w:widowControl w:val="0"/>
        <w:autoSpaceDE w:val="0"/>
        <w:autoSpaceDN w:val="0"/>
        <w:adjustRightInd w:val="0"/>
        <w:spacing w:after="120"/>
      </w:pPr>
      <w:r w:rsidRPr="009A0AA3">
        <w:rPr>
          <w:b/>
        </w:rPr>
        <w:t>Point m, under section VII Implementation at national level</w:t>
      </w:r>
      <w:r>
        <w:t xml:space="preserve">, should refrain from referring to the elderly and use the term “older persons” instead. </w:t>
      </w:r>
      <w:r w:rsidRPr="009A0AA3">
        <w:t>It is important to emphasise that the term “elderly” is not synonymous with “older persons.”</w:t>
      </w:r>
      <w:r>
        <w:t xml:space="preserve"> The term elderly not only </w:t>
      </w:r>
      <w:r w:rsidRPr="009A0AA3">
        <w:t>assumes an age-based identity for millions of individuals whos</w:t>
      </w:r>
      <w:r>
        <w:t xml:space="preserve">e capacities are very different, but it also has a negative connotation as it </w:t>
      </w:r>
      <w:r w:rsidRPr="009A0AA3">
        <w:t xml:space="preserve"> </w:t>
      </w:r>
      <w:r w:rsidRPr="009A0AA3">
        <w:t xml:space="preserve">brings to mind fragility and need for protection rather than the right to active participation. </w:t>
      </w:r>
      <w:r>
        <w:t xml:space="preserve">The term older </w:t>
      </w:r>
      <w:proofErr w:type="gramStart"/>
      <w:r>
        <w:t>persons, which is</w:t>
      </w:r>
      <w:proofErr w:type="gramEnd"/>
      <w:r>
        <w:t xml:space="preserve"> used also by the UN Open-Ended Working Group on Ageing and the UN Independent Expert on the Enjoyment of all Human Rights by Older Persons, </w:t>
      </w:r>
      <w:r w:rsidRPr="009A0AA3">
        <w:t xml:space="preserve">should </w:t>
      </w:r>
      <w:r>
        <w:t>be the standard term at the UN.</w:t>
      </w:r>
    </w:p>
    <w:p w14:paraId="2DA066F0" w14:textId="179F236D" w:rsidR="000231C3" w:rsidRPr="000231C3" w:rsidRDefault="000231C3" w:rsidP="007B5425">
      <w:pPr>
        <w:keepNext/>
        <w:keepLines/>
        <w:spacing w:after="0"/>
        <w:outlineLvl w:val="0"/>
        <w:rPr>
          <w:rFonts w:ascii="Calibri" w:eastAsia="Times New Roman" w:hAnsi="Calibri" w:cs="Times New Roman"/>
          <w:b/>
          <w:bCs/>
          <w:color w:val="006284"/>
          <w:sz w:val="24"/>
          <w:szCs w:val="24"/>
          <w:lang w:eastAsia="x-none"/>
        </w:rPr>
      </w:pPr>
      <w:r w:rsidRPr="000231C3">
        <w:rPr>
          <w:rFonts w:ascii="Calibri" w:eastAsia="Times New Roman" w:hAnsi="Calibri" w:cs="Times New Roman"/>
          <w:b/>
          <w:bCs/>
          <w:color w:val="006284"/>
          <w:sz w:val="24"/>
          <w:szCs w:val="24"/>
          <w:lang w:eastAsia="x-none"/>
        </w:rPr>
        <w:t xml:space="preserve">Conclusions </w:t>
      </w:r>
    </w:p>
    <w:p w14:paraId="1175B395" w14:textId="4F1EBEE0" w:rsidR="000231C3" w:rsidRPr="000231C3" w:rsidRDefault="002E2615" w:rsidP="002E2615">
      <w:pPr>
        <w:widowControl w:val="0"/>
        <w:autoSpaceDE w:val="0"/>
        <w:autoSpaceDN w:val="0"/>
        <w:adjustRightInd w:val="0"/>
        <w:spacing w:after="0"/>
        <w:rPr>
          <w:rFonts w:ascii="Calibri" w:eastAsia="Cambria" w:hAnsi="Calibri" w:cs="Times New Roman"/>
          <w:bCs/>
          <w:color w:val="000000"/>
        </w:rPr>
      </w:pPr>
      <w:r>
        <w:rPr>
          <w:rFonts w:ascii="Calibri" w:eastAsia="Cambria" w:hAnsi="Calibri" w:cs="Times New Roman"/>
          <w:bCs/>
          <w:color w:val="000000"/>
        </w:rPr>
        <w:t xml:space="preserve">To conclude we reiterate the following recommendations to the CRPD Committee: </w:t>
      </w:r>
    </w:p>
    <w:p w14:paraId="6B7717E5" w14:textId="77777777" w:rsidR="000231C3" w:rsidRPr="000231C3" w:rsidRDefault="000231C3" w:rsidP="007B5425">
      <w:pPr>
        <w:spacing w:after="0" w:line="240" w:lineRule="auto"/>
        <w:rPr>
          <w:rFonts w:ascii="Arial" w:eastAsia="Cambria" w:hAnsi="Arial" w:cs="Times New Roman"/>
          <w:sz w:val="19"/>
          <w:szCs w:val="24"/>
          <w:lang w:eastAsia="x-none"/>
        </w:rPr>
      </w:pPr>
    </w:p>
    <w:p w14:paraId="52DC91F1" w14:textId="66B9D0BA" w:rsidR="000231C3" w:rsidRPr="000231C3" w:rsidRDefault="000231C3" w:rsidP="007B5425">
      <w:pPr>
        <w:widowControl w:val="0"/>
        <w:numPr>
          <w:ilvl w:val="0"/>
          <w:numId w:val="14"/>
        </w:numPr>
        <w:autoSpaceDE w:val="0"/>
        <w:autoSpaceDN w:val="0"/>
        <w:adjustRightInd w:val="0"/>
        <w:spacing w:after="0" w:line="240" w:lineRule="auto"/>
        <w:ind w:left="714" w:hanging="357"/>
        <w:rPr>
          <w:rFonts w:ascii="Calibri" w:eastAsia="Cambria" w:hAnsi="Calibri" w:cs="Times New Roman"/>
        </w:rPr>
      </w:pPr>
      <w:r w:rsidRPr="000231C3">
        <w:rPr>
          <w:rFonts w:ascii="Calibri" w:eastAsia="Cambria" w:hAnsi="Calibri" w:cs="Times New Roman"/>
        </w:rPr>
        <w:t xml:space="preserve">Recognise the systemic, multifaceted, structural discrimination faced by older people with </w:t>
      </w:r>
      <w:r w:rsidR="002E2615">
        <w:rPr>
          <w:rFonts w:ascii="Calibri" w:eastAsia="Cambria" w:hAnsi="Calibri" w:cs="Times New Roman"/>
        </w:rPr>
        <w:t>disabilities</w:t>
      </w:r>
      <w:r w:rsidRPr="000231C3">
        <w:rPr>
          <w:rFonts w:ascii="Calibri" w:eastAsia="Cambria" w:hAnsi="Calibri" w:cs="Times New Roman"/>
        </w:rPr>
        <w:t xml:space="preserve">; </w:t>
      </w:r>
    </w:p>
    <w:p w14:paraId="59A175C5" w14:textId="77777777" w:rsidR="000231C3" w:rsidRPr="000231C3" w:rsidRDefault="000231C3" w:rsidP="007B5425">
      <w:pPr>
        <w:widowControl w:val="0"/>
        <w:numPr>
          <w:ilvl w:val="0"/>
          <w:numId w:val="14"/>
        </w:numPr>
        <w:autoSpaceDE w:val="0"/>
        <w:autoSpaceDN w:val="0"/>
        <w:adjustRightInd w:val="0"/>
        <w:spacing w:after="0" w:line="240" w:lineRule="auto"/>
        <w:ind w:left="714" w:hanging="357"/>
        <w:rPr>
          <w:rFonts w:ascii="Calibri" w:eastAsia="Cambria" w:hAnsi="Calibri" w:cs="Times New Roman"/>
        </w:rPr>
      </w:pPr>
      <w:r w:rsidRPr="000231C3">
        <w:rPr>
          <w:rFonts w:ascii="Calibri" w:eastAsia="Cambria" w:hAnsi="Calibri" w:cs="Times New Roman"/>
        </w:rPr>
        <w:t>Construct disability in a manner that does not justify the exclusion of older people;</w:t>
      </w:r>
    </w:p>
    <w:p w14:paraId="222FEA00" w14:textId="4DF9449E" w:rsidR="000231C3" w:rsidRPr="000231C3" w:rsidRDefault="000231C3" w:rsidP="007B5425">
      <w:pPr>
        <w:widowControl w:val="0"/>
        <w:numPr>
          <w:ilvl w:val="0"/>
          <w:numId w:val="14"/>
        </w:numPr>
        <w:autoSpaceDE w:val="0"/>
        <w:autoSpaceDN w:val="0"/>
        <w:adjustRightInd w:val="0"/>
        <w:spacing w:after="0" w:line="240" w:lineRule="auto"/>
        <w:ind w:left="714" w:hanging="357"/>
        <w:rPr>
          <w:rFonts w:ascii="Calibri" w:eastAsia="Cambria" w:hAnsi="Calibri" w:cs="Times New Roman"/>
        </w:rPr>
      </w:pPr>
      <w:r w:rsidRPr="000231C3">
        <w:rPr>
          <w:rFonts w:ascii="Calibri" w:eastAsia="Cambria" w:hAnsi="Calibri" w:cs="Times New Roman"/>
        </w:rPr>
        <w:t xml:space="preserve">Encourage Member States to systematically report on the barriers faced by </w:t>
      </w:r>
      <w:r w:rsidR="007B5425">
        <w:rPr>
          <w:rFonts w:ascii="Calibri" w:eastAsia="Cambria" w:hAnsi="Calibri" w:cs="Times New Roman"/>
        </w:rPr>
        <w:t xml:space="preserve">ageing and </w:t>
      </w:r>
      <w:r w:rsidRPr="000231C3">
        <w:rPr>
          <w:rFonts w:ascii="Calibri" w:eastAsia="Cambria" w:hAnsi="Calibri" w:cs="Times New Roman"/>
        </w:rPr>
        <w:t xml:space="preserve">older people with disabilities; </w:t>
      </w:r>
    </w:p>
    <w:p w14:paraId="2330B6E7" w14:textId="01894D4F" w:rsidR="000231C3" w:rsidRPr="000231C3" w:rsidRDefault="000231C3" w:rsidP="007B5425">
      <w:pPr>
        <w:widowControl w:val="0"/>
        <w:numPr>
          <w:ilvl w:val="0"/>
          <w:numId w:val="14"/>
        </w:numPr>
        <w:autoSpaceDE w:val="0"/>
        <w:autoSpaceDN w:val="0"/>
        <w:adjustRightInd w:val="0"/>
        <w:spacing w:after="0" w:line="240" w:lineRule="auto"/>
        <w:ind w:left="714" w:hanging="357"/>
        <w:rPr>
          <w:rFonts w:ascii="Calibri" w:eastAsia="Cambria" w:hAnsi="Calibri" w:cs="Times New Roman"/>
        </w:rPr>
      </w:pPr>
      <w:r w:rsidRPr="000231C3">
        <w:rPr>
          <w:rFonts w:ascii="Calibri" w:eastAsia="Cambria" w:hAnsi="Calibri" w:cs="Times New Roman"/>
        </w:rPr>
        <w:t>Raise awareness of the rele</w:t>
      </w:r>
      <w:r w:rsidR="00B00BE3">
        <w:rPr>
          <w:rFonts w:ascii="Calibri" w:eastAsia="Cambria" w:hAnsi="Calibri" w:cs="Times New Roman"/>
        </w:rPr>
        <w:t xml:space="preserve">vance of the </w:t>
      </w:r>
      <w:r w:rsidRPr="000231C3">
        <w:rPr>
          <w:rFonts w:ascii="Calibri" w:eastAsia="Cambria" w:hAnsi="Calibri" w:cs="Times New Roman"/>
        </w:rPr>
        <w:t xml:space="preserve">CRPD </w:t>
      </w:r>
      <w:r w:rsidR="00006360">
        <w:rPr>
          <w:rFonts w:ascii="Calibri" w:eastAsia="Cambria" w:hAnsi="Calibri" w:cs="Times New Roman"/>
        </w:rPr>
        <w:t>for older persons with disabilities</w:t>
      </w:r>
      <w:r w:rsidRPr="000231C3">
        <w:rPr>
          <w:rFonts w:ascii="Calibri" w:eastAsia="Cambria" w:hAnsi="Calibri" w:cs="Times New Roman"/>
        </w:rPr>
        <w:t>;</w:t>
      </w:r>
    </w:p>
    <w:p w14:paraId="1EE5788A" w14:textId="72D94E5F" w:rsidR="000231C3" w:rsidRPr="000231C3" w:rsidRDefault="000231C3" w:rsidP="007B5425">
      <w:pPr>
        <w:widowControl w:val="0"/>
        <w:numPr>
          <w:ilvl w:val="0"/>
          <w:numId w:val="14"/>
        </w:numPr>
        <w:autoSpaceDE w:val="0"/>
        <w:autoSpaceDN w:val="0"/>
        <w:adjustRightInd w:val="0"/>
        <w:spacing w:after="0" w:line="240" w:lineRule="auto"/>
        <w:ind w:left="714" w:hanging="357"/>
        <w:rPr>
          <w:rFonts w:ascii="Calibri" w:eastAsia="Cambria" w:hAnsi="Calibri" w:cs="Times New Roman"/>
        </w:rPr>
      </w:pPr>
      <w:r w:rsidRPr="000231C3">
        <w:rPr>
          <w:rFonts w:ascii="Calibri" w:eastAsia="Cambria" w:hAnsi="Calibri" w:cs="Times New Roman"/>
        </w:rPr>
        <w:t>Systematically include older people’s organisations in consultations and monitoring mechanisms</w:t>
      </w:r>
      <w:r w:rsidR="00006360">
        <w:rPr>
          <w:rFonts w:ascii="Calibri" w:eastAsia="Cambria" w:hAnsi="Calibri" w:cs="Times New Roman"/>
        </w:rPr>
        <w:t xml:space="preserve"> </w:t>
      </w:r>
      <w:r w:rsidRPr="000231C3">
        <w:rPr>
          <w:rFonts w:ascii="Calibri" w:eastAsia="Cambria" w:hAnsi="Calibri" w:cs="Times New Roman"/>
        </w:rPr>
        <w:t xml:space="preserve">; </w:t>
      </w:r>
    </w:p>
    <w:p w14:paraId="644DF795" w14:textId="15A099FC" w:rsidR="000231C3" w:rsidRPr="000231C3" w:rsidRDefault="000231C3" w:rsidP="007B5425">
      <w:pPr>
        <w:widowControl w:val="0"/>
        <w:numPr>
          <w:ilvl w:val="0"/>
          <w:numId w:val="14"/>
        </w:numPr>
        <w:autoSpaceDE w:val="0"/>
        <w:autoSpaceDN w:val="0"/>
        <w:adjustRightInd w:val="0"/>
        <w:spacing w:after="0" w:line="240" w:lineRule="auto"/>
        <w:ind w:left="714" w:hanging="357"/>
        <w:rPr>
          <w:rFonts w:ascii="Calibri" w:eastAsia="Cambria" w:hAnsi="Calibri" w:cs="Times New Roman"/>
        </w:rPr>
      </w:pPr>
      <w:r w:rsidRPr="000231C3">
        <w:rPr>
          <w:rFonts w:ascii="Calibri" w:eastAsia="Cambria" w:hAnsi="Calibri" w:cs="Times New Roman"/>
        </w:rPr>
        <w:t>Request the collection of data for all age groups, without age limits and with additional age bands</w:t>
      </w:r>
      <w:r w:rsidR="00006360">
        <w:rPr>
          <w:rFonts w:ascii="Calibri" w:eastAsia="Cambria" w:hAnsi="Calibri" w:cs="Times New Roman"/>
        </w:rPr>
        <w:t xml:space="preserve"> to better reflect the situation of very old persons with disabilities</w:t>
      </w:r>
      <w:r w:rsidRPr="000231C3">
        <w:rPr>
          <w:rFonts w:ascii="Calibri" w:eastAsia="Cambria" w:hAnsi="Calibri" w:cs="Times New Roman"/>
        </w:rPr>
        <w:t>: Without such data it is difficult to evaluate the impact on older people</w:t>
      </w:r>
      <w:r w:rsidR="00006360">
        <w:rPr>
          <w:rFonts w:ascii="Calibri" w:eastAsia="Cambria" w:hAnsi="Calibri" w:cs="Times New Roman"/>
        </w:rPr>
        <w:t xml:space="preserve">, </w:t>
      </w:r>
      <w:r w:rsidRPr="000231C3">
        <w:rPr>
          <w:rFonts w:ascii="Calibri" w:eastAsia="Cambria" w:hAnsi="Calibri" w:cs="Times New Roman"/>
        </w:rPr>
        <w:t xml:space="preserve"> to eliminate unlawful age discrimination and promote age equality;</w:t>
      </w:r>
    </w:p>
    <w:p w14:paraId="1E200AD7" w14:textId="4468C364" w:rsidR="000231C3" w:rsidRPr="000231C3" w:rsidRDefault="000231C3" w:rsidP="007B5425">
      <w:pPr>
        <w:widowControl w:val="0"/>
        <w:numPr>
          <w:ilvl w:val="0"/>
          <w:numId w:val="14"/>
        </w:numPr>
        <w:autoSpaceDE w:val="0"/>
        <w:autoSpaceDN w:val="0"/>
        <w:adjustRightInd w:val="0"/>
        <w:spacing w:after="120" w:line="240" w:lineRule="auto"/>
        <w:rPr>
          <w:rFonts w:ascii="Calibri" w:eastAsia="Cambria" w:hAnsi="Calibri" w:cs="Times New Roman"/>
        </w:rPr>
      </w:pPr>
      <w:r w:rsidRPr="000231C3">
        <w:rPr>
          <w:rFonts w:ascii="Calibri" w:eastAsia="Cambria" w:hAnsi="Calibri" w:cs="Times New Roman"/>
        </w:rPr>
        <w:t>Provide legal clarity and policy guidance for duty bearers, human rights practitioners and self</w:t>
      </w:r>
      <w:r w:rsidR="00006360">
        <w:rPr>
          <w:rFonts w:ascii="Calibri" w:eastAsia="Cambria" w:hAnsi="Calibri" w:cs="Times New Roman"/>
        </w:rPr>
        <w:t>-</w:t>
      </w:r>
      <w:r w:rsidRPr="000231C3">
        <w:rPr>
          <w:rFonts w:ascii="Calibri" w:eastAsia="Cambria" w:hAnsi="Calibri" w:cs="Times New Roman"/>
        </w:rPr>
        <w:t xml:space="preserve">advocates on the specific human rights challenges in the intersection of old age and disability, including through a </w:t>
      </w:r>
      <w:r w:rsidR="006128C8">
        <w:rPr>
          <w:rFonts w:ascii="Calibri" w:eastAsia="Cambria" w:hAnsi="Calibri" w:cs="Times New Roman"/>
        </w:rPr>
        <w:t xml:space="preserve">future </w:t>
      </w:r>
      <w:bookmarkStart w:id="0" w:name="_GoBack"/>
      <w:bookmarkEnd w:id="0"/>
      <w:r w:rsidRPr="000231C3">
        <w:rPr>
          <w:rFonts w:ascii="Calibri" w:eastAsia="Cambria" w:hAnsi="Calibri" w:cs="Times New Roman"/>
        </w:rPr>
        <w:t>General Comment on the rights of older persons with disabilities.</w:t>
      </w:r>
    </w:p>
    <w:p w14:paraId="7B87B7CB" w14:textId="0D36243A" w:rsidR="009F125B" w:rsidRDefault="007176FC" w:rsidP="007B5425">
      <w:pPr>
        <w:spacing w:after="0"/>
        <w:rPr>
          <w:rFonts w:cstheme="minorHAnsi"/>
          <w:b/>
          <w:bCs/>
          <w:color w:val="31849B" w:themeColor="accent5" w:themeShade="BF"/>
          <w:sz w:val="24"/>
          <w:szCs w:val="24"/>
        </w:rPr>
      </w:pPr>
      <w:r w:rsidRPr="007176FC">
        <w:rPr>
          <w:rFonts w:cstheme="minorHAnsi"/>
          <w:b/>
          <w:bCs/>
          <w:color w:val="31849B" w:themeColor="accent5" w:themeShade="BF"/>
          <w:sz w:val="24"/>
          <w:szCs w:val="24"/>
        </w:rPr>
        <w:lastRenderedPageBreak/>
        <w:t xml:space="preserve">About AGE </w:t>
      </w:r>
    </w:p>
    <w:p w14:paraId="2B6CD5D1" w14:textId="77777777" w:rsidR="00B00BE3" w:rsidRPr="00BA2BE1" w:rsidRDefault="00B00BE3" w:rsidP="007B5425">
      <w:pPr>
        <w:spacing w:after="120"/>
        <w:rPr>
          <w:rFonts w:ascii="Calibri" w:hAnsi="Calibri" w:cs="Verdana"/>
        </w:rPr>
      </w:pPr>
      <w:r w:rsidRPr="00BA2BE1">
        <w:rPr>
          <w:rFonts w:ascii="Calibri" w:hAnsi="Calibri" w:cs="Verdana"/>
        </w:rPr>
        <w:t>AGE Platform Europe (AGE), is the EU largest network of organisations of and for older persons. Funded by the European Commission DG Justice, we aim at voicing and promoting the rights and interests of the 190 million inhabitants aged 50+ in the European Union. Through our membership we represent directly more than 40 million older persons across the EU. AGE is a holder of ECOSOC status and also has a consultative status with the Council of Europe.</w:t>
      </w:r>
    </w:p>
    <w:p w14:paraId="095379F6" w14:textId="6FA5DB19" w:rsidR="00B00BE3" w:rsidRPr="00BA2BE1" w:rsidRDefault="00B00BE3" w:rsidP="007B5425">
      <w:pPr>
        <w:spacing w:after="120"/>
        <w:rPr>
          <w:rFonts w:ascii="Calibri" w:hAnsi="Calibri" w:cs="Verdana"/>
        </w:rPr>
      </w:pPr>
      <w:r w:rsidRPr="00BA2BE1">
        <w:rPr>
          <w:rFonts w:ascii="Calibri" w:hAnsi="Calibri" w:cs="Verdana"/>
        </w:rPr>
        <w:t xml:space="preserve">AGE’s positions are developed in close consultation with its member organisations, which are mainly older people (self-advocacy groups) and some services providers providing support to older persons.  AGE governing bodies and task forces are open to all older persons nominated by AGE member organisations and our activities are organised to include older persons with disabilities.  AGE submission is informed by the input of AGE task forces on Human Rights </w:t>
      </w:r>
      <w:r w:rsidR="007B5425">
        <w:rPr>
          <w:rFonts w:ascii="Calibri" w:hAnsi="Calibri" w:cs="Verdana"/>
        </w:rPr>
        <w:t>and</w:t>
      </w:r>
      <w:r w:rsidRPr="00BA2BE1">
        <w:rPr>
          <w:rFonts w:ascii="Calibri" w:hAnsi="Calibri" w:cs="Verdana"/>
        </w:rPr>
        <w:t xml:space="preserve"> Dignified </w:t>
      </w:r>
      <w:proofErr w:type="spellStart"/>
      <w:r w:rsidRPr="00BA2BE1">
        <w:rPr>
          <w:rFonts w:ascii="Calibri" w:hAnsi="Calibri" w:cs="Verdana"/>
        </w:rPr>
        <w:t>Ageing</w:t>
      </w:r>
      <w:proofErr w:type="gramStart"/>
      <w:r w:rsidR="007B5425">
        <w:rPr>
          <w:rFonts w:ascii="Calibri" w:hAnsi="Calibri" w:cs="Verdana"/>
        </w:rPr>
        <w:t>,</w:t>
      </w:r>
      <w:r w:rsidRPr="00BA2BE1">
        <w:rPr>
          <w:rFonts w:ascii="Calibri" w:hAnsi="Calibri" w:cs="Verdana"/>
        </w:rPr>
        <w:t>and</w:t>
      </w:r>
      <w:proofErr w:type="spellEnd"/>
      <w:proofErr w:type="gramEnd"/>
      <w:r w:rsidRPr="00BA2BE1">
        <w:rPr>
          <w:rFonts w:ascii="Calibri" w:hAnsi="Calibri" w:cs="Verdana"/>
        </w:rPr>
        <w:t xml:space="preserve"> former position papers adopted by AGE Council.   </w:t>
      </w:r>
    </w:p>
    <w:p w14:paraId="7AF8D383" w14:textId="60C2C002" w:rsidR="007176FC" w:rsidRPr="007176FC" w:rsidRDefault="00B00BE3" w:rsidP="007B5425">
      <w:pPr>
        <w:spacing w:after="0"/>
        <w:rPr>
          <w:rFonts w:cstheme="minorHAnsi"/>
          <w:b/>
          <w:bCs/>
          <w:color w:val="F79646" w:themeColor="accent6"/>
          <w:sz w:val="24"/>
          <w:szCs w:val="24"/>
        </w:rPr>
      </w:pPr>
      <w:r>
        <w:rPr>
          <w:rFonts w:cstheme="minorHAnsi"/>
          <w:b/>
          <w:bCs/>
          <w:color w:val="F79646" w:themeColor="accent6"/>
          <w:sz w:val="24"/>
          <w:szCs w:val="24"/>
        </w:rPr>
        <w:t>Resources</w:t>
      </w:r>
    </w:p>
    <w:p w14:paraId="3F7A2C08" w14:textId="77777777" w:rsidR="007B5425" w:rsidRPr="002E2615" w:rsidRDefault="00D01231" w:rsidP="007B5425">
      <w:pPr>
        <w:pStyle w:val="EndNoteBibliography"/>
        <w:numPr>
          <w:ilvl w:val="0"/>
          <w:numId w:val="3"/>
        </w:numPr>
        <w:jc w:val="left"/>
        <w:rPr>
          <w:rStyle w:val="Hyperlink"/>
          <w:rFonts w:ascii="Calibri" w:hAnsi="Calibri"/>
          <w:color w:val="auto"/>
          <w:sz w:val="22"/>
          <w:szCs w:val="22"/>
          <w:u w:val="none"/>
        </w:rPr>
      </w:pPr>
      <w:hyperlink r:id="rId11" w:history="1">
        <w:r w:rsidR="007B5425" w:rsidRPr="00B00BE3">
          <w:rPr>
            <w:rStyle w:val="Hyperlink"/>
            <w:rFonts w:ascii="Calibri" w:hAnsi="Calibri"/>
            <w:sz w:val="22"/>
            <w:szCs w:val="22"/>
          </w:rPr>
          <w:t>AGE Position on Structural Ageism</w:t>
        </w:r>
      </w:hyperlink>
    </w:p>
    <w:p w14:paraId="1E7637A2" w14:textId="7211306F" w:rsidR="002E2615" w:rsidRPr="00B00BE3" w:rsidRDefault="002E2615" w:rsidP="007B5425">
      <w:pPr>
        <w:pStyle w:val="EndNoteBibliography"/>
        <w:numPr>
          <w:ilvl w:val="0"/>
          <w:numId w:val="3"/>
        </w:numPr>
        <w:jc w:val="left"/>
        <w:rPr>
          <w:rFonts w:ascii="Calibri" w:hAnsi="Calibri"/>
          <w:sz w:val="22"/>
          <w:szCs w:val="22"/>
        </w:rPr>
      </w:pPr>
      <w:hyperlink r:id="rId12" w:history="1">
        <w:r w:rsidRPr="002E2615">
          <w:rPr>
            <w:rStyle w:val="Hyperlink"/>
            <w:rFonts w:ascii="Calibri" w:hAnsi="Calibri"/>
            <w:sz w:val="22"/>
            <w:szCs w:val="22"/>
          </w:rPr>
          <w:t>AGE contribution to the draft outline of the GC on article 5</w:t>
        </w:r>
      </w:hyperlink>
    </w:p>
    <w:p w14:paraId="736AACF1" w14:textId="77777777" w:rsidR="007B5425" w:rsidRPr="002E2615" w:rsidRDefault="00D01231" w:rsidP="007B5425">
      <w:pPr>
        <w:pStyle w:val="EndNoteBibliography"/>
        <w:numPr>
          <w:ilvl w:val="0"/>
          <w:numId w:val="3"/>
        </w:numPr>
        <w:jc w:val="left"/>
        <w:rPr>
          <w:rStyle w:val="Hyperlink"/>
          <w:rFonts w:ascii="Calibri" w:hAnsi="Calibri"/>
          <w:color w:val="auto"/>
          <w:sz w:val="22"/>
          <w:szCs w:val="22"/>
          <w:u w:val="none"/>
        </w:rPr>
      </w:pPr>
      <w:hyperlink r:id="rId13" w:history="1">
        <w:r w:rsidR="007B5425" w:rsidRPr="00B00BE3">
          <w:rPr>
            <w:rStyle w:val="Hyperlink"/>
            <w:rFonts w:ascii="Calibri" w:hAnsi="Calibri"/>
            <w:sz w:val="22"/>
            <w:szCs w:val="22"/>
          </w:rPr>
          <w:t>AGE response to UN Special Rapporteur on Disability call for submissions on the right of persons with disabilities to social protection</w:t>
        </w:r>
      </w:hyperlink>
    </w:p>
    <w:p w14:paraId="187C10F5" w14:textId="4E0479A6" w:rsidR="002E2615" w:rsidRPr="00B00BE3" w:rsidRDefault="002E2615" w:rsidP="007B5425">
      <w:pPr>
        <w:pStyle w:val="EndNoteBibliography"/>
        <w:numPr>
          <w:ilvl w:val="0"/>
          <w:numId w:val="3"/>
        </w:numPr>
        <w:jc w:val="left"/>
        <w:rPr>
          <w:rFonts w:ascii="Calibri" w:hAnsi="Calibri"/>
          <w:sz w:val="22"/>
          <w:szCs w:val="22"/>
        </w:rPr>
      </w:pPr>
      <w:hyperlink r:id="rId14" w:history="1">
        <w:r w:rsidRPr="002E2615">
          <w:rPr>
            <w:rStyle w:val="Hyperlink"/>
            <w:rFonts w:ascii="Calibri" w:hAnsi="Calibri"/>
            <w:sz w:val="22"/>
            <w:szCs w:val="22"/>
          </w:rPr>
          <w:t>AGE submission on draft General Comment on article 19</w:t>
        </w:r>
      </w:hyperlink>
    </w:p>
    <w:p w14:paraId="29937414" w14:textId="117E774D" w:rsidR="007176FC" w:rsidRPr="00B00BE3" w:rsidRDefault="00D01231" w:rsidP="007B5425">
      <w:pPr>
        <w:pStyle w:val="ListParagraph"/>
        <w:numPr>
          <w:ilvl w:val="0"/>
          <w:numId w:val="3"/>
        </w:numPr>
        <w:spacing w:after="0"/>
        <w:ind w:left="714" w:hanging="357"/>
        <w:rPr>
          <w:rStyle w:val="Hyperlink"/>
          <w:rFonts w:cstheme="minorHAnsi"/>
          <w:color w:val="auto"/>
          <w:u w:val="none"/>
        </w:rPr>
      </w:pPr>
      <w:hyperlink r:id="rId15" w:history="1">
        <w:r w:rsidR="007176FC" w:rsidRPr="007176FC">
          <w:rPr>
            <w:rStyle w:val="Hyperlink"/>
            <w:rFonts w:cstheme="minorHAnsi"/>
          </w:rPr>
          <w:t>AGE submission to co</w:t>
        </w:r>
        <w:r w:rsidR="007176FC" w:rsidRPr="007176FC">
          <w:rPr>
            <w:rStyle w:val="Hyperlink"/>
            <w:rFonts w:cstheme="minorHAnsi"/>
          </w:rPr>
          <w:t>nsultation on article 19</w:t>
        </w:r>
      </w:hyperlink>
      <w:r w:rsidR="00B00BE3">
        <w:rPr>
          <w:rStyle w:val="Hyperlink"/>
          <w:rFonts w:cstheme="minorHAnsi"/>
        </w:rPr>
        <w:t xml:space="preserve"> </w:t>
      </w:r>
    </w:p>
    <w:p w14:paraId="7B4EA572" w14:textId="77777777" w:rsidR="00783070" w:rsidRPr="00B00BE3" w:rsidRDefault="00D01231" w:rsidP="007B5425">
      <w:pPr>
        <w:pStyle w:val="ListParagraph"/>
        <w:numPr>
          <w:ilvl w:val="0"/>
          <w:numId w:val="3"/>
        </w:numPr>
        <w:spacing w:after="0"/>
        <w:rPr>
          <w:rStyle w:val="Hyperlink"/>
          <w:rFonts w:cstheme="minorHAnsi"/>
          <w:color w:val="auto"/>
          <w:u w:val="none"/>
        </w:rPr>
      </w:pPr>
      <w:hyperlink r:id="rId16" w:history="1">
        <w:r w:rsidR="00783070" w:rsidRPr="007176FC">
          <w:rPr>
            <w:rStyle w:val="Hyperlink"/>
            <w:rFonts w:cstheme="minorHAnsi"/>
          </w:rPr>
          <w:t>Older persons’ self-advocacy handbook</w:t>
        </w:r>
      </w:hyperlink>
    </w:p>
    <w:p w14:paraId="503F95B2" w14:textId="77777777" w:rsidR="00B00BE3" w:rsidRPr="00BA2BE1" w:rsidRDefault="00B00BE3" w:rsidP="007B5425">
      <w:pPr>
        <w:pStyle w:val="Heading1"/>
        <w:spacing w:before="120" w:after="0" w:line="276" w:lineRule="auto"/>
        <w:rPr>
          <w:rFonts w:ascii="Calibri" w:hAnsi="Calibri"/>
          <w:sz w:val="24"/>
          <w:szCs w:val="24"/>
          <w:lang w:val="en-GB"/>
        </w:rPr>
      </w:pPr>
      <w:r w:rsidRPr="00BA2BE1">
        <w:rPr>
          <w:rFonts w:ascii="Calibri" w:hAnsi="Calibri"/>
          <w:sz w:val="24"/>
          <w:szCs w:val="24"/>
          <w:lang w:val="en-GB"/>
        </w:rPr>
        <w:t xml:space="preserve">More information </w:t>
      </w:r>
    </w:p>
    <w:p w14:paraId="7DACDB65" w14:textId="0ED7AB35" w:rsidR="00783070" w:rsidRPr="007176FC" w:rsidRDefault="00783070" w:rsidP="007B5425">
      <w:pPr>
        <w:spacing w:before="120" w:after="0" w:line="240" w:lineRule="auto"/>
        <w:rPr>
          <w:rFonts w:cstheme="minorHAnsi"/>
        </w:rPr>
      </w:pPr>
      <w:r w:rsidRPr="007176FC">
        <w:rPr>
          <w:rFonts w:cstheme="minorHAnsi"/>
        </w:rPr>
        <w:t>For more information</w:t>
      </w:r>
      <w:r w:rsidR="007176FC" w:rsidRPr="007176FC">
        <w:rPr>
          <w:rFonts w:cstheme="minorHAnsi"/>
        </w:rPr>
        <w:t xml:space="preserve"> you may contact </w:t>
      </w:r>
      <w:hyperlink r:id="rId17" w:history="1">
        <w:r w:rsidR="007176FC" w:rsidRPr="007176FC">
          <w:rPr>
            <w:rStyle w:val="Hyperlink"/>
            <w:rFonts w:cstheme="minorHAnsi"/>
          </w:rPr>
          <w:t>Nena Georgantzi</w:t>
        </w:r>
      </w:hyperlink>
      <w:r w:rsidR="00B00BE3">
        <w:rPr>
          <w:rFonts w:cstheme="minorHAnsi"/>
        </w:rPr>
        <w:t xml:space="preserve">, Human Rights Officer, </w:t>
      </w:r>
      <w:proofErr w:type="gramStart"/>
      <w:r w:rsidR="00B00BE3">
        <w:rPr>
          <w:rFonts w:cstheme="minorHAnsi"/>
        </w:rPr>
        <w:t>AGE</w:t>
      </w:r>
      <w:proofErr w:type="gramEnd"/>
      <w:r w:rsidR="00B00BE3">
        <w:rPr>
          <w:rFonts w:cstheme="minorHAnsi"/>
        </w:rPr>
        <w:t xml:space="preserve"> Platform Europe</w:t>
      </w:r>
    </w:p>
    <w:sectPr w:rsidR="00783070" w:rsidRPr="007176FC" w:rsidSect="009F125B">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09051" w14:textId="77777777" w:rsidR="00D01231" w:rsidRDefault="00D01231" w:rsidP="00CD0A68">
      <w:pPr>
        <w:spacing w:after="0" w:line="240" w:lineRule="auto"/>
      </w:pPr>
      <w:r>
        <w:separator/>
      </w:r>
    </w:p>
  </w:endnote>
  <w:endnote w:type="continuationSeparator" w:id="0">
    <w:p w14:paraId="7E126953" w14:textId="77777777" w:rsidR="00D01231" w:rsidRDefault="00D01231" w:rsidP="00CD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E2E15" w14:textId="77777777" w:rsidR="009C5269" w:rsidRDefault="009C5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ED2AA" w14:textId="77777777" w:rsidR="009C5269" w:rsidRDefault="009C5269" w:rsidP="00F719F9">
    <w:pPr>
      <w:pStyle w:val="Footer"/>
      <w:spacing w:before="120"/>
      <w:ind w:left="14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851DF" w14:textId="77777777" w:rsidR="009C5269" w:rsidRDefault="009C5269" w:rsidP="00783070">
    <w:pPr>
      <w:pStyle w:val="Footer"/>
      <w:spacing w:before="120"/>
      <w:ind w:left="1440"/>
    </w:pPr>
    <w:r w:rsidRPr="00345C1B">
      <w:rPr>
        <w:noProof/>
        <w:color w:val="404040" w:themeColor="text1" w:themeTint="BF"/>
        <w:lang w:eastAsia="en-GB"/>
      </w:rPr>
      <w:drawing>
        <wp:anchor distT="0" distB="0" distL="114300" distR="114300" simplePos="0" relativeHeight="251658240" behindDoc="0" locked="0" layoutInCell="1" allowOverlap="1" wp14:anchorId="7127C130" wp14:editId="1D2B37CA">
          <wp:simplePos x="0" y="0"/>
          <wp:positionH relativeFrom="column">
            <wp:posOffset>103505</wp:posOffset>
          </wp:positionH>
          <wp:positionV relativeFrom="paragraph">
            <wp:posOffset>69850</wp:posOffset>
          </wp:positionV>
          <wp:extent cx="732790" cy="477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790" cy="477520"/>
                  </a:xfrm>
                  <a:prstGeom prst="rect">
                    <a:avLst/>
                  </a:prstGeom>
                  <a:noFill/>
                </pic:spPr>
              </pic:pic>
            </a:graphicData>
          </a:graphic>
          <wp14:sizeRelH relativeFrom="page">
            <wp14:pctWidth>0</wp14:pctWidth>
          </wp14:sizeRelH>
          <wp14:sizeRelV relativeFrom="page">
            <wp14:pctHeight>0</wp14:pctHeight>
          </wp14:sizeRelV>
        </wp:anchor>
      </w:drawing>
    </w:r>
    <w:r w:rsidRPr="00345C1B">
      <w:rPr>
        <w:i/>
        <w:iCs/>
        <w:color w:val="404040" w:themeColor="text1" w:themeTint="BF"/>
        <w:sz w:val="18"/>
        <w:szCs w:val="18"/>
        <w:lang w:val="en-US"/>
      </w:rPr>
      <w:t xml:space="preserve">AGE work is </w:t>
    </w:r>
    <w:r w:rsidRPr="00345C1B">
      <w:rPr>
        <w:rFonts w:cs="Arial"/>
        <w:i/>
        <w:iCs/>
        <w:color w:val="404040" w:themeColor="text1" w:themeTint="BF"/>
        <w:sz w:val="18"/>
        <w:szCs w:val="18"/>
        <w:shd w:val="clear" w:color="auto" w:fill="FFFFFF"/>
        <w:lang w:val="en-US"/>
      </w:rPr>
      <w:t xml:space="preserve">co-funded by the </w:t>
    </w:r>
    <w:r w:rsidRPr="00345C1B">
      <w:rPr>
        <w:rFonts w:cs="Arial"/>
        <w:b/>
        <w:i/>
        <w:iCs/>
        <w:color w:val="404040" w:themeColor="text1" w:themeTint="BF"/>
        <w:sz w:val="18"/>
        <w:szCs w:val="18"/>
        <w:shd w:val="clear" w:color="auto" w:fill="FFFFFF"/>
        <w:lang w:val="en-US"/>
      </w:rPr>
      <w:t xml:space="preserve">Rights, Equality and Citizenship </w:t>
    </w:r>
    <w:proofErr w:type="spellStart"/>
    <w:r w:rsidRPr="00345C1B">
      <w:rPr>
        <w:rFonts w:cs="Arial"/>
        <w:b/>
        <w:i/>
        <w:iCs/>
        <w:color w:val="404040" w:themeColor="text1" w:themeTint="BF"/>
        <w:sz w:val="18"/>
        <w:szCs w:val="18"/>
        <w:shd w:val="clear" w:color="auto" w:fill="FFFFFF"/>
        <w:lang w:val="en-US"/>
      </w:rPr>
      <w:t>Programme</w:t>
    </w:r>
    <w:proofErr w:type="spellEnd"/>
    <w:r w:rsidRPr="00345C1B">
      <w:rPr>
        <w:rFonts w:cs="Arial"/>
        <w:i/>
        <w:iCs/>
        <w:color w:val="404040" w:themeColor="text1" w:themeTint="BF"/>
        <w:sz w:val="18"/>
        <w:szCs w:val="18"/>
        <w:shd w:val="clear" w:color="auto" w:fill="FFFFFF"/>
        <w:lang w:val="en-US"/>
      </w:rPr>
      <w:t xml:space="preserve"> of the European Union. </w:t>
    </w:r>
    <w:r w:rsidRPr="00345C1B">
      <w:rPr>
        <w:rFonts w:cs="Arial"/>
        <w:i/>
        <w:iCs/>
        <w:color w:val="404040" w:themeColor="text1" w:themeTint="BF"/>
        <w:sz w:val="18"/>
        <w:szCs w:val="18"/>
        <w:shd w:val="clear" w:color="auto" w:fill="FFFFFF"/>
        <w:lang w:val="en-US"/>
      </w:rPr>
      <w:br/>
      <w:t>The contents of this document are the sole responsibility of AGE Platform Europe and cannot be taken to reflect the views of the European Commission</w:t>
    </w:r>
    <w:r w:rsidRPr="00345C1B">
      <w:rPr>
        <w:rFonts w:ascii="Arial" w:hAnsi="Arial" w:cs="Arial"/>
        <w:i/>
        <w:iCs/>
        <w:color w:val="404040" w:themeColor="text1" w:themeTint="BF"/>
        <w:sz w:val="18"/>
        <w:szCs w:val="18"/>
        <w:shd w:val="clear" w:color="auto" w:fill="FFFFFF"/>
        <w:lang w:val="en-US"/>
      </w:rPr>
      <w:t>.</w:t>
    </w:r>
    <w:r w:rsidRPr="00345C1B">
      <w:rPr>
        <w:color w:val="404040" w:themeColor="text1" w:themeTint="BF"/>
      </w:rPr>
      <w:t xml:space="preserve"> </w:t>
    </w:r>
    <w:r>
      <w:t xml:space="preserve"> </w:t>
    </w:r>
  </w:p>
  <w:p w14:paraId="270988F1" w14:textId="77777777" w:rsidR="009C5269" w:rsidRDefault="009C5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741F3" w14:textId="77777777" w:rsidR="00D01231" w:rsidRDefault="00D01231" w:rsidP="00CD0A68">
      <w:pPr>
        <w:spacing w:after="0" w:line="240" w:lineRule="auto"/>
      </w:pPr>
      <w:r>
        <w:separator/>
      </w:r>
    </w:p>
  </w:footnote>
  <w:footnote w:type="continuationSeparator" w:id="0">
    <w:p w14:paraId="37794CBD" w14:textId="77777777" w:rsidR="00D01231" w:rsidRDefault="00D01231" w:rsidP="00CD0A68">
      <w:pPr>
        <w:spacing w:after="0" w:line="240" w:lineRule="auto"/>
      </w:pPr>
      <w:r>
        <w:continuationSeparator/>
      </w:r>
    </w:p>
  </w:footnote>
  <w:footnote w:id="1">
    <w:p w14:paraId="66FFA529" w14:textId="611E24EE" w:rsidR="008056C5" w:rsidRPr="007B5425" w:rsidRDefault="008056C5" w:rsidP="007B5425">
      <w:pPr>
        <w:pStyle w:val="FootnoteText"/>
        <w:rPr>
          <w:sz w:val="18"/>
          <w:szCs w:val="18"/>
        </w:rPr>
      </w:pPr>
      <w:r w:rsidRPr="007B5425">
        <w:rPr>
          <w:rStyle w:val="FootnoteReference"/>
          <w:sz w:val="18"/>
          <w:szCs w:val="18"/>
        </w:rPr>
        <w:footnoteRef/>
      </w:r>
      <w:r w:rsidRPr="007B5425">
        <w:rPr>
          <w:sz w:val="18"/>
          <w:szCs w:val="18"/>
        </w:rPr>
        <w:t xml:space="preserve"> </w:t>
      </w:r>
      <w:r w:rsidRPr="007B5425">
        <w:rPr>
          <w:rFonts w:ascii="Calibri" w:hAnsi="Calibri"/>
          <w:sz w:val="18"/>
          <w:szCs w:val="18"/>
        </w:rPr>
        <w:t xml:space="preserve">The </w:t>
      </w:r>
      <w:proofErr w:type="spellStart"/>
      <w:r w:rsidRPr="007B5425">
        <w:rPr>
          <w:rFonts w:ascii="Calibri" w:hAnsi="Calibri"/>
          <w:sz w:val="18"/>
          <w:szCs w:val="18"/>
        </w:rPr>
        <w:t>CoE</w:t>
      </w:r>
      <w:proofErr w:type="spellEnd"/>
      <w:r w:rsidRPr="007B5425">
        <w:rPr>
          <w:rFonts w:ascii="Calibri" w:hAnsi="Calibri"/>
          <w:sz w:val="18"/>
          <w:szCs w:val="18"/>
        </w:rPr>
        <w:t xml:space="preserve"> makes a distinction between older and ageing persons with </w:t>
      </w:r>
      <w:proofErr w:type="gramStart"/>
      <w:r w:rsidRPr="007B5425">
        <w:rPr>
          <w:rFonts w:ascii="Calibri" w:hAnsi="Calibri"/>
          <w:sz w:val="18"/>
          <w:szCs w:val="18"/>
        </w:rPr>
        <w:t>disabilities,</w:t>
      </w:r>
      <w:proofErr w:type="gramEnd"/>
      <w:r w:rsidRPr="007B5425">
        <w:rPr>
          <w:rFonts w:ascii="Calibri" w:hAnsi="Calibri"/>
          <w:sz w:val="18"/>
          <w:szCs w:val="18"/>
        </w:rPr>
        <w:t xml:space="preserve"> see </w:t>
      </w:r>
      <w:r w:rsidRPr="007B5425">
        <w:rPr>
          <w:rFonts w:ascii="Calibri" w:hAnsi="Calibri" w:cs="ArialMT"/>
          <w:sz w:val="18"/>
          <w:szCs w:val="18"/>
        </w:rPr>
        <w:t xml:space="preserve">Angela </w:t>
      </w:r>
      <w:proofErr w:type="spellStart"/>
      <w:r w:rsidRPr="007B5425">
        <w:rPr>
          <w:rFonts w:ascii="Calibri" w:hAnsi="Calibri" w:cs="ArialMT"/>
          <w:sz w:val="18"/>
          <w:szCs w:val="18"/>
        </w:rPr>
        <w:t>Garabagiu</w:t>
      </w:r>
      <w:proofErr w:type="spellEnd"/>
      <w:r w:rsidRPr="007B5425">
        <w:rPr>
          <w:rFonts w:ascii="Calibri" w:hAnsi="Calibri" w:cs="ArialMT"/>
          <w:sz w:val="18"/>
          <w:szCs w:val="18"/>
        </w:rPr>
        <w:t xml:space="preserve"> (2009) </w:t>
      </w:r>
      <w:r w:rsidRPr="007B5425">
        <w:rPr>
          <w:rFonts w:ascii="Calibri" w:hAnsi="Calibri" w:cs="Arial-BoldMT"/>
          <w:bCs/>
          <w:i/>
          <w:sz w:val="18"/>
          <w:szCs w:val="18"/>
        </w:rPr>
        <w:t>Council of Europe actions to promote the rights and full inclusion of ageing people with disabilities</w:t>
      </w:r>
      <w:r w:rsidRPr="007B5425">
        <w:rPr>
          <w:rFonts w:ascii="Calibri" w:hAnsi="Calibri" w:cs="Arial-BoldMT"/>
          <w:b/>
          <w:bCs/>
          <w:sz w:val="18"/>
          <w:szCs w:val="18"/>
        </w:rPr>
        <w:t xml:space="preserve">, </w:t>
      </w:r>
      <w:proofErr w:type="spellStart"/>
      <w:r w:rsidRPr="007B5425">
        <w:rPr>
          <w:rFonts w:ascii="Calibri" w:hAnsi="Calibri" w:cs="ArialMT"/>
          <w:sz w:val="18"/>
          <w:szCs w:val="18"/>
        </w:rPr>
        <w:t>Int</w:t>
      </w:r>
      <w:proofErr w:type="spellEnd"/>
      <w:r w:rsidRPr="007B5425">
        <w:rPr>
          <w:rFonts w:ascii="Calibri" w:hAnsi="Calibri" w:cs="ArialMT"/>
          <w:sz w:val="18"/>
          <w:szCs w:val="18"/>
        </w:rPr>
        <w:t xml:space="preserve"> J </w:t>
      </w:r>
      <w:proofErr w:type="spellStart"/>
      <w:r w:rsidRPr="007B5425">
        <w:rPr>
          <w:rFonts w:ascii="Calibri" w:hAnsi="Calibri" w:cs="ArialMT"/>
          <w:sz w:val="18"/>
          <w:szCs w:val="18"/>
        </w:rPr>
        <w:t>Integr</w:t>
      </w:r>
      <w:proofErr w:type="spellEnd"/>
      <w:r w:rsidRPr="007B5425">
        <w:rPr>
          <w:rFonts w:ascii="Calibri" w:hAnsi="Calibri" w:cs="ArialMT"/>
          <w:sz w:val="18"/>
          <w:szCs w:val="18"/>
        </w:rPr>
        <w:t xml:space="preserve"> Care. 2009 Apr-Jun; 9(</w:t>
      </w:r>
      <w:proofErr w:type="spellStart"/>
      <w:r w:rsidRPr="007B5425">
        <w:rPr>
          <w:rFonts w:ascii="Calibri" w:hAnsi="Calibri" w:cs="ArialMT"/>
          <w:sz w:val="18"/>
          <w:szCs w:val="18"/>
        </w:rPr>
        <w:t>Suppl</w:t>
      </w:r>
      <w:proofErr w:type="spellEnd"/>
      <w:r w:rsidRPr="007B5425">
        <w:rPr>
          <w:rFonts w:ascii="Calibri" w:hAnsi="Calibri" w:cs="ArialMT"/>
          <w:sz w:val="18"/>
          <w:szCs w:val="18"/>
        </w:rPr>
        <w:t>): e24.</w:t>
      </w:r>
    </w:p>
  </w:footnote>
  <w:footnote w:id="2">
    <w:p w14:paraId="516F4831" w14:textId="77777777" w:rsidR="00B15CF3" w:rsidRPr="007B5425" w:rsidRDefault="00B15CF3" w:rsidP="007B5425">
      <w:pPr>
        <w:pStyle w:val="FootnoteText"/>
        <w:rPr>
          <w:sz w:val="18"/>
          <w:szCs w:val="18"/>
        </w:rPr>
      </w:pPr>
      <w:r w:rsidRPr="007B5425">
        <w:rPr>
          <w:rStyle w:val="FootnoteReference"/>
          <w:sz w:val="18"/>
          <w:szCs w:val="18"/>
        </w:rPr>
        <w:footnoteRef/>
      </w:r>
      <w:r w:rsidRPr="007B5425">
        <w:rPr>
          <w:sz w:val="18"/>
          <w:szCs w:val="18"/>
        </w:rPr>
        <w:t xml:space="preserve"> </w:t>
      </w:r>
      <w:r w:rsidRPr="007B5425">
        <w:rPr>
          <w:rFonts w:cs="Arial"/>
          <w:sz w:val="18"/>
          <w:szCs w:val="18"/>
          <w:shd w:val="clear" w:color="auto" w:fill="FFFFFF"/>
        </w:rPr>
        <w:t>United Nations Committee on the Rights of Persons with Disabilities (2013) Position statement concerning the CDDH-AGE</w:t>
      </w:r>
    </w:p>
  </w:footnote>
  <w:footnote w:id="3">
    <w:p w14:paraId="35316913" w14:textId="77777777" w:rsidR="00B15CF3" w:rsidRPr="007B5425" w:rsidRDefault="00B15CF3" w:rsidP="007B5425">
      <w:pPr>
        <w:pStyle w:val="FootnoteText"/>
        <w:rPr>
          <w:sz w:val="18"/>
          <w:szCs w:val="18"/>
        </w:rPr>
      </w:pPr>
      <w:r w:rsidRPr="007B5425">
        <w:rPr>
          <w:rStyle w:val="FootnoteReference"/>
          <w:sz w:val="18"/>
          <w:szCs w:val="18"/>
        </w:rPr>
        <w:footnoteRef/>
      </w:r>
      <w:r w:rsidRPr="007B5425">
        <w:rPr>
          <w:sz w:val="18"/>
          <w:szCs w:val="18"/>
        </w:rPr>
        <w:t xml:space="preserve"> Report of the United Nations High Commissioner for Human Rights (2012) E/2012/51, 20 April 2012. See also  OHCHR (2012) Normative standards in international human rights law in relation to older persons – Analytical Outcome Paper</w:t>
      </w:r>
    </w:p>
  </w:footnote>
  <w:footnote w:id="4">
    <w:p w14:paraId="4398DF9C" w14:textId="77777777" w:rsidR="00B15CF3" w:rsidRPr="007B5425" w:rsidRDefault="00B15CF3" w:rsidP="007B5425">
      <w:pPr>
        <w:pStyle w:val="FootnoteText"/>
        <w:rPr>
          <w:sz w:val="18"/>
          <w:szCs w:val="18"/>
        </w:rPr>
      </w:pPr>
      <w:r w:rsidRPr="007B5425">
        <w:rPr>
          <w:rStyle w:val="FootnoteReference"/>
          <w:sz w:val="18"/>
          <w:szCs w:val="18"/>
        </w:rPr>
        <w:footnoteRef/>
      </w:r>
      <w:r w:rsidRPr="007B5425">
        <w:rPr>
          <w:sz w:val="18"/>
          <w:szCs w:val="18"/>
        </w:rPr>
        <w:t xml:space="preserve"> Independent Expert on the enjoyment of all human rights by older persons  (2015) Autonomy and care of Older Persons, A/HRC/30/43</w:t>
      </w:r>
    </w:p>
  </w:footnote>
  <w:footnote w:id="5">
    <w:p w14:paraId="5AC7381D" w14:textId="77777777" w:rsidR="00B15CF3" w:rsidRPr="007B5425" w:rsidRDefault="00B15CF3" w:rsidP="007B5425">
      <w:pPr>
        <w:pStyle w:val="NormalWeb"/>
        <w:rPr>
          <w:rFonts w:ascii="Calibri" w:hAnsi="Calibri"/>
          <w:sz w:val="18"/>
          <w:szCs w:val="18"/>
        </w:rPr>
      </w:pPr>
      <w:r w:rsidRPr="007B5425">
        <w:rPr>
          <w:rStyle w:val="FootnoteReference"/>
          <w:rFonts w:ascii="Calibri" w:eastAsia="Cambria" w:hAnsi="Calibri"/>
          <w:sz w:val="18"/>
          <w:szCs w:val="18"/>
        </w:rPr>
        <w:footnoteRef/>
      </w:r>
      <w:r w:rsidRPr="007B5425">
        <w:rPr>
          <w:rFonts w:ascii="Calibri" w:hAnsi="Calibri"/>
          <w:sz w:val="18"/>
          <w:szCs w:val="18"/>
        </w:rPr>
        <w:t xml:space="preserve"> UN Secretary General (2011) Follow-up to the Second World Assembly on Ageing, A/66/173, 22 July 2011, §47 </w:t>
      </w:r>
    </w:p>
  </w:footnote>
  <w:footnote w:id="6">
    <w:p w14:paraId="476FD020" w14:textId="77777777" w:rsidR="00D15211" w:rsidRPr="007B5425" w:rsidRDefault="00D15211" w:rsidP="007B5425">
      <w:pPr>
        <w:autoSpaceDE w:val="0"/>
        <w:autoSpaceDN w:val="0"/>
        <w:adjustRightInd w:val="0"/>
        <w:spacing w:after="0" w:line="240" w:lineRule="auto"/>
        <w:rPr>
          <w:rFonts w:ascii="Calibri" w:hAnsi="Calibri"/>
          <w:sz w:val="18"/>
          <w:szCs w:val="18"/>
        </w:rPr>
      </w:pPr>
      <w:r w:rsidRPr="007B5425">
        <w:rPr>
          <w:rStyle w:val="FootnoteReference"/>
          <w:rFonts w:ascii="Calibri" w:hAnsi="Calibri"/>
          <w:sz w:val="18"/>
          <w:szCs w:val="18"/>
        </w:rPr>
        <w:footnoteRef/>
      </w:r>
      <w:r w:rsidRPr="007B5425">
        <w:rPr>
          <w:rFonts w:ascii="Calibri" w:hAnsi="Calibri"/>
          <w:sz w:val="18"/>
          <w:szCs w:val="18"/>
        </w:rPr>
        <w:t xml:space="preserve"> </w:t>
      </w:r>
      <w:r w:rsidRPr="007B5425">
        <w:rPr>
          <w:rFonts w:ascii="Calibri" w:hAnsi="Calibri"/>
          <w:bCs/>
          <w:color w:val="000000"/>
          <w:sz w:val="18"/>
          <w:szCs w:val="18"/>
        </w:rPr>
        <w:t xml:space="preserve">See </w:t>
      </w:r>
      <w:r w:rsidRPr="007B5425">
        <w:rPr>
          <w:rFonts w:ascii="Calibri" w:hAnsi="Calibri"/>
          <w:sz w:val="18"/>
          <w:szCs w:val="18"/>
        </w:rPr>
        <w:t>Committee on Economic, Social and Cultural Rights, general comment No. 20, “Non-discrimination in economic, social and cultural rights” (E/C.12/GC/20, para. 29)</w:t>
      </w:r>
      <w:r w:rsidRPr="007B5425">
        <w:rPr>
          <w:rFonts w:ascii="Calibri" w:hAnsi="Calibri"/>
          <w:bCs/>
          <w:color w:val="000000"/>
          <w:sz w:val="18"/>
          <w:szCs w:val="18"/>
        </w:rPr>
        <w:t xml:space="preserve">, </w:t>
      </w:r>
      <w:r w:rsidRPr="007B5425">
        <w:rPr>
          <w:rFonts w:ascii="Calibri" w:hAnsi="Calibri"/>
          <w:sz w:val="18"/>
          <w:szCs w:val="18"/>
        </w:rPr>
        <w:t xml:space="preserve">Committee on Economic, Social and Cultural Rights, general comment No. 6 “Rights of older persons” </w:t>
      </w:r>
      <w:r w:rsidRPr="007B5425">
        <w:rPr>
          <w:rFonts w:ascii="Calibri" w:hAnsi="Calibri"/>
          <w:bCs/>
          <w:color w:val="000000"/>
          <w:sz w:val="18"/>
          <w:szCs w:val="18"/>
        </w:rPr>
        <w:t xml:space="preserve">and also </w:t>
      </w:r>
      <w:r w:rsidRPr="007B5425">
        <w:rPr>
          <w:rFonts w:ascii="Calibri" w:hAnsi="Calibri"/>
          <w:sz w:val="18"/>
          <w:szCs w:val="18"/>
        </w:rPr>
        <w:t xml:space="preserve">Human Rights Committee, </w:t>
      </w:r>
      <w:r w:rsidRPr="007B5425">
        <w:rPr>
          <w:rFonts w:ascii="Calibri" w:hAnsi="Calibri"/>
          <w:i/>
          <w:iCs/>
          <w:sz w:val="18"/>
          <w:szCs w:val="18"/>
        </w:rPr>
        <w:t>Love et al. v. Australia</w:t>
      </w:r>
      <w:r w:rsidRPr="007B5425">
        <w:rPr>
          <w:rFonts w:ascii="Calibri" w:hAnsi="Calibri"/>
          <w:sz w:val="18"/>
          <w:szCs w:val="18"/>
        </w:rPr>
        <w:t xml:space="preserve">, Communication No. 983/2001, </w:t>
      </w:r>
      <w:proofErr w:type="spellStart"/>
      <w:r w:rsidRPr="007B5425">
        <w:rPr>
          <w:rFonts w:ascii="Calibri" w:hAnsi="Calibri"/>
          <w:i/>
          <w:iCs/>
          <w:sz w:val="18"/>
          <w:szCs w:val="18"/>
        </w:rPr>
        <w:t>Schmitzde</w:t>
      </w:r>
      <w:proofErr w:type="spellEnd"/>
      <w:r w:rsidRPr="007B5425">
        <w:rPr>
          <w:rFonts w:ascii="Calibri" w:hAnsi="Calibri"/>
          <w:i/>
          <w:iCs/>
          <w:sz w:val="18"/>
          <w:szCs w:val="18"/>
        </w:rPr>
        <w:t>-Jong v. The Netherlands</w:t>
      </w:r>
      <w:r w:rsidRPr="007B5425">
        <w:rPr>
          <w:rFonts w:ascii="Calibri" w:hAnsi="Calibri"/>
          <w:sz w:val="18"/>
          <w:szCs w:val="18"/>
        </w:rPr>
        <w:t xml:space="preserve">, Communication No. 855/1999, </w:t>
      </w:r>
      <w:proofErr w:type="spellStart"/>
      <w:r w:rsidRPr="007B5425">
        <w:rPr>
          <w:rFonts w:ascii="Calibri" w:hAnsi="Calibri"/>
          <w:i/>
          <w:iCs/>
          <w:sz w:val="18"/>
          <w:szCs w:val="18"/>
        </w:rPr>
        <w:t>Solís</w:t>
      </w:r>
      <w:proofErr w:type="spellEnd"/>
      <w:r w:rsidRPr="007B5425">
        <w:rPr>
          <w:rFonts w:ascii="Calibri" w:hAnsi="Calibri"/>
          <w:i/>
          <w:iCs/>
          <w:sz w:val="18"/>
          <w:szCs w:val="18"/>
        </w:rPr>
        <w:t xml:space="preserve"> v. Peru</w:t>
      </w:r>
      <w:r w:rsidRPr="007B5425">
        <w:rPr>
          <w:rFonts w:ascii="Calibri" w:hAnsi="Calibri"/>
          <w:sz w:val="18"/>
          <w:szCs w:val="18"/>
        </w:rPr>
        <w:t>, Communication</w:t>
      </w:r>
      <w:r w:rsidRPr="007B5425">
        <w:rPr>
          <w:rFonts w:ascii="Calibri" w:hAnsi="Calibri"/>
          <w:i/>
          <w:iCs/>
          <w:sz w:val="18"/>
          <w:szCs w:val="18"/>
        </w:rPr>
        <w:t xml:space="preserve"> </w:t>
      </w:r>
      <w:r w:rsidRPr="007B5425">
        <w:rPr>
          <w:rFonts w:ascii="Calibri" w:hAnsi="Calibri"/>
          <w:sz w:val="18"/>
          <w:szCs w:val="18"/>
        </w:rPr>
        <w:t xml:space="preserve">No. 1016/2001 and </w:t>
      </w:r>
      <w:proofErr w:type="spellStart"/>
      <w:r w:rsidRPr="007B5425">
        <w:rPr>
          <w:rFonts w:ascii="Calibri" w:hAnsi="Calibri"/>
          <w:i/>
          <w:iCs/>
          <w:sz w:val="18"/>
          <w:szCs w:val="18"/>
        </w:rPr>
        <w:t>Althammer</w:t>
      </w:r>
      <w:proofErr w:type="spellEnd"/>
      <w:r w:rsidRPr="007B5425">
        <w:rPr>
          <w:rFonts w:ascii="Calibri" w:hAnsi="Calibri"/>
          <w:i/>
          <w:iCs/>
          <w:sz w:val="18"/>
          <w:szCs w:val="18"/>
        </w:rPr>
        <w:t xml:space="preserve"> et al. v. Austria</w:t>
      </w:r>
      <w:r w:rsidRPr="007B5425">
        <w:rPr>
          <w:rFonts w:ascii="Calibri" w:hAnsi="Calibri"/>
          <w:sz w:val="18"/>
          <w:szCs w:val="18"/>
        </w:rPr>
        <w:t>, Communication No. 998/2001</w:t>
      </w:r>
    </w:p>
  </w:footnote>
  <w:footnote w:id="7">
    <w:p w14:paraId="0AFEA809" w14:textId="380C1AFA" w:rsidR="00985CB0" w:rsidRDefault="00985CB0">
      <w:pPr>
        <w:pStyle w:val="FootnoteText"/>
      </w:pPr>
      <w:r>
        <w:rPr>
          <w:rStyle w:val="FootnoteReference"/>
        </w:rPr>
        <w:footnoteRef/>
      </w:r>
      <w:r>
        <w:t xml:space="preserve"> </w:t>
      </w:r>
      <w:hyperlink r:id="rId1" w:history="1">
        <w:r w:rsidRPr="003B478B">
          <w:rPr>
            <w:rStyle w:val="Hyperlink"/>
          </w:rPr>
          <w:t>http://www.helpage.org/newsroom/latest-news/less-than-1-of-humanitarian-financing-targets-older-people-and-people-with-disabilities/</w:t>
        </w:r>
      </w:hyperlink>
      <w:r>
        <w:t xml:space="preserve">  and </w:t>
      </w:r>
      <w:hyperlink r:id="rId2" w:history="1">
        <w:r w:rsidRPr="003B478B">
          <w:rPr>
            <w:rStyle w:val="Hyperlink"/>
          </w:rPr>
          <w:t>http://www.helpage.org/what-we-do/emergencies/older-people-in-emergencies/</w:t>
        </w:r>
      </w:hyperlink>
      <w:r>
        <w:t xml:space="preserve"> </w:t>
      </w:r>
    </w:p>
  </w:footnote>
  <w:footnote w:id="8">
    <w:p w14:paraId="0420E0BC" w14:textId="77777777" w:rsidR="00985CB0" w:rsidRPr="007B5425" w:rsidRDefault="00985CB0" w:rsidP="00985CB0">
      <w:pPr>
        <w:pStyle w:val="FootnoteText"/>
        <w:rPr>
          <w:sz w:val="18"/>
          <w:szCs w:val="18"/>
        </w:rPr>
      </w:pPr>
      <w:r w:rsidRPr="007B5425">
        <w:rPr>
          <w:rStyle w:val="FootnoteReference"/>
          <w:sz w:val="18"/>
          <w:szCs w:val="18"/>
        </w:rPr>
        <w:footnoteRef/>
      </w:r>
      <w:r w:rsidRPr="007B5425">
        <w:rPr>
          <w:sz w:val="18"/>
          <w:szCs w:val="18"/>
        </w:rPr>
        <w:t xml:space="preserve"> </w:t>
      </w:r>
      <w:proofErr w:type="spellStart"/>
      <w:r w:rsidRPr="007B5425">
        <w:rPr>
          <w:sz w:val="18"/>
          <w:szCs w:val="18"/>
        </w:rPr>
        <w:t>Scheil-Adlung</w:t>
      </w:r>
      <w:proofErr w:type="spellEnd"/>
      <w:r w:rsidRPr="007B5425">
        <w:rPr>
          <w:sz w:val="18"/>
          <w:szCs w:val="18"/>
        </w:rPr>
        <w:t xml:space="preserve">, X: LTC protection for older persons: A review of coverage deficits in 46 countries. International Labour Organisation, Geneva 2015 cited in ENNHRI submission to UN OEWG: </w:t>
      </w:r>
      <w:hyperlink r:id="rId3" w:history="1">
        <w:r w:rsidRPr="007B5425">
          <w:rPr>
            <w:rStyle w:val="Hyperlink"/>
            <w:sz w:val="18"/>
            <w:szCs w:val="18"/>
          </w:rPr>
          <w:t>https://social.un.org/ageing-working-group/documents/eighth/Inputs%20NHRIs/EuropeanNetworkofNationalHumanRightsInstitutions-1.pdf</w:t>
        </w:r>
      </w:hyperlink>
      <w:r w:rsidRPr="007B5425">
        <w:rPr>
          <w:sz w:val="18"/>
          <w:szCs w:val="18"/>
        </w:rPr>
        <w:t xml:space="preserve"> </w:t>
      </w:r>
    </w:p>
  </w:footnote>
  <w:footnote w:id="9">
    <w:p w14:paraId="259A84E3" w14:textId="77777777" w:rsidR="00985CB0" w:rsidRPr="007B5425" w:rsidRDefault="00985CB0" w:rsidP="00985CB0">
      <w:pPr>
        <w:pStyle w:val="FootnoteText"/>
        <w:rPr>
          <w:sz w:val="18"/>
          <w:szCs w:val="18"/>
        </w:rPr>
      </w:pPr>
      <w:r w:rsidRPr="007B5425">
        <w:rPr>
          <w:rStyle w:val="FootnoteReference"/>
          <w:sz w:val="18"/>
          <w:szCs w:val="18"/>
        </w:rPr>
        <w:footnoteRef/>
      </w:r>
      <w:r w:rsidRPr="007B5425">
        <w:rPr>
          <w:sz w:val="18"/>
          <w:szCs w:val="18"/>
        </w:rPr>
        <w:t xml:space="preserve"> </w:t>
      </w:r>
      <w:hyperlink r:id="rId4" w:history="1">
        <w:r w:rsidRPr="007B5425">
          <w:rPr>
            <w:rStyle w:val="Hyperlink"/>
            <w:sz w:val="18"/>
            <w:szCs w:val="18"/>
          </w:rPr>
          <w:t>http://www.un.org/en/ga/search/view_doc.asp?symbol=A/70/297</w:t>
        </w:r>
      </w:hyperlink>
      <w:r w:rsidRPr="007B5425">
        <w:rPr>
          <w:sz w:val="18"/>
          <w:szCs w:val="18"/>
        </w:rPr>
        <w:t xml:space="preserve"> </w:t>
      </w:r>
    </w:p>
  </w:footnote>
  <w:footnote w:id="10">
    <w:p w14:paraId="33E8B47C" w14:textId="77777777" w:rsidR="00985CB0" w:rsidRDefault="00985CB0" w:rsidP="00985CB0">
      <w:pPr>
        <w:pStyle w:val="FootnoteText"/>
      </w:pPr>
      <w:r w:rsidRPr="007B5425">
        <w:rPr>
          <w:rStyle w:val="FootnoteReference"/>
          <w:sz w:val="18"/>
          <w:szCs w:val="18"/>
        </w:rPr>
        <w:footnoteRef/>
      </w:r>
      <w:r w:rsidRPr="007B5425">
        <w:rPr>
          <w:sz w:val="18"/>
          <w:szCs w:val="18"/>
        </w:rPr>
        <w:t xml:space="preserve"> See paragraph 70 of A/HRC/34/26 available at </w:t>
      </w:r>
      <w:hyperlink r:id="rId5" w:history="1">
        <w:r w:rsidRPr="007B5425">
          <w:rPr>
            <w:rStyle w:val="Hyperlink"/>
            <w:sz w:val="18"/>
            <w:szCs w:val="18"/>
          </w:rPr>
          <w:t>https://documents-dds-ny.un.org/doc/UNDOC/GEN/G16/406/73/PDF/G1640673.pdf?OpenElement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9BA8" w14:textId="77777777" w:rsidR="009C5269" w:rsidRDefault="009C5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C6C89" w14:textId="77777777" w:rsidR="009C5269" w:rsidRDefault="009C5269" w:rsidP="00F719F9">
    <w:pPr>
      <w:pStyle w:val="Header"/>
      <w:ind w:left="21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DE00C" w14:textId="40B15433" w:rsidR="009C5269" w:rsidRPr="00345C1B" w:rsidRDefault="009C5269" w:rsidP="00783070">
    <w:pPr>
      <w:spacing w:after="0"/>
      <w:ind w:left="1843"/>
      <w:rPr>
        <w:rFonts w:eastAsia="Calibri"/>
        <w:b/>
        <w:bCs/>
        <w:noProof/>
        <w:color w:val="006284"/>
        <w:sz w:val="24"/>
        <w:szCs w:val="24"/>
        <w:lang w:val="fr-BE" w:eastAsia="en-GB"/>
      </w:rPr>
    </w:pPr>
    <w:r w:rsidRPr="00345C1B">
      <w:rPr>
        <w:noProof/>
        <w:color w:val="006284"/>
        <w:lang w:eastAsia="en-GB"/>
      </w:rPr>
      <w:drawing>
        <wp:anchor distT="0" distB="0" distL="114300" distR="114300" simplePos="0" relativeHeight="251656192" behindDoc="0" locked="0" layoutInCell="1" allowOverlap="1" wp14:anchorId="5B01E034" wp14:editId="720300FB">
          <wp:simplePos x="0" y="0"/>
          <wp:positionH relativeFrom="column">
            <wp:posOffset>-104140</wp:posOffset>
          </wp:positionH>
          <wp:positionV relativeFrom="paragraph">
            <wp:posOffset>53975</wp:posOffset>
          </wp:positionV>
          <wp:extent cx="1038225" cy="676910"/>
          <wp:effectExtent l="0" t="0" r="9525" b="8890"/>
          <wp:wrapSquare wrapText="bothSides"/>
          <wp:docPr id="1" name="Picture 1" descr="AGE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676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78499212" wp14:editId="3975A42A">
          <wp:simplePos x="0" y="0"/>
          <wp:positionH relativeFrom="column">
            <wp:posOffset>5545455</wp:posOffset>
          </wp:positionH>
          <wp:positionV relativeFrom="paragraph">
            <wp:posOffset>-97790</wp:posOffset>
          </wp:positionV>
          <wp:extent cx="600075" cy="542925"/>
          <wp:effectExtent l="0" t="0" r="9525" b="9525"/>
          <wp:wrapSquare wrapText="bothSides"/>
          <wp:docPr id="2" name="Picture 2" descr="C:\Users\annem\AppData\Local\Microsoft\Windows\Temporary Internet Files\Content.Word\Sans tit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nnem\AppData\Local\Microsoft\Windows\Temporary Internet Files\Content.Word\Sans titre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C1B">
      <w:rPr>
        <w:rFonts w:eastAsiaTheme="minorEastAsia"/>
        <w:b/>
        <w:bCs/>
        <w:noProof/>
        <w:color w:val="006284"/>
        <w:sz w:val="24"/>
        <w:szCs w:val="24"/>
        <w:lang w:val="fr-BE" w:eastAsia="en-GB"/>
      </w:rPr>
      <w:t>AGE Platform Europe</w:t>
    </w:r>
  </w:p>
  <w:p w14:paraId="4F79231F" w14:textId="77777777" w:rsidR="009C5269" w:rsidRPr="00345C1B" w:rsidRDefault="009C5269" w:rsidP="00783070">
    <w:pPr>
      <w:spacing w:after="0"/>
      <w:ind w:left="1843"/>
      <w:rPr>
        <w:rFonts w:ascii="Arial" w:eastAsiaTheme="minorEastAsia" w:hAnsi="Arial" w:cs="Arial"/>
        <w:noProof/>
        <w:color w:val="006284"/>
        <w:sz w:val="16"/>
        <w:szCs w:val="16"/>
        <w:lang w:val="fr-BE" w:eastAsia="en-GB"/>
      </w:rPr>
    </w:pPr>
    <w:r w:rsidRPr="00345C1B">
      <w:rPr>
        <w:rFonts w:ascii="Arial" w:eastAsiaTheme="minorEastAsia" w:hAnsi="Arial" w:cs="Arial"/>
        <w:noProof/>
        <w:color w:val="006284"/>
        <w:sz w:val="16"/>
        <w:szCs w:val="16"/>
        <w:lang w:val="fr-BE" w:eastAsia="en-GB"/>
      </w:rPr>
      <w:t>168 avenue de Tervueren, box 2, B-1150 Brussels</w:t>
    </w:r>
  </w:p>
  <w:p w14:paraId="75453247" w14:textId="77777777" w:rsidR="009C5269" w:rsidRPr="00345C1B" w:rsidRDefault="009C5269" w:rsidP="00783070">
    <w:pPr>
      <w:spacing w:after="0"/>
      <w:ind w:left="1843"/>
      <w:rPr>
        <w:rFonts w:ascii="Arial" w:eastAsiaTheme="minorEastAsia" w:hAnsi="Arial" w:cs="Arial"/>
        <w:noProof/>
        <w:color w:val="006284"/>
        <w:sz w:val="16"/>
        <w:szCs w:val="16"/>
        <w:lang w:eastAsia="en-GB"/>
      </w:rPr>
    </w:pPr>
    <w:r w:rsidRPr="00345C1B">
      <w:rPr>
        <w:rFonts w:ascii="Arial" w:eastAsiaTheme="minorEastAsia" w:hAnsi="Arial" w:cs="Arial"/>
        <w:noProof/>
        <w:color w:val="006284"/>
        <w:sz w:val="16"/>
        <w:szCs w:val="16"/>
        <w:lang w:eastAsia="en-GB"/>
      </w:rPr>
      <w:t>Tel: +32 2 280 14 70 </w:t>
    </w:r>
  </w:p>
  <w:p w14:paraId="7AA6BBB6" w14:textId="77777777" w:rsidR="009C5269" w:rsidRPr="00345C1B" w:rsidRDefault="00D01231" w:rsidP="00783070">
    <w:pPr>
      <w:pStyle w:val="Header"/>
      <w:ind w:left="1843"/>
      <w:rPr>
        <w:rStyle w:val="Hyperlink"/>
        <w:rFonts w:ascii="Arial" w:eastAsiaTheme="minorEastAsia" w:hAnsi="Arial" w:cs="Arial"/>
        <w:noProof/>
        <w:color w:val="006284"/>
        <w:sz w:val="16"/>
        <w:szCs w:val="16"/>
        <w:lang w:eastAsia="en-GB"/>
      </w:rPr>
    </w:pPr>
    <w:hyperlink r:id="rId3" w:history="1">
      <w:r w:rsidR="009C5269" w:rsidRPr="00345C1B">
        <w:rPr>
          <w:rStyle w:val="Hyperlink"/>
          <w:rFonts w:ascii="Arial" w:eastAsiaTheme="minorEastAsia" w:hAnsi="Arial" w:cs="Arial"/>
          <w:noProof/>
          <w:color w:val="006284"/>
          <w:sz w:val="16"/>
          <w:szCs w:val="16"/>
          <w:lang w:eastAsia="en-GB"/>
        </w:rPr>
        <w:t>www.age-platform.eu</w:t>
      </w:r>
    </w:hyperlink>
  </w:p>
  <w:p w14:paraId="697C20F0" w14:textId="77777777" w:rsidR="009C5269" w:rsidRDefault="009C52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32E8"/>
    <w:multiLevelType w:val="hybridMultilevel"/>
    <w:tmpl w:val="577A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331AA"/>
    <w:multiLevelType w:val="hybridMultilevel"/>
    <w:tmpl w:val="D324C8CC"/>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CCD1F94"/>
    <w:multiLevelType w:val="hybridMultilevel"/>
    <w:tmpl w:val="6AF82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4D82787"/>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FC43AC"/>
    <w:multiLevelType w:val="hybridMultilevel"/>
    <w:tmpl w:val="FF9E0730"/>
    <w:lvl w:ilvl="0" w:tplc="456A5DF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87E1B62"/>
    <w:multiLevelType w:val="hybridMultilevel"/>
    <w:tmpl w:val="0820FF76"/>
    <w:lvl w:ilvl="0" w:tplc="AD041E6A">
      <w:start w:val="3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3612DD6"/>
    <w:multiLevelType w:val="hybridMultilevel"/>
    <w:tmpl w:val="5B5A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DC4EFC"/>
    <w:multiLevelType w:val="hybridMultilevel"/>
    <w:tmpl w:val="F044F8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91E17BE"/>
    <w:multiLevelType w:val="hybridMultilevel"/>
    <w:tmpl w:val="1FAE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232D2F"/>
    <w:multiLevelType w:val="hybridMultilevel"/>
    <w:tmpl w:val="3946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1A28D3"/>
    <w:multiLevelType w:val="hybridMultilevel"/>
    <w:tmpl w:val="76B0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3558CB"/>
    <w:multiLevelType w:val="hybridMultilevel"/>
    <w:tmpl w:val="CE809B8A"/>
    <w:lvl w:ilvl="0" w:tplc="17F0B79E">
      <w:start w:val="11"/>
      <w:numFmt w:val="bullet"/>
      <w:lvlText w:val="-"/>
      <w:lvlJc w:val="left"/>
      <w:pPr>
        <w:ind w:left="408" w:hanging="360"/>
      </w:pPr>
      <w:rPr>
        <w:rFonts w:ascii="Calibri" w:eastAsiaTheme="minorHAnsi" w:hAnsi="Calibri" w:cs="Calibri"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3">
    <w:nsid w:val="71C56CD5"/>
    <w:multiLevelType w:val="hybridMultilevel"/>
    <w:tmpl w:val="FF9E0730"/>
    <w:lvl w:ilvl="0" w:tplc="456A5DF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797C6090"/>
    <w:multiLevelType w:val="hybridMultilevel"/>
    <w:tmpl w:val="5936E3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7A3765F6"/>
    <w:multiLevelType w:val="hybridMultilevel"/>
    <w:tmpl w:val="A3AC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5"/>
  </w:num>
  <w:num w:numId="5">
    <w:abstractNumId w:val="13"/>
  </w:num>
  <w:num w:numId="6">
    <w:abstractNumId w:val="2"/>
  </w:num>
  <w:num w:numId="7">
    <w:abstractNumId w:val="8"/>
  </w:num>
  <w:num w:numId="8">
    <w:abstractNumId w:val="12"/>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0"/>
  </w:num>
  <w:num w:numId="14">
    <w:abstractNumId w:val="7"/>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7D"/>
    <w:rsid w:val="0000412B"/>
    <w:rsid w:val="00006360"/>
    <w:rsid w:val="000231C3"/>
    <w:rsid w:val="00044A73"/>
    <w:rsid w:val="00074AF3"/>
    <w:rsid w:val="00094F15"/>
    <w:rsid w:val="000A7C16"/>
    <w:rsid w:val="000B39F2"/>
    <w:rsid w:val="000C52E2"/>
    <w:rsid w:val="000D798C"/>
    <w:rsid w:val="000F035E"/>
    <w:rsid w:val="000F5719"/>
    <w:rsid w:val="00115A8B"/>
    <w:rsid w:val="001167B8"/>
    <w:rsid w:val="001259E8"/>
    <w:rsid w:val="00150F4F"/>
    <w:rsid w:val="00171829"/>
    <w:rsid w:val="00190E3E"/>
    <w:rsid w:val="001919A9"/>
    <w:rsid w:val="0019389E"/>
    <w:rsid w:val="001A2FC2"/>
    <w:rsid w:val="001A5685"/>
    <w:rsid w:val="001C306E"/>
    <w:rsid w:val="001D274E"/>
    <w:rsid w:val="001E1325"/>
    <w:rsid w:val="001E33BB"/>
    <w:rsid w:val="001E4BC1"/>
    <w:rsid w:val="001E6039"/>
    <w:rsid w:val="00211DF6"/>
    <w:rsid w:val="002135A2"/>
    <w:rsid w:val="00214C3F"/>
    <w:rsid w:val="00233DD9"/>
    <w:rsid w:val="00233FB7"/>
    <w:rsid w:val="00243882"/>
    <w:rsid w:val="00244CE9"/>
    <w:rsid w:val="002452C4"/>
    <w:rsid w:val="0025371C"/>
    <w:rsid w:val="00264A39"/>
    <w:rsid w:val="00292585"/>
    <w:rsid w:val="002A09D1"/>
    <w:rsid w:val="002A3469"/>
    <w:rsid w:val="002A3E37"/>
    <w:rsid w:val="002C2A06"/>
    <w:rsid w:val="002D64BA"/>
    <w:rsid w:val="002E2615"/>
    <w:rsid w:val="002E31E6"/>
    <w:rsid w:val="002E6325"/>
    <w:rsid w:val="00306E0F"/>
    <w:rsid w:val="00337DD1"/>
    <w:rsid w:val="00345C1B"/>
    <w:rsid w:val="00361BC9"/>
    <w:rsid w:val="00371418"/>
    <w:rsid w:val="0037467B"/>
    <w:rsid w:val="003964D5"/>
    <w:rsid w:val="003A71D4"/>
    <w:rsid w:val="003C457D"/>
    <w:rsid w:val="003F5F39"/>
    <w:rsid w:val="00401C32"/>
    <w:rsid w:val="00410145"/>
    <w:rsid w:val="00410D0C"/>
    <w:rsid w:val="00426E4C"/>
    <w:rsid w:val="00442755"/>
    <w:rsid w:val="00445EF5"/>
    <w:rsid w:val="00456BD0"/>
    <w:rsid w:val="00462D6B"/>
    <w:rsid w:val="004678AF"/>
    <w:rsid w:val="00490BCD"/>
    <w:rsid w:val="004A25CB"/>
    <w:rsid w:val="004A3F2E"/>
    <w:rsid w:val="004B06AB"/>
    <w:rsid w:val="004C2A1B"/>
    <w:rsid w:val="004E14F6"/>
    <w:rsid w:val="004F1C42"/>
    <w:rsid w:val="00523F79"/>
    <w:rsid w:val="00544CE1"/>
    <w:rsid w:val="005514CA"/>
    <w:rsid w:val="0055509C"/>
    <w:rsid w:val="00577CBB"/>
    <w:rsid w:val="005835FC"/>
    <w:rsid w:val="00587828"/>
    <w:rsid w:val="00596409"/>
    <w:rsid w:val="005C4282"/>
    <w:rsid w:val="005E0997"/>
    <w:rsid w:val="005E7879"/>
    <w:rsid w:val="006128C8"/>
    <w:rsid w:val="006154EF"/>
    <w:rsid w:val="00620F80"/>
    <w:rsid w:val="006319D5"/>
    <w:rsid w:val="006364E7"/>
    <w:rsid w:val="0064129D"/>
    <w:rsid w:val="00644724"/>
    <w:rsid w:val="006502E6"/>
    <w:rsid w:val="00652B0F"/>
    <w:rsid w:val="00664C5C"/>
    <w:rsid w:val="00687ED9"/>
    <w:rsid w:val="006913B9"/>
    <w:rsid w:val="00695CE7"/>
    <w:rsid w:val="006B6BC7"/>
    <w:rsid w:val="006C62A7"/>
    <w:rsid w:val="006F4FF0"/>
    <w:rsid w:val="006F6BF3"/>
    <w:rsid w:val="00701D97"/>
    <w:rsid w:val="007176FC"/>
    <w:rsid w:val="007275E0"/>
    <w:rsid w:val="007303B7"/>
    <w:rsid w:val="007338B7"/>
    <w:rsid w:val="007430B2"/>
    <w:rsid w:val="00746044"/>
    <w:rsid w:val="007475B8"/>
    <w:rsid w:val="007627D8"/>
    <w:rsid w:val="00773418"/>
    <w:rsid w:val="007766E6"/>
    <w:rsid w:val="00777BE7"/>
    <w:rsid w:val="00783070"/>
    <w:rsid w:val="00784458"/>
    <w:rsid w:val="007867F6"/>
    <w:rsid w:val="00793DD4"/>
    <w:rsid w:val="007B5425"/>
    <w:rsid w:val="007D35D4"/>
    <w:rsid w:val="007F3D1A"/>
    <w:rsid w:val="008055A5"/>
    <w:rsid w:val="008056C5"/>
    <w:rsid w:val="00807CE3"/>
    <w:rsid w:val="0081692A"/>
    <w:rsid w:val="00834CB7"/>
    <w:rsid w:val="00834FD0"/>
    <w:rsid w:val="00835781"/>
    <w:rsid w:val="0083667D"/>
    <w:rsid w:val="00836DBE"/>
    <w:rsid w:val="00840926"/>
    <w:rsid w:val="00842B31"/>
    <w:rsid w:val="00846C66"/>
    <w:rsid w:val="008568D3"/>
    <w:rsid w:val="008810ED"/>
    <w:rsid w:val="008C2105"/>
    <w:rsid w:val="008D45B0"/>
    <w:rsid w:val="008E0BE8"/>
    <w:rsid w:val="008F4979"/>
    <w:rsid w:val="0091200A"/>
    <w:rsid w:val="00945128"/>
    <w:rsid w:val="009460B2"/>
    <w:rsid w:val="009507B8"/>
    <w:rsid w:val="00951E06"/>
    <w:rsid w:val="0095675E"/>
    <w:rsid w:val="00964D21"/>
    <w:rsid w:val="00972A57"/>
    <w:rsid w:val="00973850"/>
    <w:rsid w:val="00980188"/>
    <w:rsid w:val="00983582"/>
    <w:rsid w:val="00985CB0"/>
    <w:rsid w:val="00986722"/>
    <w:rsid w:val="00986CA0"/>
    <w:rsid w:val="009A0AA3"/>
    <w:rsid w:val="009C2D6F"/>
    <w:rsid w:val="009C5269"/>
    <w:rsid w:val="009F125B"/>
    <w:rsid w:val="009F5093"/>
    <w:rsid w:val="009F5B06"/>
    <w:rsid w:val="00A25A1E"/>
    <w:rsid w:val="00A3008B"/>
    <w:rsid w:val="00A320C4"/>
    <w:rsid w:val="00A320C7"/>
    <w:rsid w:val="00A40D7A"/>
    <w:rsid w:val="00A4306C"/>
    <w:rsid w:val="00A73F1E"/>
    <w:rsid w:val="00A82A9A"/>
    <w:rsid w:val="00AA0A77"/>
    <w:rsid w:val="00AD629C"/>
    <w:rsid w:val="00AD7320"/>
    <w:rsid w:val="00AE46E0"/>
    <w:rsid w:val="00AF12EA"/>
    <w:rsid w:val="00B00474"/>
    <w:rsid w:val="00B00BE3"/>
    <w:rsid w:val="00B06485"/>
    <w:rsid w:val="00B13AA4"/>
    <w:rsid w:val="00B15CF3"/>
    <w:rsid w:val="00B25816"/>
    <w:rsid w:val="00B55886"/>
    <w:rsid w:val="00B85F7A"/>
    <w:rsid w:val="00B96DCC"/>
    <w:rsid w:val="00BB05E9"/>
    <w:rsid w:val="00BB1023"/>
    <w:rsid w:val="00BE0278"/>
    <w:rsid w:val="00BE3104"/>
    <w:rsid w:val="00C0419D"/>
    <w:rsid w:val="00C04830"/>
    <w:rsid w:val="00C06BE1"/>
    <w:rsid w:val="00C209C2"/>
    <w:rsid w:val="00C33CD5"/>
    <w:rsid w:val="00C45E8A"/>
    <w:rsid w:val="00C55D98"/>
    <w:rsid w:val="00C631D2"/>
    <w:rsid w:val="00C666A5"/>
    <w:rsid w:val="00C67CA0"/>
    <w:rsid w:val="00C84D8D"/>
    <w:rsid w:val="00CA0588"/>
    <w:rsid w:val="00CB34D0"/>
    <w:rsid w:val="00CD0A68"/>
    <w:rsid w:val="00CF6C88"/>
    <w:rsid w:val="00D01231"/>
    <w:rsid w:val="00D06899"/>
    <w:rsid w:val="00D06FA5"/>
    <w:rsid w:val="00D07F6E"/>
    <w:rsid w:val="00D15211"/>
    <w:rsid w:val="00D160A3"/>
    <w:rsid w:val="00D21B34"/>
    <w:rsid w:val="00D34785"/>
    <w:rsid w:val="00D77C49"/>
    <w:rsid w:val="00D87434"/>
    <w:rsid w:val="00D959F0"/>
    <w:rsid w:val="00DA0392"/>
    <w:rsid w:val="00DD1044"/>
    <w:rsid w:val="00DF297E"/>
    <w:rsid w:val="00DF55F5"/>
    <w:rsid w:val="00DF70BD"/>
    <w:rsid w:val="00E00278"/>
    <w:rsid w:val="00E10258"/>
    <w:rsid w:val="00E168E2"/>
    <w:rsid w:val="00E2258D"/>
    <w:rsid w:val="00E24A24"/>
    <w:rsid w:val="00E45B1A"/>
    <w:rsid w:val="00E47070"/>
    <w:rsid w:val="00E7270A"/>
    <w:rsid w:val="00E826D4"/>
    <w:rsid w:val="00EA2527"/>
    <w:rsid w:val="00EB5630"/>
    <w:rsid w:val="00EE1C4F"/>
    <w:rsid w:val="00EF1DAC"/>
    <w:rsid w:val="00F05DBE"/>
    <w:rsid w:val="00F17BB6"/>
    <w:rsid w:val="00F23EC1"/>
    <w:rsid w:val="00F433C2"/>
    <w:rsid w:val="00F448A5"/>
    <w:rsid w:val="00F53A53"/>
    <w:rsid w:val="00F641B4"/>
    <w:rsid w:val="00F719F9"/>
    <w:rsid w:val="00F7392A"/>
    <w:rsid w:val="00F76470"/>
    <w:rsid w:val="00FA3589"/>
    <w:rsid w:val="00FA3E02"/>
    <w:rsid w:val="00FF59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F6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70"/>
  </w:style>
  <w:style w:type="paragraph" w:styleId="Heading1">
    <w:name w:val="heading 1"/>
    <w:basedOn w:val="Normal"/>
    <w:next w:val="Normal"/>
    <w:link w:val="Heading1Char"/>
    <w:uiPriority w:val="9"/>
    <w:qFormat/>
    <w:rsid w:val="00B15CF3"/>
    <w:pPr>
      <w:keepNext/>
      <w:keepLines/>
      <w:spacing w:before="400" w:after="100" w:line="240" w:lineRule="auto"/>
      <w:outlineLvl w:val="0"/>
    </w:pPr>
    <w:rPr>
      <w:rFonts w:ascii="Arial" w:eastAsia="Times New Roman" w:hAnsi="Arial" w:cs="Times New Roman"/>
      <w:b/>
      <w:bCs/>
      <w:color w:val="006284"/>
      <w:sz w:val="32"/>
      <w:szCs w:val="32"/>
      <w:lang w:val="x-none" w:eastAsia="x-none"/>
    </w:rPr>
  </w:style>
  <w:style w:type="paragraph" w:styleId="Heading3">
    <w:name w:val="heading 3"/>
    <w:basedOn w:val="Normal"/>
    <w:next w:val="Normal"/>
    <w:link w:val="Heading3Char"/>
    <w:uiPriority w:val="9"/>
    <w:unhideWhenUsed/>
    <w:qFormat/>
    <w:rsid w:val="004F1C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3667D"/>
    <w:pPr>
      <w:ind w:left="720"/>
      <w:contextualSpacing/>
    </w:pPr>
  </w:style>
  <w:style w:type="paragraph" w:styleId="BalloonText">
    <w:name w:val="Balloon Text"/>
    <w:basedOn w:val="Normal"/>
    <w:link w:val="BalloonTextChar"/>
    <w:uiPriority w:val="99"/>
    <w:semiHidden/>
    <w:unhideWhenUsed/>
    <w:rsid w:val="00CD0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68"/>
    <w:rPr>
      <w:rFonts w:ascii="Tahoma" w:hAnsi="Tahoma" w:cs="Tahoma"/>
      <w:sz w:val="16"/>
      <w:szCs w:val="16"/>
    </w:rPr>
  </w:style>
  <w:style w:type="character" w:styleId="Hyperlink">
    <w:name w:val="Hyperlink"/>
    <w:basedOn w:val="DefaultParagraphFont"/>
    <w:uiPriority w:val="99"/>
    <w:unhideWhenUsed/>
    <w:rsid w:val="00CD0A68"/>
    <w:rPr>
      <w:color w:val="0000FF"/>
      <w:u w:val="single"/>
    </w:rPr>
  </w:style>
  <w:style w:type="paragraph" w:styleId="Header">
    <w:name w:val="header"/>
    <w:basedOn w:val="Normal"/>
    <w:link w:val="HeaderChar"/>
    <w:uiPriority w:val="99"/>
    <w:unhideWhenUsed/>
    <w:rsid w:val="00CD0A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0A68"/>
  </w:style>
  <w:style w:type="paragraph" w:styleId="Footer">
    <w:name w:val="footer"/>
    <w:basedOn w:val="Normal"/>
    <w:link w:val="FooterChar"/>
    <w:uiPriority w:val="99"/>
    <w:unhideWhenUsed/>
    <w:rsid w:val="00CD0A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0A68"/>
  </w:style>
  <w:style w:type="paragraph" w:styleId="NoSpacing">
    <w:name w:val="No Spacing"/>
    <w:uiPriority w:val="1"/>
    <w:qFormat/>
    <w:rsid w:val="00783070"/>
    <w:pPr>
      <w:spacing w:after="0" w:line="240" w:lineRule="auto"/>
    </w:pPr>
    <w:rPr>
      <w:rFonts w:eastAsiaTheme="minorEastAsia"/>
      <w:lang w:val="en-US" w:eastAsia="ja-JP"/>
    </w:rPr>
  </w:style>
  <w:style w:type="paragraph" w:styleId="FootnoteText">
    <w:name w:val="footnote text"/>
    <w:aliases w:val="footnotes,Footnote Text Char2 Char,Footnote Text Char Char1 Char,Footnote Text Char2 Char Char Char,Footnote Text Char1 Char Char Char Char,Footnote Text Char Char Char Char Char Char,Footnotes,Note de bas de page2,fn,Char,5_G,o, Char"/>
    <w:basedOn w:val="Normal"/>
    <w:link w:val="FootnoteTextChar"/>
    <w:uiPriority w:val="99"/>
    <w:unhideWhenUsed/>
    <w:qFormat/>
    <w:rsid w:val="00783070"/>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ootnotes Char"/>
    <w:basedOn w:val="DefaultParagraphFont"/>
    <w:link w:val="FootnoteText"/>
    <w:uiPriority w:val="99"/>
    <w:qFormat/>
    <w:rsid w:val="00783070"/>
    <w:rPr>
      <w:sz w:val="20"/>
      <w:szCs w:val="20"/>
    </w:rPr>
  </w:style>
  <w:style w:type="character" w:styleId="FootnoteReference">
    <w:name w:val="footnote reference"/>
    <w:aliases w:val="4_G,Footnote Refernece,callout,Footnotes refss,Appel note de bas de p.,Fn Ref,Footnote Reference Superscript,BVI fnr,Footnote Reference Number,Footnote Refernece + (Latein) Arial,10 pt,Blau,Fußnotenzeichen_Raxen,Footnote Refe,FR"/>
    <w:basedOn w:val="DefaultParagraphFont"/>
    <w:uiPriority w:val="99"/>
    <w:unhideWhenUsed/>
    <w:qFormat/>
    <w:rsid w:val="00783070"/>
    <w:rPr>
      <w:vertAlign w:val="superscript"/>
    </w:rPr>
  </w:style>
  <w:style w:type="paragraph" w:customStyle="1" w:styleId="Default">
    <w:name w:val="Default"/>
    <w:rsid w:val="0078307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86CA0"/>
    <w:rPr>
      <w:color w:val="800080" w:themeColor="followedHyperlink"/>
      <w:u w:val="single"/>
    </w:rPr>
  </w:style>
  <w:style w:type="character" w:styleId="CommentReference">
    <w:name w:val="annotation reference"/>
    <w:basedOn w:val="DefaultParagraphFont"/>
    <w:uiPriority w:val="99"/>
    <w:semiHidden/>
    <w:unhideWhenUsed/>
    <w:rsid w:val="00D87434"/>
    <w:rPr>
      <w:sz w:val="16"/>
      <w:szCs w:val="16"/>
    </w:rPr>
  </w:style>
  <w:style w:type="paragraph" w:styleId="CommentText">
    <w:name w:val="annotation text"/>
    <w:basedOn w:val="Normal"/>
    <w:link w:val="CommentTextChar"/>
    <w:uiPriority w:val="99"/>
    <w:semiHidden/>
    <w:unhideWhenUsed/>
    <w:rsid w:val="00D87434"/>
    <w:pPr>
      <w:spacing w:line="240" w:lineRule="auto"/>
    </w:pPr>
    <w:rPr>
      <w:sz w:val="20"/>
      <w:szCs w:val="20"/>
    </w:rPr>
  </w:style>
  <w:style w:type="character" w:customStyle="1" w:styleId="CommentTextChar">
    <w:name w:val="Comment Text Char"/>
    <w:basedOn w:val="DefaultParagraphFont"/>
    <w:link w:val="CommentText"/>
    <w:uiPriority w:val="99"/>
    <w:semiHidden/>
    <w:rsid w:val="00D87434"/>
    <w:rPr>
      <w:sz w:val="20"/>
      <w:szCs w:val="20"/>
    </w:rPr>
  </w:style>
  <w:style w:type="paragraph" w:styleId="CommentSubject">
    <w:name w:val="annotation subject"/>
    <w:basedOn w:val="CommentText"/>
    <w:next w:val="CommentText"/>
    <w:link w:val="CommentSubjectChar"/>
    <w:uiPriority w:val="99"/>
    <w:semiHidden/>
    <w:unhideWhenUsed/>
    <w:rsid w:val="00D87434"/>
    <w:rPr>
      <w:b/>
      <w:bCs/>
    </w:rPr>
  </w:style>
  <w:style w:type="character" w:customStyle="1" w:styleId="CommentSubjectChar">
    <w:name w:val="Comment Subject Char"/>
    <w:basedOn w:val="CommentTextChar"/>
    <w:link w:val="CommentSubject"/>
    <w:uiPriority w:val="99"/>
    <w:semiHidden/>
    <w:rsid w:val="00D87434"/>
    <w:rPr>
      <w:b/>
      <w:bCs/>
      <w:sz w:val="20"/>
      <w:szCs w:val="20"/>
    </w:rPr>
  </w:style>
  <w:style w:type="paragraph" w:styleId="Revision">
    <w:name w:val="Revision"/>
    <w:hidden/>
    <w:uiPriority w:val="99"/>
    <w:semiHidden/>
    <w:rsid w:val="009C5269"/>
    <w:pPr>
      <w:spacing w:after="0" w:line="240" w:lineRule="auto"/>
    </w:pPr>
  </w:style>
  <w:style w:type="paragraph" w:styleId="Title">
    <w:name w:val="Title"/>
    <w:basedOn w:val="Normal"/>
    <w:next w:val="Normal"/>
    <w:link w:val="TitleChar"/>
    <w:uiPriority w:val="10"/>
    <w:qFormat/>
    <w:rsid w:val="009F1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125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F1C42"/>
    <w:rPr>
      <w:rFonts w:asciiTheme="majorHAnsi" w:eastAsiaTheme="majorEastAsia" w:hAnsiTheme="majorHAnsi" w:cstheme="majorBidi"/>
      <w:b/>
      <w:bCs/>
      <w:color w:val="4F81BD" w:themeColor="accent1"/>
    </w:rPr>
  </w:style>
  <w:style w:type="character" w:customStyle="1" w:styleId="currenthithighlight">
    <w:name w:val="currenthithighlight"/>
    <w:basedOn w:val="DefaultParagraphFont"/>
    <w:rsid w:val="00836DBE"/>
  </w:style>
  <w:style w:type="character" w:customStyle="1" w:styleId="Heading1Char">
    <w:name w:val="Heading 1 Char"/>
    <w:basedOn w:val="DefaultParagraphFont"/>
    <w:link w:val="Heading1"/>
    <w:uiPriority w:val="9"/>
    <w:rsid w:val="00B15CF3"/>
    <w:rPr>
      <w:rFonts w:ascii="Arial" w:eastAsia="Times New Roman" w:hAnsi="Arial" w:cs="Times New Roman"/>
      <w:b/>
      <w:bCs/>
      <w:color w:val="006284"/>
      <w:sz w:val="32"/>
      <w:szCs w:val="32"/>
      <w:lang w:val="x-none" w:eastAsia="x-none"/>
    </w:rPr>
  </w:style>
  <w:style w:type="paragraph" w:styleId="NormalWeb">
    <w:name w:val="Normal (Web)"/>
    <w:basedOn w:val="Normal"/>
    <w:uiPriority w:val="99"/>
    <w:rsid w:val="00B15CF3"/>
    <w:pPr>
      <w:spacing w:after="0" w:line="240" w:lineRule="auto"/>
    </w:pPr>
    <w:rPr>
      <w:rFonts w:ascii="Times New Roman" w:eastAsia="Times New Roman" w:hAnsi="Times New Roman" w:cs="Times New Roman"/>
      <w:sz w:val="24"/>
      <w:szCs w:val="24"/>
      <w:lang w:val="en-US"/>
    </w:rPr>
  </w:style>
  <w:style w:type="paragraph" w:customStyle="1" w:styleId="EndNoteBibliography">
    <w:name w:val="EndNote Bibliography"/>
    <w:basedOn w:val="Normal"/>
    <w:link w:val="EndNoteBibliographyChar"/>
    <w:rsid w:val="00B00BE3"/>
    <w:pPr>
      <w:spacing w:after="0" w:line="240" w:lineRule="auto"/>
      <w:jc w:val="both"/>
    </w:pPr>
    <w:rPr>
      <w:rFonts w:ascii="Times New Roman" w:eastAsia="Times New Roman" w:hAnsi="Times New Roman" w:cs="Times New Roman"/>
      <w:noProof/>
      <w:sz w:val="24"/>
      <w:szCs w:val="24"/>
      <w:lang w:eastAsia="en-GB"/>
    </w:rPr>
  </w:style>
  <w:style w:type="character" w:customStyle="1" w:styleId="EndNoteBibliographyChar">
    <w:name w:val="EndNote Bibliography Char"/>
    <w:link w:val="EndNoteBibliography"/>
    <w:rsid w:val="00B00BE3"/>
    <w:rPr>
      <w:rFonts w:ascii="Times New Roman" w:eastAsia="Times New Roman" w:hAnsi="Times New Roman" w:cs="Times New Roman"/>
      <w:noProof/>
      <w:sz w:val="24"/>
      <w:szCs w:val="24"/>
      <w:lang w:eastAsia="en-GB"/>
    </w:rPr>
  </w:style>
  <w:style w:type="character" w:styleId="Emphasis">
    <w:name w:val="Emphasis"/>
    <w:basedOn w:val="DefaultParagraphFont"/>
    <w:uiPriority w:val="20"/>
    <w:qFormat/>
    <w:rsid w:val="00985C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70"/>
  </w:style>
  <w:style w:type="paragraph" w:styleId="Heading1">
    <w:name w:val="heading 1"/>
    <w:basedOn w:val="Normal"/>
    <w:next w:val="Normal"/>
    <w:link w:val="Heading1Char"/>
    <w:uiPriority w:val="9"/>
    <w:qFormat/>
    <w:rsid w:val="00B15CF3"/>
    <w:pPr>
      <w:keepNext/>
      <w:keepLines/>
      <w:spacing w:before="400" w:after="100" w:line="240" w:lineRule="auto"/>
      <w:outlineLvl w:val="0"/>
    </w:pPr>
    <w:rPr>
      <w:rFonts w:ascii="Arial" w:eastAsia="Times New Roman" w:hAnsi="Arial" w:cs="Times New Roman"/>
      <w:b/>
      <w:bCs/>
      <w:color w:val="006284"/>
      <w:sz w:val="32"/>
      <w:szCs w:val="32"/>
      <w:lang w:val="x-none" w:eastAsia="x-none"/>
    </w:rPr>
  </w:style>
  <w:style w:type="paragraph" w:styleId="Heading3">
    <w:name w:val="heading 3"/>
    <w:basedOn w:val="Normal"/>
    <w:next w:val="Normal"/>
    <w:link w:val="Heading3Char"/>
    <w:uiPriority w:val="9"/>
    <w:unhideWhenUsed/>
    <w:qFormat/>
    <w:rsid w:val="004F1C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3667D"/>
    <w:pPr>
      <w:ind w:left="720"/>
      <w:contextualSpacing/>
    </w:pPr>
  </w:style>
  <w:style w:type="paragraph" w:styleId="BalloonText">
    <w:name w:val="Balloon Text"/>
    <w:basedOn w:val="Normal"/>
    <w:link w:val="BalloonTextChar"/>
    <w:uiPriority w:val="99"/>
    <w:semiHidden/>
    <w:unhideWhenUsed/>
    <w:rsid w:val="00CD0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68"/>
    <w:rPr>
      <w:rFonts w:ascii="Tahoma" w:hAnsi="Tahoma" w:cs="Tahoma"/>
      <w:sz w:val="16"/>
      <w:szCs w:val="16"/>
    </w:rPr>
  </w:style>
  <w:style w:type="character" w:styleId="Hyperlink">
    <w:name w:val="Hyperlink"/>
    <w:basedOn w:val="DefaultParagraphFont"/>
    <w:uiPriority w:val="99"/>
    <w:unhideWhenUsed/>
    <w:rsid w:val="00CD0A68"/>
    <w:rPr>
      <w:color w:val="0000FF"/>
      <w:u w:val="single"/>
    </w:rPr>
  </w:style>
  <w:style w:type="paragraph" w:styleId="Header">
    <w:name w:val="header"/>
    <w:basedOn w:val="Normal"/>
    <w:link w:val="HeaderChar"/>
    <w:uiPriority w:val="99"/>
    <w:unhideWhenUsed/>
    <w:rsid w:val="00CD0A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0A68"/>
  </w:style>
  <w:style w:type="paragraph" w:styleId="Footer">
    <w:name w:val="footer"/>
    <w:basedOn w:val="Normal"/>
    <w:link w:val="FooterChar"/>
    <w:uiPriority w:val="99"/>
    <w:unhideWhenUsed/>
    <w:rsid w:val="00CD0A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0A68"/>
  </w:style>
  <w:style w:type="paragraph" w:styleId="NoSpacing">
    <w:name w:val="No Spacing"/>
    <w:uiPriority w:val="1"/>
    <w:qFormat/>
    <w:rsid w:val="00783070"/>
    <w:pPr>
      <w:spacing w:after="0" w:line="240" w:lineRule="auto"/>
    </w:pPr>
    <w:rPr>
      <w:rFonts w:eastAsiaTheme="minorEastAsia"/>
      <w:lang w:val="en-US" w:eastAsia="ja-JP"/>
    </w:rPr>
  </w:style>
  <w:style w:type="paragraph" w:styleId="FootnoteText">
    <w:name w:val="footnote text"/>
    <w:aliases w:val="footnotes,Footnote Text Char2 Char,Footnote Text Char Char1 Char,Footnote Text Char2 Char Char Char,Footnote Text Char1 Char Char Char Char,Footnote Text Char Char Char Char Char Char,Footnotes,Note de bas de page2,fn,Char,5_G,o, Char"/>
    <w:basedOn w:val="Normal"/>
    <w:link w:val="FootnoteTextChar"/>
    <w:uiPriority w:val="99"/>
    <w:unhideWhenUsed/>
    <w:qFormat/>
    <w:rsid w:val="00783070"/>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ootnotes Char"/>
    <w:basedOn w:val="DefaultParagraphFont"/>
    <w:link w:val="FootnoteText"/>
    <w:uiPriority w:val="99"/>
    <w:qFormat/>
    <w:rsid w:val="00783070"/>
    <w:rPr>
      <w:sz w:val="20"/>
      <w:szCs w:val="20"/>
    </w:rPr>
  </w:style>
  <w:style w:type="character" w:styleId="FootnoteReference">
    <w:name w:val="footnote reference"/>
    <w:aliases w:val="4_G,Footnote Refernece,callout,Footnotes refss,Appel note de bas de p.,Fn Ref,Footnote Reference Superscript,BVI fnr,Footnote Reference Number,Footnote Refernece + (Latein) Arial,10 pt,Blau,Fußnotenzeichen_Raxen,Footnote Refe,FR"/>
    <w:basedOn w:val="DefaultParagraphFont"/>
    <w:uiPriority w:val="99"/>
    <w:unhideWhenUsed/>
    <w:qFormat/>
    <w:rsid w:val="00783070"/>
    <w:rPr>
      <w:vertAlign w:val="superscript"/>
    </w:rPr>
  </w:style>
  <w:style w:type="paragraph" w:customStyle="1" w:styleId="Default">
    <w:name w:val="Default"/>
    <w:rsid w:val="0078307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86CA0"/>
    <w:rPr>
      <w:color w:val="800080" w:themeColor="followedHyperlink"/>
      <w:u w:val="single"/>
    </w:rPr>
  </w:style>
  <w:style w:type="character" w:styleId="CommentReference">
    <w:name w:val="annotation reference"/>
    <w:basedOn w:val="DefaultParagraphFont"/>
    <w:uiPriority w:val="99"/>
    <w:semiHidden/>
    <w:unhideWhenUsed/>
    <w:rsid w:val="00D87434"/>
    <w:rPr>
      <w:sz w:val="16"/>
      <w:szCs w:val="16"/>
    </w:rPr>
  </w:style>
  <w:style w:type="paragraph" w:styleId="CommentText">
    <w:name w:val="annotation text"/>
    <w:basedOn w:val="Normal"/>
    <w:link w:val="CommentTextChar"/>
    <w:uiPriority w:val="99"/>
    <w:semiHidden/>
    <w:unhideWhenUsed/>
    <w:rsid w:val="00D87434"/>
    <w:pPr>
      <w:spacing w:line="240" w:lineRule="auto"/>
    </w:pPr>
    <w:rPr>
      <w:sz w:val="20"/>
      <w:szCs w:val="20"/>
    </w:rPr>
  </w:style>
  <w:style w:type="character" w:customStyle="1" w:styleId="CommentTextChar">
    <w:name w:val="Comment Text Char"/>
    <w:basedOn w:val="DefaultParagraphFont"/>
    <w:link w:val="CommentText"/>
    <w:uiPriority w:val="99"/>
    <w:semiHidden/>
    <w:rsid w:val="00D87434"/>
    <w:rPr>
      <w:sz w:val="20"/>
      <w:szCs w:val="20"/>
    </w:rPr>
  </w:style>
  <w:style w:type="paragraph" w:styleId="CommentSubject">
    <w:name w:val="annotation subject"/>
    <w:basedOn w:val="CommentText"/>
    <w:next w:val="CommentText"/>
    <w:link w:val="CommentSubjectChar"/>
    <w:uiPriority w:val="99"/>
    <w:semiHidden/>
    <w:unhideWhenUsed/>
    <w:rsid w:val="00D87434"/>
    <w:rPr>
      <w:b/>
      <w:bCs/>
    </w:rPr>
  </w:style>
  <w:style w:type="character" w:customStyle="1" w:styleId="CommentSubjectChar">
    <w:name w:val="Comment Subject Char"/>
    <w:basedOn w:val="CommentTextChar"/>
    <w:link w:val="CommentSubject"/>
    <w:uiPriority w:val="99"/>
    <w:semiHidden/>
    <w:rsid w:val="00D87434"/>
    <w:rPr>
      <w:b/>
      <w:bCs/>
      <w:sz w:val="20"/>
      <w:szCs w:val="20"/>
    </w:rPr>
  </w:style>
  <w:style w:type="paragraph" w:styleId="Revision">
    <w:name w:val="Revision"/>
    <w:hidden/>
    <w:uiPriority w:val="99"/>
    <w:semiHidden/>
    <w:rsid w:val="009C5269"/>
    <w:pPr>
      <w:spacing w:after="0" w:line="240" w:lineRule="auto"/>
    </w:pPr>
  </w:style>
  <w:style w:type="paragraph" w:styleId="Title">
    <w:name w:val="Title"/>
    <w:basedOn w:val="Normal"/>
    <w:next w:val="Normal"/>
    <w:link w:val="TitleChar"/>
    <w:uiPriority w:val="10"/>
    <w:qFormat/>
    <w:rsid w:val="009F1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125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F1C42"/>
    <w:rPr>
      <w:rFonts w:asciiTheme="majorHAnsi" w:eastAsiaTheme="majorEastAsia" w:hAnsiTheme="majorHAnsi" w:cstheme="majorBidi"/>
      <w:b/>
      <w:bCs/>
      <w:color w:val="4F81BD" w:themeColor="accent1"/>
    </w:rPr>
  </w:style>
  <w:style w:type="character" w:customStyle="1" w:styleId="currenthithighlight">
    <w:name w:val="currenthithighlight"/>
    <w:basedOn w:val="DefaultParagraphFont"/>
    <w:rsid w:val="00836DBE"/>
  </w:style>
  <w:style w:type="character" w:customStyle="1" w:styleId="Heading1Char">
    <w:name w:val="Heading 1 Char"/>
    <w:basedOn w:val="DefaultParagraphFont"/>
    <w:link w:val="Heading1"/>
    <w:uiPriority w:val="9"/>
    <w:rsid w:val="00B15CF3"/>
    <w:rPr>
      <w:rFonts w:ascii="Arial" w:eastAsia="Times New Roman" w:hAnsi="Arial" w:cs="Times New Roman"/>
      <w:b/>
      <w:bCs/>
      <w:color w:val="006284"/>
      <w:sz w:val="32"/>
      <w:szCs w:val="32"/>
      <w:lang w:val="x-none" w:eastAsia="x-none"/>
    </w:rPr>
  </w:style>
  <w:style w:type="paragraph" w:styleId="NormalWeb">
    <w:name w:val="Normal (Web)"/>
    <w:basedOn w:val="Normal"/>
    <w:uiPriority w:val="99"/>
    <w:rsid w:val="00B15CF3"/>
    <w:pPr>
      <w:spacing w:after="0" w:line="240" w:lineRule="auto"/>
    </w:pPr>
    <w:rPr>
      <w:rFonts w:ascii="Times New Roman" w:eastAsia="Times New Roman" w:hAnsi="Times New Roman" w:cs="Times New Roman"/>
      <w:sz w:val="24"/>
      <w:szCs w:val="24"/>
      <w:lang w:val="en-US"/>
    </w:rPr>
  </w:style>
  <w:style w:type="paragraph" w:customStyle="1" w:styleId="EndNoteBibliography">
    <w:name w:val="EndNote Bibliography"/>
    <w:basedOn w:val="Normal"/>
    <w:link w:val="EndNoteBibliographyChar"/>
    <w:rsid w:val="00B00BE3"/>
    <w:pPr>
      <w:spacing w:after="0" w:line="240" w:lineRule="auto"/>
      <w:jc w:val="both"/>
    </w:pPr>
    <w:rPr>
      <w:rFonts w:ascii="Times New Roman" w:eastAsia="Times New Roman" w:hAnsi="Times New Roman" w:cs="Times New Roman"/>
      <w:noProof/>
      <w:sz w:val="24"/>
      <w:szCs w:val="24"/>
      <w:lang w:eastAsia="en-GB"/>
    </w:rPr>
  </w:style>
  <w:style w:type="character" w:customStyle="1" w:styleId="EndNoteBibliographyChar">
    <w:name w:val="EndNote Bibliography Char"/>
    <w:link w:val="EndNoteBibliography"/>
    <w:rsid w:val="00B00BE3"/>
    <w:rPr>
      <w:rFonts w:ascii="Times New Roman" w:eastAsia="Times New Roman" w:hAnsi="Times New Roman" w:cs="Times New Roman"/>
      <w:noProof/>
      <w:sz w:val="24"/>
      <w:szCs w:val="24"/>
      <w:lang w:eastAsia="en-GB"/>
    </w:rPr>
  </w:style>
  <w:style w:type="character" w:styleId="Emphasis">
    <w:name w:val="Emphasis"/>
    <w:basedOn w:val="DefaultParagraphFont"/>
    <w:uiPriority w:val="20"/>
    <w:qFormat/>
    <w:rsid w:val="00985C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7732">
      <w:bodyDiv w:val="1"/>
      <w:marLeft w:val="0"/>
      <w:marRight w:val="0"/>
      <w:marTop w:val="0"/>
      <w:marBottom w:val="0"/>
      <w:divBdr>
        <w:top w:val="none" w:sz="0" w:space="0" w:color="auto"/>
        <w:left w:val="none" w:sz="0" w:space="0" w:color="auto"/>
        <w:bottom w:val="none" w:sz="0" w:space="0" w:color="auto"/>
        <w:right w:val="none" w:sz="0" w:space="0" w:color="auto"/>
      </w:divBdr>
    </w:div>
    <w:div w:id="1499692234">
      <w:bodyDiv w:val="1"/>
      <w:marLeft w:val="0"/>
      <w:marRight w:val="0"/>
      <w:marTop w:val="0"/>
      <w:marBottom w:val="0"/>
      <w:divBdr>
        <w:top w:val="none" w:sz="0" w:space="0" w:color="auto"/>
        <w:left w:val="none" w:sz="0" w:space="0" w:color="auto"/>
        <w:bottom w:val="none" w:sz="0" w:space="0" w:color="auto"/>
        <w:right w:val="none" w:sz="0" w:space="0" w:color="auto"/>
      </w:divBdr>
    </w:div>
    <w:div w:id="158036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nnesophiep/Downloads/&#8226;%09http:/age-platform.eu/images/AGE_response_Special_Rapporteur_Disability_social_protection_FINAL.pdf"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age-platform.eu/sites/default/files/AGE_input_Draft_GCArt5_CRPD.pdf" TargetMode="External"/><Relationship Id="rId17" Type="http://schemas.openxmlformats.org/officeDocument/2006/relationships/hyperlink" Target="mailto:nena.georgantzi@age-platform.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ublications.age-platform.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nnesophiep/Downloads/&#8226;%09http:/age-platform.eu/images/stories/Publications/papers/AGE_IntergenerationalSolidarity_Position_on_Structural_Ageism.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ge-platform.eu/sites/default/files/AGE_input_CRPD_Art19.pdf"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age-platform.eu/sites/default/files/AGE_input_Draft_GCArt5_CRPD.pd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age-platform.eu/sites/default/files/AGE_input_Draft_GCArt5_CRPD.pdf" TargetMode="External"/><Relationship Id="rId14" Type="http://schemas.openxmlformats.org/officeDocument/2006/relationships/hyperlink" Target="http://age-platform.eu/sites/default/files/AGE_input_Draft_GCArt19_CRPD.pdf"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social.un.org/ageing-working-group/documents/eighth/Inputs%20NHRIs/EuropeanNetworkofNationalHumanRightsInstitutions-1.pdf" TargetMode="External"/><Relationship Id="rId2" Type="http://schemas.openxmlformats.org/officeDocument/2006/relationships/hyperlink" Target="http://www.helpage.org/what-we-do/emergencies/older-people-in-emergencies/" TargetMode="External"/><Relationship Id="rId1" Type="http://schemas.openxmlformats.org/officeDocument/2006/relationships/hyperlink" Target="http://www.helpage.org/newsroom/latest-news/less-than-1-of-humanitarian-financing-targets-older-people-and-people-with-disabilities/" TargetMode="External"/><Relationship Id="rId5" Type="http://schemas.openxmlformats.org/officeDocument/2006/relationships/hyperlink" Target="https://documents-dds-ny.un.org/doc/UNDOC/GEN/G16/406/73/PDF/G1640673.pdf?OpenElement" TargetMode="External"/><Relationship Id="rId4" Type="http://schemas.openxmlformats.org/officeDocument/2006/relationships/hyperlink" Target="http://www.un.org/en/ga/search/view_doc.asp?symbol=A/70/297"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file:///C:/Users/annem/AppData/Local/Microsoft/Windows/Temporary%20Internet%20Files/Content.Outlook/WIKPHUMU/www.age-platform.eu"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CAA76B-FC3D-4596-A9ED-12B47D2CFF08}">
  <ds:schemaRefs>
    <ds:schemaRef ds:uri="http://schemas.openxmlformats.org/officeDocument/2006/bibliography"/>
  </ds:schemaRefs>
</ds:datastoreItem>
</file>

<file path=customXml/itemProps2.xml><?xml version="1.0" encoding="utf-8"?>
<ds:datastoreItem xmlns:ds="http://schemas.openxmlformats.org/officeDocument/2006/customXml" ds:itemID="{376AA751-7D9E-438D-B240-30D49D32B8E5}"/>
</file>

<file path=customXml/itemProps3.xml><?xml version="1.0" encoding="utf-8"?>
<ds:datastoreItem xmlns:ds="http://schemas.openxmlformats.org/officeDocument/2006/customXml" ds:itemID="{FD17FEA4-34DB-4CE8-915C-668DF0539FEC}"/>
</file>

<file path=customXml/itemProps4.xml><?xml version="1.0" encoding="utf-8"?>
<ds:datastoreItem xmlns:ds="http://schemas.openxmlformats.org/officeDocument/2006/customXml" ds:itemID="{73C8C7D5-7745-413E-A5CC-090B07249FE8}"/>
</file>

<file path=docProps/app.xml><?xml version="1.0" encoding="utf-8"?>
<Properties xmlns="http://schemas.openxmlformats.org/officeDocument/2006/extended-properties" xmlns:vt="http://schemas.openxmlformats.org/officeDocument/2006/docPropsVTypes">
  <Template>Normal</Template>
  <TotalTime>53</TotalTime>
  <Pages>4</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TUI UK</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2017-01-10T15:03:00Z</cp:lastPrinted>
  <dcterms:created xsi:type="dcterms:W3CDTF">2017-11-30T13:59:00Z</dcterms:created>
  <dcterms:modified xsi:type="dcterms:W3CDTF">2017-11-30T14:57:00Z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0x0101008822B9E06671B54FA89F14538B9B0FEA</vt:lpwstr>
  </property>
</Properties>
</file>