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8511B" w14:textId="77777777" w:rsidR="00B82DA5" w:rsidRPr="00AC54A4" w:rsidRDefault="00B82DA5" w:rsidP="002F26A8">
      <w:pPr>
        <w:widowControl w:val="0"/>
        <w:spacing w:after="0" w:line="240" w:lineRule="auto"/>
        <w:jc w:val="center"/>
        <w:rPr>
          <w:rFonts w:ascii="Times New Roman" w:hAnsi="Times New Roman" w:cs="Times New Roman"/>
          <w:b/>
          <w:sz w:val="24"/>
          <w:szCs w:val="24"/>
        </w:rPr>
      </w:pPr>
      <w:r w:rsidRPr="00AC54A4">
        <w:rPr>
          <w:rFonts w:ascii="Times New Roman" w:hAnsi="Times New Roman" w:cs="Times New Roman"/>
          <w:b/>
          <w:sz w:val="24"/>
          <w:szCs w:val="24"/>
        </w:rPr>
        <w:t>Submission of the Australian Government</w:t>
      </w:r>
    </w:p>
    <w:p w14:paraId="62EC7B55" w14:textId="136901FE" w:rsidR="00B82DA5" w:rsidRPr="00AC54A4" w:rsidRDefault="000D25A7" w:rsidP="002F26A8">
      <w:pPr>
        <w:widowControl w:val="0"/>
        <w:spacing w:after="0" w:line="240" w:lineRule="auto"/>
        <w:jc w:val="center"/>
        <w:rPr>
          <w:rFonts w:ascii="Times New Roman" w:hAnsi="Times New Roman" w:cs="Times New Roman"/>
          <w:b/>
          <w:sz w:val="24"/>
          <w:szCs w:val="24"/>
        </w:rPr>
      </w:pPr>
      <w:r w:rsidRPr="00AC54A4">
        <w:rPr>
          <w:rFonts w:ascii="Times New Roman" w:hAnsi="Times New Roman" w:cs="Times New Roman"/>
          <w:b/>
          <w:sz w:val="24"/>
          <w:szCs w:val="24"/>
        </w:rPr>
        <w:t>Draft</w:t>
      </w:r>
      <w:r w:rsidR="003C3423" w:rsidRPr="00AC54A4">
        <w:rPr>
          <w:rFonts w:ascii="Times New Roman" w:hAnsi="Times New Roman" w:cs="Times New Roman"/>
          <w:b/>
          <w:sz w:val="24"/>
          <w:szCs w:val="24"/>
        </w:rPr>
        <w:t xml:space="preserve"> General </w:t>
      </w:r>
      <w:r w:rsidR="007F7D78" w:rsidRPr="00AC54A4">
        <w:rPr>
          <w:rFonts w:ascii="Times New Roman" w:hAnsi="Times New Roman" w:cs="Times New Roman"/>
          <w:b/>
          <w:sz w:val="24"/>
          <w:szCs w:val="24"/>
        </w:rPr>
        <w:t>Comment</w:t>
      </w:r>
      <w:r w:rsidR="003C3423" w:rsidRPr="00AC54A4">
        <w:rPr>
          <w:rFonts w:ascii="Times New Roman" w:hAnsi="Times New Roman" w:cs="Times New Roman"/>
          <w:b/>
          <w:sz w:val="24"/>
          <w:szCs w:val="24"/>
        </w:rPr>
        <w:t xml:space="preserve"> </w:t>
      </w:r>
      <w:r w:rsidR="00676C21" w:rsidRPr="00AC54A4">
        <w:rPr>
          <w:rFonts w:ascii="Times New Roman" w:hAnsi="Times New Roman" w:cs="Times New Roman"/>
          <w:b/>
          <w:sz w:val="24"/>
          <w:szCs w:val="24"/>
        </w:rPr>
        <w:t>No. 6</w:t>
      </w:r>
      <w:r w:rsidR="00B82DA5" w:rsidRPr="00AC54A4">
        <w:rPr>
          <w:rFonts w:ascii="Times New Roman" w:hAnsi="Times New Roman" w:cs="Times New Roman"/>
          <w:b/>
          <w:sz w:val="24"/>
          <w:szCs w:val="24"/>
        </w:rPr>
        <w:t xml:space="preserve"> on</w:t>
      </w:r>
    </w:p>
    <w:p w14:paraId="49A05995" w14:textId="4435FFDF" w:rsidR="00B82DA5" w:rsidRPr="00AC54A4" w:rsidRDefault="00D126F5" w:rsidP="002F26A8">
      <w:pPr>
        <w:widowControl w:val="0"/>
        <w:spacing w:after="0" w:line="240" w:lineRule="auto"/>
        <w:jc w:val="center"/>
        <w:rPr>
          <w:rFonts w:ascii="Times New Roman" w:hAnsi="Times New Roman" w:cs="Times New Roman"/>
          <w:b/>
          <w:sz w:val="24"/>
          <w:szCs w:val="24"/>
        </w:rPr>
      </w:pPr>
      <w:r w:rsidRPr="00AC54A4">
        <w:rPr>
          <w:rFonts w:ascii="Times New Roman" w:hAnsi="Times New Roman" w:cs="Times New Roman"/>
          <w:b/>
          <w:sz w:val="24"/>
          <w:szCs w:val="24"/>
        </w:rPr>
        <w:t>Equality and Non-</w:t>
      </w:r>
      <w:r w:rsidR="00676C21" w:rsidRPr="00AC54A4">
        <w:rPr>
          <w:rFonts w:ascii="Times New Roman" w:hAnsi="Times New Roman" w:cs="Times New Roman"/>
          <w:b/>
          <w:sz w:val="24"/>
          <w:szCs w:val="24"/>
        </w:rPr>
        <w:t>discrimination (Article 5)</w:t>
      </w:r>
    </w:p>
    <w:p w14:paraId="27997ABA" w14:textId="63812084" w:rsidR="00632D98" w:rsidRPr="00AC54A4" w:rsidRDefault="003C3423" w:rsidP="00FB67D9">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AC54A4">
        <w:rPr>
          <w:rFonts w:ascii="Times New Roman" w:hAnsi="Times New Roman" w:cs="Times New Roman"/>
          <w:sz w:val="24"/>
          <w:szCs w:val="24"/>
        </w:rPr>
        <w:t>The Australian Government</w:t>
      </w:r>
      <w:r w:rsidR="00FB67D9">
        <w:rPr>
          <w:rFonts w:ascii="Times New Roman" w:hAnsi="Times New Roman" w:cs="Times New Roman"/>
          <w:sz w:val="24"/>
          <w:szCs w:val="24"/>
        </w:rPr>
        <w:t xml:space="preserve"> </w:t>
      </w:r>
      <w:r w:rsidRPr="00AC54A4">
        <w:rPr>
          <w:rFonts w:ascii="Times New Roman" w:hAnsi="Times New Roman" w:cs="Times New Roman"/>
          <w:sz w:val="24"/>
          <w:szCs w:val="24"/>
        </w:rPr>
        <w:t xml:space="preserve">presents its compliments to the United Nations Committee </w:t>
      </w:r>
      <w:r w:rsidR="00E76FF1" w:rsidRPr="00AC54A4">
        <w:rPr>
          <w:rFonts w:ascii="Times New Roman" w:hAnsi="Times New Roman" w:cs="Times New Roman"/>
          <w:sz w:val="24"/>
          <w:szCs w:val="24"/>
        </w:rPr>
        <w:t xml:space="preserve">on the Rights of Persons with Disabilities </w:t>
      </w:r>
      <w:r w:rsidRPr="00AC54A4">
        <w:rPr>
          <w:rFonts w:ascii="Times New Roman" w:hAnsi="Times New Roman" w:cs="Times New Roman"/>
          <w:sz w:val="24"/>
          <w:szCs w:val="24"/>
        </w:rPr>
        <w:t xml:space="preserve">(the Committee) and has the honour to refer to the Committee’s </w:t>
      </w:r>
      <w:r w:rsidR="009913F2" w:rsidRPr="00AC54A4">
        <w:rPr>
          <w:rFonts w:ascii="Times New Roman" w:hAnsi="Times New Roman" w:cs="Times New Roman"/>
          <w:sz w:val="24"/>
          <w:szCs w:val="24"/>
        </w:rPr>
        <w:t>call</w:t>
      </w:r>
      <w:r w:rsidRPr="00AC54A4">
        <w:rPr>
          <w:rFonts w:ascii="Times New Roman" w:hAnsi="Times New Roman" w:cs="Times New Roman"/>
          <w:sz w:val="24"/>
          <w:szCs w:val="24"/>
        </w:rPr>
        <w:t xml:space="preserve"> for written </w:t>
      </w:r>
      <w:r w:rsidR="00E76FF1" w:rsidRPr="00AC54A4">
        <w:rPr>
          <w:rFonts w:ascii="Times New Roman" w:hAnsi="Times New Roman" w:cs="Times New Roman"/>
          <w:sz w:val="24"/>
          <w:szCs w:val="24"/>
        </w:rPr>
        <w:t>submissions</w:t>
      </w:r>
      <w:r w:rsidRPr="00AC54A4">
        <w:rPr>
          <w:rFonts w:ascii="Times New Roman" w:hAnsi="Times New Roman" w:cs="Times New Roman"/>
          <w:sz w:val="24"/>
          <w:szCs w:val="24"/>
        </w:rPr>
        <w:t xml:space="preserve"> on </w:t>
      </w:r>
      <w:r w:rsidR="000D25A7" w:rsidRPr="00AC54A4">
        <w:rPr>
          <w:rFonts w:ascii="Times New Roman" w:hAnsi="Times New Roman" w:cs="Times New Roman"/>
          <w:sz w:val="24"/>
          <w:szCs w:val="24"/>
        </w:rPr>
        <w:t>draft</w:t>
      </w:r>
      <w:r w:rsidRPr="00AC54A4">
        <w:rPr>
          <w:rFonts w:ascii="Times New Roman" w:hAnsi="Times New Roman" w:cs="Times New Roman"/>
          <w:sz w:val="24"/>
          <w:szCs w:val="24"/>
        </w:rPr>
        <w:t xml:space="preserve"> General </w:t>
      </w:r>
      <w:r w:rsidR="00676C21" w:rsidRPr="00AC54A4">
        <w:rPr>
          <w:rFonts w:ascii="Times New Roman" w:hAnsi="Times New Roman" w:cs="Times New Roman"/>
          <w:sz w:val="24"/>
          <w:szCs w:val="24"/>
        </w:rPr>
        <w:t xml:space="preserve">Comment No. 6 on Equality and Non-discrimination (Article 5) </w:t>
      </w:r>
      <w:r w:rsidR="00B105F1" w:rsidRPr="00AC54A4">
        <w:rPr>
          <w:rFonts w:ascii="Times New Roman" w:hAnsi="Times New Roman" w:cs="Times New Roman"/>
          <w:sz w:val="24"/>
          <w:szCs w:val="24"/>
        </w:rPr>
        <w:t>(</w:t>
      </w:r>
      <w:r w:rsidR="005C7CE1" w:rsidRPr="00AC54A4">
        <w:rPr>
          <w:rFonts w:ascii="Times New Roman" w:hAnsi="Times New Roman" w:cs="Times New Roman"/>
          <w:sz w:val="24"/>
          <w:szCs w:val="24"/>
        </w:rPr>
        <w:t xml:space="preserve">the </w:t>
      </w:r>
      <w:r w:rsidR="000D25A7" w:rsidRPr="00AC54A4">
        <w:rPr>
          <w:rFonts w:ascii="Times New Roman" w:hAnsi="Times New Roman" w:cs="Times New Roman"/>
          <w:sz w:val="24"/>
          <w:szCs w:val="24"/>
        </w:rPr>
        <w:t>draft</w:t>
      </w:r>
      <w:r w:rsidR="00B105F1" w:rsidRPr="00AC54A4">
        <w:rPr>
          <w:rFonts w:ascii="Times New Roman" w:hAnsi="Times New Roman" w:cs="Times New Roman"/>
          <w:sz w:val="24"/>
          <w:szCs w:val="24"/>
        </w:rPr>
        <w:t xml:space="preserve"> General Comment)</w:t>
      </w:r>
      <w:r w:rsidRPr="00AC54A4">
        <w:rPr>
          <w:rFonts w:ascii="Times New Roman" w:hAnsi="Times New Roman" w:cs="Times New Roman"/>
          <w:sz w:val="24"/>
          <w:szCs w:val="24"/>
        </w:rPr>
        <w:t>.</w:t>
      </w:r>
      <w:r w:rsidRPr="00AC54A4">
        <w:rPr>
          <w:rStyle w:val="FootnoteReference"/>
          <w:rFonts w:ascii="Times New Roman" w:hAnsi="Times New Roman" w:cs="Times New Roman"/>
          <w:sz w:val="24"/>
          <w:szCs w:val="24"/>
        </w:rPr>
        <w:footnoteReference w:id="1"/>
      </w:r>
      <w:r w:rsidR="00676C21" w:rsidRPr="00AC54A4">
        <w:rPr>
          <w:rFonts w:ascii="Times New Roman" w:hAnsi="Times New Roman" w:cs="Times New Roman"/>
          <w:sz w:val="24"/>
          <w:szCs w:val="24"/>
        </w:rPr>
        <w:t xml:space="preserve"> Australia </w:t>
      </w:r>
      <w:r w:rsidRPr="00AC54A4">
        <w:rPr>
          <w:rFonts w:ascii="Times New Roman" w:hAnsi="Times New Roman" w:cs="Times New Roman"/>
          <w:sz w:val="24"/>
          <w:szCs w:val="24"/>
        </w:rPr>
        <w:t>thanks the Committee for the opportunity t</w:t>
      </w:r>
      <w:r w:rsidR="005C7CE1" w:rsidRPr="00AC54A4">
        <w:rPr>
          <w:rFonts w:ascii="Times New Roman" w:hAnsi="Times New Roman" w:cs="Times New Roman"/>
          <w:sz w:val="24"/>
          <w:szCs w:val="24"/>
        </w:rPr>
        <w:t>o provide a written submission.</w:t>
      </w:r>
      <w:bookmarkStart w:id="0" w:name="_GoBack"/>
      <w:bookmarkEnd w:id="0"/>
    </w:p>
    <w:p w14:paraId="460603FE" w14:textId="1CDC84CE" w:rsidR="00E80C49" w:rsidRPr="00AC54A4" w:rsidRDefault="00B105F1" w:rsidP="002D7884">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AC54A4">
        <w:rPr>
          <w:rFonts w:ascii="Times New Roman" w:hAnsi="Times New Roman" w:cs="Times New Roman"/>
          <w:sz w:val="24"/>
          <w:szCs w:val="24"/>
        </w:rPr>
        <w:t>Australia is a longstanding party to the Convention on the Rights of Persons with Disabilities (the Convention) and its Optional Protocol, and is firmly committed to upholding its obligations</w:t>
      </w:r>
      <w:r w:rsidR="005C7CE1" w:rsidRPr="00AC54A4">
        <w:rPr>
          <w:rFonts w:ascii="Times New Roman" w:hAnsi="Times New Roman" w:cs="Times New Roman"/>
          <w:sz w:val="24"/>
          <w:szCs w:val="24"/>
        </w:rPr>
        <w:t xml:space="preserve"> under these instruments</w:t>
      </w:r>
      <w:r w:rsidRPr="00AC54A4">
        <w:rPr>
          <w:rFonts w:ascii="Times New Roman" w:hAnsi="Times New Roman" w:cs="Times New Roman"/>
          <w:sz w:val="24"/>
          <w:szCs w:val="24"/>
        </w:rPr>
        <w:t>.</w:t>
      </w:r>
      <w:r w:rsidR="00486858" w:rsidRPr="00AC54A4">
        <w:rPr>
          <w:rFonts w:ascii="Times New Roman" w:hAnsi="Times New Roman" w:cs="Times New Roman"/>
          <w:sz w:val="24"/>
          <w:szCs w:val="24"/>
        </w:rPr>
        <w:t xml:space="preserve"> Australia has implemented these obligations domestically, including by enacting legislation prohibiting disability discrimination</w:t>
      </w:r>
      <w:r w:rsidR="002D7884">
        <w:rPr>
          <w:rFonts w:ascii="Times New Roman" w:hAnsi="Times New Roman" w:cs="Times New Roman"/>
          <w:sz w:val="24"/>
          <w:szCs w:val="24"/>
        </w:rPr>
        <w:t xml:space="preserve"> (</w:t>
      </w:r>
      <w:r w:rsidR="002D7884" w:rsidRPr="002D7884">
        <w:rPr>
          <w:rFonts w:ascii="Times New Roman" w:hAnsi="Times New Roman" w:cs="Times New Roman"/>
          <w:sz w:val="24"/>
          <w:szCs w:val="24"/>
        </w:rPr>
        <w:t xml:space="preserve">the </w:t>
      </w:r>
      <w:r w:rsidR="002D7884" w:rsidRPr="002D7884">
        <w:rPr>
          <w:rFonts w:ascii="Times New Roman" w:hAnsi="Times New Roman" w:cs="Times New Roman"/>
          <w:i/>
          <w:sz w:val="24"/>
          <w:szCs w:val="24"/>
        </w:rPr>
        <w:t>Disability Discrimination Act 1992</w:t>
      </w:r>
      <w:r w:rsidR="002D7884">
        <w:rPr>
          <w:rFonts w:ascii="Times New Roman" w:hAnsi="Times New Roman" w:cs="Times New Roman"/>
          <w:sz w:val="24"/>
          <w:szCs w:val="24"/>
        </w:rPr>
        <w:t>)</w:t>
      </w:r>
      <w:r w:rsidR="00237555" w:rsidRPr="00AC54A4">
        <w:rPr>
          <w:rStyle w:val="FootnoteReference"/>
          <w:rFonts w:ascii="Times New Roman" w:hAnsi="Times New Roman" w:cs="Times New Roman"/>
          <w:sz w:val="24"/>
          <w:szCs w:val="24"/>
        </w:rPr>
        <w:footnoteReference w:id="2"/>
      </w:r>
      <w:r w:rsidR="00486858" w:rsidRPr="00AC54A4">
        <w:rPr>
          <w:rFonts w:ascii="Times New Roman" w:hAnsi="Times New Roman" w:cs="Times New Roman"/>
          <w:sz w:val="24"/>
          <w:szCs w:val="24"/>
        </w:rPr>
        <w:t xml:space="preserve"> and </w:t>
      </w:r>
      <w:r w:rsidR="00237555" w:rsidRPr="00AC54A4">
        <w:rPr>
          <w:rFonts w:ascii="Times New Roman" w:hAnsi="Times New Roman" w:cs="Times New Roman"/>
          <w:sz w:val="24"/>
          <w:szCs w:val="24"/>
        </w:rPr>
        <w:t>by ensuring that services and facilities are available for, and accessible to, persons with disabilities.</w:t>
      </w:r>
      <w:r w:rsidR="00237555" w:rsidRPr="00AC54A4">
        <w:rPr>
          <w:rStyle w:val="FootnoteReference"/>
          <w:rFonts w:ascii="Times New Roman" w:hAnsi="Times New Roman" w:cs="Times New Roman"/>
          <w:sz w:val="24"/>
          <w:szCs w:val="24"/>
        </w:rPr>
        <w:footnoteReference w:id="3"/>
      </w:r>
    </w:p>
    <w:p w14:paraId="20B6B36B" w14:textId="5341BB5C" w:rsidR="00176052" w:rsidRDefault="00607B7B" w:rsidP="00512959">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AC54A4">
        <w:rPr>
          <w:rFonts w:ascii="Times New Roman" w:hAnsi="Times New Roman" w:cs="Times New Roman"/>
          <w:sz w:val="24"/>
          <w:szCs w:val="24"/>
        </w:rPr>
        <w:t xml:space="preserve">Australia </w:t>
      </w:r>
      <w:r w:rsidR="008F68F8">
        <w:rPr>
          <w:rFonts w:ascii="Times New Roman" w:hAnsi="Times New Roman" w:cs="Times New Roman"/>
          <w:sz w:val="24"/>
          <w:szCs w:val="24"/>
        </w:rPr>
        <w:t xml:space="preserve">appreciates </w:t>
      </w:r>
      <w:r w:rsidR="00295170" w:rsidRPr="00AC54A4">
        <w:rPr>
          <w:rFonts w:ascii="Times New Roman" w:hAnsi="Times New Roman" w:cs="Times New Roman"/>
          <w:sz w:val="24"/>
          <w:szCs w:val="24"/>
        </w:rPr>
        <w:t xml:space="preserve">the Committee’s </w:t>
      </w:r>
      <w:r w:rsidRPr="00AC54A4">
        <w:rPr>
          <w:rFonts w:ascii="Times New Roman" w:hAnsi="Times New Roman" w:cs="Times New Roman"/>
          <w:sz w:val="24"/>
          <w:szCs w:val="24"/>
        </w:rPr>
        <w:t>work in prep</w:t>
      </w:r>
      <w:r w:rsidR="00512959" w:rsidRPr="00AC54A4">
        <w:rPr>
          <w:rFonts w:ascii="Times New Roman" w:hAnsi="Times New Roman" w:cs="Times New Roman"/>
          <w:sz w:val="24"/>
          <w:szCs w:val="24"/>
        </w:rPr>
        <w:t>aring this comprehensive draft</w:t>
      </w:r>
      <w:r w:rsidR="00627BDF" w:rsidRPr="00AC54A4">
        <w:rPr>
          <w:rFonts w:ascii="Times New Roman" w:hAnsi="Times New Roman" w:cs="Times New Roman"/>
          <w:sz w:val="24"/>
          <w:szCs w:val="24"/>
        </w:rPr>
        <w:t xml:space="preserve"> General Comment</w:t>
      </w:r>
      <w:r w:rsidR="00512959" w:rsidRPr="00AC54A4">
        <w:rPr>
          <w:rFonts w:ascii="Times New Roman" w:hAnsi="Times New Roman" w:cs="Times New Roman"/>
          <w:sz w:val="24"/>
          <w:szCs w:val="24"/>
        </w:rPr>
        <w:t xml:space="preserve">. </w:t>
      </w:r>
      <w:r w:rsidR="00176052" w:rsidRPr="00AC54A4">
        <w:rPr>
          <w:rFonts w:ascii="Times New Roman" w:hAnsi="Times New Roman" w:cs="Times New Roman"/>
          <w:sz w:val="24"/>
          <w:szCs w:val="24"/>
        </w:rPr>
        <w:t>Australia</w:t>
      </w:r>
      <w:r w:rsidR="00176052">
        <w:rPr>
          <w:rFonts w:ascii="Times New Roman" w:hAnsi="Times New Roman" w:cs="Times New Roman"/>
          <w:sz w:val="24"/>
          <w:szCs w:val="24"/>
        </w:rPr>
        <w:t xml:space="preserve">’s understanding of the purpose of General Comments accords with the Committee’s </w:t>
      </w:r>
      <w:r w:rsidR="00836405" w:rsidRPr="00AC54A4">
        <w:rPr>
          <w:rFonts w:ascii="Times New Roman" w:hAnsi="Times New Roman" w:cs="Times New Roman"/>
          <w:sz w:val="24"/>
          <w:szCs w:val="24"/>
        </w:rPr>
        <w:t>aim</w:t>
      </w:r>
      <w:r w:rsidR="00836405">
        <w:rPr>
          <w:rFonts w:ascii="Times New Roman" w:hAnsi="Times New Roman" w:cs="Times New Roman"/>
          <w:sz w:val="24"/>
          <w:szCs w:val="24"/>
        </w:rPr>
        <w:t>s</w:t>
      </w:r>
      <w:r w:rsidR="00836405" w:rsidRPr="00AC54A4">
        <w:rPr>
          <w:rFonts w:ascii="Times New Roman" w:hAnsi="Times New Roman" w:cs="Times New Roman"/>
          <w:sz w:val="24"/>
          <w:szCs w:val="24"/>
        </w:rPr>
        <w:t xml:space="preserve"> </w:t>
      </w:r>
      <w:r w:rsidR="00176052">
        <w:rPr>
          <w:rFonts w:ascii="Times New Roman" w:hAnsi="Times New Roman" w:cs="Times New Roman"/>
          <w:sz w:val="24"/>
          <w:szCs w:val="24"/>
        </w:rPr>
        <w:t xml:space="preserve">in drafting </w:t>
      </w:r>
      <w:r w:rsidR="00836405" w:rsidRPr="00AC54A4">
        <w:rPr>
          <w:rFonts w:ascii="Times New Roman" w:hAnsi="Times New Roman" w:cs="Times New Roman"/>
          <w:sz w:val="24"/>
          <w:szCs w:val="24"/>
        </w:rPr>
        <w:t>this General Comment</w:t>
      </w:r>
      <w:r w:rsidR="00FB67D9">
        <w:rPr>
          <w:rFonts w:ascii="Times New Roman" w:hAnsi="Times New Roman" w:cs="Times New Roman"/>
          <w:sz w:val="24"/>
          <w:szCs w:val="24"/>
        </w:rPr>
        <w:t>,</w:t>
      </w:r>
      <w:r w:rsidR="00176052">
        <w:rPr>
          <w:rFonts w:ascii="Times New Roman" w:hAnsi="Times New Roman" w:cs="Times New Roman"/>
          <w:sz w:val="24"/>
          <w:szCs w:val="24"/>
        </w:rPr>
        <w:t xml:space="preserve"> that is, </w:t>
      </w:r>
      <w:r w:rsidR="00836405" w:rsidRPr="00AC54A4">
        <w:rPr>
          <w:rFonts w:ascii="Times New Roman" w:hAnsi="Times New Roman" w:cs="Times New Roman"/>
          <w:sz w:val="24"/>
          <w:szCs w:val="24"/>
        </w:rPr>
        <w:t>‘</w:t>
      </w:r>
      <w:r w:rsidR="00836405">
        <w:rPr>
          <w:rFonts w:ascii="Times New Roman" w:hAnsi="Times New Roman" w:cs="Times New Roman"/>
          <w:sz w:val="24"/>
          <w:szCs w:val="24"/>
        </w:rPr>
        <w:t xml:space="preserve">to </w:t>
      </w:r>
      <w:r w:rsidR="00836405" w:rsidRPr="00AC54A4">
        <w:rPr>
          <w:rFonts w:ascii="Times New Roman" w:hAnsi="Times New Roman" w:cs="Times New Roman"/>
          <w:sz w:val="24"/>
          <w:szCs w:val="24"/>
        </w:rPr>
        <w:t>guid</w:t>
      </w:r>
      <w:r w:rsidR="00836405">
        <w:rPr>
          <w:rFonts w:ascii="Times New Roman" w:hAnsi="Times New Roman" w:cs="Times New Roman"/>
          <w:sz w:val="24"/>
          <w:szCs w:val="24"/>
        </w:rPr>
        <w:t>e</w:t>
      </w:r>
      <w:r w:rsidR="00836405" w:rsidRPr="00AC54A4">
        <w:rPr>
          <w:rFonts w:ascii="Times New Roman" w:hAnsi="Times New Roman" w:cs="Times New Roman"/>
          <w:sz w:val="24"/>
          <w:szCs w:val="24"/>
        </w:rPr>
        <w:t xml:space="preserve"> State parties and other stakeholders’</w:t>
      </w:r>
      <w:r w:rsidR="00512959" w:rsidRPr="00AC54A4">
        <w:rPr>
          <w:rFonts w:ascii="Times New Roman" w:hAnsi="Times New Roman" w:cs="Times New Roman"/>
          <w:sz w:val="24"/>
          <w:szCs w:val="24"/>
        </w:rPr>
        <w:t>.</w:t>
      </w:r>
      <w:r w:rsidR="00512959" w:rsidRPr="00AC54A4">
        <w:rPr>
          <w:rStyle w:val="FootnoteReference"/>
          <w:rFonts w:ascii="Times New Roman" w:hAnsi="Times New Roman" w:cs="Times New Roman"/>
          <w:sz w:val="24"/>
          <w:szCs w:val="24"/>
        </w:rPr>
        <w:footnoteReference w:id="4"/>
      </w:r>
      <w:r w:rsidR="00512959" w:rsidRPr="00AC54A4">
        <w:rPr>
          <w:rFonts w:ascii="Times New Roman" w:hAnsi="Times New Roman" w:cs="Times New Roman"/>
          <w:sz w:val="24"/>
          <w:szCs w:val="24"/>
        </w:rPr>
        <w:t xml:space="preserve"> </w:t>
      </w:r>
      <w:r w:rsidR="00176052" w:rsidRPr="00AC54A4">
        <w:rPr>
          <w:rFonts w:ascii="Times New Roman" w:hAnsi="Times New Roman" w:cs="Times New Roman"/>
          <w:sz w:val="24"/>
          <w:szCs w:val="24"/>
        </w:rPr>
        <w:t xml:space="preserve">Australia considers </w:t>
      </w:r>
      <w:r w:rsidR="00DA0C32">
        <w:rPr>
          <w:rFonts w:ascii="Times New Roman" w:hAnsi="Times New Roman" w:cs="Times New Roman"/>
          <w:sz w:val="24"/>
          <w:szCs w:val="24"/>
        </w:rPr>
        <w:t xml:space="preserve">the Committee’s analysis of </w:t>
      </w:r>
      <w:r w:rsidR="00176052" w:rsidRPr="00AC54A4">
        <w:rPr>
          <w:rFonts w:ascii="Times New Roman" w:hAnsi="Times New Roman" w:cs="Times New Roman"/>
          <w:sz w:val="24"/>
          <w:szCs w:val="24"/>
        </w:rPr>
        <w:t xml:space="preserve">the right to equality and non-discrimination to be helpful in </w:t>
      </w:r>
      <w:r w:rsidR="00176052">
        <w:rPr>
          <w:rFonts w:ascii="Times New Roman" w:hAnsi="Times New Roman" w:cs="Times New Roman"/>
          <w:sz w:val="24"/>
          <w:szCs w:val="24"/>
        </w:rPr>
        <w:t xml:space="preserve">informing </w:t>
      </w:r>
      <w:r w:rsidR="00176052" w:rsidRPr="00AC54A4">
        <w:rPr>
          <w:rFonts w:ascii="Times New Roman" w:hAnsi="Times New Roman" w:cs="Times New Roman"/>
          <w:sz w:val="24"/>
          <w:szCs w:val="24"/>
        </w:rPr>
        <w:t>its implementation of the obligations under Article 5 of the Convention.</w:t>
      </w:r>
    </w:p>
    <w:p w14:paraId="1FF09F53" w14:textId="6AC4FBE6" w:rsidR="00176052" w:rsidRDefault="00176052" w:rsidP="00176052">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8A4546">
        <w:rPr>
          <w:rFonts w:ascii="Times New Roman" w:hAnsi="Times New Roman" w:cs="Times New Roman"/>
          <w:sz w:val="24"/>
          <w:szCs w:val="24"/>
        </w:rPr>
        <w:t xml:space="preserve">While the current draft </w:t>
      </w:r>
      <w:r w:rsidR="00FB67D9">
        <w:rPr>
          <w:rFonts w:ascii="Times New Roman" w:hAnsi="Times New Roman" w:cs="Times New Roman"/>
          <w:sz w:val="24"/>
          <w:szCs w:val="24"/>
        </w:rPr>
        <w:t xml:space="preserve">of the General Comment </w:t>
      </w:r>
      <w:r w:rsidRPr="008A4546">
        <w:rPr>
          <w:rFonts w:ascii="Times New Roman" w:hAnsi="Times New Roman" w:cs="Times New Roman"/>
          <w:sz w:val="24"/>
          <w:szCs w:val="24"/>
        </w:rPr>
        <w:t>provide</w:t>
      </w:r>
      <w:r w:rsidR="00FB67D9">
        <w:rPr>
          <w:rFonts w:ascii="Times New Roman" w:hAnsi="Times New Roman" w:cs="Times New Roman"/>
          <w:sz w:val="24"/>
          <w:szCs w:val="24"/>
        </w:rPr>
        <w:t>s</w:t>
      </w:r>
      <w:r w:rsidRPr="008A4546">
        <w:rPr>
          <w:rFonts w:ascii="Times New Roman" w:hAnsi="Times New Roman" w:cs="Times New Roman"/>
          <w:sz w:val="24"/>
          <w:szCs w:val="24"/>
        </w:rPr>
        <w:t xml:space="preserve"> </w:t>
      </w:r>
      <w:r w:rsidR="00FB67D9">
        <w:rPr>
          <w:rFonts w:ascii="Times New Roman" w:hAnsi="Times New Roman" w:cs="Times New Roman"/>
          <w:sz w:val="24"/>
          <w:szCs w:val="24"/>
        </w:rPr>
        <w:t>valuable</w:t>
      </w:r>
      <w:r w:rsidRPr="008A4546">
        <w:rPr>
          <w:rFonts w:ascii="Times New Roman" w:hAnsi="Times New Roman" w:cs="Times New Roman"/>
          <w:sz w:val="24"/>
          <w:szCs w:val="24"/>
        </w:rPr>
        <w:t xml:space="preserve"> guidance on the content of Article</w:t>
      </w:r>
      <w:r w:rsidR="00A27900">
        <w:rPr>
          <w:rFonts w:ascii="Times New Roman" w:hAnsi="Times New Roman" w:cs="Times New Roman"/>
          <w:sz w:val="24"/>
          <w:szCs w:val="24"/>
        </w:rPr>
        <w:t> </w:t>
      </w:r>
      <w:r w:rsidRPr="008A4546">
        <w:rPr>
          <w:rFonts w:ascii="Times New Roman" w:hAnsi="Times New Roman" w:cs="Times New Roman"/>
          <w:sz w:val="24"/>
          <w:szCs w:val="24"/>
        </w:rPr>
        <w:t xml:space="preserve">5, </w:t>
      </w:r>
      <w:r>
        <w:rPr>
          <w:rFonts w:ascii="Times New Roman" w:hAnsi="Times New Roman" w:cs="Times New Roman"/>
          <w:sz w:val="24"/>
          <w:szCs w:val="24"/>
        </w:rPr>
        <w:t>Australia take</w:t>
      </w:r>
      <w:r w:rsidR="00FB67D9">
        <w:rPr>
          <w:rFonts w:ascii="Times New Roman" w:hAnsi="Times New Roman" w:cs="Times New Roman"/>
          <w:sz w:val="24"/>
          <w:szCs w:val="24"/>
        </w:rPr>
        <w:t xml:space="preserve">s </w:t>
      </w:r>
      <w:r>
        <w:rPr>
          <w:rFonts w:ascii="Times New Roman" w:hAnsi="Times New Roman" w:cs="Times New Roman"/>
          <w:sz w:val="24"/>
          <w:szCs w:val="24"/>
        </w:rPr>
        <w:t>the opportunity in this submission</w:t>
      </w:r>
      <w:r w:rsidR="00DA0C32">
        <w:rPr>
          <w:rFonts w:ascii="Times New Roman" w:hAnsi="Times New Roman" w:cs="Times New Roman"/>
          <w:sz w:val="24"/>
          <w:szCs w:val="24"/>
        </w:rPr>
        <w:t xml:space="preserve"> to </w:t>
      </w:r>
      <w:r w:rsidR="00DA0C32" w:rsidRPr="00517295">
        <w:rPr>
          <w:rFonts w:ascii="Times New Roman" w:hAnsi="Times New Roman" w:cs="Times New Roman"/>
          <w:sz w:val="24"/>
          <w:szCs w:val="24"/>
        </w:rPr>
        <w:t>highlight</w:t>
      </w:r>
      <w:r w:rsidR="00FB67D9">
        <w:rPr>
          <w:rFonts w:ascii="Times New Roman" w:hAnsi="Times New Roman" w:cs="Times New Roman"/>
          <w:sz w:val="24"/>
          <w:szCs w:val="24"/>
        </w:rPr>
        <w:t xml:space="preserve"> and discuss </w:t>
      </w:r>
      <w:r w:rsidR="00DA0C32">
        <w:rPr>
          <w:rFonts w:ascii="Times New Roman" w:hAnsi="Times New Roman" w:cs="Times New Roman"/>
          <w:sz w:val="24"/>
          <w:szCs w:val="24"/>
        </w:rPr>
        <w:t xml:space="preserve">parts of the draft General Comment that differ from Australia’s interpretation of </w:t>
      </w:r>
      <w:r w:rsidR="00DA0C32" w:rsidRPr="008A4546">
        <w:rPr>
          <w:rFonts w:ascii="Times New Roman" w:hAnsi="Times New Roman" w:cs="Times New Roman"/>
          <w:sz w:val="24"/>
          <w:szCs w:val="24"/>
        </w:rPr>
        <w:t>Article 5</w:t>
      </w:r>
      <w:r w:rsidR="00DA0C32">
        <w:rPr>
          <w:rFonts w:ascii="Times New Roman" w:hAnsi="Times New Roman" w:cs="Times New Roman"/>
          <w:sz w:val="24"/>
          <w:szCs w:val="24"/>
        </w:rPr>
        <w:t xml:space="preserve"> of </w:t>
      </w:r>
      <w:r w:rsidR="00AA023D">
        <w:rPr>
          <w:rFonts w:ascii="Times New Roman" w:hAnsi="Times New Roman" w:cs="Times New Roman"/>
          <w:sz w:val="24"/>
          <w:szCs w:val="24"/>
        </w:rPr>
        <w:t>the Convention, with a view to contributing to the Committee’s constructive work in developing the draft General Comment.</w:t>
      </w:r>
    </w:p>
    <w:p w14:paraId="2776A3FB" w14:textId="0A312F0B" w:rsidR="00A42409" w:rsidRPr="00A42409" w:rsidRDefault="00A27900" w:rsidP="007203ED">
      <w:pPr>
        <w:widowControl w:val="0"/>
        <w:tabs>
          <w:tab w:val="left" w:pos="5325"/>
        </w:tabs>
        <w:spacing w:before="100" w:beforeAutospacing="1" w:after="240" w:line="240" w:lineRule="auto"/>
        <w:jc w:val="both"/>
        <w:rPr>
          <w:rFonts w:ascii="Times New Roman" w:hAnsi="Times New Roman" w:cs="Times New Roman"/>
          <w:i/>
          <w:sz w:val="24"/>
          <w:szCs w:val="24"/>
        </w:rPr>
      </w:pPr>
      <w:r>
        <w:rPr>
          <w:rFonts w:ascii="Times New Roman" w:hAnsi="Times New Roman" w:cs="Times New Roman"/>
          <w:i/>
          <w:sz w:val="24"/>
          <w:szCs w:val="24"/>
        </w:rPr>
        <w:t>Interpret</w:t>
      </w:r>
      <w:r w:rsidR="00A42409">
        <w:rPr>
          <w:rFonts w:ascii="Times New Roman" w:hAnsi="Times New Roman" w:cs="Times New Roman"/>
          <w:i/>
          <w:sz w:val="24"/>
          <w:szCs w:val="24"/>
        </w:rPr>
        <w:t xml:space="preserve">ing Article 5 </w:t>
      </w:r>
      <w:r w:rsidR="00A42409" w:rsidRPr="00A42409">
        <w:rPr>
          <w:rFonts w:ascii="Times New Roman" w:hAnsi="Times New Roman" w:cs="Times New Roman"/>
          <w:i/>
          <w:sz w:val="24"/>
          <w:szCs w:val="24"/>
        </w:rPr>
        <w:t xml:space="preserve">of the Convention </w:t>
      </w:r>
      <w:r w:rsidR="00A42409">
        <w:rPr>
          <w:rFonts w:ascii="Times New Roman" w:hAnsi="Times New Roman" w:cs="Times New Roman"/>
          <w:i/>
          <w:sz w:val="24"/>
          <w:szCs w:val="24"/>
        </w:rPr>
        <w:t>in context</w:t>
      </w:r>
    </w:p>
    <w:p w14:paraId="4BAB73A9" w14:textId="20264556" w:rsidR="00DA0C32" w:rsidRPr="008A4546" w:rsidRDefault="00DA0C32" w:rsidP="00AA023D">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At the outset, Australia recalls that ‘</w:t>
      </w:r>
      <w:r w:rsidR="00A42409">
        <w:rPr>
          <w:rFonts w:ascii="Times New Roman" w:hAnsi="Times New Roman" w:cs="Times New Roman"/>
          <w:sz w:val="24"/>
          <w:szCs w:val="24"/>
        </w:rPr>
        <w:t>[t]</w:t>
      </w:r>
      <w:r w:rsidRPr="00DA0C32">
        <w:rPr>
          <w:rFonts w:ascii="Times New Roman" w:hAnsi="Times New Roman" w:cs="Times New Roman"/>
          <w:sz w:val="24"/>
          <w:szCs w:val="24"/>
        </w:rPr>
        <w:t xml:space="preserve">he purpose of the </w:t>
      </w:r>
      <w:r w:rsidR="00A42409">
        <w:rPr>
          <w:rFonts w:ascii="Times New Roman" w:hAnsi="Times New Roman" w:cs="Times New Roman"/>
          <w:sz w:val="24"/>
          <w:szCs w:val="24"/>
        </w:rPr>
        <w:t>…</w:t>
      </w:r>
      <w:r w:rsidRPr="00DA0C32">
        <w:rPr>
          <w:rFonts w:ascii="Times New Roman" w:hAnsi="Times New Roman" w:cs="Times New Roman"/>
          <w:sz w:val="24"/>
          <w:szCs w:val="24"/>
        </w:rPr>
        <w:t xml:space="preserve"> Convention is to promote, protect and ensure the full and equal enjoyment of all human rights and fundamental freedoms by all persons with disabilities</w:t>
      </w:r>
      <w:r w:rsidR="00A42409">
        <w:rPr>
          <w:rFonts w:ascii="Times New Roman" w:hAnsi="Times New Roman" w:cs="Times New Roman"/>
          <w:sz w:val="24"/>
          <w:szCs w:val="24"/>
        </w:rPr>
        <w:t>…</w:t>
      </w:r>
      <w:r>
        <w:rPr>
          <w:rFonts w:ascii="Times New Roman" w:hAnsi="Times New Roman" w:cs="Times New Roman"/>
          <w:sz w:val="24"/>
          <w:szCs w:val="24"/>
        </w:rPr>
        <w:t>’</w:t>
      </w:r>
      <w:r w:rsidR="00A42409">
        <w:rPr>
          <w:rFonts w:ascii="Times New Roman" w:hAnsi="Times New Roman" w:cs="Times New Roman"/>
          <w:sz w:val="24"/>
          <w:szCs w:val="24"/>
        </w:rPr>
        <w:t>.</w:t>
      </w:r>
      <w:r w:rsidR="00A42409">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692FDA">
        <w:rPr>
          <w:rFonts w:ascii="Times New Roman" w:hAnsi="Times New Roman" w:cs="Times New Roman"/>
          <w:sz w:val="24"/>
          <w:szCs w:val="24"/>
        </w:rPr>
        <w:t xml:space="preserve">The </w:t>
      </w:r>
      <w:r w:rsidR="00692FDA" w:rsidRPr="00DA0C32">
        <w:rPr>
          <w:rFonts w:ascii="Times New Roman" w:hAnsi="Times New Roman" w:cs="Times New Roman"/>
          <w:sz w:val="24"/>
          <w:szCs w:val="24"/>
        </w:rPr>
        <w:t xml:space="preserve">Convention </w:t>
      </w:r>
      <w:r w:rsidR="00692FDA">
        <w:rPr>
          <w:rFonts w:ascii="Times New Roman" w:hAnsi="Times New Roman" w:cs="Times New Roman"/>
          <w:sz w:val="24"/>
          <w:szCs w:val="24"/>
        </w:rPr>
        <w:t>itself</w:t>
      </w:r>
      <w:r w:rsidR="00692FDA" w:rsidRPr="006C483F">
        <w:rPr>
          <w:rFonts w:ascii="Times New Roman" w:hAnsi="Times New Roman" w:cs="Times New Roman"/>
          <w:sz w:val="24"/>
          <w:szCs w:val="24"/>
        </w:rPr>
        <w:t xml:space="preserve"> do</w:t>
      </w:r>
      <w:r w:rsidR="00692FDA">
        <w:rPr>
          <w:rFonts w:ascii="Times New Roman" w:hAnsi="Times New Roman" w:cs="Times New Roman"/>
          <w:sz w:val="24"/>
          <w:szCs w:val="24"/>
        </w:rPr>
        <w:t xml:space="preserve">es not create </w:t>
      </w:r>
      <w:r w:rsidR="00AA023D">
        <w:rPr>
          <w:rFonts w:ascii="Times New Roman" w:hAnsi="Times New Roman" w:cs="Times New Roman"/>
          <w:sz w:val="24"/>
          <w:szCs w:val="24"/>
        </w:rPr>
        <w:t xml:space="preserve">any </w:t>
      </w:r>
      <w:r w:rsidR="00692FDA">
        <w:rPr>
          <w:rFonts w:ascii="Times New Roman" w:hAnsi="Times New Roman" w:cs="Times New Roman"/>
          <w:sz w:val="24"/>
          <w:szCs w:val="24"/>
        </w:rPr>
        <w:t xml:space="preserve">new human rights. Rather, it </w:t>
      </w:r>
      <w:r w:rsidR="00692FDA" w:rsidRPr="006C483F">
        <w:rPr>
          <w:rFonts w:ascii="Times New Roman" w:hAnsi="Times New Roman" w:cs="Times New Roman"/>
          <w:sz w:val="24"/>
          <w:szCs w:val="24"/>
        </w:rPr>
        <w:t>c</w:t>
      </w:r>
      <w:r w:rsidR="00692FDA">
        <w:rPr>
          <w:rFonts w:ascii="Times New Roman" w:hAnsi="Times New Roman" w:cs="Times New Roman"/>
          <w:sz w:val="24"/>
          <w:szCs w:val="24"/>
        </w:rPr>
        <w:t xml:space="preserve">larifies </w:t>
      </w:r>
      <w:r w:rsidR="00AA023D">
        <w:rPr>
          <w:rFonts w:ascii="Times New Roman" w:hAnsi="Times New Roman" w:cs="Times New Roman"/>
          <w:sz w:val="24"/>
          <w:szCs w:val="24"/>
        </w:rPr>
        <w:t xml:space="preserve">the application of existing </w:t>
      </w:r>
      <w:r w:rsidR="00692FDA">
        <w:rPr>
          <w:rFonts w:ascii="Times New Roman" w:hAnsi="Times New Roman" w:cs="Times New Roman"/>
          <w:sz w:val="24"/>
          <w:szCs w:val="24"/>
        </w:rPr>
        <w:t>rights in international human rights treaties</w:t>
      </w:r>
      <w:r w:rsidR="00692FDA" w:rsidRPr="006C483F">
        <w:rPr>
          <w:rFonts w:ascii="Times New Roman" w:hAnsi="Times New Roman" w:cs="Times New Roman"/>
          <w:sz w:val="24"/>
          <w:szCs w:val="24"/>
        </w:rPr>
        <w:t xml:space="preserve"> to ensure th</w:t>
      </w:r>
      <w:r w:rsidR="00AA023D">
        <w:rPr>
          <w:rFonts w:ascii="Times New Roman" w:hAnsi="Times New Roman" w:cs="Times New Roman"/>
          <w:sz w:val="24"/>
          <w:szCs w:val="24"/>
        </w:rPr>
        <w:t>os</w:t>
      </w:r>
      <w:r w:rsidR="00692FDA" w:rsidRPr="006C483F">
        <w:rPr>
          <w:rFonts w:ascii="Times New Roman" w:hAnsi="Times New Roman" w:cs="Times New Roman"/>
          <w:sz w:val="24"/>
          <w:szCs w:val="24"/>
        </w:rPr>
        <w:t>e</w:t>
      </w:r>
      <w:r w:rsidR="00692FDA">
        <w:rPr>
          <w:rFonts w:ascii="Times New Roman" w:hAnsi="Times New Roman" w:cs="Times New Roman"/>
          <w:sz w:val="24"/>
          <w:szCs w:val="24"/>
        </w:rPr>
        <w:t xml:space="preserve"> rights</w:t>
      </w:r>
      <w:r w:rsidR="00692FDA" w:rsidRPr="006C483F">
        <w:rPr>
          <w:rFonts w:ascii="Times New Roman" w:hAnsi="Times New Roman" w:cs="Times New Roman"/>
          <w:sz w:val="24"/>
          <w:szCs w:val="24"/>
        </w:rPr>
        <w:t xml:space="preserve"> can be effectively and practically exercised by persons with d</w:t>
      </w:r>
      <w:r w:rsidR="00692FDA">
        <w:rPr>
          <w:rFonts w:ascii="Times New Roman" w:hAnsi="Times New Roman" w:cs="Times New Roman"/>
          <w:sz w:val="24"/>
          <w:szCs w:val="24"/>
        </w:rPr>
        <w:t>isabilities</w:t>
      </w:r>
      <w:r w:rsidR="00AA023D">
        <w:rPr>
          <w:rFonts w:ascii="Times New Roman" w:hAnsi="Times New Roman" w:cs="Times New Roman"/>
          <w:sz w:val="24"/>
          <w:szCs w:val="24"/>
        </w:rPr>
        <w:t>,</w:t>
      </w:r>
      <w:r w:rsidR="00692FDA">
        <w:rPr>
          <w:rFonts w:ascii="Times New Roman" w:hAnsi="Times New Roman" w:cs="Times New Roman"/>
          <w:sz w:val="24"/>
          <w:szCs w:val="24"/>
        </w:rPr>
        <w:t xml:space="preserve"> on an equal basis. </w:t>
      </w:r>
      <w:r w:rsidR="00692FDA" w:rsidRPr="006C483F">
        <w:rPr>
          <w:rFonts w:ascii="Times New Roman" w:hAnsi="Times New Roman" w:cs="Times New Roman"/>
          <w:sz w:val="24"/>
          <w:szCs w:val="24"/>
        </w:rPr>
        <w:t xml:space="preserve">This </w:t>
      </w:r>
      <w:r w:rsidR="00AA023D">
        <w:rPr>
          <w:rFonts w:ascii="Times New Roman" w:hAnsi="Times New Roman" w:cs="Times New Roman"/>
          <w:sz w:val="24"/>
          <w:szCs w:val="24"/>
        </w:rPr>
        <w:t xml:space="preserve">is reflected in the </w:t>
      </w:r>
      <w:r w:rsidR="00AA023D" w:rsidRPr="006C14E4">
        <w:rPr>
          <w:rFonts w:ascii="Times New Roman" w:hAnsi="Times New Roman" w:cs="Times New Roman"/>
          <w:i/>
          <w:sz w:val="24"/>
          <w:szCs w:val="24"/>
        </w:rPr>
        <w:t>travaux préparatoires</w:t>
      </w:r>
      <w:r w:rsidR="00AA023D">
        <w:rPr>
          <w:rFonts w:ascii="Times New Roman" w:hAnsi="Times New Roman" w:cs="Times New Roman"/>
          <w:sz w:val="24"/>
          <w:szCs w:val="24"/>
        </w:rPr>
        <w:t xml:space="preserve"> of the Convention and </w:t>
      </w:r>
      <w:r w:rsidR="00692FDA">
        <w:rPr>
          <w:rFonts w:ascii="Times New Roman" w:hAnsi="Times New Roman" w:cs="Times New Roman"/>
          <w:sz w:val="24"/>
          <w:szCs w:val="24"/>
        </w:rPr>
        <w:t>has</w:t>
      </w:r>
      <w:r w:rsidR="00AA023D">
        <w:rPr>
          <w:rFonts w:ascii="Times New Roman" w:hAnsi="Times New Roman" w:cs="Times New Roman"/>
          <w:sz w:val="24"/>
          <w:szCs w:val="24"/>
        </w:rPr>
        <w:t xml:space="preserve"> since </w:t>
      </w:r>
      <w:r w:rsidR="00692FDA">
        <w:rPr>
          <w:rFonts w:ascii="Times New Roman" w:hAnsi="Times New Roman" w:cs="Times New Roman"/>
          <w:sz w:val="24"/>
          <w:szCs w:val="24"/>
        </w:rPr>
        <w:t>been confirmed by</w:t>
      </w:r>
      <w:r w:rsidR="00692FDA" w:rsidRPr="006C483F">
        <w:rPr>
          <w:rFonts w:ascii="Times New Roman" w:hAnsi="Times New Roman" w:cs="Times New Roman"/>
          <w:sz w:val="24"/>
          <w:szCs w:val="24"/>
        </w:rPr>
        <w:t xml:space="preserve"> the U</w:t>
      </w:r>
      <w:r w:rsidR="00777F56">
        <w:rPr>
          <w:rFonts w:ascii="Times New Roman" w:hAnsi="Times New Roman" w:cs="Times New Roman"/>
          <w:sz w:val="24"/>
          <w:szCs w:val="24"/>
        </w:rPr>
        <w:t xml:space="preserve">nited </w:t>
      </w:r>
      <w:r w:rsidR="00692FDA" w:rsidRPr="006C483F">
        <w:rPr>
          <w:rFonts w:ascii="Times New Roman" w:hAnsi="Times New Roman" w:cs="Times New Roman"/>
          <w:sz w:val="24"/>
          <w:szCs w:val="24"/>
        </w:rPr>
        <w:t>N</w:t>
      </w:r>
      <w:r w:rsidR="00777F56">
        <w:rPr>
          <w:rFonts w:ascii="Times New Roman" w:hAnsi="Times New Roman" w:cs="Times New Roman"/>
          <w:sz w:val="24"/>
          <w:szCs w:val="24"/>
        </w:rPr>
        <w:t>ations</w:t>
      </w:r>
      <w:r w:rsidR="00692FDA" w:rsidRPr="006C483F">
        <w:rPr>
          <w:rFonts w:ascii="Times New Roman" w:hAnsi="Times New Roman" w:cs="Times New Roman"/>
          <w:sz w:val="24"/>
          <w:szCs w:val="24"/>
        </w:rPr>
        <w:t xml:space="preserve"> High Commissioner for Human Rights</w:t>
      </w:r>
      <w:r w:rsidR="00692FDA" w:rsidRPr="006C483F">
        <w:rPr>
          <w:rStyle w:val="FootnoteReference"/>
          <w:rFonts w:ascii="Times New Roman" w:hAnsi="Times New Roman" w:cs="Times New Roman"/>
          <w:sz w:val="24"/>
          <w:szCs w:val="24"/>
        </w:rPr>
        <w:footnoteReference w:id="6"/>
      </w:r>
      <w:r w:rsidR="00692FDA" w:rsidRPr="006C483F">
        <w:rPr>
          <w:rFonts w:ascii="Times New Roman" w:hAnsi="Times New Roman" w:cs="Times New Roman"/>
          <w:sz w:val="24"/>
          <w:szCs w:val="24"/>
        </w:rPr>
        <w:t xml:space="preserve"> and academic </w:t>
      </w:r>
      <w:r w:rsidR="00692FDA" w:rsidRPr="006C483F">
        <w:rPr>
          <w:rFonts w:ascii="Times New Roman" w:hAnsi="Times New Roman" w:cs="Times New Roman"/>
          <w:sz w:val="24"/>
          <w:szCs w:val="24"/>
        </w:rPr>
        <w:lastRenderedPageBreak/>
        <w:t>commentators.</w:t>
      </w:r>
      <w:r w:rsidR="00692FDA" w:rsidRPr="006C483F">
        <w:rPr>
          <w:rStyle w:val="FootnoteReference"/>
          <w:rFonts w:ascii="Times New Roman" w:hAnsi="Times New Roman" w:cs="Times New Roman"/>
          <w:sz w:val="24"/>
          <w:szCs w:val="24"/>
        </w:rPr>
        <w:footnoteReference w:id="7"/>
      </w:r>
      <w:r w:rsidR="00AA023D" w:rsidRPr="00AA023D">
        <w:t xml:space="preserve"> </w:t>
      </w:r>
      <w:r w:rsidR="00AA023D">
        <w:rPr>
          <w:rFonts w:ascii="Times New Roman" w:hAnsi="Times New Roman" w:cs="Times New Roman"/>
          <w:sz w:val="24"/>
          <w:szCs w:val="24"/>
        </w:rPr>
        <w:t>T</w:t>
      </w:r>
      <w:r w:rsidR="00AA023D" w:rsidRPr="00AA023D">
        <w:rPr>
          <w:rFonts w:ascii="Times New Roman" w:hAnsi="Times New Roman" w:cs="Times New Roman"/>
          <w:sz w:val="24"/>
          <w:szCs w:val="24"/>
        </w:rPr>
        <w:t>he Convention is firmly anchored in existing principles of int</w:t>
      </w:r>
      <w:r w:rsidR="00836C52">
        <w:rPr>
          <w:rFonts w:ascii="Times New Roman" w:hAnsi="Times New Roman" w:cs="Times New Roman"/>
          <w:sz w:val="24"/>
          <w:szCs w:val="24"/>
        </w:rPr>
        <w:t>ernational human rights law.</w:t>
      </w:r>
    </w:p>
    <w:p w14:paraId="7CF7E63C" w14:textId="0DC3BEC0" w:rsidR="00777F56" w:rsidRDefault="00777F56" w:rsidP="00777F56">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AC54A4">
        <w:rPr>
          <w:rFonts w:ascii="Times New Roman" w:hAnsi="Times New Roman" w:cs="Times New Roman"/>
          <w:sz w:val="24"/>
          <w:szCs w:val="24"/>
        </w:rPr>
        <w:t xml:space="preserve">Australia </w:t>
      </w:r>
      <w:r>
        <w:rPr>
          <w:rFonts w:ascii="Times New Roman" w:hAnsi="Times New Roman" w:cs="Times New Roman"/>
          <w:sz w:val="24"/>
          <w:szCs w:val="24"/>
        </w:rPr>
        <w:t xml:space="preserve">therefore </w:t>
      </w:r>
      <w:r w:rsidRPr="00AC54A4">
        <w:rPr>
          <w:rFonts w:ascii="Times New Roman" w:hAnsi="Times New Roman" w:cs="Times New Roman"/>
          <w:sz w:val="24"/>
          <w:szCs w:val="24"/>
        </w:rPr>
        <w:t>welcomes the</w:t>
      </w:r>
      <w:r>
        <w:rPr>
          <w:rFonts w:ascii="Times New Roman" w:hAnsi="Times New Roman" w:cs="Times New Roman"/>
          <w:sz w:val="24"/>
          <w:szCs w:val="24"/>
        </w:rPr>
        <w:t xml:space="preserve"> Committee’s recognition that </w:t>
      </w:r>
      <w:r w:rsidRPr="00A01688">
        <w:rPr>
          <w:rFonts w:ascii="Times New Roman" w:hAnsi="Times New Roman" w:cs="Times New Roman"/>
          <w:sz w:val="24"/>
          <w:szCs w:val="24"/>
        </w:rPr>
        <w:t xml:space="preserve">the Convention </w:t>
      </w:r>
      <w:r>
        <w:rPr>
          <w:rFonts w:ascii="Times New Roman" w:hAnsi="Times New Roman" w:cs="Times New Roman"/>
          <w:sz w:val="24"/>
          <w:szCs w:val="24"/>
        </w:rPr>
        <w:t>‘</w:t>
      </w:r>
      <w:r w:rsidRPr="00A01688">
        <w:rPr>
          <w:rFonts w:ascii="Times New Roman" w:hAnsi="Times New Roman" w:cs="Times New Roman"/>
          <w:sz w:val="24"/>
          <w:szCs w:val="24"/>
        </w:rPr>
        <w:t>was built</w:t>
      </w:r>
      <w:r>
        <w:rPr>
          <w:rFonts w:ascii="Times New Roman" w:hAnsi="Times New Roman" w:cs="Times New Roman"/>
          <w:sz w:val="24"/>
          <w:szCs w:val="24"/>
        </w:rPr>
        <w:t xml:space="preserve">’ on the other </w:t>
      </w:r>
      <w:r w:rsidRPr="00A01688">
        <w:rPr>
          <w:rFonts w:ascii="Times New Roman" w:hAnsi="Times New Roman" w:cs="Times New Roman"/>
          <w:sz w:val="24"/>
          <w:szCs w:val="24"/>
        </w:rPr>
        <w:t>core human rights treaties</w:t>
      </w:r>
      <w:r>
        <w:rPr>
          <w:rFonts w:ascii="Times New Roman" w:hAnsi="Times New Roman" w:cs="Times New Roman"/>
          <w:sz w:val="24"/>
          <w:szCs w:val="24"/>
        </w:rPr>
        <w:t xml:space="preserve"> which provide for e</w:t>
      </w:r>
      <w:r w:rsidRPr="00A01688">
        <w:rPr>
          <w:rFonts w:ascii="Times New Roman" w:hAnsi="Times New Roman" w:cs="Times New Roman"/>
          <w:sz w:val="24"/>
          <w:szCs w:val="24"/>
        </w:rPr>
        <w:t>quality and non-discrimination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033E59">
        <w:rPr>
          <w:rFonts w:ascii="Times New Roman" w:hAnsi="Times New Roman" w:cs="Times New Roman"/>
          <w:sz w:val="24"/>
          <w:szCs w:val="24"/>
        </w:rPr>
        <w:t xml:space="preserve">Australia’s view is that the right </w:t>
      </w:r>
      <w:r>
        <w:rPr>
          <w:rFonts w:ascii="Times New Roman" w:hAnsi="Times New Roman" w:cs="Times New Roman"/>
          <w:sz w:val="24"/>
          <w:szCs w:val="24"/>
        </w:rPr>
        <w:t xml:space="preserve">of persons with disabilities to equality and </w:t>
      </w:r>
      <w:r w:rsidRPr="00033E59">
        <w:rPr>
          <w:rFonts w:ascii="Times New Roman" w:hAnsi="Times New Roman" w:cs="Times New Roman"/>
          <w:sz w:val="24"/>
          <w:szCs w:val="24"/>
        </w:rPr>
        <w:t>non</w:t>
      </w:r>
      <w:r w:rsidRPr="00033E59">
        <w:rPr>
          <w:rFonts w:ascii="Times New Roman" w:hAnsi="Times New Roman" w:cs="Times New Roman"/>
          <w:sz w:val="24"/>
          <w:szCs w:val="24"/>
        </w:rPr>
        <w:noBreakHyphen/>
        <w:t xml:space="preserve">discrimination </w:t>
      </w:r>
      <w:r>
        <w:rPr>
          <w:rFonts w:ascii="Times New Roman" w:hAnsi="Times New Roman" w:cs="Times New Roman"/>
          <w:sz w:val="24"/>
          <w:szCs w:val="24"/>
        </w:rPr>
        <w:t xml:space="preserve">should be interpreted </w:t>
      </w:r>
      <w:r w:rsidR="009926BF">
        <w:rPr>
          <w:rFonts w:ascii="Times New Roman" w:hAnsi="Times New Roman" w:cs="Times New Roman"/>
          <w:sz w:val="24"/>
          <w:szCs w:val="24"/>
        </w:rPr>
        <w:t xml:space="preserve">in accordance with international law and </w:t>
      </w:r>
      <w:r>
        <w:rPr>
          <w:rFonts w:ascii="Times New Roman" w:hAnsi="Times New Roman" w:cs="Times New Roman"/>
          <w:sz w:val="24"/>
          <w:szCs w:val="24"/>
        </w:rPr>
        <w:t xml:space="preserve">consistently across the </w:t>
      </w:r>
      <w:r w:rsidRPr="00A01688">
        <w:rPr>
          <w:rFonts w:ascii="Times New Roman" w:hAnsi="Times New Roman" w:cs="Times New Roman"/>
          <w:sz w:val="24"/>
          <w:szCs w:val="24"/>
        </w:rPr>
        <w:t>core human rights treaties</w:t>
      </w:r>
      <w:r w:rsidRPr="00033E59">
        <w:rPr>
          <w:rFonts w:ascii="Times New Roman" w:hAnsi="Times New Roman" w:cs="Times New Roman"/>
          <w:sz w:val="24"/>
          <w:szCs w:val="24"/>
        </w:rPr>
        <w:t>.</w:t>
      </w:r>
      <w:r w:rsidR="00836C52">
        <w:rPr>
          <w:rFonts w:ascii="Times New Roman" w:hAnsi="Times New Roman" w:cs="Times New Roman"/>
          <w:sz w:val="24"/>
          <w:szCs w:val="24"/>
        </w:rPr>
        <w:t xml:space="preserve"> This position has informed Australia’s approach to the present draft General Comment.</w:t>
      </w:r>
    </w:p>
    <w:p w14:paraId="4186546F" w14:textId="4DABB900" w:rsidR="007203ED" w:rsidRDefault="007203ED" w:rsidP="000B41C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Accordingly, Australia does not consider that the </w:t>
      </w:r>
      <w:r w:rsidRPr="007203ED">
        <w:rPr>
          <w:rFonts w:ascii="Times New Roman" w:hAnsi="Times New Roman" w:cs="Times New Roman"/>
          <w:sz w:val="24"/>
          <w:szCs w:val="24"/>
        </w:rPr>
        <w:t xml:space="preserve">definition </w:t>
      </w:r>
      <w:r>
        <w:rPr>
          <w:rFonts w:ascii="Times New Roman" w:hAnsi="Times New Roman" w:cs="Times New Roman"/>
          <w:sz w:val="24"/>
          <w:szCs w:val="24"/>
        </w:rPr>
        <w:t xml:space="preserve">of </w:t>
      </w:r>
      <w:r w:rsidR="00517295">
        <w:rPr>
          <w:rFonts w:ascii="Times New Roman" w:hAnsi="Times New Roman" w:cs="Times New Roman"/>
          <w:sz w:val="24"/>
          <w:szCs w:val="24"/>
        </w:rPr>
        <w:t>‘</w:t>
      </w:r>
      <w:r w:rsidR="00517295" w:rsidRPr="007203ED">
        <w:rPr>
          <w:rFonts w:ascii="Times New Roman" w:hAnsi="Times New Roman" w:cs="Times New Roman"/>
          <w:sz w:val="24"/>
          <w:szCs w:val="24"/>
        </w:rPr>
        <w:t>discrimination</w:t>
      </w:r>
      <w:r w:rsidR="00517295">
        <w:rPr>
          <w:rFonts w:ascii="Times New Roman" w:hAnsi="Times New Roman" w:cs="Times New Roman"/>
          <w:sz w:val="24"/>
          <w:szCs w:val="24"/>
        </w:rPr>
        <w:t xml:space="preserve"> on the basis of </w:t>
      </w:r>
      <w:r>
        <w:rPr>
          <w:rFonts w:ascii="Times New Roman" w:hAnsi="Times New Roman" w:cs="Times New Roman"/>
          <w:sz w:val="24"/>
          <w:szCs w:val="24"/>
        </w:rPr>
        <w:t>d</w:t>
      </w:r>
      <w:r w:rsidRPr="007203ED">
        <w:rPr>
          <w:rFonts w:ascii="Times New Roman" w:hAnsi="Times New Roman" w:cs="Times New Roman"/>
          <w:sz w:val="24"/>
          <w:szCs w:val="24"/>
        </w:rPr>
        <w:t>isability</w:t>
      </w:r>
      <w:r w:rsidR="00517295">
        <w:rPr>
          <w:rFonts w:ascii="Times New Roman" w:hAnsi="Times New Roman" w:cs="Times New Roman"/>
          <w:sz w:val="24"/>
          <w:szCs w:val="24"/>
        </w:rPr>
        <w:t>’</w:t>
      </w:r>
      <w:r w:rsidRPr="007203ED">
        <w:rPr>
          <w:rFonts w:ascii="Times New Roman" w:hAnsi="Times New Roman" w:cs="Times New Roman"/>
          <w:sz w:val="24"/>
          <w:szCs w:val="24"/>
        </w:rPr>
        <w:t xml:space="preserve"> </w:t>
      </w:r>
      <w:r>
        <w:rPr>
          <w:rFonts w:ascii="Times New Roman" w:hAnsi="Times New Roman" w:cs="Times New Roman"/>
          <w:sz w:val="24"/>
          <w:szCs w:val="24"/>
        </w:rPr>
        <w:t xml:space="preserve">in </w:t>
      </w:r>
      <w:r w:rsidR="00517295">
        <w:rPr>
          <w:rFonts w:ascii="Times New Roman" w:hAnsi="Times New Roman" w:cs="Times New Roman"/>
          <w:sz w:val="24"/>
          <w:szCs w:val="24"/>
        </w:rPr>
        <w:t xml:space="preserve">Article 2 of </w:t>
      </w:r>
      <w:r>
        <w:rPr>
          <w:rFonts w:ascii="Times New Roman" w:hAnsi="Times New Roman" w:cs="Times New Roman"/>
          <w:sz w:val="24"/>
          <w:szCs w:val="24"/>
        </w:rPr>
        <w:t>the Convention ‘</w:t>
      </w:r>
      <w:r w:rsidRPr="007203ED">
        <w:rPr>
          <w:rFonts w:ascii="Times New Roman" w:hAnsi="Times New Roman" w:cs="Times New Roman"/>
          <w:sz w:val="24"/>
          <w:szCs w:val="24"/>
        </w:rPr>
        <w:t>goes beyond</w:t>
      </w:r>
      <w:r>
        <w:rPr>
          <w:rFonts w:ascii="Times New Roman" w:hAnsi="Times New Roman" w:cs="Times New Roman"/>
          <w:sz w:val="24"/>
          <w:szCs w:val="24"/>
        </w:rPr>
        <w:t xml:space="preserve">’ </w:t>
      </w:r>
      <w:r w:rsidRPr="007203ED">
        <w:rPr>
          <w:rFonts w:ascii="Times New Roman" w:hAnsi="Times New Roman" w:cs="Times New Roman"/>
          <w:sz w:val="24"/>
          <w:szCs w:val="24"/>
        </w:rPr>
        <w:t>d</w:t>
      </w:r>
      <w:r w:rsidR="00517295">
        <w:rPr>
          <w:rFonts w:ascii="Times New Roman" w:hAnsi="Times New Roman" w:cs="Times New Roman"/>
          <w:sz w:val="24"/>
          <w:szCs w:val="24"/>
        </w:rPr>
        <w:t xml:space="preserve">efinitions of discrimination in other </w:t>
      </w:r>
      <w:r w:rsidRPr="007203ED">
        <w:rPr>
          <w:rFonts w:ascii="Times New Roman" w:hAnsi="Times New Roman" w:cs="Times New Roman"/>
          <w:sz w:val="24"/>
          <w:szCs w:val="24"/>
        </w:rPr>
        <w:t>international human rights treaties</w:t>
      </w:r>
      <w:r w:rsidR="00517295">
        <w:rPr>
          <w:rFonts w:ascii="Times New Roman" w:hAnsi="Times New Roman" w:cs="Times New Roman"/>
          <w:sz w:val="24"/>
          <w:szCs w:val="24"/>
        </w:rPr>
        <w:t xml:space="preserve"> due to the inclusion of the phrases ‘</w:t>
      </w:r>
      <w:r w:rsidR="00517295" w:rsidRPr="007203ED">
        <w:rPr>
          <w:rFonts w:ascii="Times New Roman" w:hAnsi="Times New Roman" w:cs="Times New Roman"/>
          <w:sz w:val="24"/>
          <w:szCs w:val="24"/>
        </w:rPr>
        <w:t>on an equal basis with others</w:t>
      </w:r>
      <w:r w:rsidR="00517295">
        <w:rPr>
          <w:rFonts w:ascii="Times New Roman" w:hAnsi="Times New Roman" w:cs="Times New Roman"/>
          <w:sz w:val="24"/>
          <w:szCs w:val="24"/>
        </w:rPr>
        <w:t>’</w:t>
      </w:r>
      <w:r w:rsidR="00517295" w:rsidRPr="007203ED">
        <w:rPr>
          <w:rFonts w:ascii="Times New Roman" w:hAnsi="Times New Roman" w:cs="Times New Roman"/>
          <w:sz w:val="24"/>
          <w:szCs w:val="24"/>
        </w:rPr>
        <w:t xml:space="preserve"> </w:t>
      </w:r>
      <w:r w:rsidR="00517295">
        <w:rPr>
          <w:rFonts w:ascii="Times New Roman" w:hAnsi="Times New Roman" w:cs="Times New Roman"/>
          <w:sz w:val="24"/>
          <w:szCs w:val="24"/>
        </w:rPr>
        <w:t>and ‘</w:t>
      </w:r>
      <w:r w:rsidRPr="007203ED">
        <w:rPr>
          <w:rFonts w:ascii="Times New Roman" w:hAnsi="Times New Roman" w:cs="Times New Roman"/>
          <w:sz w:val="24"/>
          <w:szCs w:val="24"/>
        </w:rPr>
        <w:t>denial of reasonable accommodation</w:t>
      </w:r>
      <w:r w:rsidR="00517295">
        <w:rPr>
          <w:rFonts w:ascii="Times New Roman" w:hAnsi="Times New Roman" w:cs="Times New Roman"/>
          <w:sz w:val="24"/>
          <w:szCs w:val="24"/>
        </w:rPr>
        <w:t>’</w:t>
      </w:r>
      <w:r w:rsidR="00836C52">
        <w:rPr>
          <w:rFonts w:ascii="Times New Roman" w:hAnsi="Times New Roman" w:cs="Times New Roman"/>
          <w:sz w:val="24"/>
          <w:szCs w:val="24"/>
        </w:rPr>
        <w:t>, as suggested by the Committee</w:t>
      </w:r>
      <w:r w:rsidR="00517295">
        <w:rPr>
          <w:rFonts w:ascii="Times New Roman" w:hAnsi="Times New Roman" w:cs="Times New Roman"/>
          <w:sz w:val="24"/>
          <w:szCs w:val="24"/>
        </w:rPr>
        <w:t>.</w:t>
      </w:r>
      <w:r w:rsidR="00517295">
        <w:rPr>
          <w:rStyle w:val="FootnoteReference"/>
          <w:rFonts w:ascii="Times New Roman" w:hAnsi="Times New Roman" w:cs="Times New Roman"/>
          <w:sz w:val="24"/>
          <w:szCs w:val="24"/>
        </w:rPr>
        <w:footnoteReference w:id="9"/>
      </w:r>
      <w:r w:rsidR="00517295">
        <w:rPr>
          <w:rFonts w:ascii="Times New Roman" w:hAnsi="Times New Roman" w:cs="Times New Roman"/>
          <w:sz w:val="24"/>
          <w:szCs w:val="24"/>
        </w:rPr>
        <w:t xml:space="preserve"> In Australia’s view, the inclusion of ‘</w:t>
      </w:r>
      <w:r w:rsidR="00517295" w:rsidRPr="007203ED">
        <w:rPr>
          <w:rFonts w:ascii="Times New Roman" w:hAnsi="Times New Roman" w:cs="Times New Roman"/>
          <w:sz w:val="24"/>
          <w:szCs w:val="24"/>
        </w:rPr>
        <w:t>on an equal basis with others</w:t>
      </w:r>
      <w:r w:rsidR="00517295">
        <w:rPr>
          <w:rFonts w:ascii="Times New Roman" w:hAnsi="Times New Roman" w:cs="Times New Roman"/>
          <w:sz w:val="24"/>
          <w:szCs w:val="24"/>
        </w:rPr>
        <w:t>’</w:t>
      </w:r>
      <w:r w:rsidR="00517295" w:rsidRPr="007203ED">
        <w:rPr>
          <w:rFonts w:ascii="Times New Roman" w:hAnsi="Times New Roman" w:cs="Times New Roman"/>
          <w:sz w:val="24"/>
          <w:szCs w:val="24"/>
        </w:rPr>
        <w:t xml:space="preserve"> </w:t>
      </w:r>
      <w:r w:rsidR="00517295">
        <w:rPr>
          <w:rFonts w:ascii="Times New Roman" w:hAnsi="Times New Roman" w:cs="Times New Roman"/>
          <w:sz w:val="24"/>
          <w:szCs w:val="24"/>
        </w:rPr>
        <w:t>and ‘</w:t>
      </w:r>
      <w:r w:rsidR="00517295" w:rsidRPr="007203ED">
        <w:rPr>
          <w:rFonts w:ascii="Times New Roman" w:hAnsi="Times New Roman" w:cs="Times New Roman"/>
          <w:sz w:val="24"/>
          <w:szCs w:val="24"/>
        </w:rPr>
        <w:t>denial of reasonable accommodation</w:t>
      </w:r>
      <w:r w:rsidR="00517295">
        <w:rPr>
          <w:rFonts w:ascii="Times New Roman" w:hAnsi="Times New Roman" w:cs="Times New Roman"/>
          <w:sz w:val="24"/>
          <w:szCs w:val="24"/>
        </w:rPr>
        <w:t>’ in the definition of d</w:t>
      </w:r>
      <w:r w:rsidR="00517295" w:rsidRPr="00517295">
        <w:rPr>
          <w:rFonts w:ascii="Times New Roman" w:hAnsi="Times New Roman" w:cs="Times New Roman"/>
          <w:sz w:val="24"/>
          <w:szCs w:val="24"/>
        </w:rPr>
        <w:t>isability</w:t>
      </w:r>
      <w:r w:rsidR="00517295">
        <w:rPr>
          <w:rFonts w:ascii="Times New Roman" w:hAnsi="Times New Roman" w:cs="Times New Roman"/>
          <w:sz w:val="24"/>
          <w:szCs w:val="24"/>
        </w:rPr>
        <w:noBreakHyphen/>
      </w:r>
      <w:r w:rsidR="00517295" w:rsidRPr="00517295">
        <w:rPr>
          <w:rFonts w:ascii="Times New Roman" w:hAnsi="Times New Roman" w:cs="Times New Roman"/>
          <w:sz w:val="24"/>
          <w:szCs w:val="24"/>
        </w:rPr>
        <w:t>based discrimination</w:t>
      </w:r>
      <w:r w:rsidR="00517295">
        <w:rPr>
          <w:rFonts w:ascii="Times New Roman" w:hAnsi="Times New Roman" w:cs="Times New Roman"/>
          <w:sz w:val="24"/>
          <w:szCs w:val="24"/>
        </w:rPr>
        <w:t xml:space="preserve"> seeks to </w:t>
      </w:r>
      <w:r w:rsidR="00B35FD1" w:rsidRPr="006C483F">
        <w:rPr>
          <w:rFonts w:ascii="Times New Roman" w:hAnsi="Times New Roman" w:cs="Times New Roman"/>
          <w:sz w:val="24"/>
          <w:szCs w:val="24"/>
        </w:rPr>
        <w:t xml:space="preserve">ensure </w:t>
      </w:r>
      <w:r w:rsidR="00D96EDC">
        <w:rPr>
          <w:rFonts w:ascii="Times New Roman" w:hAnsi="Times New Roman" w:cs="Times New Roman"/>
          <w:sz w:val="24"/>
          <w:szCs w:val="24"/>
        </w:rPr>
        <w:t xml:space="preserve">that </w:t>
      </w:r>
      <w:r w:rsidR="00B35FD1" w:rsidRPr="006C483F">
        <w:rPr>
          <w:rFonts w:ascii="Times New Roman" w:hAnsi="Times New Roman" w:cs="Times New Roman"/>
          <w:sz w:val="24"/>
          <w:szCs w:val="24"/>
        </w:rPr>
        <w:t>the</w:t>
      </w:r>
      <w:r w:rsidR="00B35FD1">
        <w:rPr>
          <w:rFonts w:ascii="Times New Roman" w:hAnsi="Times New Roman" w:cs="Times New Roman"/>
          <w:sz w:val="24"/>
          <w:szCs w:val="24"/>
        </w:rPr>
        <w:t xml:space="preserve"> rights</w:t>
      </w:r>
      <w:r w:rsidR="00B35FD1" w:rsidRPr="006C483F">
        <w:rPr>
          <w:rFonts w:ascii="Times New Roman" w:hAnsi="Times New Roman" w:cs="Times New Roman"/>
          <w:sz w:val="24"/>
          <w:szCs w:val="24"/>
        </w:rPr>
        <w:t xml:space="preserve"> </w:t>
      </w:r>
      <w:r w:rsidR="00B35FD1">
        <w:rPr>
          <w:rFonts w:ascii="Times New Roman" w:hAnsi="Times New Roman" w:cs="Times New Roman"/>
          <w:sz w:val="24"/>
          <w:szCs w:val="24"/>
        </w:rPr>
        <w:t>to equality and non</w:t>
      </w:r>
      <w:r w:rsidR="00B35FD1">
        <w:rPr>
          <w:rFonts w:ascii="Times New Roman" w:hAnsi="Times New Roman" w:cs="Times New Roman"/>
          <w:sz w:val="24"/>
          <w:szCs w:val="24"/>
        </w:rPr>
        <w:noBreakHyphen/>
        <w:t xml:space="preserve">discrimination </w:t>
      </w:r>
      <w:r w:rsidR="00B35FD1" w:rsidRPr="006C483F">
        <w:rPr>
          <w:rFonts w:ascii="Times New Roman" w:hAnsi="Times New Roman" w:cs="Times New Roman"/>
          <w:sz w:val="24"/>
          <w:szCs w:val="24"/>
        </w:rPr>
        <w:t>can be effectively and practically exercised by persons with d</w:t>
      </w:r>
      <w:r w:rsidR="00B35FD1">
        <w:rPr>
          <w:rFonts w:ascii="Times New Roman" w:hAnsi="Times New Roman" w:cs="Times New Roman"/>
          <w:sz w:val="24"/>
          <w:szCs w:val="24"/>
        </w:rPr>
        <w:t xml:space="preserve">isabilities </w:t>
      </w:r>
      <w:r w:rsidR="00836C52">
        <w:rPr>
          <w:rFonts w:ascii="Times New Roman" w:hAnsi="Times New Roman" w:cs="Times New Roman"/>
          <w:sz w:val="24"/>
          <w:szCs w:val="24"/>
        </w:rPr>
        <w:t>consistently with the obligation of non-discrimination at international human rights law</w:t>
      </w:r>
      <w:r w:rsidR="00B35FD1">
        <w:rPr>
          <w:rFonts w:ascii="Times New Roman" w:hAnsi="Times New Roman" w:cs="Times New Roman"/>
          <w:sz w:val="24"/>
          <w:szCs w:val="24"/>
        </w:rPr>
        <w:t>.</w:t>
      </w:r>
    </w:p>
    <w:p w14:paraId="4A1208C5" w14:textId="3AFB9F80" w:rsidR="00B2086F" w:rsidRPr="00B2086F" w:rsidRDefault="00B2086F" w:rsidP="000B41CB">
      <w:pPr>
        <w:widowControl w:val="0"/>
        <w:spacing w:before="100" w:beforeAutospacing="1" w:after="240" w:line="240" w:lineRule="auto"/>
        <w:jc w:val="both"/>
        <w:rPr>
          <w:rFonts w:ascii="Times New Roman" w:hAnsi="Times New Roman" w:cs="Times New Roman"/>
          <w:i/>
          <w:sz w:val="24"/>
          <w:szCs w:val="24"/>
        </w:rPr>
      </w:pPr>
      <w:r>
        <w:rPr>
          <w:rFonts w:ascii="Times New Roman" w:hAnsi="Times New Roman" w:cs="Times New Roman"/>
          <w:i/>
          <w:sz w:val="24"/>
          <w:szCs w:val="24"/>
        </w:rPr>
        <w:t>Models of disability and compatibility with the Convention</w:t>
      </w:r>
    </w:p>
    <w:p w14:paraId="3FEDC962" w14:textId="297976FC" w:rsidR="003B550E" w:rsidRDefault="00B2086F" w:rsidP="000B41C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w:t>
      </w:r>
      <w:r w:rsidR="00806F96">
        <w:rPr>
          <w:rFonts w:ascii="Times New Roman" w:hAnsi="Times New Roman" w:cs="Times New Roman"/>
          <w:sz w:val="24"/>
          <w:szCs w:val="24"/>
        </w:rPr>
        <w:t xml:space="preserve">welcomes </w:t>
      </w:r>
      <w:r>
        <w:rPr>
          <w:rFonts w:ascii="Times New Roman" w:hAnsi="Times New Roman" w:cs="Times New Roman"/>
          <w:sz w:val="24"/>
          <w:szCs w:val="24"/>
        </w:rPr>
        <w:t xml:space="preserve">‘the </w:t>
      </w:r>
      <w:r w:rsidRPr="00B2086F">
        <w:rPr>
          <w:rFonts w:ascii="Times New Roman" w:hAnsi="Times New Roman" w:cs="Times New Roman"/>
          <w:sz w:val="24"/>
          <w:szCs w:val="24"/>
        </w:rPr>
        <w:t>human rights model of disability, which leaves charity, welfare, and medical approaches behind and is based on the assumption that disability is not primarily a medical issue</w:t>
      </w:r>
      <w:r>
        <w:rPr>
          <w:rFonts w:ascii="Times New Roman" w:hAnsi="Times New Roman" w:cs="Times New Roman"/>
          <w:sz w:val="24"/>
          <w:szCs w:val="24"/>
        </w:rPr>
        <w:t>’</w:t>
      </w:r>
      <w:r w:rsidR="00836C52">
        <w:rPr>
          <w:rFonts w:ascii="Times New Roman" w:hAnsi="Times New Roman" w:cs="Times New Roman"/>
          <w:sz w:val="24"/>
          <w:szCs w:val="24"/>
        </w:rPr>
        <w:t>,</w:t>
      </w:r>
      <w:r w:rsidR="00806F96">
        <w:rPr>
          <w:rFonts w:ascii="Times New Roman" w:hAnsi="Times New Roman" w:cs="Times New Roman"/>
          <w:sz w:val="24"/>
          <w:szCs w:val="24"/>
        </w:rPr>
        <w:t xml:space="preserve"> and recognises that </w:t>
      </w:r>
      <w:r w:rsidR="00806F96" w:rsidRPr="00806F96">
        <w:rPr>
          <w:rFonts w:ascii="Times New Roman" w:hAnsi="Times New Roman" w:cs="Times New Roman"/>
          <w:sz w:val="24"/>
          <w:szCs w:val="24"/>
        </w:rPr>
        <w:t>the Convention affirms a social model of disability</w:t>
      </w:r>
      <w:r w:rsidR="00D27936">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806F96">
        <w:rPr>
          <w:rFonts w:ascii="Times New Roman" w:hAnsi="Times New Roman" w:cs="Times New Roman"/>
          <w:sz w:val="24"/>
          <w:szCs w:val="24"/>
        </w:rPr>
        <w:t xml:space="preserve"> </w:t>
      </w:r>
      <w:r w:rsidR="00836C52">
        <w:rPr>
          <w:rFonts w:ascii="Times New Roman" w:hAnsi="Times New Roman" w:cs="Times New Roman"/>
          <w:sz w:val="24"/>
          <w:szCs w:val="24"/>
        </w:rPr>
        <w:t>That said, Australia does not consider</w:t>
      </w:r>
      <w:r>
        <w:rPr>
          <w:rFonts w:ascii="Times New Roman" w:hAnsi="Times New Roman" w:cs="Times New Roman"/>
          <w:sz w:val="24"/>
          <w:szCs w:val="24"/>
        </w:rPr>
        <w:t xml:space="preserve"> that </w:t>
      </w:r>
      <w:r w:rsidR="00D27936">
        <w:rPr>
          <w:rFonts w:ascii="Times New Roman" w:hAnsi="Times New Roman" w:cs="Times New Roman"/>
          <w:sz w:val="24"/>
          <w:szCs w:val="24"/>
        </w:rPr>
        <w:t>the medical model of disability, or</w:t>
      </w:r>
      <w:r w:rsidR="00D27936" w:rsidRPr="00D27936">
        <w:rPr>
          <w:rFonts w:ascii="Times New Roman" w:hAnsi="Times New Roman" w:cs="Times New Roman"/>
          <w:sz w:val="24"/>
          <w:szCs w:val="24"/>
        </w:rPr>
        <w:t xml:space="preserve"> medical paradigms to</w:t>
      </w:r>
      <w:r w:rsidR="00D27936">
        <w:rPr>
          <w:rFonts w:ascii="Times New Roman" w:hAnsi="Times New Roman" w:cs="Times New Roman"/>
          <w:sz w:val="24"/>
          <w:szCs w:val="24"/>
        </w:rPr>
        <w:t xml:space="preserve"> disability, are ‘incompatible’</w:t>
      </w:r>
      <w:r w:rsidR="00D27936" w:rsidRPr="00D27936">
        <w:rPr>
          <w:rFonts w:ascii="Times New Roman" w:hAnsi="Times New Roman" w:cs="Times New Roman"/>
          <w:sz w:val="24"/>
          <w:szCs w:val="24"/>
        </w:rPr>
        <w:t xml:space="preserve"> with the Convention</w:t>
      </w:r>
      <w:r w:rsidR="00D27936">
        <w:rPr>
          <w:rFonts w:ascii="Times New Roman" w:hAnsi="Times New Roman" w:cs="Times New Roman"/>
          <w:sz w:val="24"/>
          <w:szCs w:val="24"/>
        </w:rPr>
        <w:t>.</w:t>
      </w:r>
      <w:r w:rsidR="00D27936">
        <w:rPr>
          <w:rStyle w:val="FootnoteReference"/>
          <w:rFonts w:ascii="Times New Roman" w:hAnsi="Times New Roman" w:cs="Times New Roman"/>
          <w:sz w:val="24"/>
          <w:szCs w:val="24"/>
        </w:rPr>
        <w:footnoteReference w:id="11"/>
      </w:r>
      <w:r w:rsidR="00D27936">
        <w:rPr>
          <w:rFonts w:ascii="Times New Roman" w:hAnsi="Times New Roman" w:cs="Times New Roman"/>
          <w:sz w:val="24"/>
          <w:szCs w:val="24"/>
        </w:rPr>
        <w:t xml:space="preserve"> </w:t>
      </w:r>
      <w:r w:rsidR="00D27936" w:rsidRPr="00AC54A4">
        <w:rPr>
          <w:rFonts w:ascii="Times New Roman" w:hAnsi="Times New Roman" w:cs="Times New Roman"/>
          <w:sz w:val="24"/>
          <w:szCs w:val="24"/>
        </w:rPr>
        <w:t>In Australia’s view,</w:t>
      </w:r>
      <w:r w:rsidR="00D27936">
        <w:rPr>
          <w:rFonts w:ascii="Times New Roman" w:hAnsi="Times New Roman" w:cs="Times New Roman"/>
          <w:sz w:val="24"/>
          <w:szCs w:val="24"/>
        </w:rPr>
        <w:t xml:space="preserve"> the </w:t>
      </w:r>
      <w:r w:rsidR="00806F96">
        <w:rPr>
          <w:rFonts w:ascii="Times New Roman" w:hAnsi="Times New Roman" w:cs="Times New Roman"/>
          <w:sz w:val="24"/>
          <w:szCs w:val="24"/>
        </w:rPr>
        <w:t xml:space="preserve">social </w:t>
      </w:r>
      <w:r w:rsidR="00D27936" w:rsidRPr="00B2086F">
        <w:rPr>
          <w:rFonts w:ascii="Times New Roman" w:hAnsi="Times New Roman" w:cs="Times New Roman"/>
          <w:sz w:val="24"/>
          <w:szCs w:val="24"/>
        </w:rPr>
        <w:t>model of disability</w:t>
      </w:r>
      <w:r w:rsidR="002D7884">
        <w:rPr>
          <w:rFonts w:ascii="Times New Roman" w:hAnsi="Times New Roman" w:cs="Times New Roman"/>
          <w:sz w:val="24"/>
          <w:szCs w:val="24"/>
        </w:rPr>
        <w:t xml:space="preserve"> is best practice</w:t>
      </w:r>
      <w:r w:rsidR="00D27936">
        <w:rPr>
          <w:rFonts w:ascii="Times New Roman" w:hAnsi="Times New Roman" w:cs="Times New Roman"/>
          <w:sz w:val="24"/>
          <w:szCs w:val="24"/>
        </w:rPr>
        <w:t xml:space="preserve"> but not a precondition for </w:t>
      </w:r>
      <w:r w:rsidR="002D7884">
        <w:rPr>
          <w:rFonts w:ascii="Times New Roman" w:hAnsi="Times New Roman" w:cs="Times New Roman"/>
          <w:sz w:val="24"/>
          <w:szCs w:val="24"/>
        </w:rPr>
        <w:t>conformity with the Convention.</w:t>
      </w:r>
      <w:r w:rsidR="003B550E">
        <w:rPr>
          <w:rFonts w:ascii="Times New Roman" w:hAnsi="Times New Roman" w:cs="Times New Roman"/>
          <w:sz w:val="24"/>
          <w:szCs w:val="24"/>
        </w:rPr>
        <w:t xml:space="preserve"> </w:t>
      </w:r>
      <w:r w:rsidR="00836C52">
        <w:rPr>
          <w:rFonts w:ascii="Times New Roman" w:hAnsi="Times New Roman" w:cs="Times New Roman"/>
          <w:sz w:val="24"/>
          <w:szCs w:val="24"/>
        </w:rPr>
        <w:t xml:space="preserve">While </w:t>
      </w:r>
      <w:r w:rsidR="00836C52" w:rsidRPr="003B550E">
        <w:rPr>
          <w:rFonts w:ascii="Times New Roman" w:hAnsi="Times New Roman" w:cs="Times New Roman"/>
          <w:sz w:val="24"/>
          <w:szCs w:val="24"/>
        </w:rPr>
        <w:t xml:space="preserve">Australia’s National Disability Strategy and the </w:t>
      </w:r>
      <w:r w:rsidR="00836C52" w:rsidRPr="003B550E">
        <w:rPr>
          <w:rFonts w:ascii="Times New Roman" w:hAnsi="Times New Roman" w:cs="Times New Roman"/>
          <w:i/>
          <w:sz w:val="24"/>
          <w:szCs w:val="24"/>
        </w:rPr>
        <w:t>Disability Discrimination Act 1992</w:t>
      </w:r>
      <w:r w:rsidR="00836C52" w:rsidRPr="003B550E">
        <w:rPr>
          <w:rFonts w:ascii="Times New Roman" w:hAnsi="Times New Roman" w:cs="Times New Roman"/>
          <w:sz w:val="24"/>
          <w:szCs w:val="24"/>
        </w:rPr>
        <w:t xml:space="preserve"> promote a social model of disability, as do many of Australia’s programs</w:t>
      </w:r>
      <w:r w:rsidR="00836C52">
        <w:rPr>
          <w:rFonts w:ascii="Times New Roman" w:hAnsi="Times New Roman" w:cs="Times New Roman"/>
          <w:sz w:val="24"/>
          <w:szCs w:val="24"/>
        </w:rPr>
        <w:t>,</w:t>
      </w:r>
      <w:r w:rsidR="00836C52" w:rsidRPr="003B550E">
        <w:rPr>
          <w:rFonts w:ascii="Times New Roman" w:hAnsi="Times New Roman" w:cs="Times New Roman"/>
          <w:sz w:val="24"/>
          <w:szCs w:val="24"/>
        </w:rPr>
        <w:t xml:space="preserve"> </w:t>
      </w:r>
      <w:r w:rsidR="00836C52">
        <w:rPr>
          <w:rFonts w:ascii="Times New Roman" w:hAnsi="Times New Roman" w:cs="Times New Roman"/>
          <w:sz w:val="24"/>
          <w:szCs w:val="24"/>
        </w:rPr>
        <w:t>t</w:t>
      </w:r>
      <w:r w:rsidR="002D7884" w:rsidRPr="003B550E">
        <w:rPr>
          <w:rFonts w:ascii="Times New Roman" w:hAnsi="Times New Roman" w:cs="Times New Roman"/>
          <w:sz w:val="24"/>
          <w:szCs w:val="24"/>
        </w:rPr>
        <w:t>here are different definitions o</w:t>
      </w:r>
      <w:r w:rsidR="00836C52">
        <w:rPr>
          <w:rFonts w:ascii="Times New Roman" w:hAnsi="Times New Roman" w:cs="Times New Roman"/>
          <w:sz w:val="24"/>
          <w:szCs w:val="24"/>
        </w:rPr>
        <w:t>f disability in use in Australia</w:t>
      </w:r>
      <w:r w:rsidR="009926BF">
        <w:rPr>
          <w:rFonts w:ascii="Times New Roman" w:hAnsi="Times New Roman" w:cs="Times New Roman"/>
          <w:sz w:val="24"/>
          <w:szCs w:val="24"/>
        </w:rPr>
        <w:t>, consistent with the Convention</w:t>
      </w:r>
      <w:r w:rsidR="002D7884" w:rsidRPr="003B550E">
        <w:rPr>
          <w:rFonts w:ascii="Times New Roman" w:hAnsi="Times New Roman" w:cs="Times New Roman"/>
          <w:sz w:val="24"/>
          <w:szCs w:val="24"/>
        </w:rPr>
        <w:t>.</w:t>
      </w:r>
    </w:p>
    <w:p w14:paraId="35D796FC" w14:textId="4CAEC75E" w:rsidR="00777F56" w:rsidRPr="003B550E" w:rsidRDefault="00A43521" w:rsidP="000B41CB">
      <w:pPr>
        <w:pStyle w:val="ListParagraph"/>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Some </w:t>
      </w:r>
      <w:r w:rsidRPr="003B550E">
        <w:rPr>
          <w:rFonts w:ascii="Times New Roman" w:hAnsi="Times New Roman" w:cs="Times New Roman"/>
          <w:sz w:val="24"/>
          <w:szCs w:val="24"/>
        </w:rPr>
        <w:t xml:space="preserve">domestic legislation </w:t>
      </w:r>
      <w:r w:rsidR="00D27936" w:rsidRPr="003B550E">
        <w:rPr>
          <w:rFonts w:ascii="Times New Roman" w:hAnsi="Times New Roman" w:cs="Times New Roman"/>
          <w:sz w:val="24"/>
          <w:szCs w:val="24"/>
        </w:rPr>
        <w:t xml:space="preserve">used the medical model definition of disability </w:t>
      </w:r>
      <w:r>
        <w:rPr>
          <w:rFonts w:ascii="Times New Roman" w:hAnsi="Times New Roman" w:cs="Times New Roman"/>
          <w:sz w:val="24"/>
          <w:szCs w:val="24"/>
        </w:rPr>
        <w:t xml:space="preserve">at the time that </w:t>
      </w:r>
      <w:r w:rsidRPr="003B550E">
        <w:rPr>
          <w:rFonts w:ascii="Times New Roman" w:hAnsi="Times New Roman" w:cs="Times New Roman"/>
          <w:sz w:val="24"/>
          <w:szCs w:val="24"/>
        </w:rPr>
        <w:t>Australia</w:t>
      </w:r>
      <w:r>
        <w:rPr>
          <w:rFonts w:ascii="Times New Roman" w:hAnsi="Times New Roman" w:cs="Times New Roman"/>
          <w:sz w:val="24"/>
          <w:szCs w:val="24"/>
        </w:rPr>
        <w:t xml:space="preserve"> ratified</w:t>
      </w:r>
      <w:r w:rsidR="00D27936" w:rsidRPr="003B550E">
        <w:rPr>
          <w:rFonts w:ascii="Times New Roman" w:hAnsi="Times New Roman" w:cs="Times New Roman"/>
          <w:sz w:val="24"/>
          <w:szCs w:val="24"/>
        </w:rPr>
        <w:t xml:space="preserve"> the Convention. At that time, Australia did not consider its law and practice to be incompatible with the Conventi</w:t>
      </w:r>
      <w:r w:rsidR="00686E80" w:rsidRPr="003B550E">
        <w:rPr>
          <w:rFonts w:ascii="Times New Roman" w:hAnsi="Times New Roman" w:cs="Times New Roman"/>
          <w:sz w:val="24"/>
          <w:szCs w:val="24"/>
        </w:rPr>
        <w:t xml:space="preserve">on. Nor does it consider it to be incompatible with the Convention today. Notwithstanding, Australia commits to working towards the </w:t>
      </w:r>
      <w:r w:rsidR="00836C52">
        <w:rPr>
          <w:rFonts w:ascii="Times New Roman" w:hAnsi="Times New Roman" w:cs="Times New Roman"/>
          <w:sz w:val="24"/>
          <w:szCs w:val="24"/>
        </w:rPr>
        <w:t>social</w:t>
      </w:r>
      <w:r w:rsidR="00686E80" w:rsidRPr="003B550E">
        <w:rPr>
          <w:rFonts w:ascii="Times New Roman" w:hAnsi="Times New Roman" w:cs="Times New Roman"/>
          <w:sz w:val="24"/>
          <w:szCs w:val="24"/>
        </w:rPr>
        <w:t xml:space="preserve"> model of disability.</w:t>
      </w:r>
    </w:p>
    <w:p w14:paraId="1D2DCA36" w14:textId="3D0820FC" w:rsidR="00A27900" w:rsidRPr="00A27900" w:rsidRDefault="00A27900" w:rsidP="00B35FD1">
      <w:pPr>
        <w:widowControl w:val="0"/>
        <w:tabs>
          <w:tab w:val="left" w:pos="1740"/>
        </w:tabs>
        <w:spacing w:before="100" w:beforeAutospacing="1" w:after="240" w:line="240" w:lineRule="auto"/>
        <w:jc w:val="both"/>
        <w:rPr>
          <w:rFonts w:ascii="Times New Roman" w:hAnsi="Times New Roman" w:cs="Times New Roman"/>
          <w:i/>
          <w:sz w:val="24"/>
          <w:szCs w:val="24"/>
        </w:rPr>
      </w:pPr>
      <w:r w:rsidRPr="00A27900">
        <w:rPr>
          <w:rFonts w:ascii="Times New Roman" w:hAnsi="Times New Roman" w:cs="Times New Roman"/>
          <w:i/>
          <w:sz w:val="24"/>
          <w:szCs w:val="24"/>
        </w:rPr>
        <w:lastRenderedPageBreak/>
        <w:t>Specific measures</w:t>
      </w:r>
    </w:p>
    <w:p w14:paraId="0A172124" w14:textId="4FDB45CD" w:rsidR="00A27900" w:rsidRDefault="00D033D9" w:rsidP="00B35FD1">
      <w:pPr>
        <w:pStyle w:val="ListParagraph"/>
        <w:widowControl w:val="0"/>
        <w:numPr>
          <w:ilvl w:val="0"/>
          <w:numId w:val="1"/>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Australia refers to the Committee’s statement that ‘</w:t>
      </w:r>
      <w:r w:rsidRPr="00DF61D0">
        <w:rPr>
          <w:rFonts w:ascii="Times New Roman" w:hAnsi="Times New Roman" w:cs="Times New Roman"/>
          <w:sz w:val="24"/>
          <w:szCs w:val="24"/>
        </w:rPr>
        <w:t xml:space="preserve">States parties </w:t>
      </w:r>
      <w:r w:rsidRPr="00FE1D23">
        <w:rPr>
          <w:rFonts w:ascii="Times New Roman" w:hAnsi="Times New Roman" w:cs="Times New Roman"/>
          <w:sz w:val="24"/>
          <w:szCs w:val="24"/>
        </w:rPr>
        <w:t>are required to adopt</w:t>
      </w:r>
      <w:r w:rsidRPr="00DF61D0">
        <w:rPr>
          <w:rFonts w:ascii="Times New Roman" w:hAnsi="Times New Roman" w:cs="Times New Roman"/>
          <w:sz w:val="24"/>
          <w:szCs w:val="24"/>
        </w:rPr>
        <w:t xml:space="preserve"> temporary or permanent specific measures where they are deemed necessary to accelerate or achieve </w:t>
      </w:r>
      <w:r w:rsidRPr="00DF61D0">
        <w:rPr>
          <w:rFonts w:ascii="Times New Roman" w:hAnsi="Times New Roman" w:cs="Times New Roman"/>
          <w:i/>
          <w:sz w:val="24"/>
          <w:szCs w:val="24"/>
        </w:rPr>
        <w:t>de facto</w:t>
      </w:r>
      <w:r w:rsidRPr="00DF61D0">
        <w:rPr>
          <w:rFonts w:ascii="Times New Roman" w:hAnsi="Times New Roman" w:cs="Times New Roman"/>
          <w:sz w:val="24"/>
          <w:szCs w:val="24"/>
        </w:rPr>
        <w:t xml:space="preserve"> equality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A27900">
        <w:rPr>
          <w:rFonts w:ascii="Times New Roman" w:hAnsi="Times New Roman" w:cs="Times New Roman"/>
          <w:sz w:val="24"/>
          <w:szCs w:val="24"/>
        </w:rPr>
        <w:t xml:space="preserve">Australia respectfully submits that Article 5(4) of the Convention does not ‘require’ </w:t>
      </w:r>
      <w:r w:rsidR="00A27900" w:rsidRPr="00DF61D0">
        <w:rPr>
          <w:rFonts w:ascii="Times New Roman" w:hAnsi="Times New Roman" w:cs="Times New Roman"/>
          <w:sz w:val="24"/>
          <w:szCs w:val="24"/>
        </w:rPr>
        <w:t>States</w:t>
      </w:r>
      <w:r w:rsidR="00A27900">
        <w:rPr>
          <w:rFonts w:ascii="Times New Roman" w:hAnsi="Times New Roman" w:cs="Times New Roman"/>
          <w:sz w:val="24"/>
          <w:szCs w:val="24"/>
        </w:rPr>
        <w:t> </w:t>
      </w:r>
      <w:r w:rsidR="00A27900" w:rsidRPr="00DF61D0">
        <w:rPr>
          <w:rFonts w:ascii="Times New Roman" w:hAnsi="Times New Roman" w:cs="Times New Roman"/>
          <w:sz w:val="24"/>
          <w:szCs w:val="24"/>
        </w:rPr>
        <w:t xml:space="preserve">parties </w:t>
      </w:r>
      <w:r w:rsidR="00A27900">
        <w:rPr>
          <w:rFonts w:ascii="Times New Roman" w:hAnsi="Times New Roman" w:cs="Times New Roman"/>
          <w:sz w:val="24"/>
          <w:szCs w:val="24"/>
        </w:rPr>
        <w:t>‘</w:t>
      </w:r>
      <w:r w:rsidR="00A27900" w:rsidRPr="00DF61D0">
        <w:rPr>
          <w:rFonts w:ascii="Times New Roman" w:hAnsi="Times New Roman" w:cs="Times New Roman"/>
          <w:sz w:val="24"/>
          <w:szCs w:val="24"/>
        </w:rPr>
        <w:t xml:space="preserve">to adopt </w:t>
      </w:r>
      <w:r>
        <w:rPr>
          <w:rFonts w:ascii="Times New Roman" w:hAnsi="Times New Roman" w:cs="Times New Roman"/>
          <w:sz w:val="24"/>
          <w:szCs w:val="24"/>
        </w:rPr>
        <w:t>…</w:t>
      </w:r>
      <w:r w:rsidR="00A27900" w:rsidRPr="00DF61D0">
        <w:rPr>
          <w:rFonts w:ascii="Times New Roman" w:hAnsi="Times New Roman" w:cs="Times New Roman"/>
          <w:sz w:val="24"/>
          <w:szCs w:val="24"/>
        </w:rPr>
        <w:t xml:space="preserve"> specific measures</w:t>
      </w:r>
      <w:r w:rsidR="00A27900">
        <w:rPr>
          <w:rFonts w:ascii="Times New Roman" w:hAnsi="Times New Roman" w:cs="Times New Roman"/>
          <w:sz w:val="24"/>
          <w:szCs w:val="24"/>
        </w:rPr>
        <w:t>’.</w:t>
      </w:r>
    </w:p>
    <w:p w14:paraId="04640C83" w14:textId="773EBF78" w:rsidR="006C14E4" w:rsidRDefault="00D033D9" w:rsidP="006C14E4">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As with all human rights obligations, Australia considers that the obligations contained in Article </w:t>
      </w:r>
      <w:r>
        <w:rPr>
          <w:rFonts w:ascii="Times New Roman" w:hAnsi="Times New Roman" w:cs="Times New Roman"/>
          <w:sz w:val="24"/>
          <w:szCs w:val="24"/>
        </w:rPr>
        <w:t>5</w:t>
      </w:r>
      <w:r w:rsidRPr="0055094B">
        <w:rPr>
          <w:rFonts w:ascii="Times New Roman" w:hAnsi="Times New Roman" w:cs="Times New Roman"/>
          <w:sz w:val="24"/>
          <w:szCs w:val="24"/>
        </w:rPr>
        <w:t xml:space="preserve"> must be interpreted consistently with the widely accepted principles of treaty interpretation </w:t>
      </w:r>
      <w:r w:rsidR="009926BF">
        <w:rPr>
          <w:rFonts w:ascii="Times New Roman" w:hAnsi="Times New Roman" w:cs="Times New Roman"/>
          <w:sz w:val="24"/>
          <w:szCs w:val="24"/>
        </w:rPr>
        <w:t xml:space="preserve">codified </w:t>
      </w:r>
      <w:r w:rsidRPr="0055094B">
        <w:rPr>
          <w:rFonts w:ascii="Times New Roman" w:hAnsi="Times New Roman" w:cs="Times New Roman"/>
          <w:sz w:val="24"/>
          <w:szCs w:val="24"/>
        </w:rPr>
        <w:t xml:space="preserve">in the 1969 </w:t>
      </w:r>
      <w:r w:rsidRPr="0055094B">
        <w:rPr>
          <w:rFonts w:ascii="Times New Roman" w:hAnsi="Times New Roman" w:cs="Times New Roman"/>
          <w:i/>
          <w:sz w:val="24"/>
          <w:szCs w:val="24"/>
        </w:rPr>
        <w:t>Vienna Convention on the Law of Treaties</w:t>
      </w:r>
      <w:r w:rsidRPr="0055094B">
        <w:rPr>
          <w:rFonts w:ascii="Times New Roman" w:hAnsi="Times New Roman" w:cs="Times New Roman"/>
          <w:sz w:val="24"/>
          <w:szCs w:val="24"/>
        </w:rPr>
        <w:t>.</w:t>
      </w:r>
      <w:r w:rsidRPr="0055094B">
        <w:rPr>
          <w:rStyle w:val="FootnoteReference"/>
          <w:rFonts w:ascii="Times New Roman" w:hAnsi="Times New Roman" w:cs="Times New Roman"/>
          <w:sz w:val="24"/>
          <w:szCs w:val="24"/>
        </w:rPr>
        <w:footnoteReference w:id="13"/>
      </w:r>
      <w:r w:rsidR="00FE1D23">
        <w:rPr>
          <w:rFonts w:ascii="Times New Roman" w:hAnsi="Times New Roman" w:cs="Times New Roman"/>
          <w:sz w:val="24"/>
          <w:szCs w:val="24"/>
        </w:rPr>
        <w:t xml:space="preserve"> </w:t>
      </w:r>
      <w:r w:rsidR="00FE1D23" w:rsidRPr="006C14E4">
        <w:rPr>
          <w:rFonts w:ascii="Times New Roman" w:hAnsi="Times New Roman" w:cs="Times New Roman"/>
          <w:sz w:val="24"/>
          <w:szCs w:val="24"/>
        </w:rPr>
        <w:t>General Comments provide valuable guidance as to the provisions of the Convention, and are of the most assistance when they are based on the text of those provisions and the practice of States Parties to the Convention.</w:t>
      </w:r>
      <w:r w:rsidR="006C14E4">
        <w:rPr>
          <w:rFonts w:ascii="Times New Roman" w:hAnsi="Times New Roman" w:cs="Times New Roman"/>
          <w:sz w:val="24"/>
          <w:szCs w:val="24"/>
        </w:rPr>
        <w:t xml:space="preserve"> </w:t>
      </w:r>
      <w:r w:rsidR="00C57285">
        <w:rPr>
          <w:rFonts w:ascii="Times New Roman" w:hAnsi="Times New Roman" w:cs="Times New Roman"/>
          <w:sz w:val="24"/>
          <w:szCs w:val="24"/>
        </w:rPr>
        <w:t>As stated above, Article 5 should also be interpreted consistently with existing principles of international human rights law.</w:t>
      </w:r>
    </w:p>
    <w:p w14:paraId="4D6A9E10" w14:textId="1FB541D9" w:rsidR="005878A4" w:rsidRPr="006C14E4" w:rsidRDefault="00C57285" w:rsidP="005878A4">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Having regard to the text of Article 5(4) of the Convention, Australia does not consider that a failure to take specific measures in an individual case amounts, in and of itself, to a violation of the Convention. Rather, Article 5(4) provides that any specific measures ‘</w:t>
      </w:r>
      <w:r w:rsidRPr="00DF61D0">
        <w:rPr>
          <w:rFonts w:ascii="Times New Roman" w:hAnsi="Times New Roman" w:cs="Times New Roman"/>
          <w:sz w:val="24"/>
          <w:szCs w:val="24"/>
        </w:rPr>
        <w:t xml:space="preserve">necessary to accelerate or achieve </w:t>
      </w:r>
      <w:r w:rsidRPr="00DF61D0">
        <w:rPr>
          <w:rFonts w:ascii="Times New Roman" w:hAnsi="Times New Roman" w:cs="Times New Roman"/>
          <w:i/>
          <w:sz w:val="24"/>
          <w:szCs w:val="24"/>
        </w:rPr>
        <w:t>de facto</w:t>
      </w:r>
      <w:r w:rsidRPr="00DF61D0">
        <w:rPr>
          <w:rFonts w:ascii="Times New Roman" w:hAnsi="Times New Roman" w:cs="Times New Roman"/>
          <w:sz w:val="24"/>
          <w:szCs w:val="24"/>
        </w:rPr>
        <w:t xml:space="preserve"> equality of persons with disabilities</w:t>
      </w:r>
      <w:r>
        <w:rPr>
          <w:rFonts w:ascii="Times New Roman" w:hAnsi="Times New Roman" w:cs="Times New Roman"/>
          <w:sz w:val="24"/>
          <w:szCs w:val="24"/>
        </w:rPr>
        <w:t xml:space="preserve"> </w:t>
      </w:r>
      <w:r w:rsidRPr="00DF61D0">
        <w:rPr>
          <w:rFonts w:ascii="Times New Roman" w:hAnsi="Times New Roman" w:cs="Times New Roman"/>
          <w:sz w:val="24"/>
          <w:szCs w:val="24"/>
        </w:rPr>
        <w:t xml:space="preserve">shall not be considered discrimination under the </w:t>
      </w:r>
      <w:r>
        <w:rPr>
          <w:rFonts w:ascii="Times New Roman" w:hAnsi="Times New Roman" w:cs="Times New Roman"/>
          <w:sz w:val="24"/>
          <w:szCs w:val="24"/>
        </w:rPr>
        <w:t xml:space="preserve">… </w:t>
      </w:r>
      <w:r w:rsidRPr="00DF61D0">
        <w:rPr>
          <w:rFonts w:ascii="Times New Roman" w:hAnsi="Times New Roman" w:cs="Times New Roman"/>
          <w:sz w:val="24"/>
          <w:szCs w:val="24"/>
        </w:rPr>
        <w:t>Convention</w:t>
      </w:r>
      <w:r>
        <w:rPr>
          <w:rFonts w:ascii="Times New Roman" w:hAnsi="Times New Roman" w:cs="Times New Roman"/>
          <w:sz w:val="24"/>
          <w:szCs w:val="24"/>
        </w:rPr>
        <w:t xml:space="preserve">’. </w:t>
      </w:r>
      <w:r w:rsidR="005878A4">
        <w:rPr>
          <w:rFonts w:ascii="Times New Roman" w:hAnsi="Times New Roman" w:cs="Times New Roman"/>
          <w:sz w:val="24"/>
          <w:szCs w:val="24"/>
        </w:rPr>
        <w:t xml:space="preserve">Australia </w:t>
      </w:r>
      <w:r>
        <w:rPr>
          <w:rFonts w:ascii="Times New Roman" w:hAnsi="Times New Roman" w:cs="Times New Roman"/>
          <w:sz w:val="24"/>
          <w:szCs w:val="24"/>
        </w:rPr>
        <w:t>agrees with the Committee</w:t>
      </w:r>
      <w:r w:rsidR="005878A4">
        <w:rPr>
          <w:rFonts w:ascii="Times New Roman" w:hAnsi="Times New Roman" w:cs="Times New Roman"/>
          <w:sz w:val="24"/>
          <w:szCs w:val="24"/>
        </w:rPr>
        <w:t xml:space="preserve"> that specific measures are an important mechanism to accelerate and</w:t>
      </w:r>
      <w:r w:rsidR="005878A4" w:rsidRPr="005878A4">
        <w:rPr>
          <w:rFonts w:ascii="Times New Roman" w:hAnsi="Times New Roman" w:cs="Times New Roman"/>
          <w:sz w:val="24"/>
          <w:szCs w:val="24"/>
        </w:rPr>
        <w:t xml:space="preserve"> achieve equality of persons with disabilities</w:t>
      </w:r>
      <w:r>
        <w:rPr>
          <w:rFonts w:ascii="Times New Roman" w:hAnsi="Times New Roman" w:cs="Times New Roman"/>
          <w:sz w:val="24"/>
          <w:szCs w:val="24"/>
        </w:rPr>
        <w:t>, and play a crucial role in the Convention’s framework.</w:t>
      </w:r>
    </w:p>
    <w:p w14:paraId="0C5A534C" w14:textId="293C4B29" w:rsidR="006C14E4" w:rsidRPr="006C14E4" w:rsidRDefault="006C14E4" w:rsidP="006C14E4">
      <w:pPr>
        <w:widowControl w:val="0"/>
        <w:spacing w:before="100" w:beforeAutospacing="1" w:after="240" w:line="240" w:lineRule="auto"/>
        <w:jc w:val="both"/>
        <w:rPr>
          <w:rFonts w:ascii="Times New Roman" w:hAnsi="Times New Roman" w:cs="Times New Roman"/>
          <w:i/>
          <w:sz w:val="24"/>
          <w:szCs w:val="24"/>
        </w:rPr>
      </w:pPr>
      <w:r>
        <w:rPr>
          <w:rFonts w:ascii="Times New Roman" w:hAnsi="Times New Roman" w:cs="Times New Roman"/>
          <w:i/>
          <w:sz w:val="24"/>
          <w:szCs w:val="24"/>
        </w:rPr>
        <w:t>D</w:t>
      </w:r>
      <w:r w:rsidRPr="006C14E4">
        <w:rPr>
          <w:rFonts w:ascii="Times New Roman" w:hAnsi="Times New Roman" w:cs="Times New Roman"/>
          <w:i/>
          <w:sz w:val="24"/>
          <w:szCs w:val="24"/>
        </w:rPr>
        <w:t xml:space="preserve">istinguishing policy recommendations </w:t>
      </w:r>
      <w:r>
        <w:rPr>
          <w:rFonts w:ascii="Times New Roman" w:hAnsi="Times New Roman" w:cs="Times New Roman"/>
          <w:i/>
          <w:sz w:val="24"/>
          <w:szCs w:val="24"/>
        </w:rPr>
        <w:t xml:space="preserve">from </w:t>
      </w:r>
      <w:r w:rsidRPr="006C14E4">
        <w:rPr>
          <w:rFonts w:ascii="Times New Roman" w:hAnsi="Times New Roman" w:cs="Times New Roman"/>
          <w:i/>
          <w:sz w:val="24"/>
          <w:szCs w:val="24"/>
        </w:rPr>
        <w:t>States Parties</w:t>
      </w:r>
      <w:r w:rsidR="00B40BE2">
        <w:rPr>
          <w:rFonts w:ascii="Times New Roman" w:hAnsi="Times New Roman" w:cs="Times New Roman"/>
          <w:i/>
          <w:sz w:val="24"/>
          <w:szCs w:val="24"/>
        </w:rPr>
        <w:t>’</w:t>
      </w:r>
      <w:r>
        <w:rPr>
          <w:rFonts w:ascii="Times New Roman" w:hAnsi="Times New Roman" w:cs="Times New Roman"/>
          <w:i/>
          <w:sz w:val="24"/>
          <w:szCs w:val="24"/>
        </w:rPr>
        <w:t xml:space="preserve"> obligations</w:t>
      </w:r>
    </w:p>
    <w:p w14:paraId="204B06E7" w14:textId="4F5DD882" w:rsidR="006C14E4" w:rsidRPr="00FF2095" w:rsidRDefault="006C14E4" w:rsidP="00FF2095">
      <w:pPr>
        <w:pStyle w:val="ListParagraph"/>
        <w:widowControl w:val="0"/>
        <w:numPr>
          <w:ilvl w:val="0"/>
          <w:numId w:val="1"/>
        </w:numPr>
        <w:spacing w:before="100" w:beforeAutospacing="1" w:after="240" w:line="240" w:lineRule="auto"/>
        <w:ind w:hanging="357"/>
        <w:contextualSpacing w:val="0"/>
        <w:jc w:val="both"/>
        <w:rPr>
          <w:rFonts w:ascii="Times New Roman" w:hAnsi="Times New Roman" w:cs="Times New Roman"/>
          <w:sz w:val="24"/>
          <w:szCs w:val="24"/>
        </w:rPr>
      </w:pPr>
      <w:r w:rsidRPr="00AC54A4">
        <w:rPr>
          <w:rFonts w:ascii="Times New Roman" w:hAnsi="Times New Roman" w:cs="Times New Roman"/>
          <w:sz w:val="24"/>
          <w:szCs w:val="24"/>
        </w:rPr>
        <w:t>Australia appreciates the examples that the Committee has provided of ways in which States</w:t>
      </w:r>
      <w:r>
        <w:rPr>
          <w:rFonts w:ascii="Times New Roman" w:hAnsi="Times New Roman" w:cs="Times New Roman"/>
          <w:sz w:val="24"/>
          <w:szCs w:val="24"/>
        </w:rPr>
        <w:t> </w:t>
      </w:r>
      <w:r w:rsidRPr="00AC54A4">
        <w:rPr>
          <w:rFonts w:ascii="Times New Roman" w:hAnsi="Times New Roman" w:cs="Times New Roman"/>
          <w:sz w:val="24"/>
          <w:szCs w:val="24"/>
        </w:rPr>
        <w:t>Parties could fulfil their obligations to persons with disabilities in furtherance of Article</w:t>
      </w:r>
      <w:r>
        <w:rPr>
          <w:rFonts w:ascii="Times New Roman" w:hAnsi="Times New Roman" w:cs="Times New Roman"/>
          <w:sz w:val="24"/>
          <w:szCs w:val="24"/>
        </w:rPr>
        <w:t> </w:t>
      </w:r>
      <w:r w:rsidRPr="00AC54A4">
        <w:rPr>
          <w:rFonts w:ascii="Times New Roman" w:hAnsi="Times New Roman" w:cs="Times New Roman"/>
          <w:sz w:val="24"/>
          <w:szCs w:val="24"/>
        </w:rPr>
        <w:t>5</w:t>
      </w:r>
      <w:r>
        <w:rPr>
          <w:rFonts w:ascii="Times New Roman" w:hAnsi="Times New Roman" w:cs="Times New Roman"/>
          <w:sz w:val="24"/>
          <w:szCs w:val="24"/>
        </w:rPr>
        <w:t xml:space="preserve"> of the Convention</w:t>
      </w:r>
      <w:r w:rsidRPr="00AC54A4">
        <w:rPr>
          <w:rFonts w:ascii="Times New Roman" w:hAnsi="Times New Roman" w:cs="Times New Roman"/>
          <w:sz w:val="24"/>
          <w:szCs w:val="24"/>
        </w:rPr>
        <w:t xml:space="preserve">. </w:t>
      </w:r>
      <w:r w:rsidR="00C57285">
        <w:rPr>
          <w:rFonts w:ascii="Times New Roman" w:hAnsi="Times New Roman" w:cs="Times New Roman"/>
          <w:sz w:val="24"/>
          <w:szCs w:val="24"/>
        </w:rPr>
        <w:t>While Australia supports the inclusion of such examples f</w:t>
      </w:r>
      <w:r w:rsidRPr="00AC54A4">
        <w:rPr>
          <w:rFonts w:ascii="Times New Roman" w:hAnsi="Times New Roman" w:cs="Times New Roman"/>
          <w:sz w:val="24"/>
          <w:szCs w:val="24"/>
        </w:rPr>
        <w:t>rom a policy perspective</w:t>
      </w:r>
      <w:r w:rsidR="00C57285">
        <w:rPr>
          <w:rFonts w:ascii="Times New Roman" w:hAnsi="Times New Roman" w:cs="Times New Roman"/>
          <w:sz w:val="24"/>
          <w:szCs w:val="24"/>
        </w:rPr>
        <w:t xml:space="preserve">, it </w:t>
      </w:r>
      <w:r w:rsidRPr="00AC54A4">
        <w:rPr>
          <w:rFonts w:ascii="Times New Roman" w:hAnsi="Times New Roman" w:cs="Times New Roman"/>
          <w:sz w:val="24"/>
          <w:szCs w:val="24"/>
        </w:rPr>
        <w:t>is concerned about the framing of</w:t>
      </w:r>
      <w:r w:rsidR="005F5CF9">
        <w:rPr>
          <w:rFonts w:ascii="Times New Roman" w:hAnsi="Times New Roman" w:cs="Times New Roman"/>
          <w:sz w:val="24"/>
          <w:szCs w:val="24"/>
        </w:rPr>
        <w:t xml:space="preserve"> </w:t>
      </w:r>
      <w:r w:rsidR="00FF2095">
        <w:rPr>
          <w:rFonts w:ascii="Times New Roman" w:hAnsi="Times New Roman" w:cs="Times New Roman"/>
          <w:sz w:val="24"/>
          <w:szCs w:val="24"/>
        </w:rPr>
        <w:t>certain</w:t>
      </w:r>
      <w:r w:rsidR="00B40BE2">
        <w:rPr>
          <w:rFonts w:ascii="Times New Roman" w:hAnsi="Times New Roman" w:cs="Times New Roman"/>
          <w:sz w:val="24"/>
          <w:szCs w:val="24"/>
        </w:rPr>
        <w:t xml:space="preserve"> examples in mandatory terms.</w:t>
      </w:r>
      <w:r w:rsidR="00FF2095">
        <w:rPr>
          <w:rFonts w:ascii="Times New Roman" w:hAnsi="Times New Roman" w:cs="Times New Roman"/>
          <w:sz w:val="24"/>
          <w:szCs w:val="24"/>
        </w:rPr>
        <w:t xml:space="preserve"> </w:t>
      </w:r>
      <w:r w:rsidR="005F5CF9" w:rsidRPr="00FF2095">
        <w:rPr>
          <w:rFonts w:ascii="Times New Roman" w:hAnsi="Times New Roman" w:cs="Times New Roman"/>
          <w:sz w:val="24"/>
          <w:szCs w:val="24"/>
        </w:rPr>
        <w:t>In this regard, Australia notes the following two statements in the draft General Comment</w:t>
      </w:r>
      <w:r w:rsidRPr="00FF2095">
        <w:rPr>
          <w:rFonts w:ascii="Times New Roman" w:hAnsi="Times New Roman" w:cs="Times New Roman"/>
          <w:sz w:val="24"/>
          <w:szCs w:val="24"/>
        </w:rPr>
        <w:t>:</w:t>
      </w:r>
    </w:p>
    <w:p w14:paraId="39133A47" w14:textId="6F10121A" w:rsidR="006C14E4" w:rsidRPr="005F5CF9" w:rsidRDefault="006C14E4" w:rsidP="009926BF">
      <w:pPr>
        <w:pStyle w:val="ListParagraph"/>
        <w:widowControl w:val="0"/>
        <w:numPr>
          <w:ilvl w:val="1"/>
          <w:numId w:val="18"/>
        </w:numPr>
        <w:spacing w:before="100" w:beforeAutospacing="1" w:after="240" w:line="240" w:lineRule="auto"/>
        <w:ind w:left="714" w:hanging="357"/>
        <w:contextualSpacing w:val="0"/>
        <w:jc w:val="both"/>
        <w:rPr>
          <w:rFonts w:ascii="Times New Roman" w:hAnsi="Times New Roman" w:cs="Times New Roman"/>
          <w:sz w:val="24"/>
          <w:szCs w:val="24"/>
        </w:rPr>
      </w:pPr>
      <w:r w:rsidRPr="005F5CF9">
        <w:rPr>
          <w:rFonts w:ascii="Times New Roman" w:hAnsi="Times New Roman" w:cs="Times New Roman"/>
          <w:sz w:val="24"/>
          <w:szCs w:val="24"/>
        </w:rPr>
        <w:t xml:space="preserve">‘Explicit prohibition of disability-based and other discrimination against persons with disabilities in legislation </w:t>
      </w:r>
      <w:r w:rsidRPr="005F5CF9">
        <w:rPr>
          <w:rFonts w:ascii="Times New Roman" w:hAnsi="Times New Roman" w:cs="Times New Roman"/>
          <w:i/>
          <w:sz w:val="24"/>
          <w:szCs w:val="24"/>
        </w:rPr>
        <w:t xml:space="preserve">has to be accompanied </w:t>
      </w:r>
      <w:r w:rsidRPr="00FE1D23">
        <w:rPr>
          <w:rFonts w:ascii="Times New Roman" w:hAnsi="Times New Roman" w:cs="Times New Roman"/>
          <w:sz w:val="24"/>
          <w:szCs w:val="24"/>
        </w:rPr>
        <w:t>by</w:t>
      </w:r>
      <w:r w:rsidRPr="005F5CF9">
        <w:rPr>
          <w:rFonts w:ascii="Times New Roman" w:hAnsi="Times New Roman" w:cs="Times New Roman"/>
          <w:sz w:val="24"/>
          <w:szCs w:val="24"/>
        </w:rPr>
        <w:t xml:space="preserve"> provision of effective legal remedies and sanctions in</w:t>
      </w:r>
      <w:r w:rsidR="000B41CB">
        <w:t xml:space="preserve"> </w:t>
      </w:r>
      <w:r w:rsidR="009926BF" w:rsidRPr="009926BF">
        <w:rPr>
          <w:rFonts w:ascii="Times New Roman" w:hAnsi="Times New Roman" w:cs="Times New Roman"/>
          <w:sz w:val="24"/>
          <w:szCs w:val="24"/>
        </w:rPr>
        <w:t xml:space="preserve">civil, administrative </w:t>
      </w:r>
      <w:r w:rsidR="009926BF" w:rsidRPr="009926BF">
        <w:rPr>
          <w:rFonts w:ascii="Times New Roman" w:hAnsi="Times New Roman" w:cs="Times New Roman"/>
          <w:i/>
          <w:sz w:val="24"/>
          <w:szCs w:val="24"/>
        </w:rPr>
        <w:t>and</w:t>
      </w:r>
      <w:r w:rsidRPr="00FE1D23">
        <w:rPr>
          <w:rFonts w:ascii="Times New Roman" w:hAnsi="Times New Roman" w:cs="Times New Roman"/>
          <w:sz w:val="24"/>
          <w:szCs w:val="24"/>
        </w:rPr>
        <w:t xml:space="preserve"> criminal proceedings’</w:t>
      </w:r>
      <w:r w:rsidRPr="005F5CF9">
        <w:rPr>
          <w:rFonts w:ascii="Times New Roman" w:hAnsi="Times New Roman" w:cs="Times New Roman"/>
          <w:sz w:val="24"/>
          <w:szCs w:val="24"/>
        </w:rPr>
        <w:t>.</w:t>
      </w:r>
      <w:r w:rsidR="006A29A4" w:rsidRPr="005F5CF9">
        <w:rPr>
          <w:rStyle w:val="FootnoteReference"/>
          <w:rFonts w:ascii="Times New Roman" w:hAnsi="Times New Roman" w:cs="Times New Roman"/>
          <w:sz w:val="24"/>
          <w:szCs w:val="24"/>
        </w:rPr>
        <w:footnoteReference w:id="14"/>
      </w:r>
    </w:p>
    <w:p w14:paraId="6C2712EB" w14:textId="0F54311C" w:rsidR="00E40C51" w:rsidRPr="005F5CF9" w:rsidRDefault="00E40C51" w:rsidP="002257C5">
      <w:pPr>
        <w:pStyle w:val="ListParagraph"/>
        <w:widowControl w:val="0"/>
        <w:numPr>
          <w:ilvl w:val="1"/>
          <w:numId w:val="18"/>
        </w:numPr>
        <w:spacing w:before="100" w:beforeAutospacing="1" w:after="240" w:line="240" w:lineRule="auto"/>
        <w:ind w:left="714" w:hanging="357"/>
        <w:contextualSpacing w:val="0"/>
        <w:jc w:val="both"/>
        <w:rPr>
          <w:rFonts w:ascii="Times New Roman" w:hAnsi="Times New Roman" w:cs="Times New Roman"/>
          <w:sz w:val="24"/>
          <w:szCs w:val="24"/>
        </w:rPr>
      </w:pPr>
      <w:r w:rsidRPr="005F5CF9">
        <w:rPr>
          <w:rFonts w:ascii="Times New Roman" w:hAnsi="Times New Roman" w:cs="Times New Roman"/>
          <w:sz w:val="24"/>
          <w:szCs w:val="24"/>
        </w:rPr>
        <w:t xml:space="preserve">‘In case of discrimination, including denial of reasonable accommodation, </w:t>
      </w:r>
      <w:r w:rsidRPr="00FE1D23">
        <w:rPr>
          <w:rFonts w:ascii="Times New Roman" w:hAnsi="Times New Roman" w:cs="Times New Roman"/>
          <w:sz w:val="24"/>
          <w:szCs w:val="24"/>
        </w:rPr>
        <w:t>specific remedies</w:t>
      </w:r>
      <w:r w:rsidRPr="005F5CF9">
        <w:rPr>
          <w:rFonts w:ascii="Times New Roman" w:hAnsi="Times New Roman" w:cs="Times New Roman"/>
          <w:i/>
          <w:sz w:val="24"/>
          <w:szCs w:val="24"/>
        </w:rPr>
        <w:t xml:space="preserve"> shall</w:t>
      </w:r>
      <w:r w:rsidRPr="005F5CF9">
        <w:rPr>
          <w:rFonts w:ascii="Times New Roman" w:hAnsi="Times New Roman" w:cs="Times New Roman"/>
          <w:sz w:val="24"/>
          <w:szCs w:val="24"/>
        </w:rPr>
        <w:t xml:space="preserve"> be available an</w:t>
      </w:r>
      <w:r w:rsidRPr="00FE1D23">
        <w:rPr>
          <w:rFonts w:ascii="Times New Roman" w:hAnsi="Times New Roman" w:cs="Times New Roman"/>
          <w:sz w:val="24"/>
          <w:szCs w:val="24"/>
        </w:rPr>
        <w:t xml:space="preserve">d </w:t>
      </w:r>
      <w:r w:rsidRPr="00712706">
        <w:rPr>
          <w:rFonts w:ascii="Times New Roman" w:hAnsi="Times New Roman" w:cs="Times New Roman"/>
          <w:i/>
          <w:sz w:val="24"/>
          <w:szCs w:val="24"/>
        </w:rPr>
        <w:t>not be</w:t>
      </w:r>
      <w:r w:rsidRPr="00FE1D23">
        <w:rPr>
          <w:rFonts w:ascii="Times New Roman" w:hAnsi="Times New Roman" w:cs="Times New Roman"/>
          <w:sz w:val="24"/>
          <w:szCs w:val="24"/>
        </w:rPr>
        <w:t xml:space="preserve"> reduced to monetary damages only’</w:t>
      </w:r>
      <w:r w:rsidRPr="005F5CF9">
        <w:rPr>
          <w:rFonts w:ascii="Times New Roman" w:hAnsi="Times New Roman" w:cs="Times New Roman"/>
          <w:sz w:val="24"/>
          <w:szCs w:val="24"/>
        </w:rPr>
        <w:t>.</w:t>
      </w:r>
      <w:r w:rsidRPr="005F5CF9">
        <w:rPr>
          <w:rStyle w:val="FootnoteReference"/>
          <w:rFonts w:ascii="Times New Roman" w:hAnsi="Times New Roman" w:cs="Times New Roman"/>
          <w:sz w:val="24"/>
          <w:szCs w:val="24"/>
        </w:rPr>
        <w:footnoteReference w:id="15"/>
      </w:r>
    </w:p>
    <w:p w14:paraId="6BC7995F" w14:textId="25794D9B" w:rsidR="005F5CF9" w:rsidRDefault="005F5CF9" w:rsidP="0025530A">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considers </w:t>
      </w:r>
      <w:r w:rsidR="00FF2095">
        <w:rPr>
          <w:rFonts w:ascii="Times New Roman" w:hAnsi="Times New Roman" w:cs="Times New Roman"/>
          <w:sz w:val="24"/>
          <w:szCs w:val="24"/>
        </w:rPr>
        <w:t xml:space="preserve">that such statements </w:t>
      </w:r>
      <w:r w:rsidRPr="005F5CF9">
        <w:rPr>
          <w:rFonts w:ascii="Times New Roman" w:hAnsi="Times New Roman" w:cs="Times New Roman"/>
          <w:sz w:val="24"/>
          <w:szCs w:val="24"/>
        </w:rPr>
        <w:t xml:space="preserve">extend beyond what is required by </w:t>
      </w:r>
      <w:r>
        <w:rPr>
          <w:rFonts w:ascii="Times New Roman" w:hAnsi="Times New Roman" w:cs="Times New Roman"/>
          <w:sz w:val="24"/>
          <w:szCs w:val="24"/>
        </w:rPr>
        <w:t>A</w:t>
      </w:r>
      <w:r w:rsidRPr="005F5CF9">
        <w:rPr>
          <w:rFonts w:ascii="Times New Roman" w:hAnsi="Times New Roman" w:cs="Times New Roman"/>
          <w:sz w:val="24"/>
          <w:szCs w:val="24"/>
        </w:rPr>
        <w:t xml:space="preserve">rticle </w:t>
      </w:r>
      <w:r>
        <w:rPr>
          <w:rFonts w:ascii="Times New Roman" w:hAnsi="Times New Roman" w:cs="Times New Roman"/>
          <w:sz w:val="24"/>
          <w:szCs w:val="24"/>
        </w:rPr>
        <w:t>5 of the Convention</w:t>
      </w:r>
      <w:r w:rsidR="00FF2095">
        <w:rPr>
          <w:rFonts w:ascii="Times New Roman" w:hAnsi="Times New Roman" w:cs="Times New Roman"/>
          <w:sz w:val="24"/>
          <w:szCs w:val="24"/>
        </w:rPr>
        <w:t xml:space="preserve"> and</w:t>
      </w:r>
      <w:r w:rsidRPr="005F5CF9">
        <w:rPr>
          <w:rFonts w:ascii="Times New Roman" w:hAnsi="Times New Roman" w:cs="Times New Roman"/>
          <w:sz w:val="24"/>
          <w:szCs w:val="24"/>
        </w:rPr>
        <w:t xml:space="preserve"> should more appropriately be presented as guidance to States</w:t>
      </w:r>
      <w:r w:rsidR="00A43521">
        <w:rPr>
          <w:rFonts w:ascii="Times New Roman" w:hAnsi="Times New Roman" w:cs="Times New Roman"/>
          <w:sz w:val="24"/>
          <w:szCs w:val="24"/>
        </w:rPr>
        <w:t>,</w:t>
      </w:r>
      <w:r w:rsidRPr="005F5CF9">
        <w:rPr>
          <w:rFonts w:ascii="Times New Roman" w:hAnsi="Times New Roman" w:cs="Times New Roman"/>
          <w:sz w:val="24"/>
          <w:szCs w:val="24"/>
        </w:rPr>
        <w:t xml:space="preserve"> rather than requirements of the Convention.</w:t>
      </w:r>
    </w:p>
    <w:p w14:paraId="11937BCD" w14:textId="0D694EF1" w:rsidR="000B6158" w:rsidRDefault="00E40C51" w:rsidP="0025530A">
      <w:pPr>
        <w:pStyle w:val="ListParagraph"/>
        <w:keepNext/>
        <w:keepLines/>
        <w:widowControl w:val="0"/>
        <w:numPr>
          <w:ilvl w:val="0"/>
          <w:numId w:val="1"/>
        </w:numPr>
        <w:spacing w:before="100" w:beforeAutospacing="1" w:after="24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Although not frame</w:t>
      </w:r>
      <w:r w:rsidR="0025530A">
        <w:rPr>
          <w:rFonts w:ascii="Times New Roman" w:hAnsi="Times New Roman" w:cs="Times New Roman"/>
          <w:sz w:val="24"/>
          <w:szCs w:val="24"/>
        </w:rPr>
        <w:t xml:space="preserve">d in mandatory terms, Australia </w:t>
      </w:r>
      <w:r w:rsidR="00FF2095">
        <w:rPr>
          <w:rFonts w:ascii="Times New Roman" w:hAnsi="Times New Roman" w:cs="Times New Roman"/>
          <w:sz w:val="24"/>
          <w:szCs w:val="24"/>
        </w:rPr>
        <w:t>also questions the usefulness of including the following statements in the Committee’s discussion</w:t>
      </w:r>
      <w:r w:rsidR="0025530A">
        <w:rPr>
          <w:rFonts w:ascii="Times New Roman" w:hAnsi="Times New Roman" w:cs="Times New Roman"/>
          <w:sz w:val="24"/>
          <w:szCs w:val="24"/>
        </w:rPr>
        <w:t xml:space="preserve"> of Article 5 of the Convention</w:t>
      </w:r>
      <w:r w:rsidR="000B6158">
        <w:rPr>
          <w:rFonts w:ascii="Times New Roman" w:hAnsi="Times New Roman" w:cs="Times New Roman"/>
          <w:sz w:val="24"/>
          <w:szCs w:val="24"/>
        </w:rPr>
        <w:t>:</w:t>
      </w:r>
    </w:p>
    <w:p w14:paraId="02034FDA" w14:textId="4887F8EB" w:rsidR="00E40C51" w:rsidRPr="00AC54A4" w:rsidRDefault="000B6158" w:rsidP="002257C5">
      <w:pPr>
        <w:pStyle w:val="ListParagraph"/>
        <w:keepNext/>
        <w:keepLines/>
        <w:widowControl w:val="0"/>
        <w:numPr>
          <w:ilvl w:val="1"/>
          <w:numId w:val="1"/>
        </w:numPr>
        <w:spacing w:before="100" w:beforeAutospacing="1" w:after="24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Committee’s </w:t>
      </w:r>
      <w:r w:rsidR="00FF2095">
        <w:rPr>
          <w:rFonts w:ascii="Times New Roman" w:hAnsi="Times New Roman" w:cs="Times New Roman"/>
          <w:sz w:val="24"/>
          <w:szCs w:val="24"/>
        </w:rPr>
        <w:t xml:space="preserve">statement that </w:t>
      </w:r>
      <w:r w:rsidR="00E40C51">
        <w:rPr>
          <w:rFonts w:ascii="Times New Roman" w:hAnsi="Times New Roman" w:cs="Times New Roman"/>
          <w:sz w:val="24"/>
          <w:szCs w:val="24"/>
        </w:rPr>
        <w:t>‘</w:t>
      </w:r>
      <w:r w:rsidR="00E40C51" w:rsidRPr="00E40C51">
        <w:rPr>
          <w:rFonts w:ascii="Times New Roman" w:hAnsi="Times New Roman" w:cs="Times New Roman"/>
          <w:sz w:val="24"/>
          <w:szCs w:val="24"/>
        </w:rPr>
        <w:t xml:space="preserve">States parties should address stigmatization through modern forms of discrimination, </w:t>
      </w:r>
      <w:r w:rsidR="00E40C51" w:rsidRPr="000B6158">
        <w:rPr>
          <w:rFonts w:ascii="Times New Roman" w:hAnsi="Times New Roman" w:cs="Times New Roman"/>
          <w:sz w:val="24"/>
          <w:szCs w:val="24"/>
        </w:rPr>
        <w:t>such as a disability-selective antenatal screening policy that go against the recognition</w:t>
      </w:r>
      <w:r w:rsidR="00E40C51" w:rsidRPr="00E40C51">
        <w:rPr>
          <w:rFonts w:ascii="Times New Roman" w:hAnsi="Times New Roman" w:cs="Times New Roman"/>
          <w:sz w:val="24"/>
          <w:szCs w:val="24"/>
        </w:rPr>
        <w:t xml:space="preserve"> of the equal worth of every person</w:t>
      </w:r>
      <w:r w:rsidR="00E40C51">
        <w:rPr>
          <w:rFonts w:ascii="Times New Roman" w:hAnsi="Times New Roman" w:cs="Times New Roman"/>
          <w:sz w:val="24"/>
          <w:szCs w:val="24"/>
        </w:rPr>
        <w:t>’.</w:t>
      </w:r>
      <w:r w:rsidR="00E40C51">
        <w:rPr>
          <w:rStyle w:val="FootnoteReference"/>
          <w:rFonts w:ascii="Times New Roman" w:hAnsi="Times New Roman" w:cs="Times New Roman"/>
          <w:sz w:val="24"/>
          <w:szCs w:val="24"/>
        </w:rPr>
        <w:footnoteReference w:id="16"/>
      </w:r>
    </w:p>
    <w:p w14:paraId="234B1F8B" w14:textId="01B8C57E" w:rsidR="000B6158" w:rsidRDefault="00FF2095" w:rsidP="002257C5">
      <w:pPr>
        <w:pStyle w:val="ListParagraph"/>
        <w:widowControl w:val="0"/>
        <w:numPr>
          <w:ilvl w:val="1"/>
          <w:numId w:val="1"/>
        </w:numPr>
        <w:spacing w:before="100" w:beforeAutospacing="1" w:after="24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Committee’s suggestion that </w:t>
      </w:r>
      <w:r w:rsidR="000B6158">
        <w:rPr>
          <w:rFonts w:ascii="Times New Roman" w:hAnsi="Times New Roman" w:cs="Times New Roman"/>
          <w:sz w:val="24"/>
          <w:szCs w:val="24"/>
        </w:rPr>
        <w:t>‘</w:t>
      </w:r>
      <w:r w:rsidR="000B6158" w:rsidRPr="000B6158">
        <w:rPr>
          <w:rFonts w:ascii="Times New Roman" w:hAnsi="Times New Roman" w:cs="Times New Roman"/>
          <w:sz w:val="24"/>
          <w:szCs w:val="24"/>
        </w:rPr>
        <w:t>procedural rules should shift the burden of proof from the claimant to the respondent in cases where there are facts from which it may be presumed that there has been discrimination</w:t>
      </w:r>
      <w:r w:rsidR="000B6158">
        <w:rPr>
          <w:rFonts w:ascii="Times New Roman" w:hAnsi="Times New Roman" w:cs="Times New Roman"/>
          <w:sz w:val="24"/>
          <w:szCs w:val="24"/>
        </w:rPr>
        <w:t>’.</w:t>
      </w:r>
      <w:r w:rsidR="000B6158">
        <w:rPr>
          <w:rStyle w:val="FootnoteReference"/>
          <w:rFonts w:ascii="Times New Roman" w:hAnsi="Times New Roman" w:cs="Times New Roman"/>
          <w:sz w:val="24"/>
          <w:szCs w:val="24"/>
        </w:rPr>
        <w:footnoteReference w:id="17"/>
      </w:r>
    </w:p>
    <w:p w14:paraId="1ED5B773" w14:textId="66675DC7" w:rsidR="000B6158" w:rsidRPr="000B6158" w:rsidRDefault="000B6158" w:rsidP="000B6158">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0B6158">
        <w:rPr>
          <w:rFonts w:ascii="Times New Roman" w:hAnsi="Times New Roman" w:cs="Times New Roman"/>
          <w:sz w:val="24"/>
          <w:szCs w:val="24"/>
        </w:rPr>
        <w:t xml:space="preserve">Australia invites the Committee to </w:t>
      </w:r>
      <w:r w:rsidR="00712706">
        <w:rPr>
          <w:rFonts w:ascii="Times New Roman" w:hAnsi="Times New Roman" w:cs="Times New Roman"/>
          <w:sz w:val="24"/>
          <w:szCs w:val="24"/>
        </w:rPr>
        <w:t>reconsider</w:t>
      </w:r>
      <w:r w:rsidRPr="000B6158">
        <w:rPr>
          <w:rFonts w:ascii="Times New Roman" w:hAnsi="Times New Roman" w:cs="Times New Roman"/>
          <w:sz w:val="24"/>
          <w:szCs w:val="24"/>
        </w:rPr>
        <w:t xml:space="preserve"> </w:t>
      </w:r>
      <w:r w:rsidR="009926BF">
        <w:rPr>
          <w:rFonts w:ascii="Times New Roman" w:hAnsi="Times New Roman" w:cs="Times New Roman"/>
          <w:sz w:val="24"/>
          <w:szCs w:val="24"/>
        </w:rPr>
        <w:t xml:space="preserve">whether </w:t>
      </w:r>
      <w:r w:rsidRPr="000B6158">
        <w:rPr>
          <w:rFonts w:ascii="Times New Roman" w:hAnsi="Times New Roman" w:cs="Times New Roman"/>
          <w:sz w:val="24"/>
          <w:szCs w:val="24"/>
        </w:rPr>
        <w:t>the</w:t>
      </w:r>
      <w:r w:rsidR="009926BF">
        <w:rPr>
          <w:rFonts w:ascii="Times New Roman" w:hAnsi="Times New Roman" w:cs="Times New Roman"/>
          <w:sz w:val="24"/>
          <w:szCs w:val="24"/>
        </w:rPr>
        <w:t>se</w:t>
      </w:r>
      <w:r w:rsidRPr="000B6158">
        <w:rPr>
          <w:rFonts w:ascii="Times New Roman" w:hAnsi="Times New Roman" w:cs="Times New Roman"/>
          <w:sz w:val="24"/>
          <w:szCs w:val="24"/>
        </w:rPr>
        <w:t xml:space="preserve"> statements in the draft General Comment </w:t>
      </w:r>
      <w:r w:rsidR="009926BF">
        <w:rPr>
          <w:rFonts w:ascii="Times New Roman" w:hAnsi="Times New Roman" w:cs="Times New Roman"/>
          <w:sz w:val="24"/>
          <w:szCs w:val="24"/>
        </w:rPr>
        <w:t xml:space="preserve">are reflective of States Parties’ interpretation of their </w:t>
      </w:r>
      <w:r w:rsidRPr="000B6158">
        <w:rPr>
          <w:rFonts w:ascii="Times New Roman" w:hAnsi="Times New Roman" w:cs="Times New Roman"/>
          <w:sz w:val="24"/>
          <w:szCs w:val="24"/>
        </w:rPr>
        <w:t>legal obligations under the Convention</w:t>
      </w:r>
      <w:r w:rsidR="009926BF">
        <w:rPr>
          <w:rFonts w:ascii="Times New Roman" w:hAnsi="Times New Roman" w:cs="Times New Roman"/>
          <w:sz w:val="24"/>
          <w:szCs w:val="24"/>
        </w:rPr>
        <w:t xml:space="preserve"> and of State practice</w:t>
      </w:r>
      <w:r w:rsidRPr="000B6158">
        <w:rPr>
          <w:rFonts w:ascii="Times New Roman" w:eastAsia="Dotum" w:hAnsi="Times New Roman" w:cs="Times New Roman"/>
          <w:sz w:val="24"/>
          <w:szCs w:val="24"/>
        </w:rPr>
        <w:t>.</w:t>
      </w:r>
    </w:p>
    <w:p w14:paraId="3037E00B" w14:textId="649C4A5D" w:rsidR="004B7B28" w:rsidRPr="00CB58B7" w:rsidRDefault="004B7B28" w:rsidP="00FF2095">
      <w:pPr>
        <w:widowControl w:val="0"/>
        <w:tabs>
          <w:tab w:val="left" w:pos="5310"/>
        </w:tabs>
        <w:spacing w:before="100" w:beforeAutospacing="1" w:after="240" w:line="240" w:lineRule="auto"/>
        <w:jc w:val="both"/>
        <w:rPr>
          <w:rFonts w:ascii="Times New Roman" w:hAnsi="Times New Roman" w:cs="Times New Roman"/>
          <w:i/>
          <w:sz w:val="24"/>
          <w:szCs w:val="24"/>
        </w:rPr>
      </w:pPr>
      <w:r>
        <w:rPr>
          <w:rFonts w:ascii="Times New Roman" w:hAnsi="Times New Roman" w:cs="Times New Roman"/>
          <w:i/>
          <w:sz w:val="24"/>
          <w:szCs w:val="24"/>
        </w:rPr>
        <w:t>The right to legal capacity</w:t>
      </w:r>
    </w:p>
    <w:p w14:paraId="1360E00F" w14:textId="09B01ADD" w:rsidR="004B7B28" w:rsidRPr="004B7B28" w:rsidRDefault="004B7B28" w:rsidP="004B7B28">
      <w:pPr>
        <w:pStyle w:val="ListParagraph"/>
        <w:widowControl w:val="0"/>
        <w:numPr>
          <w:ilvl w:val="0"/>
          <w:numId w:val="1"/>
        </w:numPr>
        <w:spacing w:after="240" w:line="240" w:lineRule="auto"/>
        <w:contextualSpacing w:val="0"/>
        <w:jc w:val="both"/>
        <w:rPr>
          <w:rFonts w:ascii="Times New Roman" w:hAnsi="Times New Roman" w:cs="Times New Roman"/>
          <w:sz w:val="24"/>
          <w:szCs w:val="24"/>
        </w:rPr>
      </w:pPr>
      <w:r w:rsidRPr="004B7B28">
        <w:rPr>
          <w:rFonts w:ascii="Times New Roman" w:hAnsi="Times New Roman" w:cs="Times New Roman"/>
          <w:sz w:val="24"/>
          <w:szCs w:val="24"/>
        </w:rPr>
        <w:t xml:space="preserve">Australia notes that the Committee’s consideration of deprivation of legal capacity in the </w:t>
      </w:r>
      <w:r w:rsidR="00FF2095">
        <w:rPr>
          <w:rFonts w:ascii="Times New Roman" w:hAnsi="Times New Roman" w:cs="Times New Roman"/>
          <w:sz w:val="24"/>
          <w:szCs w:val="24"/>
        </w:rPr>
        <w:t xml:space="preserve">context of Article 5 </w:t>
      </w:r>
      <w:r w:rsidRPr="004B7B28">
        <w:rPr>
          <w:rFonts w:ascii="Times New Roman" w:hAnsi="Times New Roman" w:cs="Times New Roman"/>
          <w:sz w:val="24"/>
          <w:szCs w:val="24"/>
        </w:rPr>
        <w:t xml:space="preserve">does not accord with Australia’s interpretation of </w:t>
      </w:r>
      <w:r>
        <w:rPr>
          <w:rFonts w:ascii="Times New Roman" w:hAnsi="Times New Roman" w:cs="Times New Roman"/>
          <w:sz w:val="24"/>
          <w:szCs w:val="24"/>
        </w:rPr>
        <w:t>t</w:t>
      </w:r>
      <w:r w:rsidRPr="004B7B28">
        <w:rPr>
          <w:rFonts w:ascii="Times New Roman" w:hAnsi="Times New Roman" w:cs="Times New Roman"/>
          <w:sz w:val="24"/>
          <w:szCs w:val="24"/>
        </w:rPr>
        <w:t>he right to legal capacity</w:t>
      </w:r>
      <w:r>
        <w:rPr>
          <w:rFonts w:ascii="Times New Roman" w:hAnsi="Times New Roman" w:cs="Times New Roman"/>
          <w:sz w:val="24"/>
          <w:szCs w:val="24"/>
        </w:rPr>
        <w:t>, a</w:t>
      </w:r>
      <w:r w:rsidRPr="004B7B28">
        <w:rPr>
          <w:rFonts w:ascii="Times New Roman" w:hAnsi="Times New Roman" w:cs="Times New Roman"/>
          <w:sz w:val="24"/>
          <w:szCs w:val="24"/>
        </w:rPr>
        <w:t xml:space="preserve">s provided for in </w:t>
      </w:r>
      <w:r w:rsidR="00E40C51">
        <w:rPr>
          <w:rFonts w:ascii="Times New Roman" w:hAnsi="Times New Roman" w:cs="Times New Roman"/>
          <w:sz w:val="24"/>
          <w:szCs w:val="24"/>
        </w:rPr>
        <w:t>Article 12</w:t>
      </w:r>
      <w:r w:rsidRPr="004B7B28">
        <w:rPr>
          <w:rFonts w:ascii="Times New Roman" w:hAnsi="Times New Roman" w:cs="Times New Roman"/>
          <w:sz w:val="24"/>
          <w:szCs w:val="24"/>
        </w:rPr>
        <w:t xml:space="preserve"> of the Convention</w:t>
      </w:r>
      <w:r w:rsidR="00E40C51">
        <w:rPr>
          <w:rFonts w:ascii="Times New Roman" w:hAnsi="Times New Roman" w:cs="Times New Roman"/>
          <w:sz w:val="24"/>
          <w:szCs w:val="24"/>
        </w:rPr>
        <w:t>.</w:t>
      </w:r>
    </w:p>
    <w:p w14:paraId="06805E05" w14:textId="440355BE" w:rsidR="004B7B28" w:rsidRDefault="004B7B28" w:rsidP="004B7B28">
      <w:pPr>
        <w:pStyle w:val="ListParagraph"/>
        <w:widowControl w:val="0"/>
        <w:numPr>
          <w:ilvl w:val="0"/>
          <w:numId w:val="1"/>
        </w:numPr>
        <w:spacing w:after="240" w:line="240" w:lineRule="auto"/>
        <w:contextualSpacing w:val="0"/>
        <w:jc w:val="both"/>
        <w:rPr>
          <w:rFonts w:ascii="Times New Roman" w:hAnsi="Times New Roman" w:cs="Times New Roman"/>
          <w:sz w:val="24"/>
          <w:szCs w:val="24"/>
        </w:rPr>
      </w:pPr>
      <w:r w:rsidRPr="00AC54A4">
        <w:rPr>
          <w:rFonts w:ascii="Times New Roman" w:hAnsi="Times New Roman" w:cs="Times New Roman"/>
          <w:sz w:val="24"/>
          <w:szCs w:val="24"/>
        </w:rPr>
        <w:t xml:space="preserve">Australia draws the Committee’s attention to the declaration that </w:t>
      </w:r>
      <w:r>
        <w:rPr>
          <w:rFonts w:ascii="Times New Roman" w:hAnsi="Times New Roman" w:cs="Times New Roman"/>
          <w:sz w:val="24"/>
          <w:szCs w:val="24"/>
        </w:rPr>
        <w:t xml:space="preserve">Australia </w:t>
      </w:r>
      <w:r w:rsidRPr="00AC54A4">
        <w:rPr>
          <w:rFonts w:ascii="Times New Roman" w:hAnsi="Times New Roman" w:cs="Times New Roman"/>
          <w:sz w:val="24"/>
          <w:szCs w:val="24"/>
        </w:rPr>
        <w:t xml:space="preserve">made under the Convention </w:t>
      </w:r>
      <w:r>
        <w:rPr>
          <w:rFonts w:ascii="Times New Roman" w:hAnsi="Times New Roman" w:cs="Times New Roman"/>
          <w:sz w:val="24"/>
          <w:szCs w:val="24"/>
        </w:rPr>
        <w:t>i</w:t>
      </w:r>
      <w:r w:rsidRPr="00AC54A4">
        <w:rPr>
          <w:rFonts w:ascii="Times New Roman" w:hAnsi="Times New Roman" w:cs="Times New Roman"/>
          <w:sz w:val="24"/>
          <w:szCs w:val="24"/>
        </w:rPr>
        <w:t>n relation to Article 12.</w:t>
      </w:r>
      <w:r w:rsidRPr="00AC54A4">
        <w:rPr>
          <w:rStyle w:val="FootnoteReference"/>
          <w:rFonts w:ascii="Times New Roman" w:hAnsi="Times New Roman" w:cs="Times New Roman"/>
          <w:sz w:val="24"/>
          <w:szCs w:val="24"/>
        </w:rPr>
        <w:footnoteReference w:id="18"/>
      </w:r>
      <w:r w:rsidRPr="00AC54A4">
        <w:rPr>
          <w:rFonts w:ascii="Times New Roman" w:hAnsi="Times New Roman" w:cs="Times New Roman"/>
          <w:sz w:val="24"/>
          <w:szCs w:val="24"/>
        </w:rPr>
        <w:t xml:space="preserve"> </w:t>
      </w:r>
      <w:r>
        <w:rPr>
          <w:rFonts w:ascii="Times New Roman" w:hAnsi="Times New Roman" w:cs="Times New Roman"/>
          <w:sz w:val="24"/>
          <w:szCs w:val="24"/>
        </w:rPr>
        <w:t xml:space="preserve">In this declaration, Australia explicitly </w:t>
      </w:r>
      <w:r w:rsidRPr="00B832E5">
        <w:rPr>
          <w:rFonts w:ascii="Times New Roman" w:hAnsi="Times New Roman" w:cs="Times New Roman"/>
          <w:sz w:val="24"/>
          <w:szCs w:val="24"/>
        </w:rPr>
        <w:t>recogni</w:t>
      </w:r>
      <w:r>
        <w:rPr>
          <w:rFonts w:ascii="Times New Roman" w:hAnsi="Times New Roman" w:cs="Times New Roman"/>
          <w:sz w:val="24"/>
          <w:szCs w:val="24"/>
        </w:rPr>
        <w:t>s</w:t>
      </w:r>
      <w:r w:rsidRPr="00B832E5">
        <w:rPr>
          <w:rFonts w:ascii="Times New Roman" w:hAnsi="Times New Roman" w:cs="Times New Roman"/>
          <w:sz w:val="24"/>
          <w:szCs w:val="24"/>
        </w:rPr>
        <w:t>e</w:t>
      </w:r>
      <w:r>
        <w:rPr>
          <w:rFonts w:ascii="Times New Roman" w:hAnsi="Times New Roman" w:cs="Times New Roman"/>
          <w:sz w:val="24"/>
          <w:szCs w:val="24"/>
        </w:rPr>
        <w:t>s</w:t>
      </w:r>
      <w:r w:rsidRPr="00B832E5">
        <w:rPr>
          <w:rFonts w:ascii="Times New Roman" w:hAnsi="Times New Roman" w:cs="Times New Roman"/>
          <w:sz w:val="24"/>
          <w:szCs w:val="24"/>
        </w:rPr>
        <w:t xml:space="preserve"> that </w:t>
      </w:r>
      <w:r>
        <w:rPr>
          <w:rFonts w:ascii="Times New Roman" w:hAnsi="Times New Roman" w:cs="Times New Roman"/>
          <w:sz w:val="24"/>
          <w:szCs w:val="24"/>
        </w:rPr>
        <w:t>‘</w:t>
      </w:r>
      <w:r w:rsidRPr="00B832E5">
        <w:rPr>
          <w:rFonts w:ascii="Times New Roman" w:hAnsi="Times New Roman" w:cs="Times New Roman"/>
          <w:sz w:val="24"/>
          <w:szCs w:val="24"/>
        </w:rPr>
        <w:t>persons with disability enjoy legal capacity on an equal basis with others in all aspects of life</w:t>
      </w:r>
      <w:r>
        <w:rPr>
          <w:rFonts w:ascii="Times New Roman" w:hAnsi="Times New Roman" w:cs="Times New Roman"/>
          <w:sz w:val="24"/>
          <w:szCs w:val="24"/>
        </w:rPr>
        <w:t>’ and</w:t>
      </w:r>
      <w:r w:rsidRPr="00B832E5">
        <w:rPr>
          <w:rFonts w:ascii="Times New Roman" w:hAnsi="Times New Roman" w:cs="Times New Roman"/>
          <w:sz w:val="24"/>
          <w:szCs w:val="24"/>
        </w:rPr>
        <w:t xml:space="preserve"> </w:t>
      </w:r>
      <w:r>
        <w:rPr>
          <w:rFonts w:ascii="Times New Roman" w:hAnsi="Times New Roman" w:cs="Times New Roman"/>
          <w:sz w:val="24"/>
          <w:szCs w:val="24"/>
        </w:rPr>
        <w:t>‘</w:t>
      </w:r>
      <w:r w:rsidRPr="00B832E5">
        <w:rPr>
          <w:rFonts w:ascii="Times New Roman" w:hAnsi="Times New Roman" w:cs="Times New Roman"/>
          <w:sz w:val="24"/>
          <w:szCs w:val="24"/>
        </w:rPr>
        <w:t>declare</w:t>
      </w:r>
      <w:r>
        <w:rPr>
          <w:rFonts w:ascii="Times New Roman" w:hAnsi="Times New Roman" w:cs="Times New Roman"/>
          <w:sz w:val="24"/>
          <w:szCs w:val="24"/>
        </w:rPr>
        <w:t>s</w:t>
      </w:r>
      <w:r w:rsidRPr="00B832E5">
        <w:rPr>
          <w:rFonts w:ascii="Times New Roman" w:hAnsi="Times New Roman" w:cs="Times New Roman"/>
          <w:sz w:val="24"/>
          <w:szCs w:val="24"/>
        </w:rPr>
        <w:t xml:space="preserve"> its understanding that the Convention allows for fully supported or substituted decision-making arrangements, which provide for decisions to be made on behalf of a person, only where such arrangements are necessary, as a last r</w:t>
      </w:r>
      <w:r>
        <w:rPr>
          <w:rFonts w:ascii="Times New Roman" w:hAnsi="Times New Roman" w:cs="Times New Roman"/>
          <w:sz w:val="24"/>
          <w:szCs w:val="24"/>
        </w:rPr>
        <w:t>esort and subject to safeguards’.</w:t>
      </w:r>
      <w:r>
        <w:rPr>
          <w:rStyle w:val="FootnoteReference"/>
          <w:rFonts w:ascii="Times New Roman" w:hAnsi="Times New Roman" w:cs="Times New Roman"/>
          <w:sz w:val="24"/>
          <w:szCs w:val="24"/>
        </w:rPr>
        <w:footnoteReference w:id="19"/>
      </w:r>
    </w:p>
    <w:p w14:paraId="05A38CA2" w14:textId="7097D376" w:rsidR="004B7B28" w:rsidRDefault="004B7B28" w:rsidP="004B7B28">
      <w:pPr>
        <w:pStyle w:val="ListParagraph"/>
        <w:widowControl w:val="0"/>
        <w:numPr>
          <w:ilvl w:val="0"/>
          <w:numId w:val="1"/>
        </w:numPr>
        <w:spacing w:after="240" w:line="240" w:lineRule="auto"/>
        <w:contextualSpacing w:val="0"/>
        <w:jc w:val="both"/>
        <w:rPr>
          <w:rFonts w:ascii="Times New Roman" w:hAnsi="Times New Roman" w:cs="Times New Roman"/>
          <w:sz w:val="24"/>
          <w:szCs w:val="24"/>
        </w:rPr>
      </w:pPr>
      <w:r w:rsidRPr="00B832E5">
        <w:rPr>
          <w:rFonts w:ascii="Times New Roman" w:hAnsi="Times New Roman" w:cs="Times New Roman"/>
          <w:sz w:val="24"/>
          <w:szCs w:val="24"/>
        </w:rPr>
        <w:t xml:space="preserve">Australia </w:t>
      </w:r>
      <w:r>
        <w:rPr>
          <w:rFonts w:ascii="Times New Roman" w:hAnsi="Times New Roman" w:cs="Times New Roman"/>
          <w:sz w:val="24"/>
          <w:szCs w:val="24"/>
        </w:rPr>
        <w:t>reiterates that declaration in this submission. S</w:t>
      </w:r>
      <w:r w:rsidRPr="00B832E5">
        <w:rPr>
          <w:rFonts w:ascii="Times New Roman" w:hAnsi="Times New Roman" w:cs="Times New Roman"/>
          <w:sz w:val="24"/>
          <w:szCs w:val="24"/>
        </w:rPr>
        <w:t xml:space="preserve">ubstituted decision-making may be necessary in limited circumstances and as a last resort to ensure, for example, that persons with disabilities are not denied access to proper medical treatment because of an inability to access or communicate their needs or preferences. Such decisions should only be made on behalf of others in exceptional circumstances </w:t>
      </w:r>
      <w:r>
        <w:rPr>
          <w:rFonts w:ascii="Times New Roman" w:hAnsi="Times New Roman" w:cs="Times New Roman"/>
          <w:sz w:val="24"/>
          <w:szCs w:val="24"/>
        </w:rPr>
        <w:t>–</w:t>
      </w:r>
      <w:r w:rsidRPr="00B832E5">
        <w:rPr>
          <w:rFonts w:ascii="Times New Roman" w:hAnsi="Times New Roman" w:cs="Times New Roman"/>
          <w:sz w:val="24"/>
          <w:szCs w:val="24"/>
        </w:rPr>
        <w:t xml:space="preserve"> where this is necessary, as a last resort, and subject to safeguards</w:t>
      </w:r>
      <w:r>
        <w:rPr>
          <w:rFonts w:ascii="Times New Roman" w:hAnsi="Times New Roman" w:cs="Times New Roman"/>
          <w:sz w:val="24"/>
          <w:szCs w:val="24"/>
        </w:rPr>
        <w:t>.</w:t>
      </w:r>
    </w:p>
    <w:p w14:paraId="6E689346" w14:textId="2BA2DE68" w:rsidR="004B7B28" w:rsidRPr="00E40C51" w:rsidRDefault="004B7B28" w:rsidP="00582393">
      <w:pPr>
        <w:pStyle w:val="ListParagraph"/>
        <w:widowControl w:val="0"/>
        <w:numPr>
          <w:ilvl w:val="0"/>
          <w:numId w:val="1"/>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Accordingly, Australia does not agree that, in every circumstance, ‘</w:t>
      </w:r>
      <w:r w:rsidRPr="004A0AF7">
        <w:rPr>
          <w:rFonts w:ascii="Times New Roman" w:hAnsi="Times New Roman" w:cs="Times New Roman"/>
          <w:sz w:val="24"/>
          <w:szCs w:val="24"/>
        </w:rPr>
        <w:t>denying legal capacity on the basis of disability is discriminatory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00E40C51">
        <w:rPr>
          <w:rFonts w:ascii="Times New Roman" w:hAnsi="Times New Roman" w:cs="Times New Roman"/>
          <w:sz w:val="24"/>
          <w:szCs w:val="24"/>
        </w:rPr>
        <w:t xml:space="preserve"> Nor does Australia agree with the Committee’s statement that</w:t>
      </w:r>
      <w:r w:rsidR="00E40C51" w:rsidRPr="00E40C51">
        <w:rPr>
          <w:rFonts w:ascii="Times New Roman" w:hAnsi="Times New Roman" w:cs="Times New Roman"/>
          <w:sz w:val="24"/>
          <w:szCs w:val="24"/>
        </w:rPr>
        <w:t xml:space="preserve"> </w:t>
      </w:r>
      <w:r w:rsidRPr="00E40C51">
        <w:rPr>
          <w:rFonts w:ascii="Times New Roman" w:hAnsi="Times New Roman" w:cs="Times New Roman"/>
          <w:sz w:val="24"/>
          <w:szCs w:val="24"/>
        </w:rPr>
        <w:t>‘</w:t>
      </w:r>
      <w:r w:rsidR="00E40C51">
        <w:rPr>
          <w:rFonts w:ascii="Times New Roman" w:hAnsi="Times New Roman" w:cs="Times New Roman"/>
          <w:sz w:val="24"/>
          <w:szCs w:val="24"/>
        </w:rPr>
        <w:t>[t]</w:t>
      </w:r>
      <w:r w:rsidRPr="00E40C51">
        <w:rPr>
          <w:rFonts w:ascii="Times New Roman" w:hAnsi="Times New Roman" w:cs="Times New Roman"/>
          <w:sz w:val="24"/>
          <w:szCs w:val="24"/>
        </w:rPr>
        <w:t>he right to legal capacity is a threshold right, that is, it is required for the enjoyment of all other rights in the Convention, including the right to equality and non</w:t>
      </w:r>
      <w:r w:rsidR="00E40C51">
        <w:rPr>
          <w:rFonts w:ascii="Times New Roman" w:hAnsi="Times New Roman" w:cs="Times New Roman"/>
          <w:sz w:val="24"/>
          <w:szCs w:val="24"/>
        </w:rPr>
        <w:noBreakHyphen/>
      </w:r>
      <w:r w:rsidRPr="00E40C51">
        <w:rPr>
          <w:rFonts w:ascii="Times New Roman" w:hAnsi="Times New Roman" w:cs="Times New Roman"/>
          <w:sz w:val="24"/>
          <w:szCs w:val="24"/>
        </w:rPr>
        <w:t>discrimination’.</w:t>
      </w:r>
      <w:r>
        <w:rPr>
          <w:rStyle w:val="FootnoteReference"/>
          <w:rFonts w:ascii="Times New Roman" w:hAnsi="Times New Roman" w:cs="Times New Roman"/>
          <w:sz w:val="24"/>
          <w:szCs w:val="24"/>
        </w:rPr>
        <w:footnoteReference w:id="21"/>
      </w:r>
    </w:p>
    <w:p w14:paraId="1AD1C568" w14:textId="1CD5470C" w:rsidR="004B7B28" w:rsidRPr="003B3098" w:rsidRDefault="00B0247F" w:rsidP="00582393">
      <w:pPr>
        <w:keepNext/>
        <w:keepLines/>
        <w:widowControl w:val="0"/>
        <w:spacing w:before="100" w:beforeAutospacing="1" w:after="240" w:line="240" w:lineRule="auto"/>
        <w:jc w:val="both"/>
        <w:rPr>
          <w:rFonts w:ascii="Times New Roman" w:hAnsi="Times New Roman" w:cs="Times New Roman"/>
          <w:i/>
          <w:sz w:val="24"/>
          <w:szCs w:val="24"/>
        </w:rPr>
      </w:pPr>
      <w:r w:rsidRPr="00B0247F">
        <w:rPr>
          <w:rFonts w:ascii="Times New Roman" w:hAnsi="Times New Roman" w:cs="Times New Roman"/>
          <w:i/>
          <w:sz w:val="24"/>
          <w:szCs w:val="24"/>
        </w:rPr>
        <w:t>Protecting the integrity of the person</w:t>
      </w:r>
    </w:p>
    <w:p w14:paraId="2D82A820" w14:textId="0ABAD23A" w:rsidR="003B3098" w:rsidRPr="00B0247F" w:rsidRDefault="00B0247F" w:rsidP="00582393">
      <w:pPr>
        <w:pStyle w:val="ListParagraph"/>
        <w:keepNext/>
        <w:keepLines/>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B0247F">
        <w:rPr>
          <w:rFonts w:ascii="Times New Roman" w:hAnsi="Times New Roman" w:cs="Times New Roman"/>
          <w:sz w:val="24"/>
          <w:szCs w:val="24"/>
        </w:rPr>
        <w:t>Australia refers again to its declaration under the Convention.</w:t>
      </w:r>
      <w:r w:rsidRPr="00B0247F">
        <w:rPr>
          <w:rStyle w:val="FootnoteReference"/>
          <w:rFonts w:ascii="Times New Roman" w:hAnsi="Times New Roman" w:cs="Times New Roman"/>
          <w:sz w:val="24"/>
          <w:szCs w:val="24"/>
        </w:rPr>
        <w:footnoteReference w:id="22"/>
      </w:r>
      <w:r w:rsidR="002257C5">
        <w:rPr>
          <w:rFonts w:ascii="Times New Roman" w:hAnsi="Times New Roman" w:cs="Times New Roman"/>
          <w:sz w:val="24"/>
          <w:szCs w:val="24"/>
        </w:rPr>
        <w:t xml:space="preserve"> In this declaration, Australia </w:t>
      </w:r>
      <w:r w:rsidRPr="00B0247F">
        <w:rPr>
          <w:rFonts w:ascii="Times New Roman" w:hAnsi="Times New Roman" w:cs="Times New Roman"/>
          <w:sz w:val="24"/>
          <w:szCs w:val="24"/>
        </w:rPr>
        <w:t>explicitly recognises that ‘every person with disability has a right to respect for his or her physical and mental integrity on an equal basis with others’ and ‘declares its understanding that the Convention allows for compulsory assistance or treatment of persons, including measures taken for the treatment of mental disability, where such treatment is necessary, as a last resort and subject to safeguards’.</w:t>
      </w:r>
      <w:r w:rsidRPr="00B0247F">
        <w:rPr>
          <w:rStyle w:val="FootnoteReference"/>
          <w:rFonts w:ascii="Times New Roman" w:hAnsi="Times New Roman" w:cs="Times New Roman"/>
          <w:sz w:val="24"/>
          <w:szCs w:val="24"/>
        </w:rPr>
        <w:footnoteReference w:id="23"/>
      </w:r>
    </w:p>
    <w:p w14:paraId="3D1354E0" w14:textId="76E3B9FF" w:rsidR="00B0247F" w:rsidRPr="002257C5" w:rsidRDefault="00B0247F" w:rsidP="00FF2095">
      <w:pPr>
        <w:pStyle w:val="ListParagraph"/>
        <w:keepNext/>
        <w:keepLines/>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2257C5">
        <w:rPr>
          <w:rFonts w:ascii="Times New Roman" w:hAnsi="Times New Roman" w:cs="Times New Roman"/>
          <w:sz w:val="24"/>
          <w:szCs w:val="24"/>
        </w:rPr>
        <w:t xml:space="preserve">Australia further refers to the Committee’s description of institutionalisation as a practice that is ‘in direct contravention of the Convention and its principles’ and </w:t>
      </w:r>
      <w:r w:rsidR="002257C5" w:rsidRPr="002257C5">
        <w:rPr>
          <w:rFonts w:ascii="Times New Roman" w:hAnsi="Times New Roman" w:cs="Times New Roman"/>
          <w:sz w:val="24"/>
          <w:szCs w:val="24"/>
        </w:rPr>
        <w:t xml:space="preserve">its </w:t>
      </w:r>
      <w:r w:rsidRPr="002257C5">
        <w:rPr>
          <w:rFonts w:ascii="Times New Roman" w:hAnsi="Times New Roman" w:cs="Times New Roman"/>
          <w:sz w:val="24"/>
          <w:szCs w:val="24"/>
        </w:rPr>
        <w:t>statement that ‘article</w:t>
      </w:r>
      <w:r w:rsidR="002257C5">
        <w:rPr>
          <w:rFonts w:ascii="Times New Roman" w:hAnsi="Times New Roman" w:cs="Times New Roman"/>
          <w:sz w:val="24"/>
          <w:szCs w:val="24"/>
        </w:rPr>
        <w:t> </w:t>
      </w:r>
      <w:r w:rsidRPr="002257C5">
        <w:rPr>
          <w:rFonts w:ascii="Times New Roman" w:hAnsi="Times New Roman" w:cs="Times New Roman"/>
          <w:sz w:val="24"/>
          <w:szCs w:val="24"/>
        </w:rPr>
        <w:t>14 imposes an absolute prohibition on the institutionalisation of a person on the grounds of their “actual or perceived impairment”’.</w:t>
      </w:r>
      <w:r w:rsidRPr="00B0247F">
        <w:rPr>
          <w:rStyle w:val="FootnoteReference"/>
          <w:rFonts w:ascii="Times New Roman" w:hAnsi="Times New Roman" w:cs="Times New Roman"/>
          <w:sz w:val="24"/>
          <w:szCs w:val="24"/>
        </w:rPr>
        <w:footnoteReference w:id="24"/>
      </w:r>
      <w:r w:rsidRPr="002257C5">
        <w:rPr>
          <w:rFonts w:ascii="Times New Roman" w:hAnsi="Times New Roman" w:cs="Times New Roman"/>
          <w:sz w:val="24"/>
          <w:szCs w:val="24"/>
        </w:rPr>
        <w:t xml:space="preserve"> In Australia’s view, </w:t>
      </w:r>
      <w:r w:rsidR="00582393">
        <w:rPr>
          <w:rFonts w:ascii="Times New Roman" w:hAnsi="Times New Roman" w:cs="Times New Roman"/>
          <w:sz w:val="24"/>
          <w:szCs w:val="24"/>
        </w:rPr>
        <w:t xml:space="preserve">there is no absolute prohibition on institutionalisation. However, any circumstances of </w:t>
      </w:r>
      <w:r w:rsidR="002257C5">
        <w:rPr>
          <w:rFonts w:ascii="Times New Roman" w:hAnsi="Times New Roman" w:cs="Times New Roman"/>
          <w:sz w:val="24"/>
          <w:szCs w:val="24"/>
        </w:rPr>
        <w:t xml:space="preserve">institutionalisation </w:t>
      </w:r>
      <w:r w:rsidR="00582393">
        <w:rPr>
          <w:rFonts w:ascii="Times New Roman" w:hAnsi="Times New Roman" w:cs="Times New Roman"/>
          <w:sz w:val="24"/>
          <w:szCs w:val="24"/>
        </w:rPr>
        <w:t xml:space="preserve">must </w:t>
      </w:r>
      <w:r w:rsidRPr="002257C5">
        <w:rPr>
          <w:rFonts w:ascii="Times New Roman" w:hAnsi="Times New Roman" w:cs="Times New Roman"/>
          <w:sz w:val="24"/>
          <w:szCs w:val="24"/>
        </w:rPr>
        <w:t>be</w:t>
      </w:r>
      <w:r w:rsidR="002257C5">
        <w:rPr>
          <w:rFonts w:ascii="Times New Roman" w:hAnsi="Times New Roman" w:cs="Times New Roman"/>
          <w:sz w:val="24"/>
          <w:szCs w:val="24"/>
        </w:rPr>
        <w:t xml:space="preserve"> considered in light of</w:t>
      </w:r>
      <w:r w:rsidRPr="002257C5">
        <w:rPr>
          <w:rFonts w:ascii="Times New Roman" w:hAnsi="Times New Roman" w:cs="Times New Roman"/>
          <w:sz w:val="24"/>
          <w:szCs w:val="24"/>
        </w:rPr>
        <w:t xml:space="preserve"> </w:t>
      </w:r>
      <w:r w:rsidR="00582393">
        <w:rPr>
          <w:rFonts w:ascii="Times New Roman" w:hAnsi="Times New Roman" w:cs="Times New Roman"/>
          <w:sz w:val="24"/>
          <w:szCs w:val="24"/>
        </w:rPr>
        <w:t xml:space="preserve">the obligations in </w:t>
      </w:r>
      <w:r w:rsidRPr="002257C5">
        <w:rPr>
          <w:rFonts w:ascii="Times New Roman" w:hAnsi="Times New Roman" w:cs="Times New Roman"/>
          <w:sz w:val="24"/>
          <w:szCs w:val="24"/>
        </w:rPr>
        <w:t>Article 14 of the Convention</w:t>
      </w:r>
      <w:r w:rsidR="002257C5">
        <w:rPr>
          <w:rFonts w:ascii="Times New Roman" w:hAnsi="Times New Roman" w:cs="Times New Roman"/>
          <w:sz w:val="24"/>
          <w:szCs w:val="24"/>
        </w:rPr>
        <w:t>, which provides that ‘</w:t>
      </w:r>
      <w:r w:rsidR="00FF2095" w:rsidRPr="00FF2095">
        <w:rPr>
          <w:rFonts w:ascii="Times New Roman" w:hAnsi="Times New Roman" w:cs="Times New Roman"/>
          <w:sz w:val="24"/>
          <w:szCs w:val="24"/>
        </w:rPr>
        <w:t>States Parties shall ensure that persons with disabilities</w:t>
      </w:r>
      <w:r w:rsidR="00FF2095">
        <w:rPr>
          <w:rFonts w:ascii="Times New Roman" w:hAnsi="Times New Roman" w:cs="Times New Roman"/>
          <w:sz w:val="24"/>
          <w:szCs w:val="24"/>
        </w:rPr>
        <w:t xml:space="preserve"> … [a]re</w:t>
      </w:r>
      <w:r w:rsidR="00FF2095" w:rsidRPr="00FF2095">
        <w:rPr>
          <w:rFonts w:ascii="Times New Roman" w:hAnsi="Times New Roman" w:cs="Times New Roman"/>
          <w:sz w:val="24"/>
          <w:szCs w:val="24"/>
        </w:rPr>
        <w:t xml:space="preserve"> </w:t>
      </w:r>
      <w:r w:rsidR="00FF2095">
        <w:rPr>
          <w:rFonts w:ascii="Times New Roman" w:hAnsi="Times New Roman" w:cs="Times New Roman"/>
          <w:sz w:val="24"/>
          <w:szCs w:val="24"/>
        </w:rPr>
        <w:t xml:space="preserve">not </w:t>
      </w:r>
      <w:r w:rsidR="002257C5" w:rsidRPr="002257C5">
        <w:rPr>
          <w:rFonts w:ascii="Times New Roman" w:hAnsi="Times New Roman" w:cs="Times New Roman"/>
          <w:sz w:val="24"/>
          <w:szCs w:val="24"/>
        </w:rPr>
        <w:t>deprived of their liberty unlawfully or arbitrarily, and that any deprivation of liberty is in conformity with the law, and that the existence of a disability shall in no case justify a deprivation of liberty</w:t>
      </w:r>
      <w:r w:rsidR="002257C5">
        <w:rPr>
          <w:rFonts w:ascii="Times New Roman" w:hAnsi="Times New Roman" w:cs="Times New Roman"/>
          <w:sz w:val="24"/>
          <w:szCs w:val="24"/>
        </w:rPr>
        <w:t>’</w:t>
      </w:r>
      <w:r w:rsidRPr="002257C5">
        <w:rPr>
          <w:rFonts w:ascii="Times New Roman" w:hAnsi="Times New Roman" w:cs="Times New Roman"/>
          <w:sz w:val="24"/>
          <w:szCs w:val="24"/>
        </w:rPr>
        <w:t>.</w:t>
      </w:r>
      <w:r w:rsidR="00582393">
        <w:rPr>
          <w:rStyle w:val="FootnoteReference"/>
          <w:rFonts w:ascii="Times New Roman" w:hAnsi="Times New Roman" w:cs="Times New Roman"/>
          <w:sz w:val="24"/>
          <w:szCs w:val="24"/>
        </w:rPr>
        <w:footnoteReference w:id="25"/>
      </w:r>
    </w:p>
    <w:p w14:paraId="18C6F6F9" w14:textId="22FF9FBE" w:rsidR="00B35FD1" w:rsidRPr="003B3098" w:rsidRDefault="006A29A4" w:rsidP="006A29A4">
      <w:pPr>
        <w:widowControl w:val="0"/>
        <w:spacing w:before="100" w:beforeAutospacing="1" w:after="240" w:line="240" w:lineRule="auto"/>
        <w:jc w:val="both"/>
        <w:rPr>
          <w:rFonts w:ascii="Times New Roman" w:hAnsi="Times New Roman" w:cs="Times New Roman"/>
          <w:i/>
          <w:sz w:val="24"/>
          <w:szCs w:val="24"/>
        </w:rPr>
      </w:pPr>
      <w:r w:rsidRPr="00B0247F">
        <w:rPr>
          <w:rFonts w:ascii="Times New Roman" w:hAnsi="Times New Roman" w:cs="Times New Roman"/>
          <w:i/>
          <w:sz w:val="24"/>
          <w:szCs w:val="24"/>
        </w:rPr>
        <w:t>The right to live independently</w:t>
      </w:r>
    </w:p>
    <w:p w14:paraId="68BA610F" w14:textId="524529B4" w:rsidR="006A29A4" w:rsidRPr="00582393" w:rsidRDefault="006A29A4" w:rsidP="00582393">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Australia refers to the Committee’s references to the ‘right to live independently’ in the draft General Comment.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As </w:t>
      </w:r>
      <w:r w:rsidR="005878A4">
        <w:rPr>
          <w:rFonts w:ascii="Times New Roman" w:hAnsi="Times New Roman" w:cs="Times New Roman"/>
          <w:sz w:val="24"/>
          <w:szCs w:val="24"/>
        </w:rPr>
        <w:t xml:space="preserve">respectfully </w:t>
      </w:r>
      <w:r w:rsidR="00712706">
        <w:rPr>
          <w:rFonts w:ascii="Times New Roman" w:hAnsi="Times New Roman" w:cs="Times New Roman"/>
          <w:sz w:val="24"/>
          <w:szCs w:val="24"/>
        </w:rPr>
        <w:t>stated</w:t>
      </w:r>
      <w:r>
        <w:rPr>
          <w:rFonts w:ascii="Times New Roman" w:hAnsi="Times New Roman" w:cs="Times New Roman"/>
          <w:sz w:val="24"/>
          <w:szCs w:val="24"/>
        </w:rPr>
        <w:t xml:space="preserve"> in Australia’s submission to the Committee on </w:t>
      </w:r>
      <w:r w:rsidR="005878A4">
        <w:rPr>
          <w:rFonts w:ascii="Times New Roman" w:hAnsi="Times New Roman" w:cs="Times New Roman"/>
          <w:sz w:val="24"/>
          <w:szCs w:val="24"/>
        </w:rPr>
        <w:t>‘</w:t>
      </w:r>
      <w:r w:rsidR="005878A4" w:rsidRPr="005878A4">
        <w:rPr>
          <w:rFonts w:ascii="Times New Roman" w:hAnsi="Times New Roman" w:cs="Times New Roman"/>
          <w:sz w:val="24"/>
          <w:szCs w:val="24"/>
        </w:rPr>
        <w:t>Draft General Comment No. 5 (2017): Article 19: Living independently and being included in the community</w:t>
      </w:r>
      <w:r w:rsidR="005878A4">
        <w:rPr>
          <w:rFonts w:ascii="Times New Roman" w:hAnsi="Times New Roman" w:cs="Times New Roman"/>
          <w:sz w:val="24"/>
          <w:szCs w:val="24"/>
        </w:rPr>
        <w:t xml:space="preserve">’, </w:t>
      </w:r>
      <w:r w:rsidRPr="00154254">
        <w:rPr>
          <w:rFonts w:ascii="Times New Roman" w:hAnsi="Times New Roman" w:cs="Times New Roman"/>
          <w:sz w:val="24"/>
          <w:szCs w:val="24"/>
        </w:rPr>
        <w:t xml:space="preserve">article headings may be an aid to interpretation, but cannot </w:t>
      </w:r>
      <w:r w:rsidR="00A43521">
        <w:rPr>
          <w:rFonts w:ascii="Times New Roman" w:hAnsi="Times New Roman" w:cs="Times New Roman"/>
          <w:sz w:val="24"/>
          <w:szCs w:val="24"/>
        </w:rPr>
        <w:t>evince</w:t>
      </w:r>
      <w:r w:rsidR="00A43521" w:rsidRPr="00154254">
        <w:rPr>
          <w:rFonts w:ascii="Times New Roman" w:hAnsi="Times New Roman" w:cs="Times New Roman"/>
          <w:sz w:val="24"/>
          <w:szCs w:val="24"/>
        </w:rPr>
        <w:t xml:space="preserve"> </w:t>
      </w:r>
      <w:r w:rsidRPr="00154254">
        <w:rPr>
          <w:rFonts w:ascii="Times New Roman" w:hAnsi="Times New Roman" w:cs="Times New Roman"/>
          <w:sz w:val="24"/>
          <w:szCs w:val="24"/>
        </w:rPr>
        <w:t>the content of an obligation.</w:t>
      </w:r>
      <w:r w:rsidRPr="0055094B">
        <w:rPr>
          <w:rStyle w:val="FootnoteReference"/>
          <w:rFonts w:ascii="Times New Roman" w:hAnsi="Times New Roman" w:cs="Times New Roman"/>
          <w:sz w:val="24"/>
          <w:szCs w:val="24"/>
        </w:rPr>
        <w:footnoteReference w:id="27"/>
      </w:r>
      <w:r w:rsidR="00582393">
        <w:rPr>
          <w:rFonts w:ascii="Times New Roman" w:hAnsi="Times New Roman" w:cs="Times New Roman"/>
          <w:sz w:val="24"/>
          <w:szCs w:val="24"/>
        </w:rPr>
        <w:t xml:space="preserve"> </w:t>
      </w:r>
      <w:r w:rsidR="00FF2095" w:rsidRPr="00582393">
        <w:rPr>
          <w:rFonts w:ascii="Times New Roman" w:hAnsi="Times New Roman" w:cs="Times New Roman"/>
          <w:sz w:val="24"/>
          <w:szCs w:val="24"/>
        </w:rPr>
        <w:t>In Australia’s view, t</w:t>
      </w:r>
      <w:r w:rsidRPr="00582393">
        <w:rPr>
          <w:rFonts w:ascii="Times New Roman" w:hAnsi="Times New Roman" w:cs="Times New Roman"/>
          <w:sz w:val="24"/>
          <w:szCs w:val="24"/>
        </w:rPr>
        <w:t xml:space="preserve">he starting point </w:t>
      </w:r>
      <w:r w:rsidR="00582393">
        <w:rPr>
          <w:rFonts w:ascii="Times New Roman" w:hAnsi="Times New Roman" w:cs="Times New Roman"/>
          <w:sz w:val="24"/>
          <w:szCs w:val="24"/>
        </w:rPr>
        <w:t xml:space="preserve">for interpreting the obligations in Article 19 of the Convention </w:t>
      </w:r>
      <w:r w:rsidRPr="00582393">
        <w:rPr>
          <w:rFonts w:ascii="Times New Roman" w:hAnsi="Times New Roman" w:cs="Times New Roman"/>
          <w:sz w:val="24"/>
          <w:szCs w:val="24"/>
        </w:rPr>
        <w:t>should be the text of</w:t>
      </w:r>
      <w:r w:rsidR="00582393">
        <w:rPr>
          <w:rFonts w:ascii="Times New Roman" w:hAnsi="Times New Roman" w:cs="Times New Roman"/>
          <w:sz w:val="24"/>
          <w:szCs w:val="24"/>
        </w:rPr>
        <w:t xml:space="preserve"> its</w:t>
      </w:r>
      <w:r w:rsidRPr="00582393">
        <w:rPr>
          <w:rFonts w:ascii="Times New Roman" w:hAnsi="Times New Roman" w:cs="Times New Roman"/>
          <w:sz w:val="24"/>
          <w:szCs w:val="24"/>
        </w:rPr>
        <w:t xml:space="preserve"> ‘chapeau’. </w:t>
      </w:r>
      <w:r w:rsidR="00FF2095" w:rsidRPr="00582393">
        <w:rPr>
          <w:rFonts w:ascii="Times New Roman" w:hAnsi="Times New Roman" w:cs="Times New Roman"/>
          <w:sz w:val="24"/>
          <w:szCs w:val="24"/>
        </w:rPr>
        <w:t>T</w:t>
      </w:r>
      <w:r w:rsidRPr="00582393">
        <w:rPr>
          <w:rFonts w:ascii="Times New Roman" w:hAnsi="Times New Roman" w:cs="Times New Roman"/>
          <w:sz w:val="24"/>
          <w:szCs w:val="24"/>
        </w:rPr>
        <w:t>he key concepts, as provided for explicitly in the text of the article, are: (1) ‘the equal right of all persons with disabilities to live in the community’; (2) ‘with choices equal to others’; and (3) ‘full inclusion and participation in the community’.</w:t>
      </w:r>
    </w:p>
    <w:p w14:paraId="356B4162" w14:textId="77311F73" w:rsidR="00A9325F" w:rsidRPr="00A9325F" w:rsidRDefault="00A9325F" w:rsidP="00A9325F">
      <w:pPr>
        <w:keepNext/>
        <w:keepLines/>
        <w:widowControl w:val="0"/>
        <w:spacing w:before="100" w:beforeAutospacing="1" w:after="240" w:line="240" w:lineRule="auto"/>
        <w:jc w:val="center"/>
        <w:rPr>
          <w:rFonts w:ascii="Times New Roman" w:hAnsi="Times New Roman" w:cs="Times New Roman"/>
          <w:b/>
          <w:sz w:val="24"/>
          <w:szCs w:val="24"/>
        </w:rPr>
      </w:pPr>
      <w:r w:rsidRPr="00A9325F">
        <w:rPr>
          <w:b/>
          <w:szCs w:val="24"/>
        </w:rPr>
        <w:t>***</w:t>
      </w:r>
    </w:p>
    <w:p w14:paraId="0EC68385" w14:textId="69AF5E80" w:rsidR="00C01D4D" w:rsidRDefault="004A0AF7" w:rsidP="00FB1A7B">
      <w:pPr>
        <w:pStyle w:val="ListParagraph"/>
        <w:widowControl w:val="0"/>
        <w:numPr>
          <w:ilvl w:val="0"/>
          <w:numId w:val="1"/>
        </w:numPr>
        <w:spacing w:before="100" w:beforeAutospacing="1" w:after="240" w:line="240" w:lineRule="auto"/>
        <w:contextualSpacing w:val="0"/>
        <w:jc w:val="both"/>
        <w:rPr>
          <w:rFonts w:ascii="Times New Roman" w:eastAsia="Dotum" w:hAnsi="Times New Roman" w:cs="Times New Roman"/>
          <w:sz w:val="24"/>
          <w:szCs w:val="24"/>
        </w:rPr>
      </w:pPr>
      <w:r w:rsidRPr="00AC54A4">
        <w:rPr>
          <w:rFonts w:ascii="Times New Roman" w:eastAsia="Dotum" w:hAnsi="Times New Roman" w:cs="Times New Roman"/>
          <w:sz w:val="24"/>
          <w:szCs w:val="24"/>
        </w:rPr>
        <w:t xml:space="preserve">Australia </w:t>
      </w:r>
      <w:r w:rsidR="00A43521">
        <w:rPr>
          <w:rFonts w:ascii="Times New Roman" w:eastAsia="Dotum" w:hAnsi="Times New Roman" w:cs="Times New Roman"/>
          <w:sz w:val="24"/>
          <w:szCs w:val="24"/>
        </w:rPr>
        <w:t>commends</w:t>
      </w:r>
      <w:r w:rsidR="00FF2095">
        <w:rPr>
          <w:rFonts w:ascii="Times New Roman" w:eastAsia="Dotum" w:hAnsi="Times New Roman" w:cs="Times New Roman"/>
          <w:sz w:val="24"/>
          <w:szCs w:val="24"/>
        </w:rPr>
        <w:t xml:space="preserve"> the Committee for this helpful draft. Australia </w:t>
      </w:r>
      <w:r w:rsidRPr="00AC54A4">
        <w:rPr>
          <w:rFonts w:ascii="Times New Roman" w:eastAsia="Dotum" w:hAnsi="Times New Roman" w:cs="Times New Roman"/>
          <w:sz w:val="24"/>
          <w:szCs w:val="24"/>
        </w:rPr>
        <w:t>reiterates its support for the work of the Committee and avails itself of this opportunity to renew to the Committee the assurances of its highest consideration.</w:t>
      </w:r>
    </w:p>
    <w:p w14:paraId="7B59F09F" w14:textId="0E338D84" w:rsidR="00A9325F" w:rsidRPr="00A9325F" w:rsidRDefault="00A9325F" w:rsidP="00A9325F">
      <w:pPr>
        <w:widowControl w:val="0"/>
        <w:spacing w:before="100" w:beforeAutospacing="1" w:after="240" w:line="240" w:lineRule="auto"/>
        <w:jc w:val="right"/>
        <w:rPr>
          <w:rFonts w:ascii="Times New Roman" w:eastAsia="Dotum" w:hAnsi="Times New Roman" w:cs="Times New Roman"/>
          <w:sz w:val="24"/>
          <w:szCs w:val="24"/>
        </w:rPr>
      </w:pPr>
      <w:r w:rsidRPr="00582393">
        <w:rPr>
          <w:rFonts w:ascii="Times New Roman" w:eastAsia="Dotum" w:hAnsi="Times New Roman" w:cs="Times New Roman"/>
          <w:sz w:val="24"/>
          <w:szCs w:val="24"/>
        </w:rPr>
        <w:t>15 November</w:t>
      </w:r>
      <w:r>
        <w:rPr>
          <w:rFonts w:ascii="Times New Roman" w:eastAsia="Dotum" w:hAnsi="Times New Roman" w:cs="Times New Roman"/>
          <w:sz w:val="24"/>
          <w:szCs w:val="24"/>
        </w:rPr>
        <w:t xml:space="preserve"> 2017</w:t>
      </w:r>
    </w:p>
    <w:sectPr w:rsidR="00A9325F" w:rsidRPr="00A9325F" w:rsidSect="00264319">
      <w:headerReference w:type="default" r:id="rId8"/>
      <w:footerReference w:type="default" r:id="rId9"/>
      <w:pgSz w:w="11906" w:h="16838"/>
      <w:pgMar w:top="1134" w:right="1134" w:bottom="1134" w:left="1134" w:header="851"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7FAA" w14:textId="77777777" w:rsidR="0041005E" w:rsidRDefault="0041005E" w:rsidP="003C3423">
      <w:pPr>
        <w:spacing w:after="0" w:line="240" w:lineRule="auto"/>
      </w:pPr>
      <w:r>
        <w:separator/>
      </w:r>
    </w:p>
  </w:endnote>
  <w:endnote w:type="continuationSeparator" w:id="0">
    <w:p w14:paraId="040CBC5A" w14:textId="77777777" w:rsidR="0041005E" w:rsidRDefault="0041005E" w:rsidP="003C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42604"/>
      <w:docPartObj>
        <w:docPartGallery w:val="Page Numbers (Bottom of Page)"/>
        <w:docPartUnique/>
      </w:docPartObj>
    </w:sdtPr>
    <w:sdtEndPr/>
    <w:sdtContent>
      <w:sdt>
        <w:sdtPr>
          <w:id w:val="860082579"/>
          <w:docPartObj>
            <w:docPartGallery w:val="Page Numbers (Top of Page)"/>
            <w:docPartUnique/>
          </w:docPartObj>
        </w:sdtPr>
        <w:sdtEndPr/>
        <w:sdtContent>
          <w:p w14:paraId="3179F78B" w14:textId="4DA4EC96" w:rsidR="00FF0290" w:rsidRDefault="00FF0290" w:rsidP="00FF0290">
            <w:pPr>
              <w:pStyle w:val="Footer"/>
              <w:jc w:val="right"/>
            </w:pPr>
            <w:r w:rsidRPr="00E1214B">
              <w:rPr>
                <w:rFonts w:ascii="Times New Roman" w:hAnsi="Times New Roman" w:cs="Times New Roman"/>
              </w:rPr>
              <w:t xml:space="preserve">Page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PAGE </w:instrText>
            </w:r>
            <w:r w:rsidRPr="00E1214B">
              <w:rPr>
                <w:rFonts w:ascii="Times New Roman" w:hAnsi="Times New Roman" w:cs="Times New Roman"/>
                <w:b/>
                <w:bCs/>
                <w:sz w:val="24"/>
                <w:szCs w:val="24"/>
              </w:rPr>
              <w:fldChar w:fldCharType="separate"/>
            </w:r>
            <w:r w:rsidR="00645CCD">
              <w:rPr>
                <w:rFonts w:ascii="Times New Roman" w:hAnsi="Times New Roman" w:cs="Times New Roman"/>
                <w:b/>
                <w:bCs/>
                <w:noProof/>
              </w:rPr>
              <w:t>2</w:t>
            </w:r>
            <w:r w:rsidRPr="00E1214B">
              <w:rPr>
                <w:rFonts w:ascii="Times New Roman" w:hAnsi="Times New Roman" w:cs="Times New Roman"/>
                <w:b/>
                <w:bCs/>
                <w:sz w:val="24"/>
                <w:szCs w:val="24"/>
              </w:rPr>
              <w:fldChar w:fldCharType="end"/>
            </w:r>
            <w:r w:rsidRPr="00E1214B">
              <w:rPr>
                <w:rFonts w:ascii="Times New Roman" w:hAnsi="Times New Roman" w:cs="Times New Roman"/>
              </w:rPr>
              <w:t xml:space="preserve"> of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NUMPAGES  </w:instrText>
            </w:r>
            <w:r w:rsidRPr="00E1214B">
              <w:rPr>
                <w:rFonts w:ascii="Times New Roman" w:hAnsi="Times New Roman" w:cs="Times New Roman"/>
                <w:b/>
                <w:bCs/>
                <w:sz w:val="24"/>
                <w:szCs w:val="24"/>
              </w:rPr>
              <w:fldChar w:fldCharType="separate"/>
            </w:r>
            <w:r w:rsidR="00645CCD">
              <w:rPr>
                <w:rFonts w:ascii="Times New Roman" w:hAnsi="Times New Roman" w:cs="Times New Roman"/>
                <w:b/>
                <w:bCs/>
                <w:noProof/>
              </w:rPr>
              <w:t>6</w:t>
            </w:r>
            <w:r w:rsidRPr="00E1214B">
              <w:rPr>
                <w:rFonts w:ascii="Times New Roman" w:hAnsi="Times New Roman" w:cs="Times New Roman"/>
                <w:b/>
                <w:bCs/>
                <w:sz w:val="24"/>
                <w:szCs w:val="24"/>
              </w:rPr>
              <w:fldChar w:fldCharType="end"/>
            </w:r>
          </w:p>
        </w:sdtContent>
      </w:sdt>
    </w:sdtContent>
  </w:sdt>
  <w:p w14:paraId="2F1A58B4" w14:textId="77777777" w:rsidR="00FF0290" w:rsidRDefault="00FF02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5117D" w14:textId="77777777" w:rsidR="0041005E" w:rsidRDefault="0041005E" w:rsidP="003C3423">
      <w:pPr>
        <w:spacing w:after="0" w:line="240" w:lineRule="auto"/>
      </w:pPr>
      <w:r>
        <w:separator/>
      </w:r>
    </w:p>
  </w:footnote>
  <w:footnote w:type="continuationSeparator" w:id="0">
    <w:p w14:paraId="118B7E4D" w14:textId="77777777" w:rsidR="0041005E" w:rsidRDefault="0041005E" w:rsidP="003C3423">
      <w:pPr>
        <w:spacing w:after="0" w:line="240" w:lineRule="auto"/>
      </w:pPr>
      <w:r>
        <w:continuationSeparator/>
      </w:r>
    </w:p>
  </w:footnote>
  <w:footnote w:id="1">
    <w:p w14:paraId="5B8B2424" w14:textId="30EC2370" w:rsidR="00FF0290" w:rsidRPr="002257C5" w:rsidRDefault="00FF0290" w:rsidP="0055094B">
      <w:pPr>
        <w:pStyle w:val="FootnoteText"/>
        <w:jc w:val="both"/>
      </w:pPr>
      <w:r w:rsidRPr="002257C5">
        <w:rPr>
          <w:rStyle w:val="FootnoteReference"/>
        </w:rPr>
        <w:footnoteRef/>
      </w:r>
      <w:r w:rsidRPr="002257C5">
        <w:t xml:space="preserve"> </w:t>
      </w:r>
      <w:r w:rsidR="00E76FF1" w:rsidRPr="002257C5">
        <w:t>Committee on the Rights of Persons with Disabilities</w:t>
      </w:r>
      <w:r w:rsidRPr="002257C5">
        <w:t xml:space="preserve">, </w:t>
      </w:r>
      <w:r w:rsidR="00512959" w:rsidRPr="002257C5">
        <w:rPr>
          <w:i/>
        </w:rPr>
        <w:t>General Comment on Equality and Non-discrimination (Article 5)</w:t>
      </w:r>
      <w:r w:rsidRPr="002257C5">
        <w:t xml:space="preserve">, </w:t>
      </w:r>
      <w:r w:rsidR="00512959" w:rsidRPr="002257C5">
        <w:t xml:space="preserve">first draft as at 31 August 2017 </w:t>
      </w:r>
      <w:r w:rsidRPr="002257C5">
        <w:t>(</w:t>
      </w:r>
      <w:r w:rsidR="00AA023D">
        <w:t xml:space="preserve">the </w:t>
      </w:r>
      <w:r w:rsidR="000D25A7" w:rsidRPr="002257C5">
        <w:t>draft</w:t>
      </w:r>
      <w:r w:rsidRPr="002257C5">
        <w:t xml:space="preserve"> General Comment).</w:t>
      </w:r>
    </w:p>
  </w:footnote>
  <w:footnote w:id="2">
    <w:p w14:paraId="03F65C23" w14:textId="77777777" w:rsidR="00237555" w:rsidRPr="002257C5" w:rsidRDefault="00237555" w:rsidP="0055094B">
      <w:pPr>
        <w:pStyle w:val="FootnoteText"/>
        <w:jc w:val="both"/>
      </w:pPr>
      <w:r w:rsidRPr="002257C5">
        <w:rPr>
          <w:rStyle w:val="FootnoteReference"/>
        </w:rPr>
        <w:footnoteRef/>
      </w:r>
      <w:r w:rsidRPr="002257C5">
        <w:t xml:space="preserve"> At the Commonwealth level, the </w:t>
      </w:r>
      <w:r w:rsidRPr="002257C5">
        <w:rPr>
          <w:i/>
        </w:rPr>
        <w:t>Disability Discrimination Act 1992</w:t>
      </w:r>
      <w:r w:rsidRPr="002257C5">
        <w:t xml:space="preserve"> makes it unlawful to discriminate against a person on the ground of their disabilities in a number of areas, such as employment, education, the provision of goods and services and facilities, accommodation</w:t>
      </w:r>
      <w:r w:rsidR="00521D68" w:rsidRPr="002257C5">
        <w:t>,</w:t>
      </w:r>
      <w:r w:rsidRPr="002257C5">
        <w:t xml:space="preserve"> and the implementation of federal laws and programs.</w:t>
      </w:r>
    </w:p>
  </w:footnote>
  <w:footnote w:id="3">
    <w:p w14:paraId="1D396323" w14:textId="3DEC0A82" w:rsidR="00237555" w:rsidRPr="002257C5" w:rsidRDefault="00237555" w:rsidP="0055094B">
      <w:pPr>
        <w:pStyle w:val="FootnoteText"/>
        <w:jc w:val="both"/>
      </w:pPr>
      <w:r w:rsidRPr="002257C5">
        <w:rPr>
          <w:rStyle w:val="FootnoteReference"/>
        </w:rPr>
        <w:footnoteRef/>
      </w:r>
      <w:r w:rsidR="00B501D1" w:rsidRPr="002257C5">
        <w:t xml:space="preserve"> Australia is implementing the National Disability Insurance Scheme (NDIS), governed under the </w:t>
      </w:r>
      <w:r w:rsidR="00B501D1" w:rsidRPr="002257C5">
        <w:rPr>
          <w:i/>
          <w:iCs/>
        </w:rPr>
        <w:t>National Disability Insurance Scheme Act 2013</w:t>
      </w:r>
      <w:r w:rsidR="00B501D1" w:rsidRPr="002257C5">
        <w:t>, which is reforming the way Australians with disabilities are supported to ensure that services provided to persons with disabilities are both accessible and appropriate. The NDIS was trialled in eight locations around Australia and in July 2016 the NDIS commenced rolling out nationally</w:t>
      </w:r>
      <w:r w:rsidR="002D45FB" w:rsidRPr="002257C5">
        <w:t>.</w:t>
      </w:r>
      <w:r w:rsidR="00B501D1" w:rsidRPr="002257C5">
        <w:t xml:space="preserve"> </w:t>
      </w:r>
      <w:r w:rsidR="002D45FB" w:rsidRPr="002257C5">
        <w:t>It</w:t>
      </w:r>
      <w:r w:rsidR="00B501D1" w:rsidRPr="002257C5">
        <w:t xml:space="preserve"> is scheduled to be rolled out nation-wide by 2019</w:t>
      </w:r>
      <w:r w:rsidRPr="002257C5">
        <w:t>.</w:t>
      </w:r>
    </w:p>
  </w:footnote>
  <w:footnote w:id="4">
    <w:p w14:paraId="4392C677" w14:textId="6C685E90" w:rsidR="00512959" w:rsidRPr="002257C5" w:rsidRDefault="00512959">
      <w:pPr>
        <w:pStyle w:val="FootnoteText"/>
      </w:pPr>
      <w:r w:rsidRPr="002257C5">
        <w:rPr>
          <w:rStyle w:val="FootnoteReference"/>
        </w:rPr>
        <w:footnoteRef/>
      </w:r>
      <w:r w:rsidRPr="002257C5">
        <w:t xml:space="preserve"> Paragraph 1 of the draft General Comment.</w:t>
      </w:r>
    </w:p>
  </w:footnote>
  <w:footnote w:id="5">
    <w:p w14:paraId="353AAC4B" w14:textId="30175AA0" w:rsidR="00A42409" w:rsidRPr="002257C5" w:rsidRDefault="00A42409">
      <w:pPr>
        <w:pStyle w:val="FootnoteText"/>
      </w:pPr>
      <w:r w:rsidRPr="002257C5">
        <w:rPr>
          <w:rStyle w:val="FootnoteReference"/>
        </w:rPr>
        <w:footnoteRef/>
      </w:r>
      <w:r w:rsidRPr="002257C5">
        <w:t xml:space="preserve"> </w:t>
      </w:r>
      <w:r w:rsidRPr="002257C5">
        <w:rPr>
          <w:i/>
        </w:rPr>
        <w:t>Convention on the Rights of Persons with Disabilities</w:t>
      </w:r>
      <w:r w:rsidRPr="002257C5">
        <w:t>, opened for signature 13 December 2006, 2515 UNTS 3 (entered into force 3 May 2008) art1</w:t>
      </w:r>
      <w:r w:rsidR="00582393">
        <w:t xml:space="preserve"> (the Convention)</w:t>
      </w:r>
      <w:r w:rsidRPr="002257C5">
        <w:t>.</w:t>
      </w:r>
    </w:p>
  </w:footnote>
  <w:footnote w:id="6">
    <w:p w14:paraId="233B740A" w14:textId="6E1840CC" w:rsidR="00692FDA" w:rsidRPr="002257C5" w:rsidRDefault="00692FDA" w:rsidP="00692FDA">
      <w:pPr>
        <w:pStyle w:val="FootnoteText"/>
      </w:pPr>
      <w:r w:rsidRPr="002257C5">
        <w:rPr>
          <w:rStyle w:val="FootnoteReference"/>
        </w:rPr>
        <w:footnoteRef/>
      </w:r>
      <w:r w:rsidRPr="002257C5">
        <w:t xml:space="preserve"> The U</w:t>
      </w:r>
      <w:r w:rsidR="00777F56" w:rsidRPr="002257C5">
        <w:t xml:space="preserve">nited </w:t>
      </w:r>
      <w:r w:rsidRPr="002257C5">
        <w:t>N</w:t>
      </w:r>
      <w:r w:rsidR="00777F56" w:rsidRPr="002257C5">
        <w:t>ations</w:t>
      </w:r>
      <w:r w:rsidRPr="002257C5">
        <w:t xml:space="preserve"> High Commissioner for Human Rights emphasised that the Convention ‘does not recognize any new human rights of persons with disabilities, it clarifies the application of existing rights to the specific situation of persons with disabilities’ in the </w:t>
      </w:r>
      <w:r w:rsidRPr="002257C5">
        <w:rPr>
          <w:i/>
        </w:rPr>
        <w:t>Annual Report</w:t>
      </w:r>
      <w:r w:rsidRPr="002257C5">
        <w:t xml:space="preserve"> of the United Nations High Commissioner for Human Rights and Reports of the Office of the High Commissioner and the Secretary-General: </w:t>
      </w:r>
      <w:r w:rsidRPr="002257C5">
        <w:rPr>
          <w:i/>
        </w:rPr>
        <w:t>Thematic Study by the Office of the United</w:t>
      </w:r>
      <w:r w:rsidR="00777F56" w:rsidRPr="002257C5">
        <w:rPr>
          <w:i/>
        </w:rPr>
        <w:t> </w:t>
      </w:r>
      <w:r w:rsidRPr="002257C5">
        <w:rPr>
          <w:i/>
        </w:rPr>
        <w:t>Nations High Commissioner for Human Rights on enhancing awareness and understanding of the Convention on the Rights of Persons with Disabilities</w:t>
      </w:r>
      <w:r w:rsidRPr="002257C5">
        <w:t xml:space="preserve"> (2009) A/HRC/10/48, page 11.</w:t>
      </w:r>
    </w:p>
  </w:footnote>
  <w:footnote w:id="7">
    <w:p w14:paraId="3ADF5B15" w14:textId="55921014" w:rsidR="00692FDA" w:rsidRPr="002257C5" w:rsidRDefault="00692FDA" w:rsidP="00692FDA">
      <w:pPr>
        <w:pStyle w:val="FootnoteText"/>
      </w:pPr>
      <w:r w:rsidRPr="002257C5">
        <w:rPr>
          <w:rStyle w:val="FootnoteReference"/>
        </w:rPr>
        <w:footnoteRef/>
      </w:r>
      <w:r w:rsidRPr="002257C5">
        <w:t xml:space="preserve"> See, for example, Peter Bartlett, ‘The United Nations Convention on the Rights of Persons with Disabilities and Mental Health Law’ (2012) 75(5) </w:t>
      </w:r>
      <w:r w:rsidRPr="002257C5">
        <w:rPr>
          <w:i/>
        </w:rPr>
        <w:t>Modern Law Review</w:t>
      </w:r>
      <w:r w:rsidRPr="002257C5">
        <w:t>, pages 752-753.</w:t>
      </w:r>
    </w:p>
  </w:footnote>
  <w:footnote w:id="8">
    <w:p w14:paraId="4D4893F1" w14:textId="77777777" w:rsidR="00777F56" w:rsidRPr="002257C5" w:rsidRDefault="00777F56" w:rsidP="00777F56">
      <w:pPr>
        <w:pStyle w:val="FootnoteText"/>
      </w:pPr>
      <w:r w:rsidRPr="002257C5">
        <w:rPr>
          <w:rStyle w:val="FootnoteReference"/>
        </w:rPr>
        <w:footnoteRef/>
      </w:r>
      <w:r w:rsidRPr="002257C5">
        <w:t xml:space="preserve"> Paragraph 6 of the draft General Comment; </w:t>
      </w:r>
      <w:r w:rsidRPr="002257C5">
        <w:rPr>
          <w:i/>
        </w:rPr>
        <w:t>International Covenant on Civil and Political Rights</w:t>
      </w:r>
      <w:r w:rsidRPr="002257C5">
        <w:t xml:space="preserve">, opened for signature 16 December 1966, 999 UNTS 171 (entered into force 23 March 1976) arts 2, 3 and 26; </w:t>
      </w:r>
      <w:r w:rsidRPr="002257C5">
        <w:rPr>
          <w:i/>
        </w:rPr>
        <w:t>International Covenant on Economic, Social and Cultural Rights</w:t>
      </w:r>
      <w:r w:rsidRPr="002257C5">
        <w:t xml:space="preserve">, opened for signature 16 December 1966, 993 UNTS 3 (entered into force 3 November 1976) art 2; </w:t>
      </w:r>
      <w:r w:rsidRPr="002257C5">
        <w:rPr>
          <w:i/>
        </w:rPr>
        <w:t>International Convention on the Elimination of All Forms of Racial Discrimination</w:t>
      </w:r>
      <w:r w:rsidRPr="002257C5">
        <w:t xml:space="preserve">, opened for signature 21 December 1965, 660 UNTS 195 (entered into force 4 January 1969) art 5; </w:t>
      </w:r>
      <w:r w:rsidRPr="002257C5">
        <w:rPr>
          <w:i/>
        </w:rPr>
        <w:t>Convention on the Elimination of All Forms of Discrimination against Women</w:t>
      </w:r>
      <w:r w:rsidRPr="002257C5">
        <w:t xml:space="preserve">, opened for signature 18 December 1979, 1249 UNTS 13 (entered into force 3 September 1981) arts 1 and 2; </w:t>
      </w:r>
      <w:r w:rsidRPr="009926BF">
        <w:rPr>
          <w:i/>
        </w:rPr>
        <w:t>Convention on the Rights of the Child</w:t>
      </w:r>
      <w:r w:rsidRPr="002257C5">
        <w:t>, opened for signature 20 November 1989, 1577 UNTS 3 (entered into force 2 September 1990) art 2.</w:t>
      </w:r>
    </w:p>
  </w:footnote>
  <w:footnote w:id="9">
    <w:p w14:paraId="4E7FB21B" w14:textId="7E2833B6" w:rsidR="00517295" w:rsidRPr="002257C5" w:rsidRDefault="00517295">
      <w:pPr>
        <w:pStyle w:val="FootnoteText"/>
      </w:pPr>
      <w:r w:rsidRPr="002257C5">
        <w:rPr>
          <w:rStyle w:val="FootnoteReference"/>
        </w:rPr>
        <w:footnoteRef/>
      </w:r>
      <w:r w:rsidRPr="002257C5">
        <w:t xml:space="preserve"> Paragraph 19 of the draft General Comment.</w:t>
      </w:r>
    </w:p>
  </w:footnote>
  <w:footnote w:id="10">
    <w:p w14:paraId="0D938F7C" w14:textId="49D5033F" w:rsidR="00B2086F" w:rsidRPr="002257C5" w:rsidRDefault="00B2086F">
      <w:pPr>
        <w:pStyle w:val="FootnoteText"/>
      </w:pPr>
      <w:r w:rsidRPr="002257C5">
        <w:rPr>
          <w:rStyle w:val="FootnoteReference"/>
        </w:rPr>
        <w:footnoteRef/>
      </w:r>
      <w:r w:rsidRPr="002257C5">
        <w:t xml:space="preserve"> Paragraph 11 of the draft General Comment.</w:t>
      </w:r>
    </w:p>
  </w:footnote>
  <w:footnote w:id="11">
    <w:p w14:paraId="4B0C3236" w14:textId="5B77A7B4" w:rsidR="00D27936" w:rsidRPr="002257C5" w:rsidRDefault="00D27936">
      <w:pPr>
        <w:pStyle w:val="FootnoteText"/>
      </w:pPr>
      <w:r w:rsidRPr="002257C5">
        <w:rPr>
          <w:rStyle w:val="FootnoteReference"/>
        </w:rPr>
        <w:footnoteRef/>
      </w:r>
      <w:r w:rsidRPr="002257C5">
        <w:t xml:space="preserve"> Paragraph 2 of the draft General Comment. See also </w:t>
      </w:r>
      <w:r w:rsidR="000B6158" w:rsidRPr="002257C5">
        <w:t>paragraph 9 of the draft General Comment</w:t>
      </w:r>
      <w:r w:rsidRPr="002257C5">
        <w:t>.</w:t>
      </w:r>
    </w:p>
  </w:footnote>
  <w:footnote w:id="12">
    <w:p w14:paraId="32DAE192" w14:textId="51A40561" w:rsidR="00D033D9" w:rsidRPr="002257C5" w:rsidRDefault="00D033D9" w:rsidP="00D033D9">
      <w:pPr>
        <w:pStyle w:val="FootnoteText"/>
      </w:pPr>
      <w:r w:rsidRPr="002257C5">
        <w:rPr>
          <w:rStyle w:val="FootnoteReference"/>
        </w:rPr>
        <w:footnoteRef/>
      </w:r>
      <w:r w:rsidRPr="002257C5">
        <w:t xml:space="preserve"> Paragraph 3</w:t>
      </w:r>
      <w:r w:rsidR="00FE1D23">
        <w:t>0 of the draft General Comment</w:t>
      </w:r>
      <w:r w:rsidRPr="002257C5">
        <w:t>.</w:t>
      </w:r>
    </w:p>
  </w:footnote>
  <w:footnote w:id="13">
    <w:p w14:paraId="366D4DB6" w14:textId="77777777" w:rsidR="00D033D9" w:rsidRPr="002257C5" w:rsidRDefault="00D033D9" w:rsidP="00D033D9">
      <w:pPr>
        <w:pStyle w:val="FootnoteText"/>
        <w:jc w:val="both"/>
      </w:pPr>
      <w:r w:rsidRPr="002257C5">
        <w:rPr>
          <w:rStyle w:val="FootnoteReference"/>
        </w:rPr>
        <w:footnoteRef/>
      </w:r>
      <w:r w:rsidRPr="002257C5">
        <w:t xml:space="preserve"> </w:t>
      </w:r>
      <w:r w:rsidRPr="002257C5">
        <w:rPr>
          <w:i/>
        </w:rPr>
        <w:t>Vienna Convention on the Law of Treaties</w:t>
      </w:r>
      <w:r w:rsidRPr="002257C5">
        <w:t xml:space="preserve">, opened for signature 23 May 1969, 1155 </w:t>
      </w:r>
      <w:r w:rsidRPr="002257C5">
        <w:rPr>
          <w:bCs/>
        </w:rPr>
        <w:t>UNTS</w:t>
      </w:r>
      <w:r w:rsidRPr="002257C5">
        <w:t xml:space="preserve"> 331 (entered into force 27 January 1980).</w:t>
      </w:r>
    </w:p>
  </w:footnote>
  <w:footnote w:id="14">
    <w:p w14:paraId="2E7B225B" w14:textId="442E10E4" w:rsidR="006A29A4" w:rsidRPr="002257C5" w:rsidRDefault="006A29A4">
      <w:pPr>
        <w:pStyle w:val="FootnoteText"/>
      </w:pPr>
      <w:r w:rsidRPr="002257C5">
        <w:rPr>
          <w:rStyle w:val="FootnoteReference"/>
        </w:rPr>
        <w:footnoteRef/>
      </w:r>
      <w:r w:rsidRPr="002257C5">
        <w:t xml:space="preserve"> Paragraph 23 of the draft General Comment</w:t>
      </w:r>
      <w:r w:rsidR="005F5CF9" w:rsidRPr="002257C5">
        <w:t xml:space="preserve"> (emphasis added)</w:t>
      </w:r>
      <w:r w:rsidRPr="002257C5">
        <w:t>.</w:t>
      </w:r>
    </w:p>
  </w:footnote>
  <w:footnote w:id="15">
    <w:p w14:paraId="44763C0F" w14:textId="7B5654EE" w:rsidR="00E40C51" w:rsidRPr="002257C5" w:rsidRDefault="00E40C51">
      <w:pPr>
        <w:pStyle w:val="FootnoteText"/>
      </w:pPr>
      <w:r w:rsidRPr="002257C5">
        <w:rPr>
          <w:rStyle w:val="FootnoteReference"/>
        </w:rPr>
        <w:footnoteRef/>
      </w:r>
      <w:r w:rsidRPr="002257C5">
        <w:t xml:space="preserve"> Paragraph 35 of the draft General Comment</w:t>
      </w:r>
      <w:r w:rsidR="005F5CF9" w:rsidRPr="002257C5">
        <w:t xml:space="preserve"> (emphasis added)</w:t>
      </w:r>
      <w:r w:rsidRPr="002257C5">
        <w:t>.</w:t>
      </w:r>
    </w:p>
  </w:footnote>
  <w:footnote w:id="16">
    <w:p w14:paraId="642C91E8" w14:textId="0E3CAECB" w:rsidR="00E40C51" w:rsidRPr="002257C5" w:rsidRDefault="00E40C51">
      <w:pPr>
        <w:pStyle w:val="FootnoteText"/>
      </w:pPr>
      <w:r w:rsidRPr="002257C5">
        <w:rPr>
          <w:rStyle w:val="FootnoteReference"/>
        </w:rPr>
        <w:footnoteRef/>
      </w:r>
      <w:r w:rsidRPr="002257C5">
        <w:t xml:space="preserve"> Paragraph 44 of the draft General Comment.</w:t>
      </w:r>
    </w:p>
  </w:footnote>
  <w:footnote w:id="17">
    <w:p w14:paraId="16FAA92B" w14:textId="03D941FC" w:rsidR="000B6158" w:rsidRPr="002257C5" w:rsidRDefault="000B6158">
      <w:pPr>
        <w:pStyle w:val="FootnoteText"/>
      </w:pPr>
      <w:r w:rsidRPr="002257C5">
        <w:rPr>
          <w:rStyle w:val="FootnoteReference"/>
        </w:rPr>
        <w:footnoteRef/>
      </w:r>
      <w:r w:rsidRPr="002257C5">
        <w:t xml:space="preserve"> Paragraph 76(h) of the draft General Comment.</w:t>
      </w:r>
    </w:p>
  </w:footnote>
  <w:footnote w:id="18">
    <w:p w14:paraId="14ED603E" w14:textId="77777777" w:rsidR="004B7B28" w:rsidRPr="002257C5" w:rsidRDefault="004B7B28" w:rsidP="004B7B28">
      <w:pPr>
        <w:pStyle w:val="FootnoteText"/>
      </w:pPr>
      <w:r w:rsidRPr="002257C5">
        <w:rPr>
          <w:rStyle w:val="FootnoteReference"/>
        </w:rPr>
        <w:footnoteRef/>
      </w:r>
      <w:r w:rsidRPr="002257C5">
        <w:t xml:space="preserve"> Australia’s declaration under the Convention is available at </w:t>
      </w:r>
      <w:hyperlink r:id="rId1" w:history="1">
        <w:r w:rsidRPr="002257C5">
          <w:rPr>
            <w:rStyle w:val="Hyperlink"/>
          </w:rPr>
          <w:t>https://treaties.un.org/pages/ViewDetails.aspx?src=TREATY&amp;mtdsg_no=IV-15&amp;chapter=4&amp;clang=_en</w:t>
        </w:r>
      </w:hyperlink>
      <w:r w:rsidRPr="002257C5">
        <w:t xml:space="preserve"> .</w:t>
      </w:r>
    </w:p>
  </w:footnote>
  <w:footnote w:id="19">
    <w:p w14:paraId="7191DFCB" w14:textId="77777777" w:rsidR="004B7B28" w:rsidRPr="002257C5" w:rsidRDefault="004B7B28" w:rsidP="004B7B28">
      <w:pPr>
        <w:pStyle w:val="FootnoteText"/>
      </w:pPr>
      <w:r w:rsidRPr="002257C5">
        <w:rPr>
          <w:rStyle w:val="FootnoteReference"/>
        </w:rPr>
        <w:footnoteRef/>
      </w:r>
      <w:r w:rsidRPr="002257C5">
        <w:t xml:space="preserve"> See also Australia’s submission on the Committee’s draft General Comment on Article 12 of the Convention: </w:t>
      </w:r>
      <w:r w:rsidRPr="002257C5">
        <w:rPr>
          <w:i/>
        </w:rPr>
        <w:t>Views of the Australian Government on the draft General Comment by the Committee on the Rights of Persons with Disabilities regarding Article 12 of the Convention – Equal Recognition before the Law</w:t>
      </w:r>
      <w:r w:rsidRPr="002257C5">
        <w:t>, February 2014.</w:t>
      </w:r>
    </w:p>
  </w:footnote>
  <w:footnote w:id="20">
    <w:p w14:paraId="04437492" w14:textId="77777777" w:rsidR="004B7B28" w:rsidRPr="002257C5" w:rsidRDefault="004B7B28" w:rsidP="004B7B28">
      <w:pPr>
        <w:pStyle w:val="FootnoteText"/>
      </w:pPr>
      <w:r w:rsidRPr="002257C5">
        <w:rPr>
          <w:rStyle w:val="FootnoteReference"/>
        </w:rPr>
        <w:footnoteRef/>
      </w:r>
      <w:r w:rsidRPr="002257C5">
        <w:t xml:space="preserve"> Paragraph 54 of the draft General Comment.</w:t>
      </w:r>
    </w:p>
  </w:footnote>
  <w:footnote w:id="21">
    <w:p w14:paraId="03913F23" w14:textId="77777777" w:rsidR="004B7B28" w:rsidRPr="002257C5" w:rsidRDefault="004B7B28" w:rsidP="004B7B28">
      <w:pPr>
        <w:pStyle w:val="FootnoteText"/>
      </w:pPr>
      <w:r w:rsidRPr="002257C5">
        <w:rPr>
          <w:rStyle w:val="FootnoteReference"/>
        </w:rPr>
        <w:footnoteRef/>
      </w:r>
      <w:r w:rsidRPr="002257C5">
        <w:t xml:space="preserve"> Paragraph 54 of the draft General Comment.</w:t>
      </w:r>
    </w:p>
  </w:footnote>
  <w:footnote w:id="22">
    <w:p w14:paraId="1CA801E5" w14:textId="77777777" w:rsidR="00B0247F" w:rsidRPr="002257C5" w:rsidRDefault="00B0247F" w:rsidP="00B0247F">
      <w:pPr>
        <w:pStyle w:val="FootnoteText"/>
      </w:pPr>
      <w:r w:rsidRPr="002257C5">
        <w:rPr>
          <w:rStyle w:val="FootnoteReference"/>
        </w:rPr>
        <w:footnoteRef/>
      </w:r>
      <w:r w:rsidRPr="002257C5">
        <w:t xml:space="preserve"> Australia’s declaration under the Convention is available at </w:t>
      </w:r>
      <w:hyperlink r:id="rId2" w:history="1">
        <w:r w:rsidRPr="002257C5">
          <w:rPr>
            <w:rStyle w:val="Hyperlink"/>
          </w:rPr>
          <w:t>https://treaties.un.org/pages/ViewDetails.aspx?src=TREATY&amp;mtdsg_no=IV-15&amp;chapter=4&amp;clang=_en</w:t>
        </w:r>
      </w:hyperlink>
      <w:r w:rsidRPr="002257C5">
        <w:t xml:space="preserve"> .</w:t>
      </w:r>
    </w:p>
  </w:footnote>
  <w:footnote w:id="23">
    <w:p w14:paraId="745D766B" w14:textId="77777777" w:rsidR="00B0247F" w:rsidRPr="002257C5" w:rsidRDefault="00B0247F" w:rsidP="00B0247F">
      <w:pPr>
        <w:pStyle w:val="FootnoteText"/>
      </w:pPr>
      <w:r w:rsidRPr="002257C5">
        <w:rPr>
          <w:rStyle w:val="FootnoteReference"/>
        </w:rPr>
        <w:footnoteRef/>
      </w:r>
      <w:r w:rsidRPr="002257C5">
        <w:t xml:space="preserve"> Paragraph 4 of the draft General Comment.</w:t>
      </w:r>
    </w:p>
  </w:footnote>
  <w:footnote w:id="24">
    <w:p w14:paraId="7ED6600F" w14:textId="77777777" w:rsidR="00B0247F" w:rsidRPr="002257C5" w:rsidRDefault="00B0247F" w:rsidP="00B0247F">
      <w:pPr>
        <w:pStyle w:val="FootnoteText"/>
      </w:pPr>
      <w:r w:rsidRPr="002257C5">
        <w:rPr>
          <w:rStyle w:val="FootnoteReference"/>
        </w:rPr>
        <w:footnoteRef/>
      </w:r>
      <w:r w:rsidRPr="002257C5">
        <w:t xml:space="preserve"> Paragraphs 4 and 64 of the draft General Comment.</w:t>
      </w:r>
    </w:p>
  </w:footnote>
  <w:footnote w:id="25">
    <w:p w14:paraId="170BDD30" w14:textId="0E61348F" w:rsidR="00582393" w:rsidRDefault="00582393">
      <w:pPr>
        <w:pStyle w:val="FootnoteText"/>
      </w:pPr>
      <w:r>
        <w:rPr>
          <w:rStyle w:val="FootnoteReference"/>
        </w:rPr>
        <w:footnoteRef/>
      </w:r>
      <w:r>
        <w:t xml:space="preserve"> The Convention, art 14(1)(b).</w:t>
      </w:r>
    </w:p>
  </w:footnote>
  <w:footnote w:id="26">
    <w:p w14:paraId="1BD04A5B" w14:textId="2C68F48B" w:rsidR="006A29A4" w:rsidRPr="002257C5" w:rsidRDefault="006A29A4">
      <w:pPr>
        <w:pStyle w:val="FootnoteText"/>
      </w:pPr>
      <w:r w:rsidRPr="002257C5">
        <w:rPr>
          <w:rStyle w:val="FootnoteReference"/>
        </w:rPr>
        <w:footnoteRef/>
      </w:r>
      <w:r w:rsidRPr="002257C5">
        <w:t xml:space="preserve"> See paragraphs 26 and 65-69 of the draft General Comment.</w:t>
      </w:r>
    </w:p>
  </w:footnote>
  <w:footnote w:id="27">
    <w:p w14:paraId="61E97349" w14:textId="4BD4F2C8" w:rsidR="006A29A4" w:rsidRPr="002257C5" w:rsidRDefault="006A29A4" w:rsidP="006A29A4">
      <w:pPr>
        <w:pStyle w:val="FootnoteText"/>
        <w:jc w:val="both"/>
      </w:pPr>
      <w:r w:rsidRPr="002257C5">
        <w:rPr>
          <w:rStyle w:val="FootnoteReference"/>
        </w:rPr>
        <w:footnoteRef/>
      </w:r>
      <w:r w:rsidRPr="002257C5">
        <w:t xml:space="preserve"> Richard Gardiner, </w:t>
      </w:r>
      <w:r w:rsidRPr="002257C5">
        <w:rPr>
          <w:i/>
        </w:rPr>
        <w:t>Treaty Interpretation</w:t>
      </w:r>
      <w:r w:rsidRPr="002257C5">
        <w:t xml:space="preserve"> (2</w:t>
      </w:r>
      <w:r w:rsidRPr="002257C5">
        <w:rPr>
          <w:vertAlign w:val="superscript"/>
        </w:rPr>
        <w:t>nd</w:t>
      </w:r>
      <w:r w:rsidRPr="002257C5">
        <w:t xml:space="preserve"> edition, 20</w:t>
      </w:r>
      <w:r w:rsidR="005878A4" w:rsidRPr="002257C5">
        <w:t>08, Oxford University Press), pages</w:t>
      </w:r>
      <w:r w:rsidRPr="002257C5">
        <w:t xml:space="preserve"> 200-</w:t>
      </w:r>
      <w:r w:rsidR="005878A4" w:rsidRPr="002257C5">
        <w:t xml:space="preserve">201. See Submission of the Australian Government on </w:t>
      </w:r>
      <w:r w:rsidR="005878A4" w:rsidRPr="002257C5">
        <w:rPr>
          <w:i/>
        </w:rPr>
        <w:t>Draft General Comment No. 5 (2017): Article 19: Living independently and being included in the community</w:t>
      </w:r>
      <w:r w:rsidR="005878A4" w:rsidRPr="002257C5">
        <w:t>, endorsed during the Committee’s 17</w:t>
      </w:r>
      <w:r w:rsidR="005878A4" w:rsidRPr="002257C5">
        <w:rPr>
          <w:vertAlign w:val="superscript"/>
        </w:rPr>
        <w:t>th</w:t>
      </w:r>
      <w:r w:rsidR="005878A4" w:rsidRPr="002257C5">
        <w:t xml:space="preserv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197A" w14:textId="5DE4236C" w:rsidR="00645CCD" w:rsidRDefault="00645CCD" w:rsidP="00645CCD">
    <w:pPr>
      <w:pStyle w:val="Header"/>
      <w:jc w:val="center"/>
    </w:pPr>
    <w:r>
      <w:rPr>
        <w:noProof/>
        <w:lang w:eastAsia="en-AU"/>
      </w:rPr>
      <w:drawing>
        <wp:inline distT="0" distB="0" distL="0" distR="0" wp14:anchorId="730288E3" wp14:editId="434A4E9F">
          <wp:extent cx="1703070" cy="945515"/>
          <wp:effectExtent l="0" t="0" r="0" b="6985"/>
          <wp:docPr id="2" name="Picture 2" descr="C:\Users\achapma2\AppData\Local\Microsoft\Windows\Temporary Internet Files\Content.Outlook\DVQH0V32\Australian Government logo.jpg"/>
          <wp:cNvGraphicFramePr/>
          <a:graphic xmlns:a="http://schemas.openxmlformats.org/drawingml/2006/main">
            <a:graphicData uri="http://schemas.openxmlformats.org/drawingml/2006/picture">
              <pic:pic xmlns:pic="http://schemas.openxmlformats.org/drawingml/2006/picture">
                <pic:nvPicPr>
                  <pic:cNvPr id="2" name="Picture 2" descr="C:\Users\achapma2\AppData\Local\Microsoft\Windows\Temporary Internet Files\Content.Outlook\DVQH0V32\Australian Governme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945515"/>
                  </a:xfrm>
                  <a:prstGeom prst="rect">
                    <a:avLst/>
                  </a:prstGeom>
                  <a:noFill/>
                  <a:ln>
                    <a:noFill/>
                  </a:ln>
                </pic:spPr>
              </pic:pic>
            </a:graphicData>
          </a:graphic>
        </wp:inline>
      </w:drawing>
    </w:r>
  </w:p>
  <w:p w14:paraId="142FBF07" w14:textId="77777777" w:rsidR="00645CCD" w:rsidRDefault="00645CCD" w:rsidP="00645C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690"/>
    <w:multiLevelType w:val="hybridMultilevel"/>
    <w:tmpl w:val="8EE44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66E70"/>
    <w:multiLevelType w:val="hybridMultilevel"/>
    <w:tmpl w:val="1C462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A06FF4"/>
    <w:multiLevelType w:val="hybridMultilevel"/>
    <w:tmpl w:val="2C96C946"/>
    <w:lvl w:ilvl="0" w:tplc="4BC05EC2">
      <w:start w:val="1"/>
      <w:numFmt w:val="decimal"/>
      <w:lvlText w:val="%1."/>
      <w:lvlJc w:val="left"/>
      <w:pPr>
        <w:ind w:left="360" w:hanging="360"/>
      </w:pPr>
      <w:rPr>
        <w:rFonts w:ascii="Times New Roman" w:hAnsi="Times New Roman" w:cs="Times New Roman" w:hint="default"/>
        <w:i w:val="0"/>
      </w:rPr>
    </w:lvl>
    <w:lvl w:ilvl="1" w:tplc="21F28816">
      <w:start w:val="1"/>
      <w:numFmt w:val="bulle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D0532"/>
    <w:multiLevelType w:val="hybridMultilevel"/>
    <w:tmpl w:val="09183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7FA4EF2"/>
    <w:multiLevelType w:val="hybridMultilevel"/>
    <w:tmpl w:val="9C5CE05A"/>
    <w:lvl w:ilvl="0" w:tplc="EAF68EF0">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3A50FB2"/>
    <w:multiLevelType w:val="hybridMultilevel"/>
    <w:tmpl w:val="8D3CD0E0"/>
    <w:lvl w:ilvl="0" w:tplc="0C09001B">
      <w:start w:val="1"/>
      <w:numFmt w:val="lowerRoman"/>
      <w:lvlText w:val="%1."/>
      <w:lvlJc w:val="right"/>
      <w:pPr>
        <w:ind w:left="108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E5E4A88"/>
    <w:multiLevelType w:val="hybridMultilevel"/>
    <w:tmpl w:val="EF68EDD8"/>
    <w:lvl w:ilvl="0" w:tplc="4BC05EC2">
      <w:start w:val="1"/>
      <w:numFmt w:val="decimal"/>
      <w:lvlText w:val="%1."/>
      <w:lvlJc w:val="left"/>
      <w:pPr>
        <w:ind w:left="360" w:hanging="360"/>
      </w:pPr>
      <w:rPr>
        <w:rFonts w:ascii="Times New Roman" w:hAnsi="Times New Roman" w:cs="Times New Roman" w:hint="default"/>
        <w:i w:val="0"/>
      </w:rPr>
    </w:lvl>
    <w:lvl w:ilvl="1" w:tplc="21F28816">
      <w:start w:val="1"/>
      <w:numFmt w:val="bulle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8" w15:restartNumberingAfterBreak="0">
    <w:nsid w:val="53C745B1"/>
    <w:multiLevelType w:val="hybridMultilevel"/>
    <w:tmpl w:val="BCF0D97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9A7BEB"/>
    <w:multiLevelType w:val="hybridMultilevel"/>
    <w:tmpl w:val="DB5282EC"/>
    <w:lvl w:ilvl="0" w:tplc="4BC05EC2">
      <w:start w:val="1"/>
      <w:numFmt w:val="decimal"/>
      <w:lvlText w:val="%1."/>
      <w:lvlJc w:val="left"/>
      <w:pPr>
        <w:ind w:left="360" w:hanging="360"/>
      </w:pPr>
      <w:rPr>
        <w:rFonts w:ascii="Times New Roman" w:hAnsi="Times New Roman" w:cs="Times New Roman" w:hint="default"/>
        <w:i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9E6706"/>
    <w:multiLevelType w:val="hybridMultilevel"/>
    <w:tmpl w:val="271A63E2"/>
    <w:lvl w:ilvl="0" w:tplc="4BC05EC2">
      <w:start w:val="1"/>
      <w:numFmt w:val="decimal"/>
      <w:lvlText w:val="%1."/>
      <w:lvlJc w:val="left"/>
      <w:pPr>
        <w:ind w:left="360" w:hanging="360"/>
      </w:pPr>
      <w:rPr>
        <w:rFonts w:ascii="Times New Roman" w:hAnsi="Times New Roman" w:cs="Times New Roman" w:hint="default"/>
        <w:i w:val="0"/>
      </w:rPr>
    </w:lvl>
    <w:lvl w:ilvl="1" w:tplc="21F28816">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080C37"/>
    <w:multiLevelType w:val="hybridMultilevel"/>
    <w:tmpl w:val="A11674A0"/>
    <w:lvl w:ilvl="0" w:tplc="1C902786">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BF6051"/>
    <w:multiLevelType w:val="hybridMultilevel"/>
    <w:tmpl w:val="8D08DC64"/>
    <w:lvl w:ilvl="0" w:tplc="7598D2E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6B004A"/>
    <w:multiLevelType w:val="hybridMultilevel"/>
    <w:tmpl w:val="AAF88C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75D11819"/>
    <w:multiLevelType w:val="hybridMultilevel"/>
    <w:tmpl w:val="8CB0B632"/>
    <w:lvl w:ilvl="0" w:tplc="4D10B302">
      <w:start w:val="1"/>
      <w:numFmt w:val="decimal"/>
      <w:lvlText w:val="%1."/>
      <w:lvlJc w:val="left"/>
      <w:pPr>
        <w:ind w:left="360" w:hanging="360"/>
      </w:pPr>
      <w:rPr>
        <w:rFonts w:ascii="Times New Roman" w:hAnsi="Times New Roman" w:cs="Times New Roman"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075C65"/>
    <w:multiLevelType w:val="hybridMultilevel"/>
    <w:tmpl w:val="D15E969A"/>
    <w:lvl w:ilvl="0" w:tplc="4BC05EC2">
      <w:start w:val="1"/>
      <w:numFmt w:val="decimal"/>
      <w:lvlText w:val="%1."/>
      <w:lvlJc w:val="left"/>
      <w:pPr>
        <w:ind w:left="360" w:hanging="360"/>
      </w:pPr>
      <w:rPr>
        <w:rFonts w:ascii="Times New Roman" w:hAnsi="Times New Roman" w:cs="Times New Roman"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4"/>
  </w:num>
  <w:num w:numId="5">
    <w:abstractNumId w:val="11"/>
  </w:num>
  <w:num w:numId="6">
    <w:abstractNumId w:val="7"/>
  </w:num>
  <w:num w:numId="7">
    <w:abstractNumId w:val="4"/>
  </w:num>
  <w:num w:numId="8">
    <w:abstractNumId w:val="4"/>
  </w:num>
  <w:num w:numId="9">
    <w:abstractNumId w:val="5"/>
  </w:num>
  <w:num w:numId="10">
    <w:abstractNumId w:val="7"/>
  </w:num>
  <w:num w:numId="11">
    <w:abstractNumId w:val="7"/>
  </w:num>
  <w:num w:numId="12">
    <w:abstractNumId w:val="1"/>
  </w:num>
  <w:num w:numId="13">
    <w:abstractNumId w:val="3"/>
  </w:num>
  <w:num w:numId="14">
    <w:abstractNumId w:val="15"/>
  </w:num>
  <w:num w:numId="15">
    <w:abstractNumId w:val="10"/>
  </w:num>
  <w:num w:numId="16">
    <w:abstractNumId w:val="9"/>
  </w:num>
  <w:num w:numId="17">
    <w:abstractNumId w:val="8"/>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23"/>
    <w:rsid w:val="00017C40"/>
    <w:rsid w:val="00021F20"/>
    <w:rsid w:val="00033E59"/>
    <w:rsid w:val="0003594C"/>
    <w:rsid w:val="000421D2"/>
    <w:rsid w:val="00042608"/>
    <w:rsid w:val="000434CA"/>
    <w:rsid w:val="00047CB0"/>
    <w:rsid w:val="00066277"/>
    <w:rsid w:val="000678ED"/>
    <w:rsid w:val="00080442"/>
    <w:rsid w:val="00082A89"/>
    <w:rsid w:val="000836A7"/>
    <w:rsid w:val="000931C9"/>
    <w:rsid w:val="000A1E97"/>
    <w:rsid w:val="000A4711"/>
    <w:rsid w:val="000A7325"/>
    <w:rsid w:val="000B1BD2"/>
    <w:rsid w:val="000B41CB"/>
    <w:rsid w:val="000B6158"/>
    <w:rsid w:val="000D1FCE"/>
    <w:rsid w:val="000D251D"/>
    <w:rsid w:val="000D25A7"/>
    <w:rsid w:val="000D3F2D"/>
    <w:rsid w:val="000D6D92"/>
    <w:rsid w:val="000E26C7"/>
    <w:rsid w:val="000E324A"/>
    <w:rsid w:val="000F08ED"/>
    <w:rsid w:val="00111BF7"/>
    <w:rsid w:val="00112A0A"/>
    <w:rsid w:val="00116EA6"/>
    <w:rsid w:val="00117A73"/>
    <w:rsid w:val="00124452"/>
    <w:rsid w:val="00133471"/>
    <w:rsid w:val="00137579"/>
    <w:rsid w:val="0014126B"/>
    <w:rsid w:val="0014770C"/>
    <w:rsid w:val="001501DC"/>
    <w:rsid w:val="00154254"/>
    <w:rsid w:val="001549BB"/>
    <w:rsid w:val="00154DDD"/>
    <w:rsid w:val="00171A0D"/>
    <w:rsid w:val="00176052"/>
    <w:rsid w:val="0017755A"/>
    <w:rsid w:val="00177825"/>
    <w:rsid w:val="00184595"/>
    <w:rsid w:val="00184609"/>
    <w:rsid w:val="001851DA"/>
    <w:rsid w:val="001901C2"/>
    <w:rsid w:val="001935ED"/>
    <w:rsid w:val="0019739D"/>
    <w:rsid w:val="00197AC0"/>
    <w:rsid w:val="00197CA0"/>
    <w:rsid w:val="001A2919"/>
    <w:rsid w:val="001A7A5F"/>
    <w:rsid w:val="001B0875"/>
    <w:rsid w:val="001B13BC"/>
    <w:rsid w:val="001B2868"/>
    <w:rsid w:val="001D0255"/>
    <w:rsid w:val="001D26E9"/>
    <w:rsid w:val="001D5A80"/>
    <w:rsid w:val="001D658C"/>
    <w:rsid w:val="001D6BA5"/>
    <w:rsid w:val="001E0F42"/>
    <w:rsid w:val="001E3BEE"/>
    <w:rsid w:val="001F2E0E"/>
    <w:rsid w:val="0020223A"/>
    <w:rsid w:val="00207DFB"/>
    <w:rsid w:val="002114F2"/>
    <w:rsid w:val="002154A5"/>
    <w:rsid w:val="00222583"/>
    <w:rsid w:val="002257C5"/>
    <w:rsid w:val="00226A0E"/>
    <w:rsid w:val="00227CB0"/>
    <w:rsid w:val="00233A2A"/>
    <w:rsid w:val="00234084"/>
    <w:rsid w:val="00235C2A"/>
    <w:rsid w:val="00237555"/>
    <w:rsid w:val="00242288"/>
    <w:rsid w:val="002450EE"/>
    <w:rsid w:val="0025530A"/>
    <w:rsid w:val="00256DA8"/>
    <w:rsid w:val="00262052"/>
    <w:rsid w:val="00263044"/>
    <w:rsid w:val="00264319"/>
    <w:rsid w:val="0026628E"/>
    <w:rsid w:val="00267E0A"/>
    <w:rsid w:val="002738CD"/>
    <w:rsid w:val="002816DF"/>
    <w:rsid w:val="00281BE1"/>
    <w:rsid w:val="00283629"/>
    <w:rsid w:val="00284CC5"/>
    <w:rsid w:val="002947D1"/>
    <w:rsid w:val="00295170"/>
    <w:rsid w:val="00296499"/>
    <w:rsid w:val="002A1015"/>
    <w:rsid w:val="002A7C14"/>
    <w:rsid w:val="002A7DF7"/>
    <w:rsid w:val="002B293D"/>
    <w:rsid w:val="002B3268"/>
    <w:rsid w:val="002C0716"/>
    <w:rsid w:val="002C35B4"/>
    <w:rsid w:val="002C64AA"/>
    <w:rsid w:val="002D45FB"/>
    <w:rsid w:val="002D7884"/>
    <w:rsid w:val="002E0DEC"/>
    <w:rsid w:val="002E1BF6"/>
    <w:rsid w:val="002E3427"/>
    <w:rsid w:val="002E5855"/>
    <w:rsid w:val="002F26A8"/>
    <w:rsid w:val="002F4AB6"/>
    <w:rsid w:val="00303D7D"/>
    <w:rsid w:val="00307F64"/>
    <w:rsid w:val="003107B6"/>
    <w:rsid w:val="0031296D"/>
    <w:rsid w:val="003155DB"/>
    <w:rsid w:val="00316BF4"/>
    <w:rsid w:val="00316D53"/>
    <w:rsid w:val="00321EBB"/>
    <w:rsid w:val="00330CF4"/>
    <w:rsid w:val="00332482"/>
    <w:rsid w:val="003426D1"/>
    <w:rsid w:val="00352551"/>
    <w:rsid w:val="0036328B"/>
    <w:rsid w:val="0037405B"/>
    <w:rsid w:val="003830CF"/>
    <w:rsid w:val="00384650"/>
    <w:rsid w:val="00393FB6"/>
    <w:rsid w:val="0039470D"/>
    <w:rsid w:val="003A476D"/>
    <w:rsid w:val="003A65B2"/>
    <w:rsid w:val="003B1A7C"/>
    <w:rsid w:val="003B3098"/>
    <w:rsid w:val="003B550E"/>
    <w:rsid w:val="003C3423"/>
    <w:rsid w:val="003C61D8"/>
    <w:rsid w:val="003C6656"/>
    <w:rsid w:val="003D0A80"/>
    <w:rsid w:val="003D5579"/>
    <w:rsid w:val="003D5FD1"/>
    <w:rsid w:val="003E7985"/>
    <w:rsid w:val="003F24D1"/>
    <w:rsid w:val="003F3C16"/>
    <w:rsid w:val="0041005E"/>
    <w:rsid w:val="00417A36"/>
    <w:rsid w:val="0042477E"/>
    <w:rsid w:val="00427E30"/>
    <w:rsid w:val="00433DC7"/>
    <w:rsid w:val="00437FA7"/>
    <w:rsid w:val="004425ED"/>
    <w:rsid w:val="00445D24"/>
    <w:rsid w:val="00451CD8"/>
    <w:rsid w:val="00451F3D"/>
    <w:rsid w:val="004545A6"/>
    <w:rsid w:val="00462228"/>
    <w:rsid w:val="00463DA8"/>
    <w:rsid w:val="00467E13"/>
    <w:rsid w:val="004802D1"/>
    <w:rsid w:val="00481A70"/>
    <w:rsid w:val="0048404C"/>
    <w:rsid w:val="00486858"/>
    <w:rsid w:val="004912A1"/>
    <w:rsid w:val="004919F0"/>
    <w:rsid w:val="00496A66"/>
    <w:rsid w:val="0049745C"/>
    <w:rsid w:val="004A0AF7"/>
    <w:rsid w:val="004A21E4"/>
    <w:rsid w:val="004A2980"/>
    <w:rsid w:val="004A35F8"/>
    <w:rsid w:val="004B00DC"/>
    <w:rsid w:val="004B01C6"/>
    <w:rsid w:val="004B16FA"/>
    <w:rsid w:val="004B281D"/>
    <w:rsid w:val="004B58F0"/>
    <w:rsid w:val="004B6AB4"/>
    <w:rsid w:val="004B7B28"/>
    <w:rsid w:val="004C4AD4"/>
    <w:rsid w:val="004D10A0"/>
    <w:rsid w:val="004D4E59"/>
    <w:rsid w:val="004E4388"/>
    <w:rsid w:val="004E65B8"/>
    <w:rsid w:val="004F32F4"/>
    <w:rsid w:val="004F5046"/>
    <w:rsid w:val="005033C5"/>
    <w:rsid w:val="00512959"/>
    <w:rsid w:val="00512B0D"/>
    <w:rsid w:val="00513F32"/>
    <w:rsid w:val="00517295"/>
    <w:rsid w:val="00521D68"/>
    <w:rsid w:val="005266F9"/>
    <w:rsid w:val="005374B0"/>
    <w:rsid w:val="0054075A"/>
    <w:rsid w:val="005423BA"/>
    <w:rsid w:val="0054379A"/>
    <w:rsid w:val="00544E3B"/>
    <w:rsid w:val="0054704C"/>
    <w:rsid w:val="0055094B"/>
    <w:rsid w:val="00553769"/>
    <w:rsid w:val="00557754"/>
    <w:rsid w:val="005619D2"/>
    <w:rsid w:val="00565F9E"/>
    <w:rsid w:val="00570246"/>
    <w:rsid w:val="00570C6E"/>
    <w:rsid w:val="00576163"/>
    <w:rsid w:val="00582393"/>
    <w:rsid w:val="005878A4"/>
    <w:rsid w:val="00590F9E"/>
    <w:rsid w:val="005939CB"/>
    <w:rsid w:val="00594994"/>
    <w:rsid w:val="0059683A"/>
    <w:rsid w:val="00596BC1"/>
    <w:rsid w:val="00597244"/>
    <w:rsid w:val="005A2E05"/>
    <w:rsid w:val="005B1284"/>
    <w:rsid w:val="005B3A11"/>
    <w:rsid w:val="005C0A0B"/>
    <w:rsid w:val="005C18CE"/>
    <w:rsid w:val="005C4704"/>
    <w:rsid w:val="005C76BC"/>
    <w:rsid w:val="005C7CE1"/>
    <w:rsid w:val="005E5206"/>
    <w:rsid w:val="005E6A85"/>
    <w:rsid w:val="005E6EE6"/>
    <w:rsid w:val="005F1840"/>
    <w:rsid w:val="005F2D72"/>
    <w:rsid w:val="005F49EB"/>
    <w:rsid w:val="005F5CF9"/>
    <w:rsid w:val="005F7AFC"/>
    <w:rsid w:val="00601D28"/>
    <w:rsid w:val="006052E9"/>
    <w:rsid w:val="00607B7B"/>
    <w:rsid w:val="00615E30"/>
    <w:rsid w:val="00622046"/>
    <w:rsid w:val="00627BDF"/>
    <w:rsid w:val="00632D98"/>
    <w:rsid w:val="00632DAD"/>
    <w:rsid w:val="00636F64"/>
    <w:rsid w:val="00641551"/>
    <w:rsid w:val="006439F1"/>
    <w:rsid w:val="00645CCD"/>
    <w:rsid w:val="00661151"/>
    <w:rsid w:val="0066502E"/>
    <w:rsid w:val="00676C21"/>
    <w:rsid w:val="00683245"/>
    <w:rsid w:val="00683A70"/>
    <w:rsid w:val="00686E80"/>
    <w:rsid w:val="00692FDA"/>
    <w:rsid w:val="00693533"/>
    <w:rsid w:val="0069426C"/>
    <w:rsid w:val="00694F89"/>
    <w:rsid w:val="006A04E4"/>
    <w:rsid w:val="006A29A4"/>
    <w:rsid w:val="006A6717"/>
    <w:rsid w:val="006C14E4"/>
    <w:rsid w:val="006C1AE7"/>
    <w:rsid w:val="006C51CA"/>
    <w:rsid w:val="006C6AEF"/>
    <w:rsid w:val="006D5AB1"/>
    <w:rsid w:val="006D63D8"/>
    <w:rsid w:val="006F2C6A"/>
    <w:rsid w:val="006F2F4A"/>
    <w:rsid w:val="00712706"/>
    <w:rsid w:val="00716AFE"/>
    <w:rsid w:val="00716BB0"/>
    <w:rsid w:val="007203ED"/>
    <w:rsid w:val="00722FB9"/>
    <w:rsid w:val="007235FE"/>
    <w:rsid w:val="0073344B"/>
    <w:rsid w:val="007454F0"/>
    <w:rsid w:val="007568D0"/>
    <w:rsid w:val="00762A3E"/>
    <w:rsid w:val="0077461C"/>
    <w:rsid w:val="00775BD9"/>
    <w:rsid w:val="00777F56"/>
    <w:rsid w:val="00791676"/>
    <w:rsid w:val="00791EEA"/>
    <w:rsid w:val="007948A6"/>
    <w:rsid w:val="007A3A65"/>
    <w:rsid w:val="007A413C"/>
    <w:rsid w:val="007B4DE1"/>
    <w:rsid w:val="007C48D9"/>
    <w:rsid w:val="007C6AF2"/>
    <w:rsid w:val="007C7B44"/>
    <w:rsid w:val="007D2A70"/>
    <w:rsid w:val="007D7448"/>
    <w:rsid w:val="007E5F10"/>
    <w:rsid w:val="007F5E92"/>
    <w:rsid w:val="007F6E40"/>
    <w:rsid w:val="007F7D78"/>
    <w:rsid w:val="00802BD1"/>
    <w:rsid w:val="00805250"/>
    <w:rsid w:val="008065BD"/>
    <w:rsid w:val="00806F96"/>
    <w:rsid w:val="008100B6"/>
    <w:rsid w:val="00816761"/>
    <w:rsid w:val="00817856"/>
    <w:rsid w:val="008214E4"/>
    <w:rsid w:val="00821ECE"/>
    <w:rsid w:val="00822669"/>
    <w:rsid w:val="0082652A"/>
    <w:rsid w:val="00833E87"/>
    <w:rsid w:val="00836405"/>
    <w:rsid w:val="00836C52"/>
    <w:rsid w:val="008521EC"/>
    <w:rsid w:val="008524B6"/>
    <w:rsid w:val="00860AF7"/>
    <w:rsid w:val="00865B6E"/>
    <w:rsid w:val="00866AEB"/>
    <w:rsid w:val="00872DC9"/>
    <w:rsid w:val="00893FE3"/>
    <w:rsid w:val="008944F0"/>
    <w:rsid w:val="008A110D"/>
    <w:rsid w:val="008A4546"/>
    <w:rsid w:val="008B0383"/>
    <w:rsid w:val="008B411A"/>
    <w:rsid w:val="008C1B54"/>
    <w:rsid w:val="008C45FD"/>
    <w:rsid w:val="008C5691"/>
    <w:rsid w:val="008D4B79"/>
    <w:rsid w:val="008E0D06"/>
    <w:rsid w:val="008E3371"/>
    <w:rsid w:val="008F3744"/>
    <w:rsid w:val="008F55E9"/>
    <w:rsid w:val="008F68F8"/>
    <w:rsid w:val="008F7F04"/>
    <w:rsid w:val="00902FAE"/>
    <w:rsid w:val="00903343"/>
    <w:rsid w:val="009115FD"/>
    <w:rsid w:val="0091281A"/>
    <w:rsid w:val="0091535E"/>
    <w:rsid w:val="00915611"/>
    <w:rsid w:val="00915BD0"/>
    <w:rsid w:val="009236B3"/>
    <w:rsid w:val="009248A5"/>
    <w:rsid w:val="0092598C"/>
    <w:rsid w:val="0093791A"/>
    <w:rsid w:val="00940603"/>
    <w:rsid w:val="00944931"/>
    <w:rsid w:val="00945DA8"/>
    <w:rsid w:val="00950D28"/>
    <w:rsid w:val="009564BF"/>
    <w:rsid w:val="0096478E"/>
    <w:rsid w:val="009651B2"/>
    <w:rsid w:val="00971C85"/>
    <w:rsid w:val="00974F22"/>
    <w:rsid w:val="00977701"/>
    <w:rsid w:val="00980DAB"/>
    <w:rsid w:val="00983AA7"/>
    <w:rsid w:val="009913F2"/>
    <w:rsid w:val="009926BF"/>
    <w:rsid w:val="009A0EB5"/>
    <w:rsid w:val="009A6ED2"/>
    <w:rsid w:val="009B7575"/>
    <w:rsid w:val="009C355D"/>
    <w:rsid w:val="009C410C"/>
    <w:rsid w:val="009C4C0A"/>
    <w:rsid w:val="009C66DF"/>
    <w:rsid w:val="009D3FFE"/>
    <w:rsid w:val="009D49B1"/>
    <w:rsid w:val="009E176A"/>
    <w:rsid w:val="009F006D"/>
    <w:rsid w:val="009F090F"/>
    <w:rsid w:val="009F2890"/>
    <w:rsid w:val="009F67E5"/>
    <w:rsid w:val="00A01688"/>
    <w:rsid w:val="00A02BF6"/>
    <w:rsid w:val="00A06EBD"/>
    <w:rsid w:val="00A1355E"/>
    <w:rsid w:val="00A23EBE"/>
    <w:rsid w:val="00A26441"/>
    <w:rsid w:val="00A27900"/>
    <w:rsid w:val="00A37CCC"/>
    <w:rsid w:val="00A42409"/>
    <w:rsid w:val="00A43521"/>
    <w:rsid w:val="00A56048"/>
    <w:rsid w:val="00A57322"/>
    <w:rsid w:val="00A648B0"/>
    <w:rsid w:val="00A71DA9"/>
    <w:rsid w:val="00A71DCC"/>
    <w:rsid w:val="00A738F2"/>
    <w:rsid w:val="00A739F4"/>
    <w:rsid w:val="00A8148B"/>
    <w:rsid w:val="00A8623C"/>
    <w:rsid w:val="00A90227"/>
    <w:rsid w:val="00A926C1"/>
    <w:rsid w:val="00A9325F"/>
    <w:rsid w:val="00A94F8D"/>
    <w:rsid w:val="00AA023D"/>
    <w:rsid w:val="00AA1395"/>
    <w:rsid w:val="00AB2D1F"/>
    <w:rsid w:val="00AC1BF7"/>
    <w:rsid w:val="00AC238A"/>
    <w:rsid w:val="00AC25FC"/>
    <w:rsid w:val="00AC36C4"/>
    <w:rsid w:val="00AC54A4"/>
    <w:rsid w:val="00AC5A4F"/>
    <w:rsid w:val="00AC635F"/>
    <w:rsid w:val="00AC6F77"/>
    <w:rsid w:val="00AD1556"/>
    <w:rsid w:val="00AD3AA1"/>
    <w:rsid w:val="00AE2283"/>
    <w:rsid w:val="00AF20EF"/>
    <w:rsid w:val="00AF4B15"/>
    <w:rsid w:val="00AF4B2C"/>
    <w:rsid w:val="00B0247F"/>
    <w:rsid w:val="00B03869"/>
    <w:rsid w:val="00B06508"/>
    <w:rsid w:val="00B105F1"/>
    <w:rsid w:val="00B13D92"/>
    <w:rsid w:val="00B16015"/>
    <w:rsid w:val="00B2086F"/>
    <w:rsid w:val="00B231D6"/>
    <w:rsid w:val="00B2767E"/>
    <w:rsid w:val="00B31B8C"/>
    <w:rsid w:val="00B3313A"/>
    <w:rsid w:val="00B35FD1"/>
    <w:rsid w:val="00B40BE2"/>
    <w:rsid w:val="00B40F75"/>
    <w:rsid w:val="00B429C5"/>
    <w:rsid w:val="00B501D1"/>
    <w:rsid w:val="00B53D72"/>
    <w:rsid w:val="00B56DF4"/>
    <w:rsid w:val="00B665A7"/>
    <w:rsid w:val="00B66DD4"/>
    <w:rsid w:val="00B67AD0"/>
    <w:rsid w:val="00B771F9"/>
    <w:rsid w:val="00B80551"/>
    <w:rsid w:val="00B80DFA"/>
    <w:rsid w:val="00B82DA5"/>
    <w:rsid w:val="00B832E5"/>
    <w:rsid w:val="00B836F2"/>
    <w:rsid w:val="00BA0F34"/>
    <w:rsid w:val="00BB3935"/>
    <w:rsid w:val="00BB4C9E"/>
    <w:rsid w:val="00BC60C8"/>
    <w:rsid w:val="00BC614C"/>
    <w:rsid w:val="00BC6ECF"/>
    <w:rsid w:val="00BD1007"/>
    <w:rsid w:val="00BD3E1F"/>
    <w:rsid w:val="00BD417B"/>
    <w:rsid w:val="00BF69D4"/>
    <w:rsid w:val="00C01D4D"/>
    <w:rsid w:val="00C179C1"/>
    <w:rsid w:val="00C22B2A"/>
    <w:rsid w:val="00C22BDE"/>
    <w:rsid w:val="00C32F89"/>
    <w:rsid w:val="00C57285"/>
    <w:rsid w:val="00C639F3"/>
    <w:rsid w:val="00C65FCE"/>
    <w:rsid w:val="00C66B19"/>
    <w:rsid w:val="00C705FD"/>
    <w:rsid w:val="00C777CB"/>
    <w:rsid w:val="00C82973"/>
    <w:rsid w:val="00C83798"/>
    <w:rsid w:val="00C91B25"/>
    <w:rsid w:val="00C9313D"/>
    <w:rsid w:val="00C94C1D"/>
    <w:rsid w:val="00C96D7F"/>
    <w:rsid w:val="00CA3FF7"/>
    <w:rsid w:val="00CB1996"/>
    <w:rsid w:val="00CB4023"/>
    <w:rsid w:val="00CB58B7"/>
    <w:rsid w:val="00CC170F"/>
    <w:rsid w:val="00CD1826"/>
    <w:rsid w:val="00CE28DA"/>
    <w:rsid w:val="00CE4B78"/>
    <w:rsid w:val="00CE7027"/>
    <w:rsid w:val="00CF232A"/>
    <w:rsid w:val="00CF2757"/>
    <w:rsid w:val="00CF3FA7"/>
    <w:rsid w:val="00D033D9"/>
    <w:rsid w:val="00D03F69"/>
    <w:rsid w:val="00D10601"/>
    <w:rsid w:val="00D10B47"/>
    <w:rsid w:val="00D10C69"/>
    <w:rsid w:val="00D126F5"/>
    <w:rsid w:val="00D15397"/>
    <w:rsid w:val="00D157E7"/>
    <w:rsid w:val="00D2005D"/>
    <w:rsid w:val="00D2565C"/>
    <w:rsid w:val="00D267EA"/>
    <w:rsid w:val="00D27936"/>
    <w:rsid w:val="00D3276D"/>
    <w:rsid w:val="00D3749C"/>
    <w:rsid w:val="00D405AD"/>
    <w:rsid w:val="00D4133E"/>
    <w:rsid w:val="00D43CC6"/>
    <w:rsid w:val="00D549E8"/>
    <w:rsid w:val="00D563BB"/>
    <w:rsid w:val="00D67397"/>
    <w:rsid w:val="00D70A94"/>
    <w:rsid w:val="00D71903"/>
    <w:rsid w:val="00D73D5C"/>
    <w:rsid w:val="00D74DC0"/>
    <w:rsid w:val="00D807A6"/>
    <w:rsid w:val="00D82768"/>
    <w:rsid w:val="00D8441E"/>
    <w:rsid w:val="00D867BF"/>
    <w:rsid w:val="00D931B2"/>
    <w:rsid w:val="00D96626"/>
    <w:rsid w:val="00D96EDC"/>
    <w:rsid w:val="00D97BCF"/>
    <w:rsid w:val="00DA0C32"/>
    <w:rsid w:val="00DA439F"/>
    <w:rsid w:val="00DB5853"/>
    <w:rsid w:val="00DC6025"/>
    <w:rsid w:val="00DD33BD"/>
    <w:rsid w:val="00DD5E45"/>
    <w:rsid w:val="00DF37E7"/>
    <w:rsid w:val="00DF61D0"/>
    <w:rsid w:val="00E03FB2"/>
    <w:rsid w:val="00E0602D"/>
    <w:rsid w:val="00E068BF"/>
    <w:rsid w:val="00E1099C"/>
    <w:rsid w:val="00E124AF"/>
    <w:rsid w:val="00E12713"/>
    <w:rsid w:val="00E17021"/>
    <w:rsid w:val="00E17B4D"/>
    <w:rsid w:val="00E2729F"/>
    <w:rsid w:val="00E317A5"/>
    <w:rsid w:val="00E40C51"/>
    <w:rsid w:val="00E423A1"/>
    <w:rsid w:val="00E45EFA"/>
    <w:rsid w:val="00E74554"/>
    <w:rsid w:val="00E7675C"/>
    <w:rsid w:val="00E76FF1"/>
    <w:rsid w:val="00E80C49"/>
    <w:rsid w:val="00E835D3"/>
    <w:rsid w:val="00E85535"/>
    <w:rsid w:val="00E87385"/>
    <w:rsid w:val="00EA1A85"/>
    <w:rsid w:val="00EB01D8"/>
    <w:rsid w:val="00EB3335"/>
    <w:rsid w:val="00EB3F90"/>
    <w:rsid w:val="00EB4351"/>
    <w:rsid w:val="00EB6FDA"/>
    <w:rsid w:val="00EB7A35"/>
    <w:rsid w:val="00EC179B"/>
    <w:rsid w:val="00EC594C"/>
    <w:rsid w:val="00EC6906"/>
    <w:rsid w:val="00ED12F7"/>
    <w:rsid w:val="00ED23E9"/>
    <w:rsid w:val="00EE0C12"/>
    <w:rsid w:val="00EE3080"/>
    <w:rsid w:val="00EF03F1"/>
    <w:rsid w:val="00EF6634"/>
    <w:rsid w:val="00EF73D4"/>
    <w:rsid w:val="00F001DF"/>
    <w:rsid w:val="00F02974"/>
    <w:rsid w:val="00F120EE"/>
    <w:rsid w:val="00F22DEC"/>
    <w:rsid w:val="00F25E6C"/>
    <w:rsid w:val="00F270EE"/>
    <w:rsid w:val="00F27877"/>
    <w:rsid w:val="00F27FA4"/>
    <w:rsid w:val="00F340D2"/>
    <w:rsid w:val="00F403F1"/>
    <w:rsid w:val="00F449C6"/>
    <w:rsid w:val="00F4690A"/>
    <w:rsid w:val="00F46CEC"/>
    <w:rsid w:val="00F553EC"/>
    <w:rsid w:val="00F828D4"/>
    <w:rsid w:val="00F8482B"/>
    <w:rsid w:val="00F93A50"/>
    <w:rsid w:val="00F9573A"/>
    <w:rsid w:val="00FA79F8"/>
    <w:rsid w:val="00FB0CD6"/>
    <w:rsid w:val="00FB1A7B"/>
    <w:rsid w:val="00FB41FE"/>
    <w:rsid w:val="00FB67D9"/>
    <w:rsid w:val="00FC2D1E"/>
    <w:rsid w:val="00FC332A"/>
    <w:rsid w:val="00FC38F0"/>
    <w:rsid w:val="00FC3FC2"/>
    <w:rsid w:val="00FC57B3"/>
    <w:rsid w:val="00FD155A"/>
    <w:rsid w:val="00FD190A"/>
    <w:rsid w:val="00FE12B0"/>
    <w:rsid w:val="00FE1D23"/>
    <w:rsid w:val="00FE325E"/>
    <w:rsid w:val="00FF0290"/>
    <w:rsid w:val="00FF1FBB"/>
    <w:rsid w:val="00FF2095"/>
    <w:rsid w:val="00FF7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99A040"/>
  <w15:docId w15:val="{5A26F640-DCB0-416F-BDC2-0E16A93F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23"/>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locked/>
    <w:rsid w:val="00A648B0"/>
    <w:rPr>
      <w:rFonts w:ascii="Times New Roman" w:eastAsia="Calibri"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Char,FA Fu,Char Char"/>
    <w:basedOn w:val="Normal"/>
    <w:link w:val="FootnoteTextChar"/>
    <w:autoRedefine/>
    <w:unhideWhenUsed/>
    <w:qFormat/>
    <w:rsid w:val="00A648B0"/>
    <w:pPr>
      <w:spacing w:after="0" w:line="240" w:lineRule="auto"/>
    </w:pPr>
    <w:rPr>
      <w:rFonts w:ascii="Times New Roman" w:eastAsia="Calibri" w:hAnsi="Times New Roman" w:cs="Times New Roman"/>
      <w:sz w:val="20"/>
      <w:szCs w:val="20"/>
    </w:rPr>
  </w:style>
  <w:style w:type="character" w:customStyle="1" w:styleId="FootnoteTextChar1">
    <w:name w:val="Footnote Text Char1"/>
    <w:basedOn w:val="DefaultParagraphFont"/>
    <w:uiPriority w:val="99"/>
    <w:semiHidden/>
    <w:rsid w:val="003C3423"/>
    <w:rPr>
      <w:sz w:val="20"/>
      <w:szCs w:val="20"/>
    </w:rPr>
  </w:style>
  <w:style w:type="character" w:styleId="FootnoteReference">
    <w:name w:val="footnote reference"/>
    <w:aliases w:val="Footnotes refss,ftref,4_G,(NECG) Footnote Reference"/>
    <w:basedOn w:val="DefaultParagraphFont"/>
    <w:unhideWhenUsed/>
    <w:qFormat/>
    <w:rsid w:val="003C3423"/>
    <w:rPr>
      <w:vertAlign w:val="superscript"/>
    </w:rPr>
  </w:style>
  <w:style w:type="paragraph" w:styleId="Footer">
    <w:name w:val="footer"/>
    <w:basedOn w:val="Normal"/>
    <w:link w:val="FooterChar"/>
    <w:uiPriority w:val="99"/>
    <w:unhideWhenUsed/>
    <w:rsid w:val="003C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423"/>
  </w:style>
  <w:style w:type="paragraph" w:styleId="BalloonText">
    <w:name w:val="Balloon Text"/>
    <w:basedOn w:val="Normal"/>
    <w:link w:val="BalloonTextChar"/>
    <w:uiPriority w:val="99"/>
    <w:semiHidden/>
    <w:unhideWhenUsed/>
    <w:rsid w:val="00CF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7"/>
    <w:rPr>
      <w:rFonts w:ascii="Tahoma" w:hAnsi="Tahoma" w:cs="Tahoma"/>
      <w:sz w:val="16"/>
      <w:szCs w:val="16"/>
    </w:rPr>
  </w:style>
  <w:style w:type="character" w:styleId="Hyperlink">
    <w:name w:val="Hyperlink"/>
    <w:basedOn w:val="DefaultParagraphFont"/>
    <w:uiPriority w:val="99"/>
    <w:unhideWhenUsed/>
    <w:rsid w:val="00C96D7F"/>
    <w:rPr>
      <w:color w:val="0000FF" w:themeColor="hyperlink"/>
      <w:u w:val="single"/>
    </w:rPr>
  </w:style>
  <w:style w:type="character" w:styleId="CommentReference">
    <w:name w:val="annotation reference"/>
    <w:basedOn w:val="DefaultParagraphFont"/>
    <w:uiPriority w:val="99"/>
    <w:semiHidden/>
    <w:unhideWhenUsed/>
    <w:rsid w:val="00940603"/>
    <w:rPr>
      <w:sz w:val="16"/>
      <w:szCs w:val="16"/>
    </w:rPr>
  </w:style>
  <w:style w:type="paragraph" w:styleId="CommentText">
    <w:name w:val="annotation text"/>
    <w:basedOn w:val="Normal"/>
    <w:link w:val="CommentTextChar"/>
    <w:uiPriority w:val="99"/>
    <w:unhideWhenUsed/>
    <w:rsid w:val="00940603"/>
    <w:pPr>
      <w:spacing w:line="240" w:lineRule="auto"/>
    </w:pPr>
    <w:rPr>
      <w:sz w:val="20"/>
      <w:szCs w:val="20"/>
    </w:rPr>
  </w:style>
  <w:style w:type="character" w:customStyle="1" w:styleId="CommentTextChar">
    <w:name w:val="Comment Text Char"/>
    <w:basedOn w:val="DefaultParagraphFont"/>
    <w:link w:val="CommentText"/>
    <w:uiPriority w:val="99"/>
    <w:rsid w:val="00940603"/>
    <w:rPr>
      <w:sz w:val="20"/>
      <w:szCs w:val="20"/>
    </w:rPr>
  </w:style>
  <w:style w:type="paragraph" w:styleId="CommentSubject">
    <w:name w:val="annotation subject"/>
    <w:basedOn w:val="CommentText"/>
    <w:next w:val="CommentText"/>
    <w:link w:val="CommentSubjectChar"/>
    <w:uiPriority w:val="99"/>
    <w:semiHidden/>
    <w:unhideWhenUsed/>
    <w:rsid w:val="00940603"/>
    <w:rPr>
      <w:b/>
      <w:bCs/>
    </w:rPr>
  </w:style>
  <w:style w:type="character" w:customStyle="1" w:styleId="CommentSubjectChar">
    <w:name w:val="Comment Subject Char"/>
    <w:basedOn w:val="CommentTextChar"/>
    <w:link w:val="CommentSubject"/>
    <w:uiPriority w:val="99"/>
    <w:semiHidden/>
    <w:rsid w:val="00940603"/>
    <w:rPr>
      <w:b/>
      <w:bCs/>
      <w:sz w:val="20"/>
      <w:szCs w:val="20"/>
    </w:rPr>
  </w:style>
  <w:style w:type="paragraph" w:customStyle="1" w:styleId="Paragraphnumbered">
    <w:name w:val="Paragraph (numbered)"/>
    <w:basedOn w:val="Normal"/>
    <w:rsid w:val="00816761"/>
    <w:pPr>
      <w:numPr>
        <w:numId w:val="6"/>
      </w:numPr>
      <w:spacing w:before="24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0F08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80551"/>
    <w:pPr>
      <w:spacing w:after="0" w:line="240" w:lineRule="auto"/>
    </w:pPr>
  </w:style>
  <w:style w:type="paragraph" w:styleId="Header">
    <w:name w:val="header"/>
    <w:basedOn w:val="Normal"/>
    <w:link w:val="HeaderChar"/>
    <w:uiPriority w:val="99"/>
    <w:unhideWhenUsed/>
    <w:rsid w:val="00D5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BB"/>
  </w:style>
  <w:style w:type="paragraph" w:customStyle="1" w:styleId="Default">
    <w:name w:val="Default"/>
    <w:rsid w:val="00615E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7257">
      <w:bodyDiv w:val="1"/>
      <w:marLeft w:val="0"/>
      <w:marRight w:val="0"/>
      <w:marTop w:val="0"/>
      <w:marBottom w:val="0"/>
      <w:divBdr>
        <w:top w:val="none" w:sz="0" w:space="0" w:color="auto"/>
        <w:left w:val="none" w:sz="0" w:space="0" w:color="auto"/>
        <w:bottom w:val="none" w:sz="0" w:space="0" w:color="auto"/>
        <w:right w:val="none" w:sz="0" w:space="0" w:color="auto"/>
      </w:divBdr>
    </w:div>
    <w:div w:id="526218579">
      <w:bodyDiv w:val="1"/>
      <w:marLeft w:val="0"/>
      <w:marRight w:val="0"/>
      <w:marTop w:val="0"/>
      <w:marBottom w:val="0"/>
      <w:divBdr>
        <w:top w:val="none" w:sz="0" w:space="0" w:color="auto"/>
        <w:left w:val="none" w:sz="0" w:space="0" w:color="auto"/>
        <w:bottom w:val="none" w:sz="0" w:space="0" w:color="auto"/>
        <w:right w:val="none" w:sz="0" w:space="0" w:color="auto"/>
      </w:divBdr>
    </w:div>
    <w:div w:id="1120799024">
      <w:bodyDiv w:val="1"/>
      <w:marLeft w:val="0"/>
      <w:marRight w:val="0"/>
      <w:marTop w:val="0"/>
      <w:marBottom w:val="0"/>
      <w:divBdr>
        <w:top w:val="none" w:sz="0" w:space="0" w:color="auto"/>
        <w:left w:val="none" w:sz="0" w:space="0" w:color="auto"/>
        <w:bottom w:val="none" w:sz="0" w:space="0" w:color="auto"/>
        <w:right w:val="none" w:sz="0" w:space="0" w:color="auto"/>
      </w:divBdr>
    </w:div>
    <w:div w:id="1251546496">
      <w:bodyDiv w:val="1"/>
      <w:marLeft w:val="0"/>
      <w:marRight w:val="0"/>
      <w:marTop w:val="0"/>
      <w:marBottom w:val="0"/>
      <w:divBdr>
        <w:top w:val="none" w:sz="0" w:space="0" w:color="auto"/>
        <w:left w:val="none" w:sz="0" w:space="0" w:color="auto"/>
        <w:bottom w:val="none" w:sz="0" w:space="0" w:color="auto"/>
        <w:right w:val="none" w:sz="0" w:space="0" w:color="auto"/>
      </w:divBdr>
      <w:divsChild>
        <w:div w:id="391466004">
          <w:marLeft w:val="0"/>
          <w:marRight w:val="0"/>
          <w:marTop w:val="0"/>
          <w:marBottom w:val="0"/>
          <w:divBdr>
            <w:top w:val="none" w:sz="0" w:space="0" w:color="auto"/>
            <w:left w:val="none" w:sz="0" w:space="0" w:color="auto"/>
            <w:bottom w:val="none" w:sz="0" w:space="0" w:color="auto"/>
            <w:right w:val="none" w:sz="0" w:space="0" w:color="auto"/>
          </w:divBdr>
          <w:divsChild>
            <w:div w:id="1597054011">
              <w:marLeft w:val="0"/>
              <w:marRight w:val="0"/>
              <w:marTop w:val="0"/>
              <w:marBottom w:val="0"/>
              <w:divBdr>
                <w:top w:val="none" w:sz="0" w:space="0" w:color="auto"/>
                <w:left w:val="none" w:sz="0" w:space="0" w:color="auto"/>
                <w:bottom w:val="none" w:sz="0" w:space="0" w:color="auto"/>
                <w:right w:val="none" w:sz="0" w:space="0" w:color="auto"/>
              </w:divBdr>
              <w:divsChild>
                <w:div w:id="41099065">
                  <w:marLeft w:val="0"/>
                  <w:marRight w:val="0"/>
                  <w:marTop w:val="0"/>
                  <w:marBottom w:val="0"/>
                  <w:divBdr>
                    <w:top w:val="none" w:sz="0" w:space="0" w:color="auto"/>
                    <w:left w:val="none" w:sz="0" w:space="0" w:color="auto"/>
                    <w:bottom w:val="none" w:sz="0" w:space="0" w:color="auto"/>
                    <w:right w:val="none" w:sz="0" w:space="0" w:color="auto"/>
                  </w:divBdr>
                  <w:divsChild>
                    <w:div w:id="695886905">
                      <w:marLeft w:val="0"/>
                      <w:marRight w:val="0"/>
                      <w:marTop w:val="0"/>
                      <w:marBottom w:val="0"/>
                      <w:divBdr>
                        <w:top w:val="none" w:sz="0" w:space="0" w:color="auto"/>
                        <w:left w:val="none" w:sz="0" w:space="0" w:color="auto"/>
                        <w:bottom w:val="none" w:sz="0" w:space="0" w:color="auto"/>
                        <w:right w:val="none" w:sz="0" w:space="0" w:color="auto"/>
                      </w:divBdr>
                      <w:divsChild>
                        <w:div w:id="1134173920">
                          <w:marLeft w:val="0"/>
                          <w:marRight w:val="0"/>
                          <w:marTop w:val="0"/>
                          <w:marBottom w:val="0"/>
                          <w:divBdr>
                            <w:top w:val="none" w:sz="0" w:space="0" w:color="auto"/>
                            <w:left w:val="none" w:sz="0" w:space="0" w:color="auto"/>
                            <w:bottom w:val="none" w:sz="0" w:space="0" w:color="auto"/>
                            <w:right w:val="none" w:sz="0" w:space="0" w:color="auto"/>
                          </w:divBdr>
                          <w:divsChild>
                            <w:div w:id="514466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treaties.un.org/pages/ViewDetails.aspx?src=TREATY&amp;mtdsg_no=IV-15&amp;chapter=4&amp;clang=_en" TargetMode="External"/><Relationship Id="rId1" Type="http://schemas.openxmlformats.org/officeDocument/2006/relationships/hyperlink" Target="https://treaties.un.org/pages/ViewDetails.aspx?src=TREATY&amp;mtdsg_no=IV-15&amp;chapter=4&amp;clang=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A3DD2C-DF21-48CF-B84F-BAD7A62B3692}">
  <ds:schemaRefs>
    <ds:schemaRef ds:uri="http://schemas.openxmlformats.org/officeDocument/2006/bibliography"/>
  </ds:schemaRefs>
</ds:datastoreItem>
</file>

<file path=customXml/itemProps2.xml><?xml version="1.0" encoding="utf-8"?>
<ds:datastoreItem xmlns:ds="http://schemas.openxmlformats.org/officeDocument/2006/customXml" ds:itemID="{3FDEE285-D752-4004-9F92-AB0E12BEC792}"/>
</file>

<file path=customXml/itemProps3.xml><?xml version="1.0" encoding="utf-8"?>
<ds:datastoreItem xmlns:ds="http://schemas.openxmlformats.org/officeDocument/2006/customXml" ds:itemID="{67E5FC3A-8B68-42FB-ADC7-094DA362EEB3}"/>
</file>

<file path=customXml/itemProps4.xml><?xml version="1.0" encoding="utf-8"?>
<ds:datastoreItem xmlns:ds="http://schemas.openxmlformats.org/officeDocument/2006/customXml" ds:itemID="{2B9C6AB5-9C24-4BD1-AE92-45665CA19181}"/>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11055</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sultas</dc:creator>
  <cp:lastModifiedBy>Bernacki, Genevieve</cp:lastModifiedBy>
  <cp:revision>2</cp:revision>
  <cp:lastPrinted>2017-11-15T04:28:00Z</cp:lastPrinted>
  <dcterms:created xsi:type="dcterms:W3CDTF">2017-11-17T07:26:00Z</dcterms:created>
  <dcterms:modified xsi:type="dcterms:W3CDTF">2017-11-17T07:26:00Z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a56e21e9-dbb5-48ed-9c26-1ff02a515208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