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7AAED" w14:textId="77777777" w:rsidR="00B532EE" w:rsidRPr="00D81EE4" w:rsidRDefault="00B532EE" w:rsidP="00B532EE">
      <w:pPr>
        <w:jc w:val="center"/>
      </w:pPr>
      <w:r w:rsidRPr="00D81EE4">
        <w:rPr>
          <w:i/>
          <w:noProof/>
          <w:lang w:eastAsia="en-AU"/>
        </w:rPr>
        <w:drawing>
          <wp:inline distT="0" distB="0" distL="0" distR="0" wp14:anchorId="3590684C" wp14:editId="7FFE048C">
            <wp:extent cx="1250950" cy="1248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Means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0950" cy="1248410"/>
                    </a:xfrm>
                    <a:prstGeom prst="rect">
                      <a:avLst/>
                    </a:prstGeom>
                  </pic:spPr>
                </pic:pic>
              </a:graphicData>
            </a:graphic>
          </wp:inline>
        </w:drawing>
      </w:r>
    </w:p>
    <w:p w14:paraId="2384FBF9" w14:textId="77777777" w:rsidR="00B532EE" w:rsidRPr="00D81EE4" w:rsidRDefault="00B532EE" w:rsidP="00B532EE">
      <w:pPr>
        <w:pStyle w:val="Heading1"/>
        <w:numPr>
          <w:ilvl w:val="0"/>
          <w:numId w:val="0"/>
        </w:numPr>
        <w:rPr>
          <w:rFonts w:cs="Times New Roman"/>
          <w:b/>
          <w:szCs w:val="24"/>
        </w:rPr>
      </w:pPr>
      <w:bookmarkStart w:id="0" w:name="_Toc486242020"/>
      <w:bookmarkStart w:id="1" w:name="_Toc486245803"/>
    </w:p>
    <w:p w14:paraId="3FC349F0" w14:textId="0412FF54" w:rsidR="00B532EE" w:rsidRPr="00D81EE4" w:rsidRDefault="00B532EE" w:rsidP="00B532EE">
      <w:pPr>
        <w:pStyle w:val="Heading1"/>
        <w:numPr>
          <w:ilvl w:val="0"/>
          <w:numId w:val="0"/>
        </w:numPr>
        <w:jc w:val="center"/>
        <w:rPr>
          <w:rFonts w:cs="Times New Roman"/>
          <w:b/>
          <w:szCs w:val="24"/>
        </w:rPr>
      </w:pPr>
      <w:r w:rsidRPr="00D81EE4">
        <w:rPr>
          <w:rFonts w:cs="Times New Roman"/>
          <w:b/>
          <w:szCs w:val="24"/>
        </w:rPr>
        <w:t xml:space="preserve">Submission </w:t>
      </w:r>
    </w:p>
    <w:p w14:paraId="7B9136C2" w14:textId="77777777" w:rsidR="00B532EE" w:rsidRPr="00D81EE4" w:rsidRDefault="00B532EE" w:rsidP="00B532EE">
      <w:pPr>
        <w:pStyle w:val="Heading1"/>
        <w:numPr>
          <w:ilvl w:val="0"/>
          <w:numId w:val="0"/>
        </w:numPr>
        <w:jc w:val="center"/>
        <w:rPr>
          <w:rFonts w:cs="Times New Roman"/>
          <w:b/>
          <w:szCs w:val="24"/>
        </w:rPr>
      </w:pPr>
    </w:p>
    <w:p w14:paraId="3C89AE8C" w14:textId="77777777" w:rsidR="00B532EE" w:rsidRPr="00D81EE4" w:rsidRDefault="00B532EE" w:rsidP="00B532EE">
      <w:pPr>
        <w:pStyle w:val="Heading1"/>
        <w:numPr>
          <w:ilvl w:val="0"/>
          <w:numId w:val="0"/>
        </w:numPr>
        <w:jc w:val="center"/>
        <w:rPr>
          <w:rFonts w:cs="Times New Roman"/>
          <w:b/>
          <w:szCs w:val="24"/>
        </w:rPr>
      </w:pPr>
      <w:r w:rsidRPr="00D81EE4">
        <w:rPr>
          <w:rFonts w:cs="Times New Roman"/>
          <w:b/>
          <w:szCs w:val="24"/>
        </w:rPr>
        <w:t>Draft General Comment No. 6 on Article 5 (Equality and Non-discrimination) of the Convention on the Rights of Persons with Disabilities (CRPD)</w:t>
      </w:r>
    </w:p>
    <w:p w14:paraId="0CEEB45B" w14:textId="77777777" w:rsidR="00B532EE" w:rsidRPr="00D81EE4" w:rsidRDefault="00B532EE" w:rsidP="00B532EE">
      <w:pPr>
        <w:pStyle w:val="Heading1"/>
        <w:numPr>
          <w:ilvl w:val="0"/>
          <w:numId w:val="0"/>
        </w:numPr>
        <w:rPr>
          <w:rFonts w:cs="Times New Roman"/>
          <w:b/>
          <w:szCs w:val="24"/>
        </w:rPr>
      </w:pPr>
    </w:p>
    <w:p w14:paraId="32E5FF84" w14:textId="77777777" w:rsidR="00B532EE" w:rsidRPr="00D81EE4" w:rsidRDefault="00B532EE" w:rsidP="00B532EE">
      <w:pPr>
        <w:pStyle w:val="Heading1"/>
        <w:numPr>
          <w:ilvl w:val="0"/>
          <w:numId w:val="0"/>
        </w:numPr>
        <w:jc w:val="center"/>
        <w:rPr>
          <w:rFonts w:cs="Times New Roman"/>
          <w:b/>
          <w:szCs w:val="24"/>
        </w:rPr>
      </w:pPr>
      <w:bookmarkStart w:id="2" w:name="_Toc486242021"/>
      <w:bookmarkStart w:id="3" w:name="_Toc486245804"/>
      <w:bookmarkEnd w:id="0"/>
      <w:bookmarkEnd w:id="1"/>
    </w:p>
    <w:p w14:paraId="435A65D0" w14:textId="7E00BE7E" w:rsidR="00B532EE" w:rsidRPr="00D81EE4" w:rsidRDefault="00B532EE" w:rsidP="00B532EE">
      <w:pPr>
        <w:pStyle w:val="Heading1"/>
        <w:numPr>
          <w:ilvl w:val="0"/>
          <w:numId w:val="0"/>
        </w:numPr>
        <w:jc w:val="right"/>
        <w:rPr>
          <w:rFonts w:cs="Times New Roman"/>
          <w:b/>
          <w:szCs w:val="24"/>
        </w:rPr>
      </w:pPr>
      <w:r w:rsidRPr="00D81EE4">
        <w:rPr>
          <w:rFonts w:cs="Times New Roman"/>
          <w:b/>
          <w:szCs w:val="24"/>
        </w:rPr>
        <w:t>30 November 2017</w:t>
      </w:r>
    </w:p>
    <w:p w14:paraId="655FEA50" w14:textId="77777777" w:rsidR="00B532EE" w:rsidRPr="00D81EE4" w:rsidRDefault="00B532EE" w:rsidP="00B532EE">
      <w:pPr>
        <w:pStyle w:val="Heading1"/>
        <w:numPr>
          <w:ilvl w:val="0"/>
          <w:numId w:val="0"/>
        </w:numPr>
        <w:jc w:val="right"/>
        <w:rPr>
          <w:rFonts w:cs="Times New Roman"/>
          <w:b/>
          <w:szCs w:val="24"/>
        </w:rPr>
      </w:pPr>
    </w:p>
    <w:p w14:paraId="7496A191" w14:textId="77777777" w:rsidR="00B532EE" w:rsidRPr="00D81EE4" w:rsidRDefault="00B532EE" w:rsidP="00B532EE">
      <w:pPr>
        <w:pStyle w:val="Heading1"/>
        <w:numPr>
          <w:ilvl w:val="0"/>
          <w:numId w:val="0"/>
        </w:numPr>
        <w:jc w:val="right"/>
        <w:rPr>
          <w:rFonts w:cs="Times New Roman"/>
          <w:b/>
          <w:szCs w:val="24"/>
        </w:rPr>
      </w:pPr>
    </w:p>
    <w:p w14:paraId="7995866B" w14:textId="77777777" w:rsidR="00B532EE" w:rsidRPr="00D81EE4" w:rsidRDefault="00B532EE" w:rsidP="00B532EE">
      <w:pPr>
        <w:pStyle w:val="Heading2"/>
        <w:numPr>
          <w:ilvl w:val="0"/>
          <w:numId w:val="0"/>
        </w:numPr>
        <w:pBdr>
          <w:bottom w:val="single" w:sz="12" w:space="1" w:color="000000" w:themeColor="text1"/>
        </w:pBdr>
        <w:rPr>
          <w:rFonts w:cs="Times New Roman"/>
          <w:szCs w:val="24"/>
        </w:rPr>
      </w:pPr>
      <w:bookmarkStart w:id="4" w:name="_Toc486242023"/>
      <w:bookmarkStart w:id="5" w:name="_Toc486245806"/>
      <w:r w:rsidRPr="00D81EE4">
        <w:rPr>
          <w:rFonts w:cs="Times New Roman"/>
          <w:szCs w:val="24"/>
        </w:rPr>
        <w:t xml:space="preserve">By email: </w:t>
      </w:r>
      <w:hyperlink r:id="rId8" w:history="1">
        <w:r w:rsidRPr="00D81EE4">
          <w:rPr>
            <w:rStyle w:val="Hyperlink"/>
            <w:szCs w:val="24"/>
          </w:rPr>
          <w:t>jaraya@ohchr.org</w:t>
        </w:r>
      </w:hyperlink>
    </w:p>
    <w:bookmarkEnd w:id="4"/>
    <w:bookmarkEnd w:id="5"/>
    <w:p w14:paraId="28AAB7F3" w14:textId="77777777" w:rsidR="00B532EE" w:rsidRPr="00D81EE4" w:rsidRDefault="00B532EE" w:rsidP="00B532EE">
      <w:pPr>
        <w:pStyle w:val="Heading2"/>
        <w:numPr>
          <w:ilvl w:val="0"/>
          <w:numId w:val="0"/>
        </w:numPr>
        <w:pBdr>
          <w:bottom w:val="single" w:sz="12" w:space="1" w:color="000000" w:themeColor="text1"/>
        </w:pBdr>
        <w:rPr>
          <w:rFonts w:cs="Times New Roman"/>
          <w:szCs w:val="24"/>
        </w:rPr>
      </w:pPr>
    </w:p>
    <w:p w14:paraId="19A7B5D2" w14:textId="77777777" w:rsidR="00B532EE" w:rsidRPr="00D81EE4" w:rsidRDefault="00B532EE" w:rsidP="00B532EE">
      <w:pPr>
        <w:pStyle w:val="Heading2"/>
        <w:numPr>
          <w:ilvl w:val="0"/>
          <w:numId w:val="0"/>
        </w:numPr>
        <w:pBdr>
          <w:bottom w:val="single" w:sz="12" w:space="1" w:color="000000" w:themeColor="text1"/>
        </w:pBdr>
        <w:rPr>
          <w:rFonts w:cs="Times New Roman"/>
          <w:b/>
          <w:szCs w:val="24"/>
        </w:rPr>
      </w:pPr>
      <w:r w:rsidRPr="00D81EE4">
        <w:rPr>
          <w:rFonts w:cs="Times New Roman"/>
          <w:b/>
          <w:szCs w:val="24"/>
        </w:rPr>
        <w:t xml:space="preserve">All Means All – The Australian Alliance for Inclusive Education </w:t>
      </w:r>
    </w:p>
    <w:p w14:paraId="51F6F229" w14:textId="77777777" w:rsidR="00B532EE" w:rsidRPr="00D81EE4" w:rsidRDefault="00B532EE" w:rsidP="00B532EE"/>
    <w:p w14:paraId="09B4E391" w14:textId="77777777" w:rsidR="00B532EE" w:rsidRPr="00D81EE4" w:rsidRDefault="00B532EE" w:rsidP="00B532EE">
      <w:pPr>
        <w:pStyle w:val="NormalWeb"/>
        <w:rPr>
          <w:rFonts w:ascii="Times New Roman" w:eastAsia="Times New Roman" w:hAnsi="Times New Roman"/>
          <w:lang w:eastAsia="en-US"/>
        </w:rPr>
      </w:pPr>
      <w:r w:rsidRPr="00D81EE4">
        <w:rPr>
          <w:rFonts w:ascii="Times New Roman" w:eastAsia="Times New Roman" w:hAnsi="Times New Roman" w:cs="Times New Roman"/>
          <w:sz w:val="24"/>
          <w:szCs w:val="24"/>
          <w:lang w:eastAsia="en-US"/>
        </w:rPr>
        <w:t>Email:</w:t>
      </w:r>
      <w:r w:rsidRPr="00D81EE4">
        <w:rPr>
          <w:rFonts w:ascii="Times New Roman" w:eastAsia="Times New Roman" w:hAnsi="Times New Roman" w:cs="Times New Roman"/>
          <w:sz w:val="24"/>
          <w:szCs w:val="24"/>
          <w:lang w:eastAsia="en-US"/>
        </w:rPr>
        <w:tab/>
      </w:r>
      <w:r w:rsidRPr="00D81EE4">
        <w:rPr>
          <w:rFonts w:ascii="Times New Roman" w:eastAsia="Times New Roman" w:hAnsi="Times New Roman" w:cs="Times New Roman"/>
          <w:sz w:val="24"/>
          <w:szCs w:val="24"/>
          <w:lang w:eastAsia="en-US"/>
        </w:rPr>
        <w:tab/>
      </w:r>
      <w:hyperlink r:id="rId9" w:history="1">
        <w:r w:rsidRPr="00D81EE4">
          <w:rPr>
            <w:rStyle w:val="Hyperlink"/>
            <w:rFonts w:ascii="Times New Roman" w:eastAsia="Times New Roman" w:hAnsi="Times New Roman" w:cs="Times New Roman"/>
            <w:sz w:val="24"/>
            <w:szCs w:val="24"/>
            <w:lang w:eastAsia="en-US"/>
          </w:rPr>
          <w:t>hello@allmeansall.org.au</w:t>
        </w:r>
      </w:hyperlink>
    </w:p>
    <w:p w14:paraId="7B8AEEE4" w14:textId="2318B473" w:rsidR="00B532EE" w:rsidRPr="00D81EE4" w:rsidRDefault="00B532EE" w:rsidP="00B532EE">
      <w:r w:rsidRPr="00D81EE4">
        <w:t>Web:</w:t>
      </w:r>
      <w:r w:rsidRPr="00D81EE4">
        <w:tab/>
      </w:r>
      <w:r w:rsidRPr="00D81EE4">
        <w:tab/>
      </w:r>
      <w:hyperlink r:id="rId10" w:history="1">
        <w:r w:rsidR="00821257" w:rsidRPr="00D81EE4">
          <w:rPr>
            <w:rStyle w:val="Hyperlink"/>
          </w:rPr>
          <w:t>www.allmeansall.org.au</w:t>
        </w:r>
      </w:hyperlink>
    </w:p>
    <w:p w14:paraId="51C1242C" w14:textId="77777777" w:rsidR="00B532EE" w:rsidRPr="00D81EE4" w:rsidRDefault="00B532EE" w:rsidP="00B532EE">
      <w:pPr>
        <w:pStyle w:val="Heading1"/>
        <w:numPr>
          <w:ilvl w:val="0"/>
          <w:numId w:val="0"/>
        </w:numPr>
        <w:rPr>
          <w:rFonts w:cs="Times New Roman"/>
          <w:b/>
          <w:szCs w:val="24"/>
        </w:rPr>
      </w:pPr>
    </w:p>
    <w:bookmarkEnd w:id="2"/>
    <w:bookmarkEnd w:id="3"/>
    <w:p w14:paraId="4D3CEE38" w14:textId="77777777" w:rsidR="00B532EE" w:rsidRPr="00D81EE4" w:rsidRDefault="00B532EE" w:rsidP="00B532EE">
      <w:pPr>
        <w:pStyle w:val="Heading2"/>
        <w:pBdr>
          <w:bottom w:val="single" w:sz="12" w:space="1" w:color="000000" w:themeColor="text1"/>
        </w:pBdr>
        <w:rPr>
          <w:rFonts w:cs="Times New Roman"/>
          <w:szCs w:val="24"/>
        </w:rPr>
      </w:pPr>
      <w:r w:rsidRPr="00D81EE4">
        <w:rPr>
          <w:rFonts w:cs="Times New Roman"/>
          <w:szCs w:val="24"/>
        </w:rPr>
        <w:br w:type="page"/>
      </w:r>
    </w:p>
    <w:p w14:paraId="3E46F9DD" w14:textId="77777777" w:rsidR="00FB7416" w:rsidRPr="00D81EE4" w:rsidRDefault="00FB7416" w:rsidP="00FB7416">
      <w:pPr>
        <w:jc w:val="center"/>
        <w:rPr>
          <w:rFonts w:cs="Arial"/>
          <w:b/>
        </w:rPr>
      </w:pPr>
    </w:p>
    <w:p w14:paraId="6E4669D0" w14:textId="77777777" w:rsidR="00FB7416" w:rsidRPr="00D81EE4" w:rsidRDefault="00FB7416" w:rsidP="00FB7416">
      <w:pPr>
        <w:pBdr>
          <w:bottom w:val="single" w:sz="12" w:space="1" w:color="auto"/>
        </w:pBdr>
        <w:spacing w:before="0" w:after="0"/>
        <w:jc w:val="left"/>
        <w:rPr>
          <w:rFonts w:cs="Arial"/>
          <w:b/>
          <w:sz w:val="22"/>
          <w:szCs w:val="22"/>
        </w:rPr>
      </w:pPr>
      <w:r w:rsidRPr="00D81EE4">
        <w:rPr>
          <w:rFonts w:cs="Arial"/>
          <w:b/>
          <w:sz w:val="22"/>
          <w:szCs w:val="22"/>
        </w:rPr>
        <w:t>INTRODUCTION</w:t>
      </w:r>
    </w:p>
    <w:p w14:paraId="1E5643CE" w14:textId="77777777" w:rsidR="00FB7416" w:rsidRPr="00D81EE4" w:rsidRDefault="00FB7416" w:rsidP="00FB7416">
      <w:pPr>
        <w:spacing w:before="0" w:after="0"/>
        <w:jc w:val="left"/>
        <w:rPr>
          <w:rFonts w:cs="Arial"/>
          <w:b/>
          <w:sz w:val="22"/>
          <w:szCs w:val="22"/>
        </w:rPr>
      </w:pPr>
    </w:p>
    <w:p w14:paraId="38244EDF" w14:textId="77777777" w:rsidR="00D81EE4" w:rsidRDefault="00D81EE4" w:rsidP="00D81EE4">
      <w:pPr>
        <w:pStyle w:val="ListParagraph"/>
        <w:spacing w:before="0" w:after="0"/>
        <w:jc w:val="left"/>
        <w:rPr>
          <w:rFonts w:cs="Arial"/>
          <w:sz w:val="22"/>
          <w:szCs w:val="22"/>
        </w:rPr>
      </w:pPr>
    </w:p>
    <w:p w14:paraId="6E73F765" w14:textId="77777777" w:rsidR="00FB7416" w:rsidRPr="00D81EE4" w:rsidRDefault="00FB7416" w:rsidP="00864436">
      <w:pPr>
        <w:pStyle w:val="ListParagraph"/>
        <w:numPr>
          <w:ilvl w:val="0"/>
          <w:numId w:val="29"/>
        </w:numPr>
        <w:spacing w:before="0" w:after="0"/>
        <w:jc w:val="left"/>
        <w:rPr>
          <w:rFonts w:cs="Arial"/>
          <w:sz w:val="22"/>
          <w:szCs w:val="22"/>
        </w:rPr>
      </w:pPr>
      <w:r w:rsidRPr="00D81EE4">
        <w:rPr>
          <w:rFonts w:cs="Arial"/>
          <w:sz w:val="22"/>
          <w:szCs w:val="22"/>
        </w:rPr>
        <w:t>All Means All is the Australian Alliance for Inclusive Education, a nationwide multi-stakeholder alliance working together to implement an inclusive education system and remove the legal, structural and attitudinal barriers that limit the rights of some students to access full inclusive education.</w:t>
      </w:r>
    </w:p>
    <w:p w14:paraId="71E6DB6B" w14:textId="77777777" w:rsidR="00FB7416" w:rsidRPr="00D81EE4" w:rsidRDefault="00FB7416" w:rsidP="00FB7416">
      <w:pPr>
        <w:spacing w:before="0" w:after="0"/>
        <w:jc w:val="left"/>
        <w:rPr>
          <w:rFonts w:cs="Arial"/>
          <w:sz w:val="22"/>
          <w:szCs w:val="22"/>
        </w:rPr>
      </w:pPr>
    </w:p>
    <w:p w14:paraId="407C9048" w14:textId="77777777" w:rsidR="00FB7416" w:rsidRPr="00D81EE4" w:rsidRDefault="00FB7416" w:rsidP="00864436">
      <w:pPr>
        <w:pStyle w:val="ListParagraph"/>
        <w:numPr>
          <w:ilvl w:val="0"/>
          <w:numId w:val="29"/>
        </w:numPr>
        <w:spacing w:before="0" w:after="0"/>
        <w:jc w:val="left"/>
        <w:rPr>
          <w:rFonts w:cs="Arial"/>
          <w:sz w:val="22"/>
          <w:szCs w:val="22"/>
        </w:rPr>
      </w:pPr>
      <w:r w:rsidRPr="00D81EE4">
        <w:rPr>
          <w:rFonts w:cs="Arial"/>
          <w:sz w:val="22"/>
          <w:szCs w:val="22"/>
        </w:rPr>
        <w:t>All Means All commends the work of the Committee on the Rights of Persons with Disabilities (</w:t>
      </w:r>
      <w:r w:rsidRPr="00D81EE4">
        <w:rPr>
          <w:rFonts w:cs="Arial"/>
          <w:b/>
          <w:sz w:val="22"/>
          <w:szCs w:val="22"/>
        </w:rPr>
        <w:t>the</w:t>
      </w:r>
      <w:r w:rsidRPr="00D81EE4">
        <w:rPr>
          <w:rFonts w:cs="Arial"/>
          <w:sz w:val="22"/>
          <w:szCs w:val="22"/>
        </w:rPr>
        <w:t xml:space="preserve"> </w:t>
      </w:r>
      <w:r w:rsidRPr="00D81EE4">
        <w:rPr>
          <w:rFonts w:cs="Arial"/>
          <w:b/>
          <w:sz w:val="22"/>
          <w:szCs w:val="22"/>
        </w:rPr>
        <w:t>Committee</w:t>
      </w:r>
      <w:r w:rsidRPr="00D81EE4">
        <w:rPr>
          <w:rFonts w:cs="Arial"/>
          <w:sz w:val="22"/>
          <w:szCs w:val="22"/>
        </w:rPr>
        <w:t>) in seeking to develop General Comment No. 6 as guidance for State Parties in implementing their obligations under Article 5 of the CRPD and to clarify the inter-relationship between Article 5 of the CRPD and the other more subject-specific Articles of the CRPD.</w:t>
      </w:r>
    </w:p>
    <w:p w14:paraId="05B7F01A" w14:textId="77777777" w:rsidR="00FB7416" w:rsidRPr="00D81EE4" w:rsidRDefault="00FB7416" w:rsidP="00FB7416">
      <w:pPr>
        <w:spacing w:before="0" w:after="0"/>
        <w:jc w:val="left"/>
        <w:rPr>
          <w:rFonts w:cs="Arial"/>
          <w:sz w:val="22"/>
          <w:szCs w:val="22"/>
        </w:rPr>
      </w:pPr>
    </w:p>
    <w:p w14:paraId="7C82D608" w14:textId="77777777" w:rsidR="00FB7416" w:rsidRPr="00D81EE4" w:rsidRDefault="00FB7416" w:rsidP="00864436">
      <w:pPr>
        <w:pStyle w:val="ListParagraph"/>
        <w:numPr>
          <w:ilvl w:val="0"/>
          <w:numId w:val="29"/>
        </w:numPr>
        <w:spacing w:before="0" w:after="0"/>
        <w:jc w:val="left"/>
        <w:rPr>
          <w:rFonts w:cs="Arial"/>
          <w:sz w:val="22"/>
          <w:szCs w:val="22"/>
        </w:rPr>
      </w:pPr>
      <w:r w:rsidRPr="00D81EE4">
        <w:rPr>
          <w:rFonts w:cs="Arial"/>
          <w:sz w:val="22"/>
          <w:szCs w:val="22"/>
        </w:rPr>
        <w:t>All Means All thanks the Committee for the opportunity to make a submission on Draft General Comment No.6, and in particular to comment upon the relevance of Article 5 (Equality and Non-discrimination) to the right to an inclusive education under Article 24 (Education), as recently clarified by the Committee in General Comment No. 4 (Right to Inclusive Education).</w:t>
      </w:r>
    </w:p>
    <w:p w14:paraId="4259E0C6" w14:textId="77777777" w:rsidR="00FB7416" w:rsidRPr="00D81EE4" w:rsidRDefault="00FB7416" w:rsidP="00FB7416">
      <w:pPr>
        <w:pBdr>
          <w:bottom w:val="single" w:sz="12" w:space="1" w:color="auto"/>
        </w:pBdr>
        <w:spacing w:before="0" w:after="0"/>
        <w:jc w:val="left"/>
        <w:rPr>
          <w:rFonts w:cs="Arial"/>
          <w:b/>
          <w:sz w:val="22"/>
          <w:szCs w:val="22"/>
        </w:rPr>
      </w:pPr>
    </w:p>
    <w:p w14:paraId="0D10ED1D" w14:textId="77777777" w:rsidR="00FB7416" w:rsidRPr="00D81EE4" w:rsidRDefault="00FB7416" w:rsidP="00FB7416">
      <w:pPr>
        <w:pBdr>
          <w:bottom w:val="single" w:sz="12" w:space="1" w:color="auto"/>
        </w:pBdr>
        <w:spacing w:before="0" w:after="0"/>
        <w:jc w:val="left"/>
        <w:rPr>
          <w:rFonts w:cs="Arial"/>
          <w:b/>
          <w:sz w:val="22"/>
          <w:szCs w:val="22"/>
        </w:rPr>
      </w:pPr>
    </w:p>
    <w:p w14:paraId="5D653B90" w14:textId="77777777" w:rsidR="00FB7416" w:rsidRPr="00D81EE4" w:rsidRDefault="00CF7AF8" w:rsidP="00FB7416">
      <w:pPr>
        <w:pBdr>
          <w:bottom w:val="single" w:sz="12" w:space="1" w:color="auto"/>
        </w:pBdr>
        <w:spacing w:before="0" w:after="0"/>
        <w:jc w:val="left"/>
        <w:rPr>
          <w:rFonts w:cs="Arial"/>
          <w:b/>
          <w:sz w:val="22"/>
          <w:szCs w:val="22"/>
        </w:rPr>
      </w:pPr>
      <w:r w:rsidRPr="00D81EE4">
        <w:rPr>
          <w:rFonts w:cs="Arial"/>
          <w:b/>
          <w:sz w:val="22"/>
          <w:szCs w:val="22"/>
        </w:rPr>
        <w:t>COMMENTARY</w:t>
      </w:r>
    </w:p>
    <w:p w14:paraId="0FAAEED6" w14:textId="77777777" w:rsidR="00FB7416" w:rsidRPr="00D81EE4" w:rsidRDefault="00FB7416" w:rsidP="00FB7416">
      <w:pPr>
        <w:spacing w:before="0" w:after="0"/>
        <w:jc w:val="left"/>
        <w:rPr>
          <w:rFonts w:cs="Arial"/>
          <w:b/>
          <w:sz w:val="22"/>
          <w:szCs w:val="22"/>
        </w:rPr>
      </w:pPr>
    </w:p>
    <w:p w14:paraId="63F28DD0" w14:textId="77777777" w:rsidR="00D81EE4" w:rsidRDefault="00D81EE4" w:rsidP="00D81EE4">
      <w:pPr>
        <w:pStyle w:val="ListParagraph"/>
        <w:spacing w:before="0" w:after="0"/>
        <w:jc w:val="left"/>
        <w:rPr>
          <w:rFonts w:cs="Arial"/>
          <w:sz w:val="22"/>
          <w:szCs w:val="22"/>
        </w:rPr>
      </w:pPr>
    </w:p>
    <w:p w14:paraId="2B995452" w14:textId="77777777" w:rsidR="00FB7416" w:rsidRPr="00D81EE4" w:rsidRDefault="00FB7416" w:rsidP="00D81EE4">
      <w:pPr>
        <w:pStyle w:val="ListParagraph"/>
        <w:numPr>
          <w:ilvl w:val="0"/>
          <w:numId w:val="29"/>
        </w:numPr>
        <w:spacing w:before="0" w:after="0"/>
        <w:jc w:val="left"/>
        <w:rPr>
          <w:rFonts w:cs="Arial"/>
          <w:sz w:val="22"/>
          <w:szCs w:val="22"/>
        </w:rPr>
      </w:pPr>
      <w:r w:rsidRPr="00D81EE4">
        <w:rPr>
          <w:rFonts w:cs="Arial"/>
          <w:sz w:val="22"/>
          <w:szCs w:val="22"/>
        </w:rPr>
        <w:t>All Means All has had the opportunity to consider, in particular,</w:t>
      </w:r>
      <w:r w:rsidR="00864436" w:rsidRPr="00D81EE4">
        <w:rPr>
          <w:rFonts w:cs="Arial"/>
          <w:sz w:val="22"/>
          <w:szCs w:val="22"/>
        </w:rPr>
        <w:t xml:space="preserve"> the</w:t>
      </w:r>
      <w:r w:rsidRPr="00D81EE4">
        <w:rPr>
          <w:rFonts w:cs="Arial"/>
          <w:sz w:val="22"/>
          <w:szCs w:val="22"/>
        </w:rPr>
        <w:t xml:space="preserve"> </w:t>
      </w:r>
      <w:r w:rsidR="00864436" w:rsidRPr="00D81EE4">
        <w:rPr>
          <w:rFonts w:cs="Arial"/>
          <w:sz w:val="22"/>
          <w:szCs w:val="22"/>
        </w:rPr>
        <w:t xml:space="preserve">following </w:t>
      </w:r>
      <w:r w:rsidRPr="00D81EE4">
        <w:rPr>
          <w:rFonts w:cs="Arial"/>
          <w:sz w:val="22"/>
          <w:szCs w:val="22"/>
        </w:rPr>
        <w:t>sub</w:t>
      </w:r>
      <w:r w:rsidR="00864436" w:rsidRPr="00D81EE4">
        <w:rPr>
          <w:rFonts w:cs="Arial"/>
          <w:sz w:val="22"/>
          <w:szCs w:val="22"/>
        </w:rPr>
        <w:t xml:space="preserve">missions </w:t>
      </w:r>
      <w:r w:rsidRPr="00D81EE4">
        <w:rPr>
          <w:rFonts w:cs="Arial"/>
          <w:sz w:val="22"/>
          <w:szCs w:val="22"/>
        </w:rPr>
        <w:t>in relation to Draft General Comment No. 6:</w:t>
      </w:r>
    </w:p>
    <w:p w14:paraId="344499B1" w14:textId="77777777" w:rsidR="00864436" w:rsidRPr="00D81EE4" w:rsidRDefault="00864436" w:rsidP="00FB7416">
      <w:pPr>
        <w:spacing w:before="0" w:after="0"/>
        <w:jc w:val="left"/>
        <w:rPr>
          <w:rFonts w:cs="Arial"/>
          <w:sz w:val="22"/>
          <w:szCs w:val="22"/>
        </w:rPr>
      </w:pPr>
    </w:p>
    <w:p w14:paraId="46C8F537" w14:textId="77777777" w:rsidR="00864436" w:rsidRPr="00D81EE4" w:rsidRDefault="00864436" w:rsidP="00864436">
      <w:pPr>
        <w:pStyle w:val="ListParagraph"/>
        <w:numPr>
          <w:ilvl w:val="0"/>
          <w:numId w:val="27"/>
        </w:numPr>
        <w:spacing w:before="0" w:after="0"/>
        <w:jc w:val="left"/>
        <w:rPr>
          <w:rFonts w:cs="Arial"/>
          <w:sz w:val="22"/>
          <w:szCs w:val="22"/>
        </w:rPr>
      </w:pPr>
      <w:r w:rsidRPr="00D81EE4">
        <w:rPr>
          <w:rFonts w:cs="Arial"/>
          <w:sz w:val="22"/>
          <w:szCs w:val="22"/>
        </w:rPr>
        <w:t>Australian Government – submission dated 15 November 2017;</w:t>
      </w:r>
    </w:p>
    <w:p w14:paraId="2674179F" w14:textId="77777777" w:rsidR="00CF7AF8" w:rsidRPr="00D81EE4" w:rsidRDefault="00CF7AF8" w:rsidP="00CF7AF8">
      <w:pPr>
        <w:pStyle w:val="ListParagraph"/>
        <w:spacing w:before="0" w:after="0"/>
        <w:ind w:left="1571"/>
        <w:jc w:val="left"/>
        <w:rPr>
          <w:rFonts w:cs="Arial"/>
          <w:sz w:val="22"/>
          <w:szCs w:val="22"/>
        </w:rPr>
      </w:pPr>
    </w:p>
    <w:p w14:paraId="4EBB0408" w14:textId="77777777" w:rsidR="00864436" w:rsidRPr="00D81EE4" w:rsidRDefault="00864436" w:rsidP="00864436">
      <w:pPr>
        <w:pStyle w:val="ListParagraph"/>
        <w:numPr>
          <w:ilvl w:val="0"/>
          <w:numId w:val="27"/>
        </w:numPr>
        <w:spacing w:before="0" w:after="0"/>
        <w:jc w:val="left"/>
        <w:rPr>
          <w:rFonts w:cs="Arial"/>
          <w:sz w:val="22"/>
          <w:szCs w:val="22"/>
        </w:rPr>
      </w:pPr>
      <w:r w:rsidRPr="00D81EE4">
        <w:rPr>
          <w:rFonts w:cs="Arial"/>
          <w:sz w:val="22"/>
          <w:szCs w:val="22"/>
        </w:rPr>
        <w:t>Children and Young People with Disability Australia – submission dated November 2017; and</w:t>
      </w:r>
    </w:p>
    <w:p w14:paraId="77967581" w14:textId="77777777" w:rsidR="00CF7AF8" w:rsidRPr="00D81EE4" w:rsidRDefault="00CF7AF8" w:rsidP="00CF7AF8">
      <w:pPr>
        <w:spacing w:before="0" w:after="0"/>
        <w:jc w:val="left"/>
        <w:rPr>
          <w:rFonts w:cs="Arial"/>
          <w:sz w:val="22"/>
          <w:szCs w:val="22"/>
        </w:rPr>
      </w:pPr>
    </w:p>
    <w:p w14:paraId="6226C475" w14:textId="77777777" w:rsidR="00864436" w:rsidRPr="00D81EE4" w:rsidRDefault="00864436" w:rsidP="00864436">
      <w:pPr>
        <w:pStyle w:val="ListParagraph"/>
        <w:numPr>
          <w:ilvl w:val="0"/>
          <w:numId w:val="27"/>
        </w:numPr>
        <w:spacing w:before="0" w:after="0"/>
        <w:jc w:val="left"/>
        <w:rPr>
          <w:rFonts w:cs="Arial"/>
          <w:sz w:val="22"/>
          <w:szCs w:val="22"/>
        </w:rPr>
      </w:pPr>
      <w:r w:rsidRPr="00D81EE4">
        <w:rPr>
          <w:rFonts w:cs="Arial"/>
          <w:sz w:val="22"/>
          <w:szCs w:val="22"/>
        </w:rPr>
        <w:t>Queensland Advocacy Incorporated – submission dated 14 November 2017.</w:t>
      </w:r>
    </w:p>
    <w:p w14:paraId="044B9A3E" w14:textId="77777777" w:rsidR="00864436" w:rsidRPr="00D81EE4" w:rsidRDefault="00864436" w:rsidP="00864436">
      <w:pPr>
        <w:pStyle w:val="ListParagraph"/>
        <w:spacing w:before="0" w:after="0"/>
        <w:ind w:left="0"/>
        <w:jc w:val="left"/>
        <w:rPr>
          <w:rFonts w:cs="Arial"/>
          <w:sz w:val="22"/>
          <w:szCs w:val="22"/>
        </w:rPr>
      </w:pPr>
    </w:p>
    <w:p w14:paraId="6368F8EA" w14:textId="77777777" w:rsidR="00FB7416" w:rsidRPr="00D81EE4" w:rsidRDefault="00864436" w:rsidP="00864436">
      <w:pPr>
        <w:pStyle w:val="ListParagraph"/>
        <w:numPr>
          <w:ilvl w:val="0"/>
          <w:numId w:val="29"/>
        </w:numPr>
        <w:spacing w:before="0" w:after="0"/>
        <w:jc w:val="left"/>
        <w:rPr>
          <w:rFonts w:cs="Arial"/>
          <w:sz w:val="22"/>
          <w:szCs w:val="22"/>
        </w:rPr>
      </w:pPr>
      <w:r w:rsidRPr="00D81EE4">
        <w:rPr>
          <w:rFonts w:cs="Arial"/>
          <w:sz w:val="22"/>
          <w:szCs w:val="22"/>
        </w:rPr>
        <w:t>All Means All endorses</w:t>
      </w:r>
      <w:r w:rsidR="00CF7AF8" w:rsidRPr="00D81EE4">
        <w:rPr>
          <w:rFonts w:cs="Arial"/>
          <w:sz w:val="22"/>
          <w:szCs w:val="22"/>
        </w:rPr>
        <w:t xml:space="preserve"> generally</w:t>
      </w:r>
      <w:r w:rsidRPr="00D81EE4">
        <w:rPr>
          <w:rFonts w:cs="Arial"/>
          <w:sz w:val="22"/>
          <w:szCs w:val="22"/>
        </w:rPr>
        <w:t xml:space="preserve"> the submissions of Children and Young People with Disability Australia and Queensland Advocacy Incorporated.  In particular, All Means All</w:t>
      </w:r>
      <w:r w:rsidR="00CF7AF8" w:rsidRPr="00D81EE4">
        <w:rPr>
          <w:rFonts w:cs="Arial"/>
          <w:sz w:val="22"/>
          <w:szCs w:val="22"/>
        </w:rPr>
        <w:t>, with a focus on inclusive education,</w:t>
      </w:r>
      <w:r w:rsidRPr="00D81EE4">
        <w:rPr>
          <w:rFonts w:cs="Arial"/>
          <w:sz w:val="22"/>
          <w:szCs w:val="22"/>
        </w:rPr>
        <w:t xml:space="preserve"> agrees that:</w:t>
      </w:r>
    </w:p>
    <w:p w14:paraId="4D221248" w14:textId="77777777" w:rsidR="00864436" w:rsidRPr="00D81EE4" w:rsidRDefault="00864436" w:rsidP="00FB7416">
      <w:pPr>
        <w:spacing w:before="0" w:after="0"/>
        <w:jc w:val="left"/>
        <w:rPr>
          <w:rFonts w:cs="Arial"/>
          <w:sz w:val="22"/>
          <w:szCs w:val="22"/>
        </w:rPr>
      </w:pPr>
    </w:p>
    <w:p w14:paraId="2F2435DD" w14:textId="77777777" w:rsidR="00CF7AF8" w:rsidRPr="00D81EE4" w:rsidRDefault="00CF7AF8" w:rsidP="00CF7AF8">
      <w:pPr>
        <w:pStyle w:val="ListParagraph"/>
        <w:numPr>
          <w:ilvl w:val="0"/>
          <w:numId w:val="28"/>
        </w:numPr>
        <w:spacing w:before="0" w:after="0"/>
        <w:jc w:val="left"/>
        <w:rPr>
          <w:rFonts w:cs="Arial"/>
          <w:sz w:val="22"/>
          <w:szCs w:val="22"/>
        </w:rPr>
      </w:pPr>
      <w:r w:rsidRPr="00D81EE4">
        <w:rPr>
          <w:rFonts w:cs="Arial"/>
          <w:b/>
          <w:sz w:val="22"/>
          <w:szCs w:val="22"/>
        </w:rPr>
        <w:t>Draft General Comment must recognise the obligation of State Parties under Article 5 to replace Medical Deficit Model-based laws and policies</w:t>
      </w:r>
      <w:r w:rsidRPr="00D81EE4">
        <w:rPr>
          <w:rFonts w:cs="Arial"/>
          <w:sz w:val="22"/>
          <w:szCs w:val="22"/>
        </w:rPr>
        <w:t xml:space="preserve"> </w:t>
      </w:r>
    </w:p>
    <w:p w14:paraId="1B3333BB" w14:textId="77777777" w:rsidR="00CF7AF8" w:rsidRPr="00D81EE4" w:rsidRDefault="00CF7AF8" w:rsidP="00CF7AF8">
      <w:pPr>
        <w:pStyle w:val="ListParagraph"/>
        <w:spacing w:before="0" w:after="0"/>
        <w:ind w:left="1211"/>
        <w:jc w:val="left"/>
        <w:rPr>
          <w:rFonts w:cs="Arial"/>
          <w:sz w:val="22"/>
          <w:szCs w:val="22"/>
        </w:rPr>
      </w:pPr>
    </w:p>
    <w:p w14:paraId="16545B9C" w14:textId="0BF5E308" w:rsidR="00CF7AF8" w:rsidRPr="00D81EE4" w:rsidRDefault="00864436" w:rsidP="00CF7AF8">
      <w:pPr>
        <w:pStyle w:val="ListParagraph"/>
        <w:spacing w:before="0" w:after="0"/>
        <w:ind w:left="1211"/>
        <w:jc w:val="left"/>
        <w:rPr>
          <w:rFonts w:cs="Arial"/>
          <w:sz w:val="22"/>
          <w:szCs w:val="22"/>
        </w:rPr>
      </w:pPr>
      <w:r w:rsidRPr="00D81EE4">
        <w:rPr>
          <w:rFonts w:cs="Arial"/>
          <w:sz w:val="22"/>
          <w:szCs w:val="22"/>
        </w:rPr>
        <w:t>The medical deficit model in relation to disability, which as the Australian Government submission acknowledges continues to underlie a number of Australian Commonwealth and State laws and policies (including in the education context), perpetuates continued inequality</w:t>
      </w:r>
      <w:r w:rsidR="000A0FE4" w:rsidRPr="00D81EE4">
        <w:rPr>
          <w:rFonts w:cs="Arial"/>
          <w:sz w:val="22"/>
          <w:szCs w:val="22"/>
        </w:rPr>
        <w:t xml:space="preserve"> and</w:t>
      </w:r>
      <w:r w:rsidRPr="00D81EE4">
        <w:rPr>
          <w:rFonts w:cs="Arial"/>
          <w:sz w:val="22"/>
          <w:szCs w:val="22"/>
        </w:rPr>
        <w:t xml:space="preserve"> discrimination against people with disability and reinforces attitudinal barriers to inclusion, equality of opportunity and full participation of people with disability.  </w:t>
      </w:r>
      <w:r w:rsidR="00CF7AF8" w:rsidRPr="00D81EE4">
        <w:rPr>
          <w:rFonts w:cs="Arial"/>
          <w:sz w:val="22"/>
          <w:szCs w:val="22"/>
        </w:rPr>
        <w:t>The</w:t>
      </w:r>
      <w:r w:rsidRPr="00D81EE4">
        <w:rPr>
          <w:rFonts w:cs="Arial"/>
          <w:sz w:val="22"/>
          <w:szCs w:val="22"/>
        </w:rPr>
        <w:t xml:space="preserve"> medical deficit model, being inconsistent with the human rights model of disability and the principles of inclusive equality</w:t>
      </w:r>
      <w:r w:rsidR="00CF7AF8" w:rsidRPr="00D81EE4">
        <w:rPr>
          <w:rFonts w:cs="Arial"/>
          <w:sz w:val="22"/>
          <w:szCs w:val="22"/>
        </w:rPr>
        <w:t xml:space="preserve"> and</w:t>
      </w:r>
      <w:r w:rsidRPr="00D81EE4">
        <w:rPr>
          <w:rFonts w:cs="Arial"/>
          <w:sz w:val="22"/>
          <w:szCs w:val="22"/>
        </w:rPr>
        <w:t xml:space="preserve"> substantive equality of opportunity</w:t>
      </w:r>
      <w:r w:rsidR="00CF7AF8" w:rsidRPr="00D81EE4">
        <w:rPr>
          <w:rFonts w:cs="Arial"/>
          <w:sz w:val="22"/>
          <w:szCs w:val="22"/>
        </w:rPr>
        <w:t>,</w:t>
      </w:r>
      <w:r w:rsidRPr="00D81EE4">
        <w:rPr>
          <w:rFonts w:cs="Arial"/>
          <w:sz w:val="22"/>
          <w:szCs w:val="22"/>
        </w:rPr>
        <w:t xml:space="preserve"> upon which the CRPD and in particular Article 5 is based, is counter-productive</w:t>
      </w:r>
      <w:r w:rsidR="00CF7AF8" w:rsidRPr="00D81EE4">
        <w:rPr>
          <w:rFonts w:cs="Arial"/>
          <w:sz w:val="22"/>
          <w:szCs w:val="22"/>
        </w:rPr>
        <w:t xml:space="preserve"> </w:t>
      </w:r>
      <w:r w:rsidRPr="00D81EE4">
        <w:rPr>
          <w:rFonts w:cs="Arial"/>
          <w:sz w:val="22"/>
          <w:szCs w:val="22"/>
        </w:rPr>
        <w:t xml:space="preserve">to the extent it continues to underlie the form or operation of domestic laws, policies and practices and must be systematically and immediately removed and replaced by State Parties in discharge of their obligations under Article 5. </w:t>
      </w:r>
    </w:p>
    <w:p w14:paraId="3D4B3EDF" w14:textId="77777777" w:rsidR="00CF7AF8" w:rsidRPr="00D81EE4" w:rsidRDefault="00CF7AF8" w:rsidP="00CF7AF8">
      <w:pPr>
        <w:pStyle w:val="ListParagraph"/>
        <w:spacing w:before="0" w:after="0"/>
        <w:ind w:left="1211"/>
        <w:jc w:val="left"/>
        <w:rPr>
          <w:rFonts w:cs="Arial"/>
          <w:sz w:val="22"/>
          <w:szCs w:val="22"/>
        </w:rPr>
      </w:pPr>
    </w:p>
    <w:p w14:paraId="0AB7CAA1" w14:textId="77777777" w:rsidR="00864436" w:rsidRPr="00D81EE4" w:rsidRDefault="00CF7AF8" w:rsidP="00CF7AF8">
      <w:pPr>
        <w:pStyle w:val="ListParagraph"/>
        <w:spacing w:before="0" w:after="0"/>
        <w:ind w:left="1211"/>
        <w:jc w:val="left"/>
        <w:rPr>
          <w:rFonts w:cs="Arial"/>
          <w:sz w:val="22"/>
          <w:szCs w:val="22"/>
        </w:rPr>
      </w:pPr>
      <w:r w:rsidRPr="00D81EE4">
        <w:rPr>
          <w:rFonts w:cs="Arial"/>
          <w:sz w:val="22"/>
          <w:szCs w:val="22"/>
        </w:rPr>
        <w:t>This requirement for systemic review and replacement of medical deficit model concepts</w:t>
      </w:r>
      <w:r w:rsidR="00864436" w:rsidRPr="00D81EE4">
        <w:rPr>
          <w:rFonts w:cs="Arial"/>
          <w:sz w:val="22"/>
          <w:szCs w:val="22"/>
        </w:rPr>
        <w:t xml:space="preserve"> should be clearly and positively incorporated into the General Comment.</w:t>
      </w:r>
    </w:p>
    <w:p w14:paraId="47E53F41" w14:textId="77777777" w:rsidR="00864436" w:rsidRPr="00D81EE4" w:rsidRDefault="00864436" w:rsidP="00864436">
      <w:pPr>
        <w:spacing w:before="0" w:after="0"/>
        <w:jc w:val="left"/>
        <w:rPr>
          <w:rFonts w:cs="Arial"/>
          <w:sz w:val="22"/>
          <w:szCs w:val="22"/>
        </w:rPr>
      </w:pPr>
    </w:p>
    <w:p w14:paraId="40B8865E" w14:textId="73134EC5" w:rsidR="00CF7AF8" w:rsidRPr="00D81EE4" w:rsidRDefault="00CF7AF8" w:rsidP="00864436">
      <w:pPr>
        <w:pStyle w:val="ListParagraph"/>
        <w:numPr>
          <w:ilvl w:val="0"/>
          <w:numId w:val="28"/>
        </w:numPr>
        <w:spacing w:before="0" w:after="0"/>
        <w:jc w:val="left"/>
        <w:rPr>
          <w:rFonts w:cs="Arial"/>
          <w:b/>
          <w:sz w:val="22"/>
          <w:szCs w:val="22"/>
        </w:rPr>
      </w:pPr>
      <w:r w:rsidRPr="00D81EE4">
        <w:rPr>
          <w:rFonts w:cs="Arial"/>
          <w:b/>
          <w:sz w:val="22"/>
          <w:szCs w:val="22"/>
        </w:rPr>
        <w:lastRenderedPageBreak/>
        <w:t xml:space="preserve">The General Comment should contain Specific and Fuller Articulation of Exclusionary and </w:t>
      </w:r>
      <w:r w:rsidR="00B532EE" w:rsidRPr="00D81EE4">
        <w:rPr>
          <w:rFonts w:cs="Arial"/>
          <w:b/>
          <w:sz w:val="22"/>
          <w:szCs w:val="22"/>
        </w:rPr>
        <w:t>Segregating</w:t>
      </w:r>
      <w:r w:rsidRPr="00D81EE4">
        <w:rPr>
          <w:rFonts w:cs="Arial"/>
          <w:b/>
          <w:sz w:val="22"/>
          <w:szCs w:val="22"/>
        </w:rPr>
        <w:t xml:space="preserve"> Education Practices as being Discriminatory</w:t>
      </w:r>
    </w:p>
    <w:p w14:paraId="02079141" w14:textId="77777777" w:rsidR="00CF7AF8" w:rsidRPr="00D81EE4" w:rsidRDefault="00CF7AF8" w:rsidP="00CF7AF8">
      <w:pPr>
        <w:pStyle w:val="ListParagraph"/>
        <w:spacing w:before="0" w:after="0"/>
        <w:ind w:left="1211"/>
        <w:jc w:val="left"/>
        <w:rPr>
          <w:rFonts w:cs="Arial"/>
          <w:sz w:val="22"/>
          <w:szCs w:val="22"/>
        </w:rPr>
      </w:pPr>
    </w:p>
    <w:p w14:paraId="5896E994" w14:textId="77777777" w:rsidR="000A0FE4" w:rsidRPr="00D81EE4" w:rsidRDefault="00864436" w:rsidP="00CF7AF8">
      <w:pPr>
        <w:pStyle w:val="ListParagraph"/>
        <w:spacing w:before="0" w:after="0"/>
        <w:ind w:left="1211"/>
        <w:jc w:val="left"/>
        <w:rPr>
          <w:rFonts w:cs="Arial"/>
          <w:sz w:val="22"/>
          <w:szCs w:val="22"/>
        </w:rPr>
      </w:pPr>
      <w:r w:rsidRPr="00D81EE4">
        <w:rPr>
          <w:rFonts w:cs="Arial"/>
          <w:sz w:val="22"/>
          <w:szCs w:val="22"/>
        </w:rPr>
        <w:t xml:space="preserve">The failure of State Parties to provide access to genuinely inclusive education in </w:t>
      </w:r>
      <w:r w:rsidR="000A0FE4" w:rsidRPr="00D81EE4">
        <w:rPr>
          <w:rFonts w:cs="Arial"/>
          <w:sz w:val="22"/>
          <w:szCs w:val="22"/>
        </w:rPr>
        <w:t xml:space="preserve">general education </w:t>
      </w:r>
      <w:r w:rsidRPr="00D81EE4">
        <w:rPr>
          <w:rFonts w:cs="Arial"/>
          <w:sz w:val="22"/>
          <w:szCs w:val="22"/>
        </w:rPr>
        <w:t xml:space="preserve">classroom settings and equality of educational opportunity </w:t>
      </w:r>
      <w:r w:rsidR="000A0FE4" w:rsidRPr="00D81EE4">
        <w:rPr>
          <w:rFonts w:cs="Arial"/>
          <w:sz w:val="22"/>
          <w:szCs w:val="22"/>
        </w:rPr>
        <w:t xml:space="preserve">and to implement effective </w:t>
      </w:r>
      <w:r w:rsidRPr="00D81EE4">
        <w:rPr>
          <w:rFonts w:cs="Arial"/>
          <w:sz w:val="22"/>
          <w:szCs w:val="22"/>
        </w:rPr>
        <w:t xml:space="preserve">is discriminatory and not only a breach of Article 24, but also a breach of Article 5.  </w:t>
      </w:r>
    </w:p>
    <w:p w14:paraId="78DF8E2F" w14:textId="77777777" w:rsidR="000A0FE4" w:rsidRPr="00D81EE4" w:rsidRDefault="000A0FE4" w:rsidP="00CF7AF8">
      <w:pPr>
        <w:pStyle w:val="ListParagraph"/>
        <w:spacing w:before="0" w:after="0"/>
        <w:ind w:left="1211"/>
        <w:jc w:val="left"/>
        <w:rPr>
          <w:rFonts w:cs="Arial"/>
          <w:sz w:val="22"/>
          <w:szCs w:val="22"/>
        </w:rPr>
      </w:pPr>
    </w:p>
    <w:p w14:paraId="775C1A90" w14:textId="3D6B1CA1" w:rsidR="00CF7AF8" w:rsidRPr="00D81EE4" w:rsidRDefault="00864436" w:rsidP="00CF7AF8">
      <w:pPr>
        <w:pStyle w:val="ListParagraph"/>
        <w:spacing w:before="0" w:after="0"/>
        <w:ind w:left="1211"/>
        <w:jc w:val="left"/>
        <w:rPr>
          <w:rFonts w:cs="Arial"/>
          <w:sz w:val="22"/>
          <w:szCs w:val="22"/>
        </w:rPr>
      </w:pPr>
      <w:r w:rsidRPr="00D81EE4">
        <w:rPr>
          <w:rFonts w:cs="Arial"/>
          <w:sz w:val="22"/>
          <w:szCs w:val="22"/>
        </w:rPr>
        <w:t xml:space="preserve">Although the Draft General Comment in paragraph 72 "calls on State Parties to be guided by … General Comment No. 4" on the Right to Inclusive Education in fulfilling their obligations under Articles 5 and 24, All Means All submits that the </w:t>
      </w:r>
      <w:r w:rsidR="000A0FE4" w:rsidRPr="00D81EE4">
        <w:rPr>
          <w:rFonts w:cs="Arial"/>
          <w:sz w:val="22"/>
          <w:szCs w:val="22"/>
        </w:rPr>
        <w:t xml:space="preserve">final </w:t>
      </w:r>
      <w:r w:rsidRPr="00D81EE4">
        <w:rPr>
          <w:rFonts w:cs="Arial"/>
          <w:sz w:val="22"/>
          <w:szCs w:val="22"/>
        </w:rPr>
        <w:t xml:space="preserve">General Comment should itself </w:t>
      </w:r>
      <w:r w:rsidR="000A0FE4" w:rsidRPr="00D81EE4">
        <w:rPr>
          <w:rFonts w:cs="Arial"/>
          <w:sz w:val="22"/>
          <w:szCs w:val="22"/>
        </w:rPr>
        <w:t xml:space="preserve">identify and </w:t>
      </w:r>
      <w:r w:rsidRPr="00D81EE4">
        <w:rPr>
          <w:rFonts w:cs="Arial"/>
          <w:sz w:val="22"/>
          <w:szCs w:val="22"/>
        </w:rPr>
        <w:t xml:space="preserve">articulate the full cross-section of </w:t>
      </w:r>
      <w:r w:rsidR="00B532EE" w:rsidRPr="00D81EE4">
        <w:rPr>
          <w:rFonts w:cs="Arial"/>
          <w:sz w:val="22"/>
          <w:szCs w:val="22"/>
        </w:rPr>
        <w:t>segregating</w:t>
      </w:r>
      <w:r w:rsidRPr="00D81EE4">
        <w:rPr>
          <w:rFonts w:cs="Arial"/>
          <w:sz w:val="22"/>
          <w:szCs w:val="22"/>
        </w:rPr>
        <w:t xml:space="preserve"> education practices, from segregation in separate "special" schools or units to micro-segregation or micro-exclusion within the walls of a regular classroom, as well as specifying that the use of restrictive practices in the education context is itself a form of discrimination</w:t>
      </w:r>
      <w:r w:rsidR="000A0FE4" w:rsidRPr="00D81EE4">
        <w:rPr>
          <w:rFonts w:cs="Arial"/>
          <w:sz w:val="22"/>
          <w:szCs w:val="22"/>
        </w:rPr>
        <w:t xml:space="preserve"> and amounts to denial of equality of opportunity</w:t>
      </w:r>
      <w:r w:rsidRPr="00D81EE4">
        <w:rPr>
          <w:rFonts w:cs="Arial"/>
          <w:sz w:val="22"/>
          <w:szCs w:val="22"/>
        </w:rPr>
        <w:t xml:space="preserve">.  </w:t>
      </w:r>
    </w:p>
    <w:p w14:paraId="2374101C" w14:textId="77777777" w:rsidR="00CF7AF8" w:rsidRPr="00D81EE4" w:rsidRDefault="00CF7AF8" w:rsidP="00CF7AF8">
      <w:pPr>
        <w:pStyle w:val="ListParagraph"/>
        <w:spacing w:before="0" w:after="0"/>
        <w:ind w:left="1211"/>
        <w:jc w:val="left"/>
        <w:rPr>
          <w:rFonts w:cs="Arial"/>
          <w:sz w:val="22"/>
          <w:szCs w:val="22"/>
        </w:rPr>
      </w:pPr>
    </w:p>
    <w:p w14:paraId="012F12E4" w14:textId="7CDAA050" w:rsidR="00B532EE" w:rsidRPr="00D81EE4" w:rsidRDefault="00CF7AF8" w:rsidP="00CF7AF8">
      <w:pPr>
        <w:pStyle w:val="ListParagraph"/>
        <w:spacing w:before="0" w:after="0"/>
        <w:ind w:left="1211"/>
        <w:jc w:val="left"/>
        <w:rPr>
          <w:rFonts w:cs="Arial"/>
          <w:sz w:val="22"/>
          <w:szCs w:val="22"/>
        </w:rPr>
      </w:pPr>
      <w:r w:rsidRPr="00D81EE4">
        <w:rPr>
          <w:rFonts w:cs="Arial"/>
          <w:sz w:val="22"/>
          <w:szCs w:val="22"/>
        </w:rPr>
        <w:t xml:space="preserve">In Australia, following its ratification of the CRPD, the education of students with disability in segregated settings has in fact increased relative to education in </w:t>
      </w:r>
      <w:r w:rsidR="000A0FE4" w:rsidRPr="00D81EE4">
        <w:rPr>
          <w:rFonts w:cs="Arial"/>
          <w:sz w:val="22"/>
          <w:szCs w:val="22"/>
        </w:rPr>
        <w:t>general education</w:t>
      </w:r>
      <w:r w:rsidRPr="00D81EE4">
        <w:rPr>
          <w:rFonts w:cs="Arial"/>
          <w:sz w:val="22"/>
          <w:szCs w:val="22"/>
        </w:rPr>
        <w:t xml:space="preserve"> classroom settings</w:t>
      </w:r>
      <w:r w:rsidR="000A0FE4" w:rsidRPr="00D81EE4">
        <w:rPr>
          <w:rStyle w:val="FootnoteReference"/>
          <w:rFonts w:cs="Arial"/>
          <w:szCs w:val="22"/>
        </w:rPr>
        <w:footnoteReference w:id="1"/>
      </w:r>
      <w:r w:rsidRPr="00D81EE4">
        <w:rPr>
          <w:rFonts w:cs="Arial"/>
          <w:sz w:val="22"/>
          <w:szCs w:val="22"/>
        </w:rPr>
        <w:t xml:space="preserve"> and segregated settings and segregated education practices are being rebranded as "inclusive education centres" and "inclusive education practices"</w:t>
      </w:r>
      <w:r w:rsidR="000A0FE4" w:rsidRPr="00D81EE4">
        <w:rPr>
          <w:rStyle w:val="FootnoteReference"/>
          <w:rFonts w:cs="Arial"/>
          <w:szCs w:val="22"/>
        </w:rPr>
        <w:footnoteReference w:id="2"/>
      </w:r>
      <w:r w:rsidRPr="00D81EE4">
        <w:rPr>
          <w:rFonts w:cs="Arial"/>
          <w:sz w:val="22"/>
          <w:szCs w:val="22"/>
        </w:rPr>
        <w:t xml:space="preserve">.  </w:t>
      </w:r>
    </w:p>
    <w:p w14:paraId="09DFA635" w14:textId="77777777" w:rsidR="00B532EE" w:rsidRPr="00D81EE4" w:rsidRDefault="00B532EE" w:rsidP="00CF7AF8">
      <w:pPr>
        <w:pStyle w:val="ListParagraph"/>
        <w:spacing w:before="0" w:after="0"/>
        <w:ind w:left="1211"/>
        <w:jc w:val="left"/>
        <w:rPr>
          <w:rFonts w:cs="Arial"/>
          <w:sz w:val="22"/>
          <w:szCs w:val="22"/>
        </w:rPr>
      </w:pPr>
    </w:p>
    <w:p w14:paraId="369ACE13" w14:textId="6C7F4CDD" w:rsidR="00864436" w:rsidRPr="00D81EE4" w:rsidRDefault="00CF7AF8" w:rsidP="00CF7AF8">
      <w:pPr>
        <w:pStyle w:val="ListParagraph"/>
        <w:spacing w:before="0" w:after="0"/>
        <w:ind w:left="1211"/>
        <w:jc w:val="left"/>
        <w:rPr>
          <w:rFonts w:cs="Arial"/>
          <w:sz w:val="22"/>
          <w:szCs w:val="22"/>
        </w:rPr>
      </w:pPr>
      <w:r w:rsidRPr="00D81EE4">
        <w:rPr>
          <w:rFonts w:cs="Arial"/>
          <w:sz w:val="22"/>
          <w:szCs w:val="22"/>
        </w:rPr>
        <w:t xml:space="preserve">These developments are not specific to Australia.  Given that the research evidence </w:t>
      </w:r>
      <w:r w:rsidR="000A0FE4" w:rsidRPr="00D81EE4">
        <w:rPr>
          <w:rFonts w:cs="Arial"/>
          <w:sz w:val="22"/>
          <w:szCs w:val="22"/>
        </w:rPr>
        <w:t>has demonstrated for many decades</w:t>
      </w:r>
      <w:r w:rsidRPr="00D81EE4">
        <w:rPr>
          <w:rFonts w:cs="Arial"/>
          <w:sz w:val="22"/>
          <w:szCs w:val="22"/>
        </w:rPr>
        <w:t xml:space="preserve"> that s</w:t>
      </w:r>
      <w:r w:rsidR="00864436" w:rsidRPr="00D81EE4">
        <w:rPr>
          <w:rFonts w:cs="Arial"/>
          <w:sz w:val="22"/>
          <w:szCs w:val="22"/>
        </w:rPr>
        <w:t>egregation in education and restrictive practices mark</w:t>
      </w:r>
      <w:r w:rsidRPr="00D81EE4">
        <w:rPr>
          <w:rFonts w:cs="Arial"/>
          <w:sz w:val="22"/>
          <w:szCs w:val="22"/>
        </w:rPr>
        <w:t xml:space="preserve"> the commencement of the low-expectations</w:t>
      </w:r>
      <w:r w:rsidR="00864436" w:rsidRPr="00D81EE4">
        <w:rPr>
          <w:rFonts w:cs="Arial"/>
          <w:sz w:val="22"/>
          <w:szCs w:val="22"/>
        </w:rPr>
        <w:t xml:space="preserve"> pathway to social and economic exclusion, discrimination and </w:t>
      </w:r>
      <w:r w:rsidRPr="00D81EE4">
        <w:rPr>
          <w:rFonts w:cs="Arial"/>
          <w:sz w:val="22"/>
          <w:szCs w:val="22"/>
        </w:rPr>
        <w:t xml:space="preserve">the </w:t>
      </w:r>
      <w:r w:rsidR="00864436" w:rsidRPr="00D81EE4">
        <w:rPr>
          <w:rFonts w:cs="Arial"/>
          <w:sz w:val="22"/>
          <w:szCs w:val="22"/>
        </w:rPr>
        <w:t xml:space="preserve">denial of equality of </w:t>
      </w:r>
      <w:r w:rsidRPr="00D81EE4">
        <w:rPr>
          <w:rFonts w:cs="Arial"/>
          <w:sz w:val="22"/>
          <w:szCs w:val="22"/>
        </w:rPr>
        <w:t>life-long opportunities</w:t>
      </w:r>
      <w:r w:rsidR="000A0FE4" w:rsidRPr="00D81EE4">
        <w:rPr>
          <w:rStyle w:val="FootnoteReference"/>
          <w:rFonts w:cs="Arial"/>
          <w:szCs w:val="22"/>
        </w:rPr>
        <w:footnoteReference w:id="3"/>
      </w:r>
      <w:r w:rsidRPr="00D81EE4">
        <w:rPr>
          <w:rFonts w:cs="Arial"/>
          <w:sz w:val="22"/>
          <w:szCs w:val="22"/>
        </w:rPr>
        <w:t>, the interaction b</w:t>
      </w:r>
      <w:r w:rsidR="00B532EE" w:rsidRPr="00D81EE4">
        <w:rPr>
          <w:rFonts w:cs="Arial"/>
          <w:sz w:val="22"/>
          <w:szCs w:val="22"/>
        </w:rPr>
        <w:t>etween Article 5 and segregating</w:t>
      </w:r>
      <w:r w:rsidRPr="00D81EE4">
        <w:rPr>
          <w:rFonts w:cs="Arial"/>
          <w:sz w:val="22"/>
          <w:szCs w:val="22"/>
        </w:rPr>
        <w:t xml:space="preserve"> and exclusionary education practices warrant</w:t>
      </w:r>
      <w:r w:rsidR="00864436" w:rsidRPr="00D81EE4">
        <w:rPr>
          <w:rFonts w:cs="Arial"/>
          <w:sz w:val="22"/>
          <w:szCs w:val="22"/>
        </w:rPr>
        <w:t xml:space="preserve"> specific and more</w:t>
      </w:r>
      <w:r w:rsidR="00B532EE" w:rsidRPr="00D81EE4">
        <w:rPr>
          <w:rFonts w:cs="Arial"/>
          <w:sz w:val="22"/>
          <w:szCs w:val="22"/>
        </w:rPr>
        <w:t xml:space="preserve"> comprehensive treatment in this </w:t>
      </w:r>
      <w:r w:rsidR="00864436" w:rsidRPr="00D81EE4">
        <w:rPr>
          <w:rFonts w:cs="Arial"/>
          <w:sz w:val="22"/>
          <w:szCs w:val="22"/>
        </w:rPr>
        <w:t>General Comment.</w:t>
      </w:r>
      <w:r w:rsidRPr="00D81EE4">
        <w:rPr>
          <w:rFonts w:cs="Arial"/>
          <w:sz w:val="22"/>
          <w:szCs w:val="22"/>
        </w:rPr>
        <w:t xml:space="preserve">  </w:t>
      </w:r>
    </w:p>
    <w:p w14:paraId="1FED9291" w14:textId="77777777" w:rsidR="00CF7AF8" w:rsidRDefault="00CF7AF8" w:rsidP="000A0FE4">
      <w:pPr>
        <w:spacing w:before="0" w:after="0"/>
        <w:jc w:val="left"/>
        <w:rPr>
          <w:rFonts w:cs="Arial"/>
          <w:sz w:val="22"/>
          <w:szCs w:val="22"/>
        </w:rPr>
      </w:pPr>
    </w:p>
    <w:p w14:paraId="2CD3D51A" w14:textId="77777777" w:rsidR="00A00D7D" w:rsidRPr="00D81EE4" w:rsidRDefault="00A00D7D" w:rsidP="000A0FE4">
      <w:pPr>
        <w:spacing w:before="0" w:after="0"/>
        <w:jc w:val="left"/>
        <w:rPr>
          <w:rFonts w:cs="Arial"/>
          <w:sz w:val="22"/>
          <w:szCs w:val="22"/>
        </w:rPr>
      </w:pPr>
    </w:p>
    <w:p w14:paraId="781C9A04" w14:textId="77777777" w:rsidR="00CF7AF8" w:rsidRPr="00D81EE4" w:rsidRDefault="00CF7AF8" w:rsidP="00CF7AF8">
      <w:pPr>
        <w:pStyle w:val="ListParagraph"/>
        <w:numPr>
          <w:ilvl w:val="0"/>
          <w:numId w:val="28"/>
        </w:numPr>
        <w:spacing w:before="0" w:after="0"/>
        <w:jc w:val="left"/>
        <w:rPr>
          <w:rFonts w:cs="Arial"/>
          <w:b/>
          <w:sz w:val="22"/>
          <w:szCs w:val="22"/>
        </w:rPr>
      </w:pPr>
      <w:r w:rsidRPr="00D81EE4">
        <w:rPr>
          <w:rFonts w:cs="Arial"/>
          <w:b/>
          <w:sz w:val="22"/>
          <w:szCs w:val="22"/>
        </w:rPr>
        <w:lastRenderedPageBreak/>
        <w:t>Domestic Law tests for "Discrimination" are too narrow, limited and focus on formal equality of treatment of individuals, rather than substantive and systemic equality in opportunity</w:t>
      </w:r>
    </w:p>
    <w:p w14:paraId="7C4D8762" w14:textId="77777777" w:rsidR="00CF7AF8" w:rsidRPr="00D81EE4" w:rsidRDefault="00CF7AF8" w:rsidP="00CF7AF8">
      <w:pPr>
        <w:spacing w:before="0" w:after="0"/>
        <w:ind w:left="1211"/>
        <w:jc w:val="left"/>
        <w:rPr>
          <w:rFonts w:cs="Arial"/>
          <w:b/>
          <w:sz w:val="22"/>
          <w:szCs w:val="22"/>
        </w:rPr>
      </w:pPr>
    </w:p>
    <w:p w14:paraId="454FA539" w14:textId="3B59AA03" w:rsidR="00CF7AF8" w:rsidRPr="00D81EE4" w:rsidRDefault="00CF7AF8" w:rsidP="00CF7AF8">
      <w:pPr>
        <w:spacing w:before="0" w:after="0"/>
        <w:ind w:left="1211"/>
        <w:jc w:val="left"/>
        <w:rPr>
          <w:rFonts w:cs="Arial"/>
          <w:sz w:val="22"/>
          <w:szCs w:val="22"/>
        </w:rPr>
      </w:pPr>
      <w:r w:rsidRPr="00D81EE4">
        <w:rPr>
          <w:rFonts w:cs="Arial"/>
          <w:sz w:val="22"/>
          <w:szCs w:val="22"/>
        </w:rPr>
        <w:t xml:space="preserve">Australian federal and State anti-discrimination laws purport to support the equality and non-discrimination of students with disability in education.  However, despite repeated reviews of the Disability Standards for Education 2005 made under the </w:t>
      </w:r>
      <w:r w:rsidRPr="00D81EE4">
        <w:rPr>
          <w:rFonts w:cs="Arial"/>
          <w:i/>
          <w:sz w:val="22"/>
          <w:szCs w:val="22"/>
        </w:rPr>
        <w:t xml:space="preserve">Disability Discrimination Act 1992 </w:t>
      </w:r>
      <w:r w:rsidRPr="00D81EE4">
        <w:rPr>
          <w:rFonts w:cs="Arial"/>
          <w:sz w:val="22"/>
          <w:szCs w:val="22"/>
        </w:rPr>
        <w:t>(Cth), recent research suggests the discrimination of students with disability is pervasive and lacks effective complaint mechanisms and sanctions to be responsive to grievances of individuals, and even less so to systemic issues</w:t>
      </w:r>
      <w:r w:rsidR="000A0FE4" w:rsidRPr="00D81EE4">
        <w:rPr>
          <w:rStyle w:val="FootnoteReference"/>
          <w:rFonts w:cs="Arial"/>
          <w:szCs w:val="22"/>
        </w:rPr>
        <w:footnoteReference w:id="4"/>
      </w:r>
      <w:r w:rsidRPr="00D81EE4">
        <w:rPr>
          <w:rFonts w:cs="Arial"/>
          <w:sz w:val="22"/>
          <w:szCs w:val="22"/>
        </w:rPr>
        <w:t>.</w:t>
      </w:r>
    </w:p>
    <w:p w14:paraId="1B8267D5" w14:textId="77777777" w:rsidR="00CF7AF8" w:rsidRPr="00D81EE4" w:rsidRDefault="00CF7AF8" w:rsidP="00CF7AF8">
      <w:pPr>
        <w:spacing w:before="0" w:after="0"/>
        <w:ind w:left="1211"/>
        <w:jc w:val="left"/>
        <w:rPr>
          <w:rFonts w:cs="Arial"/>
          <w:sz w:val="22"/>
          <w:szCs w:val="22"/>
        </w:rPr>
      </w:pPr>
    </w:p>
    <w:p w14:paraId="74D60DF9" w14:textId="697FE2B7" w:rsidR="00CF7AF8" w:rsidRPr="00D81EE4" w:rsidRDefault="00CF7AF8" w:rsidP="00CF7AF8">
      <w:pPr>
        <w:spacing w:before="0" w:after="0"/>
        <w:ind w:left="1211"/>
        <w:jc w:val="left"/>
        <w:rPr>
          <w:rFonts w:cs="Arial"/>
          <w:sz w:val="22"/>
          <w:szCs w:val="22"/>
        </w:rPr>
      </w:pPr>
      <w:r w:rsidRPr="00D81EE4">
        <w:rPr>
          <w:rFonts w:cs="Arial"/>
          <w:sz w:val="22"/>
          <w:szCs w:val="22"/>
        </w:rPr>
        <w:t xml:space="preserve">All Means All repeats the succinct and accurate description </w:t>
      </w:r>
      <w:r w:rsidR="00A00D7D">
        <w:rPr>
          <w:rFonts w:cs="Arial"/>
          <w:sz w:val="22"/>
          <w:szCs w:val="22"/>
        </w:rPr>
        <w:t>by</w:t>
      </w:r>
      <w:r w:rsidRPr="00D81EE4">
        <w:rPr>
          <w:rFonts w:cs="Arial"/>
          <w:sz w:val="22"/>
          <w:szCs w:val="22"/>
        </w:rPr>
        <w:t xml:space="preserve"> Queensland Advocacy Incorporated [para 12] of the key failings of Australian anti-discrimination laws that purport to further, amongst others, the provisions of Articles 5 and 24 of the CRPD:</w:t>
      </w:r>
    </w:p>
    <w:p w14:paraId="52E3011E" w14:textId="77777777" w:rsidR="00CF7AF8" w:rsidRPr="00D81EE4" w:rsidRDefault="00CF7AF8" w:rsidP="00CF7AF8">
      <w:pPr>
        <w:spacing w:before="0" w:after="0"/>
        <w:ind w:left="1211"/>
        <w:jc w:val="left"/>
        <w:rPr>
          <w:rFonts w:cs="Arial"/>
          <w:sz w:val="22"/>
          <w:szCs w:val="22"/>
        </w:rPr>
      </w:pPr>
    </w:p>
    <w:p w14:paraId="69AEB8E2" w14:textId="77777777" w:rsidR="00CF7AF8" w:rsidRPr="00D81EE4" w:rsidRDefault="00CF7AF8" w:rsidP="00CF7AF8">
      <w:pPr>
        <w:spacing w:before="0" w:after="0"/>
        <w:ind w:left="2553" w:hanging="851"/>
        <w:jc w:val="left"/>
        <w:rPr>
          <w:rFonts w:cs="Arial"/>
          <w:sz w:val="22"/>
          <w:szCs w:val="22"/>
        </w:rPr>
      </w:pPr>
      <w:r w:rsidRPr="00D81EE4">
        <w:rPr>
          <w:rFonts w:cs="Arial"/>
          <w:sz w:val="22"/>
          <w:szCs w:val="22"/>
        </w:rPr>
        <w:t>"a)</w:t>
      </w:r>
      <w:r w:rsidRPr="00D81EE4">
        <w:rPr>
          <w:rFonts w:cs="Arial"/>
          <w:sz w:val="22"/>
          <w:szCs w:val="22"/>
        </w:rPr>
        <w:tab/>
        <w:t>A predominantly individualistic approach to a systemic problem;</w:t>
      </w:r>
    </w:p>
    <w:p w14:paraId="6EF79FE6" w14:textId="77777777" w:rsidR="00CF7AF8" w:rsidRPr="00D81EE4" w:rsidRDefault="00CF7AF8" w:rsidP="00CF7AF8">
      <w:pPr>
        <w:spacing w:before="0" w:after="0"/>
        <w:ind w:left="2553" w:hanging="851"/>
        <w:jc w:val="left"/>
        <w:rPr>
          <w:rFonts w:cs="Arial"/>
          <w:sz w:val="22"/>
          <w:szCs w:val="22"/>
        </w:rPr>
      </w:pPr>
    </w:p>
    <w:p w14:paraId="2CBE26AD" w14:textId="77777777" w:rsidR="00CF7AF8" w:rsidRPr="00D81EE4" w:rsidRDefault="00CF7AF8" w:rsidP="00CF7AF8">
      <w:pPr>
        <w:spacing w:before="0" w:after="0"/>
        <w:ind w:left="2553" w:hanging="851"/>
        <w:jc w:val="left"/>
        <w:rPr>
          <w:rFonts w:cs="Arial"/>
          <w:sz w:val="22"/>
          <w:szCs w:val="22"/>
        </w:rPr>
      </w:pPr>
      <w:r w:rsidRPr="00D81EE4">
        <w:rPr>
          <w:rFonts w:cs="Arial"/>
          <w:sz w:val="22"/>
          <w:szCs w:val="22"/>
        </w:rPr>
        <w:t>b)</w:t>
      </w:r>
      <w:r w:rsidRPr="00D81EE4">
        <w:rPr>
          <w:rFonts w:cs="Arial"/>
          <w:sz w:val="22"/>
          <w:szCs w:val="22"/>
        </w:rPr>
        <w:tab/>
        <w:t>an inappropriate test (the comparator test) is used to identify discriminatory action;</w:t>
      </w:r>
    </w:p>
    <w:p w14:paraId="15DE98E3" w14:textId="77777777" w:rsidR="00CF7AF8" w:rsidRPr="00D81EE4" w:rsidRDefault="00CF7AF8" w:rsidP="00CF7AF8">
      <w:pPr>
        <w:spacing w:before="0" w:after="0"/>
        <w:ind w:left="2553" w:hanging="851"/>
        <w:jc w:val="left"/>
        <w:rPr>
          <w:rFonts w:cs="Arial"/>
          <w:sz w:val="22"/>
          <w:szCs w:val="22"/>
        </w:rPr>
      </w:pPr>
    </w:p>
    <w:p w14:paraId="179BEE5F" w14:textId="77777777" w:rsidR="00CF7AF8" w:rsidRPr="00D81EE4" w:rsidRDefault="00CF7AF8" w:rsidP="00CF7AF8">
      <w:pPr>
        <w:spacing w:before="0" w:after="0"/>
        <w:ind w:left="2553" w:hanging="851"/>
        <w:jc w:val="left"/>
        <w:rPr>
          <w:rFonts w:cs="Arial"/>
          <w:sz w:val="22"/>
          <w:szCs w:val="22"/>
        </w:rPr>
      </w:pPr>
      <w:r w:rsidRPr="00D81EE4">
        <w:rPr>
          <w:rFonts w:cs="Arial"/>
          <w:sz w:val="22"/>
          <w:szCs w:val="22"/>
        </w:rPr>
        <w:t>c)</w:t>
      </w:r>
      <w:r w:rsidRPr="00D81EE4">
        <w:rPr>
          <w:rFonts w:cs="Arial"/>
          <w:sz w:val="22"/>
          <w:szCs w:val="22"/>
        </w:rPr>
        <w:tab/>
        <w:t>the model aspires to achieve formal, rather than substantive, equality;</w:t>
      </w:r>
    </w:p>
    <w:p w14:paraId="541464F0" w14:textId="77777777" w:rsidR="00CF7AF8" w:rsidRPr="00D81EE4" w:rsidRDefault="00CF7AF8" w:rsidP="00CF7AF8">
      <w:pPr>
        <w:spacing w:before="0" w:after="0"/>
        <w:ind w:left="2553" w:hanging="851"/>
        <w:jc w:val="left"/>
        <w:rPr>
          <w:rFonts w:cs="Arial"/>
          <w:sz w:val="22"/>
          <w:szCs w:val="22"/>
        </w:rPr>
      </w:pPr>
    </w:p>
    <w:p w14:paraId="2D712E65" w14:textId="77777777" w:rsidR="00CF7AF8" w:rsidRPr="00D81EE4" w:rsidRDefault="00CF7AF8" w:rsidP="00CF7AF8">
      <w:pPr>
        <w:spacing w:before="0" w:after="0"/>
        <w:ind w:left="2553" w:hanging="851"/>
        <w:jc w:val="left"/>
        <w:rPr>
          <w:rFonts w:cs="Arial"/>
          <w:sz w:val="22"/>
          <w:szCs w:val="22"/>
        </w:rPr>
      </w:pPr>
      <w:r w:rsidRPr="00D81EE4">
        <w:rPr>
          <w:rFonts w:cs="Arial"/>
          <w:sz w:val="22"/>
          <w:szCs w:val="22"/>
        </w:rPr>
        <w:t>d)</w:t>
      </w:r>
      <w:r w:rsidRPr="00D81EE4">
        <w:rPr>
          <w:rFonts w:cs="Arial"/>
          <w:sz w:val="22"/>
          <w:szCs w:val="22"/>
        </w:rPr>
        <w:tab/>
        <w:t>there is a focus on negative, rather than positive or affirmative, action;</w:t>
      </w:r>
    </w:p>
    <w:p w14:paraId="6A0D9F0C" w14:textId="77777777" w:rsidR="00CF7AF8" w:rsidRPr="00D81EE4" w:rsidRDefault="00CF7AF8" w:rsidP="00CF7AF8">
      <w:pPr>
        <w:spacing w:before="0" w:after="0"/>
        <w:ind w:left="2553" w:hanging="851"/>
        <w:jc w:val="left"/>
        <w:rPr>
          <w:rFonts w:cs="Arial"/>
          <w:sz w:val="22"/>
          <w:szCs w:val="22"/>
        </w:rPr>
      </w:pPr>
    </w:p>
    <w:p w14:paraId="279B7EB4" w14:textId="77777777" w:rsidR="00CF7AF8" w:rsidRPr="00D81EE4" w:rsidRDefault="00CF7AF8" w:rsidP="00CF7AF8">
      <w:pPr>
        <w:spacing w:before="0" w:after="0"/>
        <w:ind w:left="2553" w:hanging="851"/>
        <w:jc w:val="left"/>
        <w:rPr>
          <w:rFonts w:cs="Arial"/>
          <w:sz w:val="22"/>
          <w:szCs w:val="22"/>
        </w:rPr>
      </w:pPr>
      <w:r w:rsidRPr="00D81EE4">
        <w:rPr>
          <w:rFonts w:cs="Arial"/>
          <w:sz w:val="22"/>
          <w:szCs w:val="22"/>
        </w:rPr>
        <w:t>e)</w:t>
      </w:r>
      <w:r w:rsidRPr="00D81EE4">
        <w:rPr>
          <w:rFonts w:cs="Arial"/>
          <w:sz w:val="22"/>
          <w:szCs w:val="22"/>
        </w:rPr>
        <w:tab/>
        <w:t>the lack of effective sanctions or remedies; and</w:t>
      </w:r>
    </w:p>
    <w:p w14:paraId="13589616" w14:textId="77777777" w:rsidR="00CF7AF8" w:rsidRPr="00D81EE4" w:rsidRDefault="00CF7AF8" w:rsidP="00CF7AF8">
      <w:pPr>
        <w:spacing w:before="0" w:after="0"/>
        <w:ind w:left="2553" w:hanging="851"/>
        <w:jc w:val="left"/>
        <w:rPr>
          <w:rFonts w:cs="Arial"/>
          <w:sz w:val="22"/>
          <w:szCs w:val="22"/>
        </w:rPr>
      </w:pPr>
    </w:p>
    <w:p w14:paraId="48828389" w14:textId="77777777" w:rsidR="00CF7AF8" w:rsidRPr="00D81EE4" w:rsidRDefault="00CF7AF8" w:rsidP="00CF7AF8">
      <w:pPr>
        <w:spacing w:before="0" w:after="0"/>
        <w:ind w:left="2553" w:hanging="851"/>
        <w:jc w:val="left"/>
        <w:rPr>
          <w:rFonts w:cs="Arial"/>
          <w:sz w:val="22"/>
          <w:szCs w:val="22"/>
        </w:rPr>
      </w:pPr>
      <w:r w:rsidRPr="00D81EE4">
        <w:rPr>
          <w:rFonts w:cs="Arial"/>
          <w:sz w:val="22"/>
          <w:szCs w:val="22"/>
        </w:rPr>
        <w:t>f)</w:t>
      </w:r>
      <w:r w:rsidRPr="00D81EE4">
        <w:rPr>
          <w:rFonts w:cs="Arial"/>
          <w:sz w:val="22"/>
          <w:szCs w:val="22"/>
        </w:rPr>
        <w:tab/>
        <w:t>the exceptions, exclusions and exemptions narrow the scope of the laws."</w:t>
      </w:r>
    </w:p>
    <w:p w14:paraId="51FD0BCA" w14:textId="77777777" w:rsidR="00CF7AF8" w:rsidRPr="00D81EE4" w:rsidRDefault="00CF7AF8" w:rsidP="00CF7AF8">
      <w:pPr>
        <w:spacing w:before="0" w:after="0"/>
        <w:ind w:left="851"/>
        <w:jc w:val="left"/>
        <w:rPr>
          <w:rFonts w:cs="Arial"/>
          <w:b/>
        </w:rPr>
      </w:pPr>
    </w:p>
    <w:p w14:paraId="73BA293C" w14:textId="77777777" w:rsidR="00CF7AF8" w:rsidRDefault="00CF7AF8" w:rsidP="00B532EE">
      <w:pPr>
        <w:spacing w:before="0" w:after="0"/>
        <w:ind w:left="1211"/>
        <w:jc w:val="left"/>
        <w:rPr>
          <w:rFonts w:cs="Arial"/>
          <w:sz w:val="22"/>
          <w:szCs w:val="22"/>
        </w:rPr>
      </w:pPr>
      <w:r w:rsidRPr="00D81EE4">
        <w:rPr>
          <w:rFonts w:cs="Arial"/>
          <w:sz w:val="22"/>
          <w:szCs w:val="22"/>
        </w:rPr>
        <w:t>All Means All also repeats the submission of Children and Young People with Disability Australia [para13] for the Draft General Comment to emphasise the need for the focus to be on the substantive "effect" of domestic laws, policies and practices on discrimination against and equality of opportunity of people with disability, including students.</w:t>
      </w:r>
    </w:p>
    <w:p w14:paraId="4ABFEFB1" w14:textId="77777777" w:rsidR="001A3E69" w:rsidRPr="00D81EE4" w:rsidRDefault="001A3E69" w:rsidP="00B532EE">
      <w:pPr>
        <w:spacing w:before="0" w:after="0"/>
        <w:ind w:left="1211"/>
        <w:jc w:val="left"/>
        <w:rPr>
          <w:rFonts w:cs="Arial"/>
          <w:sz w:val="22"/>
          <w:szCs w:val="22"/>
        </w:rPr>
      </w:pPr>
    </w:p>
    <w:p w14:paraId="050B57B9" w14:textId="6A297021" w:rsidR="000A0FE4" w:rsidRPr="00D81EE4" w:rsidRDefault="000A0FE4" w:rsidP="000A0FE4">
      <w:pPr>
        <w:spacing w:before="0" w:after="0"/>
        <w:ind w:left="1211"/>
        <w:jc w:val="left"/>
        <w:rPr>
          <w:rFonts w:cs="Arial"/>
          <w:sz w:val="22"/>
          <w:szCs w:val="22"/>
        </w:rPr>
      </w:pPr>
      <w:r w:rsidRPr="00D81EE4">
        <w:rPr>
          <w:rFonts w:cs="Arial"/>
          <w:sz w:val="22"/>
          <w:szCs w:val="22"/>
        </w:rPr>
        <w:t xml:space="preserve">It is critical to </w:t>
      </w:r>
      <w:r w:rsidRPr="00D81EE4">
        <w:rPr>
          <w:rFonts w:cs="Arial"/>
          <w:sz w:val="22"/>
          <w:szCs w:val="22"/>
        </w:rPr>
        <w:t xml:space="preserve">recognise the vulnerabilities of </w:t>
      </w:r>
      <w:r w:rsidRPr="00D81EE4">
        <w:rPr>
          <w:rFonts w:cs="Arial"/>
          <w:sz w:val="22"/>
          <w:szCs w:val="22"/>
        </w:rPr>
        <w:t>students with disability who suffer discrimination</w:t>
      </w:r>
      <w:r w:rsidR="001A3E69">
        <w:rPr>
          <w:rFonts w:cs="Arial"/>
          <w:sz w:val="22"/>
          <w:szCs w:val="22"/>
        </w:rPr>
        <w:t>,</w:t>
      </w:r>
      <w:r w:rsidRPr="00D81EE4">
        <w:rPr>
          <w:rFonts w:cs="Arial"/>
          <w:sz w:val="22"/>
          <w:szCs w:val="22"/>
        </w:rPr>
        <w:t xml:space="preserve"> and their families</w:t>
      </w:r>
      <w:r w:rsidRPr="00D81EE4">
        <w:rPr>
          <w:rFonts w:cs="Arial"/>
          <w:sz w:val="22"/>
          <w:szCs w:val="22"/>
        </w:rPr>
        <w:t xml:space="preserve">. </w:t>
      </w:r>
      <w:r w:rsidRPr="00D81EE4">
        <w:rPr>
          <w:rFonts w:cs="Arial"/>
          <w:sz w:val="22"/>
          <w:szCs w:val="22"/>
        </w:rPr>
        <w:t>These vulnerabilities</w:t>
      </w:r>
      <w:r w:rsidRPr="00D81EE4">
        <w:rPr>
          <w:rFonts w:cs="Arial"/>
          <w:sz w:val="22"/>
          <w:szCs w:val="22"/>
        </w:rPr>
        <w:t xml:space="preserve"> can mean that it is more difficult for </w:t>
      </w:r>
      <w:r w:rsidRPr="00D81EE4">
        <w:rPr>
          <w:rFonts w:cs="Arial"/>
          <w:sz w:val="22"/>
          <w:szCs w:val="22"/>
        </w:rPr>
        <w:t>them to assert</w:t>
      </w:r>
      <w:r w:rsidRPr="00D81EE4">
        <w:rPr>
          <w:rFonts w:cs="Arial"/>
          <w:sz w:val="22"/>
          <w:szCs w:val="22"/>
        </w:rPr>
        <w:t xml:space="preserve"> rights and complain about discrimination</w:t>
      </w:r>
      <w:r w:rsidR="00821257" w:rsidRPr="00D81EE4">
        <w:rPr>
          <w:rFonts w:cs="Arial"/>
          <w:sz w:val="22"/>
          <w:szCs w:val="22"/>
        </w:rPr>
        <w:t xml:space="preserve"> under the current system</w:t>
      </w:r>
      <w:r w:rsidRPr="00D81EE4">
        <w:rPr>
          <w:rFonts w:cs="Arial"/>
          <w:sz w:val="22"/>
          <w:szCs w:val="22"/>
        </w:rPr>
        <w:t xml:space="preserve">. </w:t>
      </w:r>
      <w:r w:rsidRPr="00D81EE4">
        <w:rPr>
          <w:rFonts w:cs="Arial"/>
          <w:sz w:val="22"/>
          <w:szCs w:val="22"/>
        </w:rPr>
        <w:t>In particular, many parents are reluctant</w:t>
      </w:r>
      <w:r w:rsidRPr="00D81EE4">
        <w:rPr>
          <w:rFonts w:cs="Arial"/>
          <w:sz w:val="22"/>
          <w:szCs w:val="22"/>
        </w:rPr>
        <w:t xml:space="preserve"> to bring complaints if they want to maintain a rela</w:t>
      </w:r>
      <w:r w:rsidRPr="00D81EE4">
        <w:rPr>
          <w:rFonts w:cs="Arial"/>
          <w:sz w:val="22"/>
          <w:szCs w:val="22"/>
        </w:rPr>
        <w:t>tionship with the discriminator, whether a school, school Principals or educators</w:t>
      </w:r>
      <w:r w:rsidRPr="00D81EE4">
        <w:rPr>
          <w:rFonts w:cs="Arial"/>
          <w:sz w:val="22"/>
          <w:szCs w:val="22"/>
        </w:rPr>
        <w:t xml:space="preserve">. </w:t>
      </w:r>
      <w:r w:rsidRPr="00D81EE4">
        <w:rPr>
          <w:rFonts w:cs="Arial"/>
          <w:sz w:val="22"/>
          <w:szCs w:val="22"/>
        </w:rPr>
        <w:t>Further, the costs and time periods involved in achieving redress through legal means are significant roadblocks.  Too often, parents are not made aware of their children’s educational rights and are not in a position to identify that discrimination has occurred in the first place</w:t>
      </w:r>
      <w:r w:rsidR="00821257" w:rsidRPr="00D81EE4">
        <w:rPr>
          <w:rFonts w:cs="Arial"/>
          <w:sz w:val="22"/>
          <w:szCs w:val="22"/>
        </w:rPr>
        <w:t xml:space="preserve">. </w:t>
      </w:r>
    </w:p>
    <w:p w14:paraId="3995B880" w14:textId="77777777" w:rsidR="000A0FE4" w:rsidRPr="00D81EE4" w:rsidRDefault="000A0FE4" w:rsidP="000A0FE4">
      <w:pPr>
        <w:spacing w:before="0" w:after="0"/>
        <w:ind w:left="1211"/>
        <w:jc w:val="left"/>
        <w:rPr>
          <w:rFonts w:cs="Arial"/>
          <w:sz w:val="22"/>
          <w:szCs w:val="22"/>
        </w:rPr>
      </w:pPr>
    </w:p>
    <w:p w14:paraId="390B6D01" w14:textId="52A3D61D" w:rsidR="000A0FE4" w:rsidRPr="00D81EE4" w:rsidRDefault="000A0FE4" w:rsidP="000A0FE4">
      <w:pPr>
        <w:spacing w:before="0" w:after="0"/>
        <w:ind w:left="1211"/>
        <w:jc w:val="left"/>
        <w:rPr>
          <w:rFonts w:cs="Arial"/>
          <w:sz w:val="22"/>
          <w:szCs w:val="22"/>
        </w:rPr>
      </w:pPr>
      <w:r w:rsidRPr="00D81EE4">
        <w:rPr>
          <w:rFonts w:cs="Arial"/>
          <w:sz w:val="22"/>
          <w:szCs w:val="22"/>
        </w:rPr>
        <w:t xml:space="preserve">Appropriate mechanisms that provide for </w:t>
      </w:r>
      <w:r w:rsidRPr="00D81EE4">
        <w:rPr>
          <w:rFonts w:cs="Arial"/>
          <w:sz w:val="22"/>
          <w:szCs w:val="22"/>
        </w:rPr>
        <w:t xml:space="preserve">independent, effective, accessible, transparent, safe and enforceable complaints mechanisms </w:t>
      </w:r>
      <w:r w:rsidRPr="00D81EE4">
        <w:rPr>
          <w:rFonts w:cs="Arial"/>
          <w:sz w:val="22"/>
          <w:szCs w:val="22"/>
        </w:rPr>
        <w:lastRenderedPageBreak/>
        <w:t>and legal re</w:t>
      </w:r>
      <w:bookmarkStart w:id="6" w:name="_GoBack"/>
      <w:bookmarkEnd w:id="6"/>
      <w:r w:rsidRPr="00D81EE4">
        <w:rPr>
          <w:rFonts w:cs="Arial"/>
          <w:sz w:val="22"/>
          <w:szCs w:val="22"/>
        </w:rPr>
        <w:t xml:space="preserve">medies </w:t>
      </w:r>
      <w:r w:rsidRPr="00D81EE4">
        <w:rPr>
          <w:rFonts w:cs="Arial"/>
          <w:sz w:val="22"/>
          <w:szCs w:val="22"/>
        </w:rPr>
        <w:t xml:space="preserve">in respect of discrimination </w:t>
      </w:r>
      <w:r w:rsidR="001A3E69">
        <w:rPr>
          <w:rFonts w:cs="Arial"/>
          <w:sz w:val="22"/>
          <w:szCs w:val="22"/>
        </w:rPr>
        <w:t xml:space="preserve">in the provision of education to students with disability </w:t>
      </w:r>
      <w:r w:rsidRPr="00D81EE4">
        <w:rPr>
          <w:rFonts w:cs="Arial"/>
          <w:sz w:val="22"/>
          <w:szCs w:val="22"/>
        </w:rPr>
        <w:t>must be made a priority for reform</w:t>
      </w:r>
      <w:r w:rsidR="00821257" w:rsidRPr="00D81EE4">
        <w:rPr>
          <w:rFonts w:cs="Arial"/>
          <w:sz w:val="22"/>
          <w:szCs w:val="22"/>
        </w:rPr>
        <w:t xml:space="preserve">. </w:t>
      </w:r>
    </w:p>
    <w:p w14:paraId="7B547C6F" w14:textId="77777777" w:rsidR="000A0FE4" w:rsidRPr="00D81EE4" w:rsidRDefault="000A0FE4" w:rsidP="000A0FE4">
      <w:pPr>
        <w:spacing w:before="0" w:after="0"/>
        <w:jc w:val="left"/>
        <w:rPr>
          <w:rFonts w:cs="Arial"/>
          <w:sz w:val="22"/>
          <w:szCs w:val="22"/>
        </w:rPr>
      </w:pPr>
    </w:p>
    <w:p w14:paraId="7336B27F" w14:textId="7E3270DA" w:rsidR="000A0FE4" w:rsidRPr="00D81EE4" w:rsidRDefault="000A0FE4" w:rsidP="00821257">
      <w:pPr>
        <w:spacing w:before="0" w:after="0"/>
        <w:ind w:left="1211"/>
        <w:jc w:val="left"/>
        <w:rPr>
          <w:rFonts w:cs="Arial"/>
          <w:sz w:val="22"/>
          <w:szCs w:val="22"/>
        </w:rPr>
      </w:pPr>
      <w:r w:rsidRPr="00D81EE4">
        <w:rPr>
          <w:rFonts w:cs="Arial"/>
          <w:sz w:val="22"/>
          <w:szCs w:val="22"/>
        </w:rPr>
        <w:t xml:space="preserve">Further, advocacy </w:t>
      </w:r>
      <w:r w:rsidRPr="00D81EE4">
        <w:rPr>
          <w:rFonts w:cs="Arial"/>
          <w:sz w:val="22"/>
          <w:szCs w:val="22"/>
        </w:rPr>
        <w:t>organisations should be provided with the ability to bring complai</w:t>
      </w:r>
      <w:r w:rsidRPr="00D81EE4">
        <w:rPr>
          <w:rFonts w:cs="Arial"/>
          <w:sz w:val="22"/>
          <w:szCs w:val="22"/>
        </w:rPr>
        <w:t xml:space="preserve">nts of systemic discrimination, to </w:t>
      </w:r>
      <w:r w:rsidRPr="00D81EE4">
        <w:rPr>
          <w:rFonts w:cs="Arial"/>
          <w:sz w:val="22"/>
          <w:szCs w:val="22"/>
        </w:rPr>
        <w:t xml:space="preserve">remove the burden from individuals and </w:t>
      </w:r>
      <w:r w:rsidRPr="00D81EE4">
        <w:rPr>
          <w:rFonts w:cs="Arial"/>
          <w:sz w:val="22"/>
          <w:szCs w:val="22"/>
        </w:rPr>
        <w:t>address</w:t>
      </w:r>
      <w:r w:rsidRPr="00D81EE4">
        <w:rPr>
          <w:rFonts w:cs="Arial"/>
          <w:sz w:val="22"/>
          <w:szCs w:val="22"/>
        </w:rPr>
        <w:t xml:space="preserve"> systemic and repeat incidents of discrimination.</w:t>
      </w:r>
    </w:p>
    <w:p w14:paraId="47CCCF5E" w14:textId="77777777" w:rsidR="00CF7AF8" w:rsidRPr="00D81EE4" w:rsidRDefault="00CF7AF8" w:rsidP="00CF7AF8">
      <w:pPr>
        <w:spacing w:before="0" w:after="0"/>
        <w:jc w:val="left"/>
        <w:rPr>
          <w:rFonts w:cs="Arial"/>
          <w:b/>
          <w:sz w:val="22"/>
          <w:szCs w:val="22"/>
        </w:rPr>
      </w:pPr>
    </w:p>
    <w:p w14:paraId="173C2AA2" w14:textId="56008808" w:rsidR="00CF7AF8" w:rsidRPr="00D81EE4" w:rsidRDefault="00CF7AF8" w:rsidP="00CF7AF8">
      <w:pPr>
        <w:pStyle w:val="ListParagraph"/>
        <w:numPr>
          <w:ilvl w:val="0"/>
          <w:numId w:val="28"/>
        </w:numPr>
        <w:spacing w:before="0" w:after="0"/>
        <w:jc w:val="left"/>
        <w:rPr>
          <w:rFonts w:cs="Arial"/>
          <w:b/>
          <w:sz w:val="22"/>
          <w:szCs w:val="22"/>
        </w:rPr>
      </w:pPr>
      <w:r w:rsidRPr="00D81EE4">
        <w:rPr>
          <w:rFonts w:cs="Arial"/>
          <w:b/>
          <w:sz w:val="22"/>
          <w:szCs w:val="22"/>
        </w:rPr>
        <w:t>The Draft General Comment must strongly emphasise the relevance of the framing of broader governmental and health policy and the media's portrayal of people with disability to the entren</w:t>
      </w:r>
      <w:r w:rsidR="00821257" w:rsidRPr="00D81EE4">
        <w:rPr>
          <w:rFonts w:cs="Arial"/>
          <w:b/>
          <w:sz w:val="22"/>
          <w:szCs w:val="22"/>
        </w:rPr>
        <w:t xml:space="preserve">chment of cultural attitudinal </w:t>
      </w:r>
      <w:r w:rsidRPr="00D81EE4">
        <w:rPr>
          <w:rFonts w:cs="Arial"/>
          <w:b/>
          <w:sz w:val="22"/>
          <w:szCs w:val="22"/>
        </w:rPr>
        <w:t>barriers to the realisation of equality and non-discrimination under Article 5</w:t>
      </w:r>
    </w:p>
    <w:p w14:paraId="7A3C4863" w14:textId="77777777" w:rsidR="00CF7AF8" w:rsidRPr="00D81EE4" w:rsidRDefault="00CF7AF8" w:rsidP="00CF7AF8">
      <w:pPr>
        <w:spacing w:before="0" w:after="0"/>
        <w:ind w:left="1211"/>
        <w:jc w:val="left"/>
        <w:rPr>
          <w:rFonts w:cs="Arial"/>
          <w:b/>
          <w:sz w:val="22"/>
          <w:szCs w:val="22"/>
        </w:rPr>
      </w:pPr>
    </w:p>
    <w:p w14:paraId="75B1FF5D" w14:textId="77777777" w:rsidR="00CF7AF8" w:rsidRPr="00D81EE4" w:rsidRDefault="00CF7AF8" w:rsidP="00B532EE">
      <w:pPr>
        <w:spacing w:before="0" w:after="0"/>
        <w:ind w:left="1211"/>
        <w:jc w:val="left"/>
        <w:rPr>
          <w:rFonts w:cs="Arial"/>
          <w:sz w:val="22"/>
          <w:szCs w:val="22"/>
        </w:rPr>
      </w:pPr>
      <w:r w:rsidRPr="00D81EE4">
        <w:rPr>
          <w:rFonts w:cs="Arial"/>
          <w:sz w:val="22"/>
          <w:szCs w:val="22"/>
        </w:rPr>
        <w:t>All Means All supports the submission of Children and Young People with Disability Australia [paras 5 and 8] that it would be instructive and beneficial for the Draft General Comment to include positive guidance on framing laws policies and media discussion concerning disability in a manner:</w:t>
      </w:r>
    </w:p>
    <w:p w14:paraId="489E874C" w14:textId="77777777" w:rsidR="00CF7AF8" w:rsidRPr="00D81EE4" w:rsidRDefault="00CF7AF8" w:rsidP="00CF7AF8">
      <w:pPr>
        <w:spacing w:before="0" w:after="0"/>
        <w:ind w:left="851"/>
        <w:jc w:val="left"/>
        <w:rPr>
          <w:rFonts w:cs="Arial"/>
          <w:sz w:val="22"/>
          <w:szCs w:val="22"/>
        </w:rPr>
      </w:pPr>
    </w:p>
    <w:p w14:paraId="04B959D6" w14:textId="77777777" w:rsidR="00CF7AF8" w:rsidRPr="00D81EE4" w:rsidRDefault="00CF7AF8" w:rsidP="00CF7AF8">
      <w:pPr>
        <w:pStyle w:val="ListParagraph"/>
        <w:numPr>
          <w:ilvl w:val="0"/>
          <w:numId w:val="30"/>
        </w:numPr>
        <w:spacing w:before="0" w:after="0"/>
        <w:jc w:val="left"/>
        <w:rPr>
          <w:rFonts w:cs="Arial"/>
          <w:sz w:val="22"/>
          <w:szCs w:val="22"/>
        </w:rPr>
      </w:pPr>
      <w:r w:rsidRPr="00D81EE4">
        <w:rPr>
          <w:rFonts w:cs="Arial"/>
          <w:sz w:val="22"/>
          <w:szCs w:val="22"/>
        </w:rPr>
        <w:t>conducive to a rights-based or 'rights-holders' approach;</w:t>
      </w:r>
    </w:p>
    <w:p w14:paraId="55B81772" w14:textId="77777777" w:rsidR="00CF7AF8" w:rsidRPr="00D81EE4" w:rsidRDefault="00CF7AF8" w:rsidP="00CF7AF8">
      <w:pPr>
        <w:spacing w:before="0" w:after="0"/>
        <w:ind w:left="1702"/>
        <w:jc w:val="left"/>
        <w:rPr>
          <w:rFonts w:cs="Arial"/>
          <w:sz w:val="22"/>
          <w:szCs w:val="22"/>
        </w:rPr>
      </w:pPr>
    </w:p>
    <w:p w14:paraId="12684CCE" w14:textId="77777777" w:rsidR="00CF7AF8" w:rsidRPr="00D81EE4" w:rsidRDefault="00CF7AF8" w:rsidP="00CF7AF8">
      <w:pPr>
        <w:pStyle w:val="ListParagraph"/>
        <w:numPr>
          <w:ilvl w:val="0"/>
          <w:numId w:val="30"/>
        </w:numPr>
        <w:spacing w:before="0" w:after="0"/>
        <w:jc w:val="left"/>
        <w:rPr>
          <w:rFonts w:cs="Arial"/>
          <w:sz w:val="22"/>
          <w:szCs w:val="22"/>
        </w:rPr>
      </w:pPr>
      <w:r w:rsidRPr="00D81EE4">
        <w:rPr>
          <w:rFonts w:cs="Arial"/>
          <w:sz w:val="22"/>
          <w:szCs w:val="22"/>
        </w:rPr>
        <w:t>consistent with the human rights or social model of disability and principles of substantive inclusion, non-discrimination and equality of opportunity; and</w:t>
      </w:r>
    </w:p>
    <w:p w14:paraId="46572CE3" w14:textId="77777777" w:rsidR="00CF7AF8" w:rsidRPr="00D81EE4" w:rsidRDefault="00CF7AF8" w:rsidP="00CF7AF8">
      <w:pPr>
        <w:pStyle w:val="ListParagraph"/>
        <w:rPr>
          <w:rFonts w:cs="Arial"/>
          <w:sz w:val="22"/>
          <w:szCs w:val="22"/>
        </w:rPr>
      </w:pPr>
    </w:p>
    <w:p w14:paraId="1961E732" w14:textId="77777777" w:rsidR="00CF7AF8" w:rsidRPr="00D81EE4" w:rsidRDefault="00CF7AF8" w:rsidP="00CF7AF8">
      <w:pPr>
        <w:pStyle w:val="ListParagraph"/>
        <w:numPr>
          <w:ilvl w:val="0"/>
          <w:numId w:val="30"/>
        </w:numPr>
        <w:spacing w:before="0" w:after="0"/>
        <w:jc w:val="left"/>
        <w:rPr>
          <w:rFonts w:cs="Arial"/>
          <w:sz w:val="22"/>
          <w:szCs w:val="22"/>
        </w:rPr>
      </w:pPr>
      <w:r w:rsidRPr="00D81EE4">
        <w:rPr>
          <w:rFonts w:cs="Arial"/>
          <w:sz w:val="22"/>
          <w:szCs w:val="22"/>
        </w:rPr>
        <w:t>respectful of disability as part of human diversity.</w:t>
      </w:r>
    </w:p>
    <w:p w14:paraId="5BEF1DC3" w14:textId="77777777" w:rsidR="00CF7AF8" w:rsidRPr="00D81EE4" w:rsidRDefault="00CF7AF8" w:rsidP="00CF7AF8">
      <w:pPr>
        <w:pStyle w:val="ListParagraph"/>
        <w:rPr>
          <w:rFonts w:cs="Arial"/>
          <w:sz w:val="22"/>
          <w:szCs w:val="22"/>
        </w:rPr>
      </w:pPr>
    </w:p>
    <w:p w14:paraId="7F55AF4E" w14:textId="77777777" w:rsidR="00CF7AF8" w:rsidRPr="00D81EE4" w:rsidRDefault="00CF7AF8" w:rsidP="00B532EE">
      <w:pPr>
        <w:spacing w:before="0" w:after="0"/>
        <w:ind w:left="1211"/>
        <w:jc w:val="left"/>
        <w:rPr>
          <w:rFonts w:cs="Arial"/>
          <w:sz w:val="22"/>
          <w:szCs w:val="22"/>
        </w:rPr>
      </w:pPr>
      <w:r w:rsidRPr="00D81EE4">
        <w:rPr>
          <w:rFonts w:cs="Arial"/>
          <w:sz w:val="22"/>
          <w:szCs w:val="22"/>
        </w:rPr>
        <w:t>Inclusion and belonging in education depends upon positive and systemic cultural acceptance of people with disability as 'rights-holders' and equal members of our diverse human family.</w:t>
      </w:r>
    </w:p>
    <w:p w14:paraId="15335201" w14:textId="77777777" w:rsidR="00CF7AF8" w:rsidRPr="00D81EE4" w:rsidRDefault="00CF7AF8" w:rsidP="00CF7AF8">
      <w:pPr>
        <w:spacing w:before="0" w:after="0"/>
        <w:jc w:val="left"/>
        <w:rPr>
          <w:rFonts w:cs="Arial"/>
          <w:sz w:val="22"/>
          <w:szCs w:val="22"/>
        </w:rPr>
      </w:pPr>
    </w:p>
    <w:p w14:paraId="6CDD9DD8" w14:textId="77777777" w:rsidR="00CF7AF8" w:rsidRPr="00D81EE4" w:rsidRDefault="00CF7AF8" w:rsidP="00CF7AF8">
      <w:pPr>
        <w:spacing w:before="0" w:after="0"/>
        <w:jc w:val="left"/>
        <w:rPr>
          <w:rFonts w:cs="Arial"/>
          <w:sz w:val="22"/>
          <w:szCs w:val="22"/>
        </w:rPr>
      </w:pPr>
    </w:p>
    <w:p w14:paraId="06DC18A4" w14:textId="77777777" w:rsidR="00FB7416" w:rsidRPr="00D81EE4" w:rsidRDefault="00FB7416" w:rsidP="00B532EE">
      <w:pPr>
        <w:spacing w:before="0" w:after="0"/>
        <w:jc w:val="left"/>
        <w:rPr>
          <w:rFonts w:cs="Arial"/>
        </w:rPr>
      </w:pPr>
    </w:p>
    <w:sectPr w:rsidR="00FB7416" w:rsidRPr="00D81EE4" w:rsidSect="008B7E30">
      <w:footerReference w:type="default" r:id="rId11"/>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C353D" w14:textId="77777777" w:rsidR="006A7CD3" w:rsidRDefault="006A7CD3">
      <w:r>
        <w:separator/>
      </w:r>
    </w:p>
  </w:endnote>
  <w:endnote w:type="continuationSeparator" w:id="0">
    <w:p w14:paraId="39B30379" w14:textId="77777777" w:rsidR="006A7CD3" w:rsidRDefault="006A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0000000000000000000"/>
    <w:charset w:val="00"/>
    <w:family w:val="auto"/>
    <w:pitch w:val="variable"/>
    <w:sig w:usb0="E00002FF" w:usb1="5000785B"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909522"/>
      <w:docPartObj>
        <w:docPartGallery w:val="Page Numbers (Bottom of Page)"/>
        <w:docPartUnique/>
      </w:docPartObj>
    </w:sdtPr>
    <w:sdtEndPr>
      <w:rPr>
        <w:noProof/>
      </w:rPr>
    </w:sdtEndPr>
    <w:sdtContent>
      <w:p w14:paraId="70357F3D" w14:textId="77777777" w:rsidR="00FB7416" w:rsidRDefault="00FB7416">
        <w:pPr>
          <w:pStyle w:val="Footer"/>
          <w:jc w:val="right"/>
        </w:pPr>
        <w:r>
          <w:fldChar w:fldCharType="begin"/>
        </w:r>
        <w:r>
          <w:instrText xml:space="preserve"> PAGE   \* MERGEFORMAT </w:instrText>
        </w:r>
        <w:r>
          <w:fldChar w:fldCharType="separate"/>
        </w:r>
        <w:r w:rsidR="00A00D7D">
          <w:rPr>
            <w:noProof/>
          </w:rPr>
          <w:t>4</w:t>
        </w:r>
        <w:r>
          <w:rPr>
            <w:noProof/>
          </w:rPr>
          <w:fldChar w:fldCharType="end"/>
        </w:r>
      </w:p>
    </w:sdtContent>
  </w:sdt>
  <w:p w14:paraId="4F5F3022" w14:textId="77777777" w:rsidR="00FB7416" w:rsidRDefault="00FB74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9E8E7" w14:textId="77777777" w:rsidR="006A7CD3" w:rsidRDefault="006A7CD3">
      <w:r>
        <w:separator/>
      </w:r>
    </w:p>
  </w:footnote>
  <w:footnote w:type="continuationSeparator" w:id="0">
    <w:p w14:paraId="46B574F9" w14:textId="77777777" w:rsidR="006A7CD3" w:rsidRDefault="006A7CD3">
      <w:r>
        <w:continuationSeparator/>
      </w:r>
    </w:p>
  </w:footnote>
  <w:footnote w:id="1">
    <w:p w14:paraId="10688586" w14:textId="6F122E41" w:rsidR="000A0FE4" w:rsidRDefault="000A0FE4">
      <w:pPr>
        <w:pStyle w:val="FootnoteText"/>
      </w:pPr>
      <w:r>
        <w:rPr>
          <w:rStyle w:val="FootnoteReference"/>
        </w:rPr>
        <w:footnoteRef/>
      </w:r>
      <w:r>
        <w:t xml:space="preserve"> See Australian Bureau of Statistics</w:t>
      </w:r>
      <w:r w:rsidRPr="000A0FE4">
        <w:t xml:space="preserve"> 2013, view showing 17% disproportionate increase in segregated special schools between 1999-2013</w:t>
      </w:r>
      <w:r>
        <w:t xml:space="preserve"> </w:t>
      </w:r>
      <w:hyperlink r:id="rId1" w:history="1">
        <w:r w:rsidRPr="00A8491B">
          <w:rPr>
            <w:rStyle w:val="Hyperlink"/>
          </w:rPr>
          <w:t>http://www.abs.gov.au/AUSSTATS/abs@.nsf/DetailsPage/4221.02013</w:t>
        </w:r>
      </w:hyperlink>
      <w:r>
        <w:t xml:space="preserve"> </w:t>
      </w:r>
      <w:r w:rsidRPr="000A0FE4">
        <w:t>; see also Disability in Australia: changes over time in inclusion and participation factsheets: community living, education and employment</w:t>
      </w:r>
      <w:r>
        <w:t xml:space="preserve">: </w:t>
      </w:r>
      <w:hyperlink r:id="rId2" w:history="1">
        <w:r w:rsidRPr="00A8491B">
          <w:rPr>
            <w:rStyle w:val="Hyperlink"/>
          </w:rPr>
          <w:t>www.aihw.gov.au/getmedia/34f09557-0acf-4adf-837d-eada7b74d466/Education-20905.pdf.aspx</w:t>
        </w:r>
      </w:hyperlink>
    </w:p>
    <w:p w14:paraId="51F41078" w14:textId="77777777" w:rsidR="000A0FE4" w:rsidRDefault="000A0FE4">
      <w:pPr>
        <w:pStyle w:val="FootnoteText"/>
      </w:pPr>
    </w:p>
  </w:footnote>
  <w:footnote w:id="2">
    <w:p w14:paraId="2B9040FA" w14:textId="77777777" w:rsidR="001A3E69" w:rsidRDefault="000A0FE4" w:rsidP="000A0FE4">
      <w:pPr>
        <w:pStyle w:val="FootnoteText"/>
      </w:pPr>
      <w:r>
        <w:rPr>
          <w:rStyle w:val="FootnoteReference"/>
        </w:rPr>
        <w:footnoteRef/>
      </w:r>
      <w:r>
        <w:t xml:space="preserve"> </w:t>
      </w:r>
      <w:r w:rsidRPr="000A0FE4">
        <w:t xml:space="preserve">For example, vested interest in segregated education continue to </w:t>
      </w:r>
      <w:r>
        <w:t>seek to characterise the idea of a single, universally accessible inclusive education system as “</w:t>
      </w:r>
      <w:r w:rsidR="00821257">
        <w:t>utopian</w:t>
      </w:r>
      <w:r>
        <w:t>” and advance the position that segregating practices are compatible with inclusive education:</w:t>
      </w:r>
    </w:p>
    <w:p w14:paraId="6A4509B5" w14:textId="39DD1DE7" w:rsidR="000A0FE4" w:rsidRDefault="001A3E69" w:rsidP="000A0FE4">
      <w:pPr>
        <w:pStyle w:val="FootnoteText"/>
      </w:pPr>
      <w:r>
        <w:tab/>
      </w:r>
      <w:r>
        <w:tab/>
      </w:r>
      <w:r w:rsidR="000A0FE4">
        <w:t xml:space="preserve"> </w:t>
      </w:r>
      <w:r w:rsidR="000A0FE4" w:rsidRPr="000A0FE4">
        <w:t>“</w:t>
      </w:r>
      <w:r w:rsidR="000A0FE4" w:rsidRPr="001A3E69">
        <w:rPr>
          <w:i/>
        </w:rPr>
        <w:t>This misconception that inclusion refers to a place and not a process is very pervasive. The current Australian view is restricted to the concept of an inclusive school as a place where everyone belongs, is accepted, and where special education needs students are supported and cared for by their peers and other members of the school community. This is a Utopian view, where there are no references to the processes and learning environments needed to achieve authentic educational outcomes for all students</w:t>
      </w:r>
      <w:r>
        <w:rPr>
          <w:i/>
        </w:rPr>
        <w:t>.</w:t>
      </w:r>
      <w:r w:rsidR="000A0FE4">
        <w:t>”</w:t>
      </w:r>
      <w:r>
        <w:t xml:space="preserve"> (</w:t>
      </w:r>
      <w:r w:rsidR="000A0FE4" w:rsidRPr="000A0FE4">
        <w:t>https://pdfs.semanticscholar.org/6d67/e45d5ee3657355c09cbba4b4316708cab0cf.pdf</w:t>
      </w:r>
      <w:r>
        <w:t>)</w:t>
      </w:r>
    </w:p>
  </w:footnote>
  <w:footnote w:id="3">
    <w:p w14:paraId="6AB4BE75" w14:textId="51C5478E" w:rsidR="000A0FE4" w:rsidRDefault="000A0FE4">
      <w:pPr>
        <w:pStyle w:val="FootnoteText"/>
      </w:pPr>
      <w:r>
        <w:rPr>
          <w:rStyle w:val="FootnoteReference"/>
        </w:rPr>
        <w:footnoteRef/>
      </w:r>
      <w:r>
        <w:t xml:space="preserve"> See “</w:t>
      </w:r>
      <w:r w:rsidRPr="000A0FE4">
        <w:t>Inclusive Education – What Does the Research Say?</w:t>
      </w:r>
      <w:r>
        <w:t xml:space="preserve">”, All Means All (2017) </w:t>
      </w:r>
      <w:hyperlink r:id="rId3" w:history="1">
        <w:r w:rsidR="00D81EE4" w:rsidRPr="00A8491B">
          <w:rPr>
            <w:rStyle w:val="Hyperlink"/>
          </w:rPr>
          <w:t>http://allmeansall.org.au/research/</w:t>
        </w:r>
      </w:hyperlink>
    </w:p>
    <w:p w14:paraId="619E5925" w14:textId="77777777" w:rsidR="00D81EE4" w:rsidRDefault="00D81EE4">
      <w:pPr>
        <w:pStyle w:val="FootnoteText"/>
      </w:pPr>
    </w:p>
  </w:footnote>
  <w:footnote w:id="4">
    <w:p w14:paraId="79DC02B6" w14:textId="49B37409" w:rsidR="000A0FE4" w:rsidRDefault="000A0FE4" w:rsidP="001A3E69">
      <w:pPr>
        <w:pStyle w:val="FootnoteText"/>
      </w:pPr>
      <w:r>
        <w:rPr>
          <w:rStyle w:val="FootnoteReference"/>
        </w:rPr>
        <w:footnoteRef/>
      </w:r>
      <w:r>
        <w:t xml:space="preserve"> </w:t>
      </w:r>
      <w:r w:rsidRPr="001A3E69">
        <w:t>See “</w:t>
      </w:r>
      <w:r w:rsidRPr="000A0FE4">
        <w:t xml:space="preserve">Gatekeeping and restrictive practices with students with </w:t>
      </w:r>
      <w:r w:rsidRPr="001A3E69">
        <w:t xml:space="preserve">disability: results of an Australian survey” (2017), </w:t>
      </w:r>
      <w:r w:rsidRPr="000A0FE4">
        <w:t>Shiralee Poed, Kathy Cologon and Robert Jackson</w:t>
      </w:r>
      <w:r w:rsidRPr="001A3E69">
        <w:t xml:space="preserve">: </w:t>
      </w:r>
      <w:hyperlink r:id="rId4" w:history="1">
        <w:r w:rsidR="001A3E69" w:rsidRPr="001A3E69">
          <w:rPr>
            <w:rStyle w:val="Hyperlink"/>
          </w:rPr>
          <w:t>http://allmeansall.org.au/wp-content/uploads/2017/10/TIES-4.0-20172.pdf</w:t>
        </w:r>
      </w:hyperlink>
    </w:p>
    <w:p w14:paraId="7259FE62" w14:textId="77777777" w:rsidR="001A3E69" w:rsidRPr="000A0FE4" w:rsidRDefault="001A3E69" w:rsidP="000A0FE4">
      <w:pPr>
        <w:pStyle w:val="NormalWeb"/>
        <w:rPr>
          <w:rFonts w:ascii="Times New Roman" w:eastAsia="Times New Roman" w:hAnsi="Times New Roman" w:cs="Times New Roman"/>
          <w:sz w:val="20"/>
          <w:szCs w:val="20"/>
          <w:lang w:eastAsia="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B3AB2"/>
    <w:multiLevelType w:val="hybridMultilevel"/>
    <w:tmpl w:val="694CF16E"/>
    <w:lvl w:ilvl="0" w:tplc="439AFDF0">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nsid w:val="2CFA29D4"/>
    <w:multiLevelType w:val="multilevel"/>
    <w:tmpl w:val="58006E5A"/>
    <w:lvl w:ilvl="0">
      <w:start w:val="1"/>
      <w:numFmt w:val="decimal"/>
      <w:lvlText w:val="%1."/>
      <w:lvlJc w:val="left"/>
      <w:pPr>
        <w:tabs>
          <w:tab w:val="num" w:pos="851"/>
        </w:tabs>
        <w:ind w:left="851" w:hanging="851"/>
      </w:pPr>
      <w:rPr>
        <w:rFonts w:hint="default"/>
        <w:b w:val="0"/>
        <w:i w:val="0"/>
        <w:sz w:val="24"/>
        <w:szCs w:val="24"/>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upperLetter"/>
      <w:lvlText w:val="(%4)"/>
      <w:lvlJc w:val="left"/>
      <w:pPr>
        <w:tabs>
          <w:tab w:val="num" w:pos="3402"/>
        </w:tabs>
        <w:ind w:left="3402" w:hanging="850"/>
      </w:pPr>
      <w:rPr>
        <w:rFonts w:hint="default"/>
      </w:rPr>
    </w:lvl>
    <w:lvl w:ilvl="4">
      <w:start w:val="1"/>
      <w:numFmt w:val="decimal"/>
      <w:lvlText w:val="(%5)"/>
      <w:lvlJc w:val="left"/>
      <w:pPr>
        <w:tabs>
          <w:tab w:val="num" w:pos="4253"/>
        </w:tabs>
        <w:ind w:left="4253" w:hanging="851"/>
      </w:pPr>
      <w:rPr>
        <w:rFonts w:hint="default"/>
      </w:rPr>
    </w:lvl>
    <w:lvl w:ilvl="5">
      <w:start w:val="1"/>
      <w:numFmt w:val="upperRoman"/>
      <w:lvlText w:val="(%6)"/>
      <w:lvlJc w:val="left"/>
      <w:pPr>
        <w:tabs>
          <w:tab w:val="num" w:pos="5103"/>
        </w:tabs>
        <w:ind w:left="5103" w:hanging="85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
    <w:nsid w:val="2EDB46FC"/>
    <w:multiLevelType w:val="hybridMultilevel"/>
    <w:tmpl w:val="00A8850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nsid w:val="458F4907"/>
    <w:multiLevelType w:val="hybridMultilevel"/>
    <w:tmpl w:val="CA54802A"/>
    <w:lvl w:ilvl="0" w:tplc="2EDC02BA">
      <w:start w:val="1"/>
      <w:numFmt w:val="decimal"/>
      <w:lvlText w:val="%1."/>
      <w:lvlJc w:val="left"/>
      <w:pPr>
        <w:tabs>
          <w:tab w:val="num" w:pos="851"/>
        </w:tabs>
        <w:ind w:left="851" w:hanging="85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64914A5"/>
    <w:multiLevelType w:val="multilevel"/>
    <w:tmpl w:val="A112D2E6"/>
    <w:lvl w:ilvl="0">
      <w:start w:val="1"/>
      <w:numFmt w:val="decimal"/>
      <w:lvlText w:val="%1."/>
      <w:lvlJc w:val="left"/>
      <w:pPr>
        <w:tabs>
          <w:tab w:val="num" w:pos="0"/>
        </w:tabs>
        <w:ind w:left="851" w:hanging="851"/>
      </w:pPr>
      <w:rPr>
        <w:rFonts w:hint="default"/>
      </w:rPr>
    </w:lvl>
    <w:lvl w:ilvl="1">
      <w:start w:val="1"/>
      <w:numFmt w:val="lowerLetter"/>
      <w:lvlText w:val="(%2)"/>
      <w:lvlJc w:val="left"/>
      <w:pPr>
        <w:tabs>
          <w:tab w:val="num" w:pos="0"/>
        </w:tabs>
        <w:ind w:left="1701" w:hanging="850"/>
      </w:pPr>
      <w:rPr>
        <w:rFonts w:hint="default"/>
      </w:rPr>
    </w:lvl>
    <w:lvl w:ilvl="2">
      <w:start w:val="1"/>
      <w:numFmt w:val="lowerRoman"/>
      <w:lvlText w:val="(%3)"/>
      <w:lvlJc w:val="left"/>
      <w:pPr>
        <w:tabs>
          <w:tab w:val="num" w:pos="1800"/>
        </w:tabs>
        <w:ind w:left="1440" w:firstLine="0"/>
      </w:pPr>
      <w:rPr>
        <w:rFonts w:hint="default"/>
      </w:rPr>
    </w:lvl>
    <w:lvl w:ilvl="3">
      <w:start w:val="1"/>
      <w:numFmt w:val="upperLetter"/>
      <w:lvlText w:val="%4."/>
      <w:lvlJc w:val="left"/>
      <w:pPr>
        <w:tabs>
          <w:tab w:val="num" w:pos="0"/>
        </w:tabs>
        <w:ind w:left="3402" w:hanging="85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4DFA426D"/>
    <w:multiLevelType w:val="hybridMultilevel"/>
    <w:tmpl w:val="62F4A3F4"/>
    <w:lvl w:ilvl="0" w:tplc="0704A5C0">
      <w:start w:val="1"/>
      <w:numFmt w:val="decimal"/>
      <w:pStyle w:val="TableSSOCellNumbering"/>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0A60D7"/>
    <w:multiLevelType w:val="multilevel"/>
    <w:tmpl w:val="25EAE422"/>
    <w:lvl w:ilvl="0">
      <w:start w:val="1"/>
      <w:numFmt w:val="decimal"/>
      <w:pStyle w:val="SSOContinuousOutlineNumbering"/>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72A45896"/>
    <w:multiLevelType w:val="multilevel"/>
    <w:tmpl w:val="71949B38"/>
    <w:lvl w:ilvl="0">
      <w:start w:val="1"/>
      <w:numFmt w:val="decimal"/>
      <w:lvlText w:val="%1."/>
      <w:lvlJc w:val="left"/>
      <w:pPr>
        <w:ind w:left="720"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782" w:hanging="720"/>
      </w:pPr>
      <w:rPr>
        <w:rFonts w:hint="default"/>
      </w:rPr>
    </w:lvl>
    <w:lvl w:ilvl="3">
      <w:start w:val="1"/>
      <w:numFmt w:val="decimal"/>
      <w:isLgl/>
      <w:lvlText w:val="%1.%2.%3.%4"/>
      <w:lvlJc w:val="left"/>
      <w:pPr>
        <w:ind w:left="3993" w:hanging="108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6055" w:hanging="144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8117" w:hanging="1800"/>
      </w:pPr>
      <w:rPr>
        <w:rFonts w:hint="default"/>
      </w:rPr>
    </w:lvl>
    <w:lvl w:ilvl="8">
      <w:start w:val="1"/>
      <w:numFmt w:val="decimal"/>
      <w:isLgl/>
      <w:lvlText w:val="%1.%2.%3.%4.%5.%6.%7.%8.%9"/>
      <w:lvlJc w:val="left"/>
      <w:pPr>
        <w:ind w:left="8968" w:hanging="1800"/>
      </w:pPr>
      <w:rPr>
        <w:rFonts w:hint="default"/>
      </w:rPr>
    </w:lvl>
  </w:abstractNum>
  <w:abstractNum w:abstractNumId="8">
    <w:nsid w:val="77AF4FCE"/>
    <w:multiLevelType w:val="multilevel"/>
    <w:tmpl w:val="5726B276"/>
    <w:lvl w:ilvl="0">
      <w:start w:val="1"/>
      <w:numFmt w:val="decimal"/>
      <w:pStyle w:val="SSOOutlineNumbering"/>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9D24F0E"/>
    <w:multiLevelType w:val="multilevel"/>
    <w:tmpl w:val="DFA8F53C"/>
    <w:lvl w:ilvl="0">
      <w:start w:val="1"/>
      <w:numFmt w:val="decimal"/>
      <w:pStyle w:val="Heading1"/>
      <w:lvlText w:val="%1."/>
      <w:lvlJc w:val="left"/>
      <w:pPr>
        <w:tabs>
          <w:tab w:val="num" w:pos="851"/>
        </w:tabs>
        <w:ind w:left="851" w:hanging="851"/>
      </w:pPr>
      <w:rPr>
        <w:rFonts w:hint="default"/>
        <w:b w:val="0"/>
        <w:i w:val="0"/>
        <w:sz w:val="24"/>
        <w:szCs w:val="24"/>
      </w:rPr>
    </w:lvl>
    <w:lvl w:ilvl="1">
      <w:start w:val="1"/>
      <w:numFmt w:val="lowerLetter"/>
      <w:pStyle w:val="Heading2"/>
      <w:lvlText w:val="(%2)"/>
      <w:lvlJc w:val="left"/>
      <w:pPr>
        <w:tabs>
          <w:tab w:val="num" w:pos="1701"/>
        </w:tabs>
        <w:ind w:left="1701" w:hanging="850"/>
      </w:pPr>
      <w:rPr>
        <w:rFonts w:hint="default"/>
      </w:rPr>
    </w:lvl>
    <w:lvl w:ilvl="2">
      <w:start w:val="1"/>
      <w:numFmt w:val="lowerRoman"/>
      <w:pStyle w:val="Heading3"/>
      <w:lvlText w:val="(%3)"/>
      <w:lvlJc w:val="left"/>
      <w:pPr>
        <w:tabs>
          <w:tab w:val="num" w:pos="2552"/>
        </w:tabs>
        <w:ind w:left="2552" w:hanging="851"/>
      </w:pPr>
      <w:rPr>
        <w:rFonts w:hint="default"/>
      </w:rPr>
    </w:lvl>
    <w:lvl w:ilvl="3">
      <w:start w:val="1"/>
      <w:numFmt w:val="upperLetter"/>
      <w:pStyle w:val="Heading4"/>
      <w:lvlText w:val="(%4)"/>
      <w:lvlJc w:val="left"/>
      <w:pPr>
        <w:tabs>
          <w:tab w:val="num" w:pos="3402"/>
        </w:tabs>
        <w:ind w:left="3402" w:hanging="850"/>
      </w:pPr>
      <w:rPr>
        <w:rFonts w:hint="default"/>
      </w:rPr>
    </w:lvl>
    <w:lvl w:ilvl="4">
      <w:start w:val="1"/>
      <w:numFmt w:val="decimal"/>
      <w:pStyle w:val="Heading5"/>
      <w:lvlText w:val="(%5)"/>
      <w:lvlJc w:val="left"/>
      <w:pPr>
        <w:tabs>
          <w:tab w:val="num" w:pos="4253"/>
        </w:tabs>
        <w:ind w:left="4253" w:hanging="851"/>
      </w:pPr>
      <w:rPr>
        <w:rFonts w:hint="default"/>
      </w:rPr>
    </w:lvl>
    <w:lvl w:ilvl="5">
      <w:start w:val="1"/>
      <w:numFmt w:val="upperRoman"/>
      <w:pStyle w:val="Heading6"/>
      <w:lvlText w:val="(%6)"/>
      <w:lvlJc w:val="left"/>
      <w:pPr>
        <w:tabs>
          <w:tab w:val="num" w:pos="5103"/>
        </w:tabs>
        <w:ind w:left="5103" w:hanging="850"/>
      </w:pPr>
      <w:rPr>
        <w:rFonts w:hint="default"/>
      </w:rPr>
    </w:lvl>
    <w:lvl w:ilvl="6">
      <w:start w:val="1"/>
      <w:numFmt w:val="none"/>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0">
    <w:nsid w:val="7DDC282F"/>
    <w:multiLevelType w:val="hybridMultilevel"/>
    <w:tmpl w:val="8FF89DE2"/>
    <w:lvl w:ilvl="0" w:tplc="21EA69E2">
      <w:start w:val="1"/>
      <w:numFmt w:val="lowerRoman"/>
      <w:lvlText w:val="(%1)"/>
      <w:lvlJc w:val="left"/>
      <w:pPr>
        <w:ind w:left="2422" w:hanging="72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num w:numId="1">
    <w:abstractNumId w:val="3"/>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8"/>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
  </w:num>
  <w:num w:numId="18">
    <w:abstractNumId w:val="5"/>
  </w:num>
  <w:num w:numId="19">
    <w:abstractNumId w:val="9"/>
  </w:num>
  <w:num w:numId="20">
    <w:abstractNumId w:val="9"/>
  </w:num>
  <w:num w:numId="21">
    <w:abstractNumId w:val="9"/>
  </w:num>
  <w:num w:numId="22">
    <w:abstractNumId w:val="9"/>
  </w:num>
  <w:num w:numId="23">
    <w:abstractNumId w:val="9"/>
  </w:num>
  <w:num w:numId="24">
    <w:abstractNumId w:val="9"/>
  </w:num>
  <w:num w:numId="25">
    <w:abstractNumId w:val="6"/>
  </w:num>
  <w:num w:numId="26">
    <w:abstractNumId w:val="5"/>
  </w:num>
  <w:num w:numId="27">
    <w:abstractNumId w:val="2"/>
  </w:num>
  <w:num w:numId="28">
    <w:abstractNumId w:val="0"/>
  </w:num>
  <w:num w:numId="29">
    <w:abstractNumId w:val="7"/>
  </w:num>
  <w:num w:numId="30">
    <w:abstractNumId w:val="1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26"/>
    <w:rsid w:val="0002171F"/>
    <w:rsid w:val="0009634F"/>
    <w:rsid w:val="000A0FE4"/>
    <w:rsid w:val="00187FA5"/>
    <w:rsid w:val="001A3E69"/>
    <w:rsid w:val="00245CEF"/>
    <w:rsid w:val="00282576"/>
    <w:rsid w:val="0040310A"/>
    <w:rsid w:val="00450C2E"/>
    <w:rsid w:val="00662A4A"/>
    <w:rsid w:val="006760C1"/>
    <w:rsid w:val="006A7CD3"/>
    <w:rsid w:val="00821257"/>
    <w:rsid w:val="00864436"/>
    <w:rsid w:val="00893C53"/>
    <w:rsid w:val="008B7E30"/>
    <w:rsid w:val="008E4294"/>
    <w:rsid w:val="009F4F7C"/>
    <w:rsid w:val="00A00D7D"/>
    <w:rsid w:val="00A055E9"/>
    <w:rsid w:val="00AE5915"/>
    <w:rsid w:val="00B44EF4"/>
    <w:rsid w:val="00B532EE"/>
    <w:rsid w:val="00B93826"/>
    <w:rsid w:val="00BB610D"/>
    <w:rsid w:val="00BD10DA"/>
    <w:rsid w:val="00BE4095"/>
    <w:rsid w:val="00CF7AF8"/>
    <w:rsid w:val="00D559BC"/>
    <w:rsid w:val="00D81EE4"/>
    <w:rsid w:val="00E86242"/>
    <w:rsid w:val="00F83C86"/>
    <w:rsid w:val="00FB7416"/>
    <w:rsid w:val="00FD1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B80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EF4"/>
    <w:pPr>
      <w:spacing w:before="120" w:after="120"/>
      <w:jc w:val="both"/>
    </w:pPr>
    <w:rPr>
      <w:sz w:val="24"/>
      <w:szCs w:val="24"/>
      <w:lang w:eastAsia="en-US"/>
    </w:rPr>
  </w:style>
  <w:style w:type="paragraph" w:styleId="Heading1">
    <w:name w:val="heading 1"/>
    <w:qFormat/>
    <w:rsid w:val="00B44EF4"/>
    <w:pPr>
      <w:numPr>
        <w:numId w:val="24"/>
      </w:numPr>
      <w:spacing w:before="120" w:after="120"/>
      <w:outlineLvl w:val="0"/>
    </w:pPr>
    <w:rPr>
      <w:rFonts w:cs="Arial"/>
      <w:bCs/>
      <w:kern w:val="32"/>
      <w:sz w:val="24"/>
      <w:szCs w:val="32"/>
      <w:lang w:eastAsia="en-US"/>
    </w:rPr>
  </w:style>
  <w:style w:type="paragraph" w:styleId="Heading2">
    <w:name w:val="heading 2"/>
    <w:qFormat/>
    <w:rsid w:val="00B44EF4"/>
    <w:pPr>
      <w:numPr>
        <w:ilvl w:val="1"/>
        <w:numId w:val="24"/>
      </w:numPr>
      <w:spacing w:before="120" w:after="120"/>
      <w:outlineLvl w:val="1"/>
    </w:pPr>
    <w:rPr>
      <w:rFonts w:cs="Arial"/>
      <w:bCs/>
      <w:iCs/>
      <w:sz w:val="24"/>
      <w:szCs w:val="28"/>
      <w:lang w:eastAsia="en-US"/>
    </w:rPr>
  </w:style>
  <w:style w:type="paragraph" w:styleId="Heading3">
    <w:name w:val="heading 3"/>
    <w:qFormat/>
    <w:rsid w:val="00B44EF4"/>
    <w:pPr>
      <w:numPr>
        <w:ilvl w:val="2"/>
        <w:numId w:val="24"/>
      </w:numPr>
      <w:spacing w:before="120" w:after="120"/>
      <w:outlineLvl w:val="2"/>
    </w:pPr>
    <w:rPr>
      <w:rFonts w:cs="Arial"/>
      <w:bCs/>
      <w:sz w:val="24"/>
      <w:szCs w:val="26"/>
      <w:lang w:eastAsia="en-US"/>
    </w:rPr>
  </w:style>
  <w:style w:type="paragraph" w:styleId="Heading4">
    <w:name w:val="heading 4"/>
    <w:qFormat/>
    <w:rsid w:val="00B44EF4"/>
    <w:pPr>
      <w:numPr>
        <w:ilvl w:val="3"/>
        <w:numId w:val="24"/>
      </w:numPr>
      <w:spacing w:before="120" w:after="120"/>
      <w:jc w:val="both"/>
      <w:outlineLvl w:val="3"/>
    </w:pPr>
    <w:rPr>
      <w:bCs/>
      <w:sz w:val="24"/>
      <w:szCs w:val="28"/>
      <w:lang w:eastAsia="en-US"/>
    </w:rPr>
  </w:style>
  <w:style w:type="paragraph" w:styleId="Heading5">
    <w:name w:val="heading 5"/>
    <w:qFormat/>
    <w:rsid w:val="00B44EF4"/>
    <w:pPr>
      <w:numPr>
        <w:ilvl w:val="4"/>
        <w:numId w:val="24"/>
      </w:numPr>
      <w:spacing w:before="120" w:after="120"/>
      <w:jc w:val="both"/>
      <w:outlineLvl w:val="4"/>
    </w:pPr>
    <w:rPr>
      <w:bCs/>
      <w:iCs/>
      <w:sz w:val="24"/>
      <w:szCs w:val="26"/>
      <w:lang w:eastAsia="en-US"/>
    </w:rPr>
  </w:style>
  <w:style w:type="paragraph" w:styleId="Heading6">
    <w:name w:val="heading 6"/>
    <w:qFormat/>
    <w:rsid w:val="00B44EF4"/>
    <w:pPr>
      <w:numPr>
        <w:ilvl w:val="5"/>
        <w:numId w:val="24"/>
      </w:numPr>
      <w:spacing w:before="120" w:after="120"/>
      <w:jc w:val="both"/>
      <w:outlineLvl w:val="5"/>
    </w:pPr>
    <w:rPr>
      <w:bCs/>
      <w:sz w:val="24"/>
      <w:szCs w:val="22"/>
      <w:lang w:eastAsia="en-US"/>
    </w:rPr>
  </w:style>
  <w:style w:type="paragraph" w:styleId="Heading7">
    <w:name w:val="heading 7"/>
    <w:next w:val="Normal"/>
    <w:qFormat/>
    <w:rsid w:val="00B44EF4"/>
    <w:pPr>
      <w:spacing w:before="120" w:after="120"/>
      <w:jc w:val="both"/>
      <w:outlineLvl w:val="6"/>
    </w:pPr>
    <w:rPr>
      <w:sz w:val="24"/>
      <w:szCs w:val="24"/>
      <w:lang w:eastAsia="en-US"/>
    </w:rPr>
  </w:style>
  <w:style w:type="paragraph" w:styleId="Heading8">
    <w:name w:val="heading 8"/>
    <w:next w:val="Normal"/>
    <w:qFormat/>
    <w:rsid w:val="00B44EF4"/>
    <w:pPr>
      <w:spacing w:before="120" w:after="120"/>
      <w:jc w:val="both"/>
      <w:outlineLvl w:val="7"/>
    </w:pPr>
    <w:rPr>
      <w:iCs/>
      <w:sz w:val="24"/>
      <w:szCs w:val="24"/>
      <w:lang w:eastAsia="en-US"/>
    </w:rPr>
  </w:style>
  <w:style w:type="paragraph" w:styleId="Heading9">
    <w:name w:val="heading 9"/>
    <w:next w:val="Normal"/>
    <w:qFormat/>
    <w:rsid w:val="00B44EF4"/>
    <w:pPr>
      <w:spacing w:before="120" w:after="120"/>
      <w:jc w:val="both"/>
      <w:outlineLvl w:val="8"/>
    </w:pPr>
    <w:rPr>
      <w:rFonts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B44EF4"/>
    <w:pPr>
      <w:tabs>
        <w:tab w:val="center" w:pos="4320"/>
        <w:tab w:val="right" w:pos="8640"/>
      </w:tabs>
      <w:spacing w:before="120" w:after="120"/>
      <w:jc w:val="both"/>
    </w:pPr>
    <w:rPr>
      <w:sz w:val="24"/>
      <w:szCs w:val="24"/>
      <w:lang w:eastAsia="en-US"/>
    </w:rPr>
  </w:style>
  <w:style w:type="character" w:styleId="FootnoteReference">
    <w:name w:val="footnote reference"/>
    <w:unhideWhenUsed/>
    <w:rsid w:val="00B44EF4"/>
    <w:rPr>
      <w:sz w:val="20"/>
      <w:vertAlign w:val="superscript"/>
    </w:rPr>
  </w:style>
  <w:style w:type="paragraph" w:styleId="FootnoteText">
    <w:name w:val="footnote text"/>
    <w:unhideWhenUsed/>
    <w:rsid w:val="00B44EF4"/>
    <w:pPr>
      <w:tabs>
        <w:tab w:val="left" w:pos="425"/>
      </w:tabs>
      <w:spacing w:before="60" w:after="60"/>
      <w:ind w:left="425" w:hanging="425"/>
    </w:pPr>
    <w:rPr>
      <w:lang w:eastAsia="en-US"/>
    </w:rPr>
  </w:style>
  <w:style w:type="paragraph" w:styleId="Header">
    <w:name w:val="header"/>
    <w:basedOn w:val="Normal"/>
    <w:unhideWhenUsed/>
    <w:rsid w:val="00B44EF4"/>
    <w:pPr>
      <w:tabs>
        <w:tab w:val="center" w:pos="4320"/>
        <w:tab w:val="right" w:pos="8640"/>
      </w:tabs>
      <w:spacing w:after="0"/>
    </w:pPr>
  </w:style>
  <w:style w:type="paragraph" w:customStyle="1" w:styleId="Indent15">
    <w:name w:val="Indent 1.5"/>
    <w:basedOn w:val="Normal"/>
    <w:pPr>
      <w:spacing w:line="480" w:lineRule="auto"/>
      <w:ind w:left="851"/>
    </w:pPr>
  </w:style>
  <w:style w:type="paragraph" w:customStyle="1" w:styleId="Indent3">
    <w:name w:val="Indent 3"/>
    <w:basedOn w:val="Normal"/>
    <w:pPr>
      <w:spacing w:line="480" w:lineRule="auto"/>
      <w:ind w:left="1701"/>
    </w:pPr>
  </w:style>
  <w:style w:type="paragraph" w:customStyle="1" w:styleId="Indent45">
    <w:name w:val="Indent 4.5"/>
    <w:basedOn w:val="Normal"/>
    <w:pPr>
      <w:spacing w:line="480" w:lineRule="auto"/>
      <w:ind w:left="2552"/>
    </w:pPr>
  </w:style>
  <w:style w:type="paragraph" w:customStyle="1" w:styleId="Indent6">
    <w:name w:val="Indent 6"/>
    <w:basedOn w:val="Normal"/>
    <w:pPr>
      <w:spacing w:line="480" w:lineRule="auto"/>
      <w:ind w:left="3402"/>
    </w:pPr>
  </w:style>
  <w:style w:type="paragraph" w:styleId="Quote">
    <w:name w:val="Quote"/>
    <w:basedOn w:val="Normal"/>
    <w:link w:val="QuoteChar"/>
    <w:qFormat/>
    <w:rsid w:val="00B44EF4"/>
    <w:pPr>
      <w:ind w:left="1134"/>
    </w:pPr>
    <w:rPr>
      <w:i/>
      <w:sz w:val="22"/>
    </w:rPr>
  </w:style>
  <w:style w:type="paragraph" w:customStyle="1" w:styleId="SSOOutlineNumbering">
    <w:name w:val="SSO Outline Numbering"/>
    <w:basedOn w:val="Normal"/>
    <w:pPr>
      <w:numPr>
        <w:numId w:val="10"/>
      </w:numPr>
      <w:spacing w:line="480" w:lineRule="auto"/>
    </w:pPr>
  </w:style>
  <w:style w:type="paragraph" w:customStyle="1" w:styleId="SSOTitleHeading">
    <w:name w:val="SSO Title Heading"/>
    <w:next w:val="Normal"/>
    <w:rsid w:val="00B44EF4"/>
    <w:pPr>
      <w:spacing w:before="240" w:after="240"/>
      <w:jc w:val="both"/>
    </w:pPr>
    <w:rPr>
      <w:b/>
      <w:sz w:val="24"/>
      <w:szCs w:val="24"/>
      <w:lang w:eastAsia="en-US"/>
    </w:rPr>
  </w:style>
  <w:style w:type="paragraph" w:customStyle="1" w:styleId="SSOTitleHeadingUnderlined">
    <w:name w:val="SSO Title Heading Underlined"/>
    <w:next w:val="Normal"/>
    <w:rsid w:val="00B44EF4"/>
    <w:pPr>
      <w:spacing w:before="240" w:after="240"/>
      <w:jc w:val="both"/>
    </w:pPr>
    <w:rPr>
      <w:b/>
      <w:sz w:val="24"/>
      <w:szCs w:val="24"/>
      <w:u w:val="single"/>
      <w:lang w:eastAsia="en-US"/>
    </w:rPr>
  </w:style>
  <w:style w:type="paragraph" w:customStyle="1" w:styleId="HEADINGALLCAPS">
    <w:name w:val="HEADING_ALLCAPS"/>
    <w:next w:val="Normal"/>
    <w:rsid w:val="00B44EF4"/>
    <w:pPr>
      <w:spacing w:before="240" w:after="120"/>
      <w:jc w:val="both"/>
    </w:pPr>
    <w:rPr>
      <w:rFonts w:ascii="Times New Roman Bold" w:hAnsi="Times New Roman Bold"/>
      <w:b/>
      <w:caps/>
      <w:sz w:val="24"/>
      <w:szCs w:val="24"/>
      <w:lang w:eastAsia="en-US"/>
    </w:rPr>
  </w:style>
  <w:style w:type="paragraph" w:customStyle="1" w:styleId="HEADINGSmallcaps">
    <w:name w:val="HEADING_Smallcaps"/>
    <w:next w:val="Normal"/>
    <w:rsid w:val="00B44EF4"/>
    <w:pPr>
      <w:keepNext/>
      <w:spacing w:before="240" w:after="120"/>
      <w:jc w:val="both"/>
    </w:pPr>
    <w:rPr>
      <w:rFonts w:ascii="Times New Roman Bold" w:hAnsi="Times New Roman Bold"/>
      <w:b/>
      <w:smallCaps/>
      <w:sz w:val="24"/>
      <w:szCs w:val="24"/>
      <w:lang w:eastAsia="en-US"/>
    </w:rPr>
  </w:style>
  <w:style w:type="paragraph" w:customStyle="1" w:styleId="HEADINGTitleCase">
    <w:name w:val="HEADING_TitleCase"/>
    <w:next w:val="Normal"/>
    <w:rsid w:val="00B44EF4"/>
    <w:pPr>
      <w:keepNext/>
      <w:spacing w:before="240" w:after="120"/>
    </w:pPr>
    <w:rPr>
      <w:b/>
      <w:sz w:val="24"/>
      <w:szCs w:val="24"/>
      <w:lang w:eastAsia="en-US"/>
    </w:rPr>
  </w:style>
  <w:style w:type="paragraph" w:customStyle="1" w:styleId="NormalSS">
    <w:name w:val="Normal (SS)"/>
    <w:basedOn w:val="Normal"/>
    <w:pPr>
      <w:spacing w:after="0"/>
    </w:pPr>
  </w:style>
  <w:style w:type="paragraph" w:styleId="NormalIndent">
    <w:name w:val="Normal Indent"/>
    <w:basedOn w:val="Normal"/>
    <w:pPr>
      <w:ind w:left="720"/>
    </w:pPr>
  </w:style>
  <w:style w:type="table" w:customStyle="1" w:styleId="TableSSO">
    <w:name w:val="Table SSO"/>
    <w:basedOn w:val="TableNormal"/>
    <w:semiHidden/>
    <w:rsid w:val="00B44EF4"/>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paragraph" w:customStyle="1" w:styleId="TableSSOCellNumbering">
    <w:name w:val="Table SSO Cell Numbering"/>
    <w:rsid w:val="00B44EF4"/>
    <w:pPr>
      <w:numPr>
        <w:numId w:val="26"/>
      </w:numPr>
      <w:tabs>
        <w:tab w:val="left" w:pos="567"/>
      </w:tabs>
      <w:spacing w:before="120" w:after="120"/>
    </w:pPr>
    <w:rPr>
      <w:sz w:val="24"/>
      <w:szCs w:val="24"/>
      <w:lang w:eastAsia="en-US"/>
    </w:rPr>
  </w:style>
  <w:style w:type="table" w:styleId="TableGrid">
    <w:name w:val="Table Grid"/>
    <w:basedOn w:val="TableNormal"/>
    <w:rsid w:val="00B44EF4"/>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link w:val="BalloonTextChar"/>
    <w:unhideWhenUsed/>
    <w:rsid w:val="00B44EF4"/>
    <w:rPr>
      <w:rFonts w:ascii="Tahoma" w:hAnsi="Tahoma" w:cs="Tahoma"/>
      <w:sz w:val="16"/>
      <w:szCs w:val="16"/>
      <w:lang w:eastAsia="en-US"/>
    </w:rPr>
  </w:style>
  <w:style w:type="character" w:customStyle="1" w:styleId="BalloonTextChar">
    <w:name w:val="Balloon Text Char"/>
    <w:link w:val="BalloonText"/>
    <w:rsid w:val="00B44EF4"/>
    <w:rPr>
      <w:rFonts w:ascii="Tahoma" w:hAnsi="Tahoma" w:cs="Tahoma"/>
      <w:sz w:val="16"/>
      <w:szCs w:val="16"/>
      <w:lang w:eastAsia="en-US"/>
    </w:rPr>
  </w:style>
  <w:style w:type="character" w:styleId="CommentReference">
    <w:name w:val="annotation reference"/>
    <w:unhideWhenUsed/>
    <w:rsid w:val="00B44EF4"/>
    <w:rPr>
      <w:sz w:val="16"/>
      <w:szCs w:val="16"/>
    </w:rPr>
  </w:style>
  <w:style w:type="paragraph" w:styleId="CommentText">
    <w:name w:val="annotation text"/>
    <w:link w:val="CommentTextChar"/>
    <w:unhideWhenUsed/>
    <w:rsid w:val="00B44EF4"/>
    <w:rPr>
      <w:lang w:eastAsia="en-US"/>
    </w:rPr>
  </w:style>
  <w:style w:type="character" w:customStyle="1" w:styleId="CommentTextChar">
    <w:name w:val="Comment Text Char"/>
    <w:link w:val="CommentText"/>
    <w:rsid w:val="00B44EF4"/>
    <w:rPr>
      <w:lang w:eastAsia="en-US"/>
    </w:rPr>
  </w:style>
  <w:style w:type="paragraph" w:styleId="CommentSubject">
    <w:name w:val="annotation subject"/>
    <w:basedOn w:val="CommentText"/>
    <w:next w:val="CommentText"/>
    <w:link w:val="CommentSubjectChar"/>
    <w:unhideWhenUsed/>
    <w:rsid w:val="00B44EF4"/>
    <w:rPr>
      <w:b/>
      <w:bCs/>
    </w:rPr>
  </w:style>
  <w:style w:type="character" w:customStyle="1" w:styleId="CommentSubjectChar">
    <w:name w:val="Comment Subject Char"/>
    <w:link w:val="CommentSubject"/>
    <w:rsid w:val="00B44EF4"/>
    <w:rPr>
      <w:b/>
      <w:bCs/>
      <w:lang w:eastAsia="en-US"/>
    </w:rPr>
  </w:style>
  <w:style w:type="character" w:styleId="EndnoteReference">
    <w:name w:val="endnote reference"/>
    <w:unhideWhenUsed/>
    <w:rsid w:val="00B44EF4"/>
    <w:rPr>
      <w:sz w:val="20"/>
      <w:vertAlign w:val="superscript"/>
    </w:rPr>
  </w:style>
  <w:style w:type="paragraph" w:styleId="EndnoteText">
    <w:name w:val="endnote text"/>
    <w:link w:val="EndnoteTextChar"/>
    <w:unhideWhenUsed/>
    <w:rsid w:val="00B44EF4"/>
    <w:rPr>
      <w:lang w:eastAsia="en-US"/>
    </w:rPr>
  </w:style>
  <w:style w:type="character" w:customStyle="1" w:styleId="EndnoteTextChar">
    <w:name w:val="Endnote Text Char"/>
    <w:link w:val="EndnoteText"/>
    <w:rsid w:val="00B44EF4"/>
    <w:rPr>
      <w:lang w:eastAsia="en-US"/>
    </w:rPr>
  </w:style>
  <w:style w:type="paragraph" w:customStyle="1" w:styleId="Indent15cm">
    <w:name w:val="Indent 1.5 cm"/>
    <w:rsid w:val="00B44EF4"/>
    <w:pPr>
      <w:spacing w:before="120" w:after="120"/>
      <w:ind w:left="851"/>
      <w:jc w:val="both"/>
    </w:pPr>
    <w:rPr>
      <w:sz w:val="24"/>
      <w:szCs w:val="24"/>
      <w:lang w:eastAsia="en-US"/>
    </w:rPr>
  </w:style>
  <w:style w:type="paragraph" w:customStyle="1" w:styleId="Indent3cm">
    <w:name w:val="Indent 3 cm"/>
    <w:rsid w:val="00B44EF4"/>
    <w:pPr>
      <w:spacing w:before="120" w:after="120"/>
      <w:ind w:left="1701"/>
      <w:jc w:val="both"/>
    </w:pPr>
    <w:rPr>
      <w:sz w:val="24"/>
      <w:szCs w:val="24"/>
      <w:lang w:eastAsia="en-US"/>
    </w:rPr>
  </w:style>
  <w:style w:type="paragraph" w:customStyle="1" w:styleId="Indent45cm">
    <w:name w:val="Indent 4.5 cm"/>
    <w:rsid w:val="00B44EF4"/>
    <w:pPr>
      <w:spacing w:before="120" w:after="120"/>
      <w:ind w:left="2552"/>
      <w:jc w:val="both"/>
    </w:pPr>
    <w:rPr>
      <w:sz w:val="24"/>
      <w:szCs w:val="24"/>
      <w:lang w:eastAsia="en-US"/>
    </w:rPr>
  </w:style>
  <w:style w:type="paragraph" w:customStyle="1" w:styleId="Indent6cm">
    <w:name w:val="Indent 6 cm"/>
    <w:rsid w:val="00B44EF4"/>
    <w:pPr>
      <w:spacing w:before="120" w:after="120"/>
      <w:ind w:left="3402"/>
      <w:jc w:val="both"/>
    </w:pPr>
    <w:rPr>
      <w:sz w:val="24"/>
      <w:szCs w:val="24"/>
      <w:lang w:eastAsia="en-US"/>
    </w:rPr>
  </w:style>
  <w:style w:type="character" w:customStyle="1" w:styleId="QuoteChar">
    <w:name w:val="Quote Char"/>
    <w:link w:val="Quote"/>
    <w:rsid w:val="00B44EF4"/>
    <w:rPr>
      <w:i/>
      <w:sz w:val="22"/>
      <w:szCs w:val="24"/>
      <w:lang w:eastAsia="en-US"/>
    </w:rPr>
  </w:style>
  <w:style w:type="paragraph" w:customStyle="1" w:styleId="QuoteNoItalics">
    <w:name w:val="Quote_NoItalics"/>
    <w:qFormat/>
    <w:rsid w:val="00B44EF4"/>
    <w:pPr>
      <w:spacing w:before="120" w:after="120"/>
      <w:ind w:left="1134"/>
      <w:jc w:val="both"/>
    </w:pPr>
    <w:rPr>
      <w:sz w:val="22"/>
      <w:szCs w:val="24"/>
      <w:lang w:eastAsia="en-US"/>
    </w:rPr>
  </w:style>
  <w:style w:type="paragraph" w:customStyle="1" w:styleId="SSOContinuousOutlineNumbering">
    <w:name w:val="SSO Continuous Outline Numbering"/>
    <w:qFormat/>
    <w:rsid w:val="00B44EF4"/>
    <w:pPr>
      <w:numPr>
        <w:numId w:val="25"/>
      </w:numPr>
      <w:spacing w:before="120" w:after="120"/>
      <w:jc w:val="both"/>
    </w:pPr>
    <w:rPr>
      <w:sz w:val="24"/>
      <w:szCs w:val="24"/>
      <w:lang w:eastAsia="en-US"/>
    </w:rPr>
  </w:style>
  <w:style w:type="character" w:styleId="Hyperlink">
    <w:name w:val="Hyperlink"/>
    <w:basedOn w:val="DefaultParagraphFont"/>
    <w:uiPriority w:val="99"/>
    <w:rsid w:val="00FB7416"/>
    <w:rPr>
      <w:color w:val="0000FF" w:themeColor="hyperlink"/>
      <w:u w:val="single"/>
    </w:rPr>
  </w:style>
  <w:style w:type="character" w:customStyle="1" w:styleId="FooterChar">
    <w:name w:val="Footer Char"/>
    <w:basedOn w:val="DefaultParagraphFont"/>
    <w:link w:val="Footer"/>
    <w:uiPriority w:val="99"/>
    <w:rsid w:val="00FB7416"/>
    <w:rPr>
      <w:sz w:val="24"/>
      <w:szCs w:val="24"/>
      <w:lang w:eastAsia="en-US"/>
    </w:rPr>
  </w:style>
  <w:style w:type="paragraph" w:styleId="ListParagraph">
    <w:name w:val="List Paragraph"/>
    <w:basedOn w:val="Normal"/>
    <w:uiPriority w:val="34"/>
    <w:qFormat/>
    <w:rsid w:val="00864436"/>
    <w:pPr>
      <w:ind w:left="720"/>
      <w:contextualSpacing/>
    </w:pPr>
  </w:style>
  <w:style w:type="paragraph" w:styleId="NormalWeb">
    <w:name w:val="Normal (Web)"/>
    <w:basedOn w:val="Normal"/>
    <w:uiPriority w:val="99"/>
    <w:unhideWhenUsed/>
    <w:rsid w:val="00B532EE"/>
    <w:pPr>
      <w:spacing w:before="100" w:beforeAutospacing="1" w:after="100" w:afterAutospacing="1" w:line="274" w:lineRule="auto"/>
      <w:jc w:val="left"/>
    </w:pPr>
    <w:rPr>
      <w:rFonts w:asciiTheme="minorHAnsi" w:eastAsiaTheme="minorEastAsia" w:hAnsiTheme="minorHAnsi" w:cstheme="minorBidi"/>
      <w:sz w:val="21"/>
      <w:szCs w:val="22"/>
      <w:lang w:eastAsia="en-AU"/>
    </w:rPr>
  </w:style>
  <w:style w:type="paragraph" w:customStyle="1" w:styleId="Default">
    <w:name w:val="Default"/>
    <w:rsid w:val="00B532EE"/>
    <w:pPr>
      <w:pBdr>
        <w:top w:val="nil"/>
        <w:left w:val="nil"/>
        <w:bottom w:val="nil"/>
        <w:right w:val="nil"/>
        <w:between w:val="nil"/>
        <w:bar w:val="nil"/>
      </w:pBdr>
      <w:spacing w:after="200" w:line="276" w:lineRule="auto"/>
    </w:pPr>
    <w:rPr>
      <w:rFonts w:ascii="Helvetica" w:eastAsia="Arial Unicode MS" w:hAnsi="Helvetica" w:cs="Arial Unicode MS"/>
      <w:color w:val="000000"/>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520312">
      <w:bodyDiv w:val="1"/>
      <w:marLeft w:val="0"/>
      <w:marRight w:val="0"/>
      <w:marTop w:val="0"/>
      <w:marBottom w:val="0"/>
      <w:divBdr>
        <w:top w:val="none" w:sz="0" w:space="0" w:color="auto"/>
        <w:left w:val="none" w:sz="0" w:space="0" w:color="auto"/>
        <w:bottom w:val="none" w:sz="0" w:space="0" w:color="auto"/>
        <w:right w:val="none" w:sz="0" w:space="0" w:color="auto"/>
      </w:divBdr>
      <w:divsChild>
        <w:div w:id="910583327">
          <w:marLeft w:val="0"/>
          <w:marRight w:val="0"/>
          <w:marTop w:val="0"/>
          <w:marBottom w:val="0"/>
          <w:divBdr>
            <w:top w:val="none" w:sz="0" w:space="0" w:color="auto"/>
            <w:left w:val="none" w:sz="0" w:space="0" w:color="auto"/>
            <w:bottom w:val="none" w:sz="0" w:space="0" w:color="auto"/>
            <w:right w:val="none" w:sz="0" w:space="0" w:color="auto"/>
          </w:divBdr>
          <w:divsChild>
            <w:div w:id="1508791430">
              <w:marLeft w:val="0"/>
              <w:marRight w:val="0"/>
              <w:marTop w:val="0"/>
              <w:marBottom w:val="0"/>
              <w:divBdr>
                <w:top w:val="none" w:sz="0" w:space="0" w:color="auto"/>
                <w:left w:val="none" w:sz="0" w:space="0" w:color="auto"/>
                <w:bottom w:val="none" w:sz="0" w:space="0" w:color="auto"/>
                <w:right w:val="none" w:sz="0" w:space="0" w:color="auto"/>
              </w:divBdr>
              <w:divsChild>
                <w:div w:id="2848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0706">
      <w:bodyDiv w:val="1"/>
      <w:marLeft w:val="0"/>
      <w:marRight w:val="0"/>
      <w:marTop w:val="0"/>
      <w:marBottom w:val="0"/>
      <w:divBdr>
        <w:top w:val="none" w:sz="0" w:space="0" w:color="auto"/>
        <w:left w:val="none" w:sz="0" w:space="0" w:color="auto"/>
        <w:bottom w:val="none" w:sz="0" w:space="0" w:color="auto"/>
        <w:right w:val="none" w:sz="0" w:space="0" w:color="auto"/>
      </w:divBdr>
      <w:divsChild>
        <w:div w:id="1804078911">
          <w:marLeft w:val="0"/>
          <w:marRight w:val="0"/>
          <w:marTop w:val="0"/>
          <w:marBottom w:val="0"/>
          <w:divBdr>
            <w:top w:val="none" w:sz="0" w:space="0" w:color="auto"/>
            <w:left w:val="none" w:sz="0" w:space="0" w:color="auto"/>
            <w:bottom w:val="none" w:sz="0" w:space="0" w:color="auto"/>
            <w:right w:val="none" w:sz="0" w:space="0" w:color="auto"/>
          </w:divBdr>
          <w:divsChild>
            <w:div w:id="185103621">
              <w:marLeft w:val="0"/>
              <w:marRight w:val="0"/>
              <w:marTop w:val="0"/>
              <w:marBottom w:val="0"/>
              <w:divBdr>
                <w:top w:val="none" w:sz="0" w:space="0" w:color="auto"/>
                <w:left w:val="none" w:sz="0" w:space="0" w:color="auto"/>
                <w:bottom w:val="none" w:sz="0" w:space="0" w:color="auto"/>
                <w:right w:val="none" w:sz="0" w:space="0" w:color="auto"/>
              </w:divBdr>
              <w:divsChild>
                <w:div w:id="802700469">
                  <w:marLeft w:val="0"/>
                  <w:marRight w:val="0"/>
                  <w:marTop w:val="0"/>
                  <w:marBottom w:val="0"/>
                  <w:divBdr>
                    <w:top w:val="none" w:sz="0" w:space="0" w:color="auto"/>
                    <w:left w:val="none" w:sz="0" w:space="0" w:color="auto"/>
                    <w:bottom w:val="none" w:sz="0" w:space="0" w:color="auto"/>
                    <w:right w:val="none" w:sz="0" w:space="0" w:color="auto"/>
                  </w:divBdr>
                  <w:divsChild>
                    <w:div w:id="1612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mailto:jaraya@ohchr.org" TargetMode="Externa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allmeansall.org.au" TargetMode="External"/><Relationship Id="rId4" Type="http://schemas.openxmlformats.org/officeDocument/2006/relationships/webSettings" Target="webSettings.xml"/><Relationship Id="rId9" Type="http://schemas.openxmlformats.org/officeDocument/2006/relationships/hyperlink" Target="mailto:hello@allmeansall.org.au" TargetMode="Externa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allmeansall.org.au/research/" TargetMode="External"/><Relationship Id="rId4" Type="http://schemas.openxmlformats.org/officeDocument/2006/relationships/hyperlink" Target="http://allmeansall.org.au/wp-content/uploads/2017/10/TIES-4.0-20172.pdf" TargetMode="External"/><Relationship Id="rId1" Type="http://schemas.openxmlformats.org/officeDocument/2006/relationships/hyperlink" Target="http://www.abs.gov.au/AUSSTATS/abs@.nsf/DetailsPage/4221.02013" TargetMode="External"/><Relationship Id="rId2" Type="http://schemas.openxmlformats.org/officeDocument/2006/relationships/hyperlink" Target="http://www.aihw.gov.au/getmedia/34f09557-0acf-4adf-837d-eada7b74d466/Education-20905.pdf.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4A8FD1-4958-4E4D-8B42-6E48191ECE06}"/>
</file>

<file path=customXml/itemProps2.xml><?xml version="1.0" encoding="utf-8"?>
<ds:datastoreItem xmlns:ds="http://schemas.openxmlformats.org/officeDocument/2006/customXml" ds:itemID="{42E128CE-5EEC-42CD-A6D7-10912F63E0CE}"/>
</file>

<file path=customXml/itemProps3.xml><?xml version="1.0" encoding="utf-8"?>
<ds:datastoreItem xmlns:ds="http://schemas.openxmlformats.org/officeDocument/2006/customXml" ds:itemID="{B08F4027-4B5A-4A65-B314-9A30E2AB8208}"/>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7933</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DOTAG</Company>
  <LinksUpToDate>false</LinksUpToDate>
  <CharactersWithSpaces>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SSO</dc:creator>
  <cp:lastModifiedBy>Microsoft Office User</cp:lastModifiedBy>
  <cp:revision>2</cp:revision>
  <cp:lastPrinted>2017-11-30T15:21:00Z</cp:lastPrinted>
  <dcterms:created xsi:type="dcterms:W3CDTF">2017-11-30T15:37:00Z</dcterms:created>
  <dcterms:modified xsi:type="dcterms:W3CDTF">2017-11-30T15:37:00Z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