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56"/>
          <w:szCs w:val="56"/>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56"/>
          <w:szCs w:val="56"/>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56"/>
          <w:szCs w:val="56"/>
        </w:rPr>
      </w:pPr>
      <w:r w:rsidRPr="00CD5AF5">
        <w:rPr>
          <w:rFonts w:cs="HelveticaNeue-Bold"/>
          <w:b/>
          <w:bCs/>
          <w:sz w:val="56"/>
          <w:szCs w:val="56"/>
        </w:rPr>
        <w:t>Committee on the Rights of Persons with Disabilities</w:t>
      </w: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56"/>
          <w:szCs w:val="56"/>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56"/>
          <w:szCs w:val="56"/>
        </w:rPr>
      </w:pPr>
    </w:p>
    <w:p w:rsidR="00443FFA" w:rsidRPr="00CD5AF5" w:rsidRDefault="00443FFA" w:rsidP="005D2A85">
      <w:pPr>
        <w:keepNext/>
        <w:keepLines/>
        <w:suppressAutoHyphens/>
        <w:autoSpaceDE w:val="0"/>
        <w:autoSpaceDN w:val="0"/>
        <w:adjustRightInd w:val="0"/>
        <w:jc w:val="center"/>
        <w:textAlignment w:val="center"/>
        <w:outlineLvl w:val="0"/>
        <w:rPr>
          <w:rFonts w:cs="HelveticaNeue-Bold"/>
          <w:b/>
          <w:bCs/>
          <w:sz w:val="56"/>
          <w:szCs w:val="56"/>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56"/>
          <w:szCs w:val="56"/>
        </w:rPr>
      </w:pPr>
    </w:p>
    <w:p w:rsidR="005D2A85" w:rsidRPr="00CD5AF5" w:rsidRDefault="005D2A85" w:rsidP="005D2A85">
      <w:pPr>
        <w:jc w:val="center"/>
        <w:rPr>
          <w:b/>
          <w:sz w:val="40"/>
          <w:szCs w:val="40"/>
        </w:rPr>
      </w:pPr>
      <w:r w:rsidRPr="00CD5AF5">
        <w:rPr>
          <w:b/>
          <w:sz w:val="40"/>
          <w:szCs w:val="40"/>
        </w:rPr>
        <w:t>Draft General Comment on the right of persons with disabilities to enjoy eq</w:t>
      </w:r>
      <w:r w:rsidR="00124D46" w:rsidRPr="00CD5AF5">
        <w:rPr>
          <w:b/>
          <w:sz w:val="40"/>
          <w:szCs w:val="40"/>
        </w:rPr>
        <w:t>uality and non-discrimination (A</w:t>
      </w:r>
      <w:r w:rsidRPr="00CD5AF5">
        <w:rPr>
          <w:b/>
          <w:sz w:val="40"/>
          <w:szCs w:val="40"/>
        </w:rPr>
        <w:t>rticle 5)</w:t>
      </w: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443FFA" w:rsidRPr="00CD5AF5" w:rsidRDefault="00443FFA" w:rsidP="005D2A85">
      <w:pPr>
        <w:keepNext/>
        <w:keepLines/>
        <w:suppressAutoHyphens/>
        <w:autoSpaceDE w:val="0"/>
        <w:autoSpaceDN w:val="0"/>
        <w:adjustRightInd w:val="0"/>
        <w:jc w:val="center"/>
        <w:textAlignment w:val="center"/>
        <w:outlineLvl w:val="0"/>
        <w:rPr>
          <w:rFonts w:cs="HelveticaNeue-Bold"/>
          <w:b/>
          <w:bCs/>
          <w:sz w:val="32"/>
          <w:szCs w:val="32"/>
        </w:rPr>
      </w:pPr>
    </w:p>
    <w:p w:rsidR="00443FFA" w:rsidRPr="00CD5AF5" w:rsidRDefault="00443FFA" w:rsidP="005D2A85">
      <w:pPr>
        <w:keepNext/>
        <w:keepLines/>
        <w:suppressAutoHyphens/>
        <w:autoSpaceDE w:val="0"/>
        <w:autoSpaceDN w:val="0"/>
        <w:adjustRightInd w:val="0"/>
        <w:jc w:val="center"/>
        <w:textAlignment w:val="center"/>
        <w:outlineLvl w:val="0"/>
        <w:rPr>
          <w:rFonts w:cs="HelveticaNeue-Bold"/>
          <w:b/>
          <w:bCs/>
          <w:sz w:val="32"/>
          <w:szCs w:val="32"/>
        </w:rPr>
      </w:pPr>
    </w:p>
    <w:p w:rsidR="00443FFA" w:rsidRPr="00CD5AF5" w:rsidRDefault="00443FFA" w:rsidP="005D2A85">
      <w:pPr>
        <w:keepNext/>
        <w:keepLines/>
        <w:suppressAutoHyphens/>
        <w:autoSpaceDE w:val="0"/>
        <w:autoSpaceDN w:val="0"/>
        <w:adjustRightInd w:val="0"/>
        <w:jc w:val="center"/>
        <w:textAlignment w:val="center"/>
        <w:outlineLvl w:val="0"/>
        <w:rPr>
          <w:rFonts w:cs="HelveticaNeue-Bold"/>
          <w:b/>
          <w:bCs/>
          <w:sz w:val="32"/>
          <w:szCs w:val="32"/>
        </w:rPr>
      </w:pPr>
    </w:p>
    <w:p w:rsidR="00443FFA" w:rsidRPr="00CD5AF5" w:rsidRDefault="00443FFA" w:rsidP="005D2A85">
      <w:pPr>
        <w:keepNext/>
        <w:keepLines/>
        <w:suppressAutoHyphens/>
        <w:autoSpaceDE w:val="0"/>
        <w:autoSpaceDN w:val="0"/>
        <w:adjustRightInd w:val="0"/>
        <w:jc w:val="center"/>
        <w:textAlignment w:val="center"/>
        <w:outlineLvl w:val="0"/>
        <w:rPr>
          <w:rFonts w:cs="HelveticaNeue-Bold"/>
          <w:b/>
          <w:bCs/>
          <w:sz w:val="32"/>
          <w:szCs w:val="32"/>
        </w:rPr>
      </w:pPr>
    </w:p>
    <w:p w:rsidR="00443FFA" w:rsidRPr="00CD5AF5" w:rsidRDefault="00443FFA"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2"/>
          <w:szCs w:val="32"/>
        </w:rPr>
      </w:pPr>
    </w:p>
    <w:p w:rsidR="005D2A85" w:rsidRPr="00CD5AF5" w:rsidRDefault="005D2A85" w:rsidP="005D2A85">
      <w:pPr>
        <w:keepNext/>
        <w:keepLines/>
        <w:suppressAutoHyphens/>
        <w:autoSpaceDE w:val="0"/>
        <w:autoSpaceDN w:val="0"/>
        <w:adjustRightInd w:val="0"/>
        <w:jc w:val="center"/>
        <w:textAlignment w:val="center"/>
        <w:outlineLvl w:val="0"/>
        <w:rPr>
          <w:rFonts w:cs="HelveticaNeue-Bold"/>
          <w:b/>
          <w:bCs/>
          <w:sz w:val="36"/>
          <w:szCs w:val="36"/>
        </w:rPr>
      </w:pPr>
      <w:r w:rsidRPr="00CD5AF5">
        <w:rPr>
          <w:rFonts w:cs="HelveticaNeue-Bold"/>
          <w:b/>
          <w:bCs/>
          <w:sz w:val="36"/>
          <w:szCs w:val="36"/>
        </w:rPr>
        <w:t>Children and Young People with Disability Australia</w:t>
      </w:r>
    </w:p>
    <w:p w:rsidR="005D2A85" w:rsidRPr="00CD5AF5" w:rsidRDefault="005D2A85" w:rsidP="005D2A85">
      <w:pPr>
        <w:jc w:val="center"/>
        <w:rPr>
          <w:sz w:val="36"/>
          <w:szCs w:val="36"/>
        </w:rPr>
      </w:pPr>
      <w:r w:rsidRPr="00CD5AF5">
        <w:rPr>
          <w:rFonts w:cs="HelveticaNeue-Bold"/>
          <w:b/>
          <w:bCs/>
          <w:sz w:val="36"/>
          <w:szCs w:val="36"/>
        </w:rPr>
        <w:t>Submission – November 2017</w:t>
      </w:r>
    </w:p>
    <w:p w:rsidR="005D2A85" w:rsidRPr="00CD5AF5" w:rsidRDefault="005D2A85" w:rsidP="005D2A85">
      <w:pPr>
        <w:shd w:val="clear" w:color="auto" w:fill="FFFFFF"/>
        <w:rPr>
          <w:rFonts w:eastAsia="Times New Roman" w:cs="Helvetica"/>
          <w:b/>
          <w:lang w:eastAsia="en-AU"/>
        </w:rPr>
      </w:pPr>
    </w:p>
    <w:p w:rsidR="005D2A85" w:rsidRPr="00CD5AF5" w:rsidRDefault="005D2A85" w:rsidP="005D2A85">
      <w:pPr>
        <w:rPr>
          <w:rFonts w:eastAsia="Times New Roman" w:cs="Times New Roman"/>
          <w:b/>
          <w:bCs/>
          <w:kern w:val="36"/>
          <w:sz w:val="24"/>
          <w:szCs w:val="48"/>
          <w:lang w:eastAsia="en-AU"/>
        </w:rPr>
      </w:pPr>
      <w:r w:rsidRPr="00CD5AF5">
        <w:br w:type="page"/>
      </w:r>
    </w:p>
    <w:p w:rsidR="00124D46" w:rsidRPr="00CD5AF5" w:rsidRDefault="00124D46" w:rsidP="005E6AAB">
      <w:pPr>
        <w:pStyle w:val="Heading1"/>
        <w:spacing w:before="0"/>
        <w:rPr>
          <w:rFonts w:asciiTheme="minorHAnsi" w:hAnsiTheme="minorHAnsi"/>
          <w:b/>
          <w:color w:val="auto"/>
          <w:sz w:val="22"/>
          <w:szCs w:val="22"/>
        </w:rPr>
      </w:pPr>
      <w:r w:rsidRPr="00CD5AF5">
        <w:rPr>
          <w:rFonts w:asciiTheme="minorHAnsi" w:hAnsiTheme="minorHAnsi"/>
          <w:b/>
          <w:color w:val="auto"/>
          <w:sz w:val="22"/>
          <w:szCs w:val="22"/>
        </w:rPr>
        <w:lastRenderedPageBreak/>
        <w:t>INTRODUCTION</w:t>
      </w:r>
    </w:p>
    <w:p w:rsidR="00124D46" w:rsidRPr="00CD5AF5" w:rsidRDefault="00124D46" w:rsidP="005E6AAB">
      <w:pPr>
        <w:rPr>
          <w:szCs w:val="22"/>
        </w:rPr>
      </w:pPr>
    </w:p>
    <w:p w:rsidR="00333276" w:rsidRPr="00CD5AF5" w:rsidRDefault="00124D46" w:rsidP="001C6E83">
      <w:pPr>
        <w:pStyle w:val="ListParagraph"/>
        <w:rPr>
          <w:szCs w:val="22"/>
        </w:rPr>
      </w:pPr>
      <w:r w:rsidRPr="00CD5AF5">
        <w:rPr>
          <w:szCs w:val="22"/>
        </w:rPr>
        <w:t>Children and Young People with Disability Australia (CYDA) is the national representative organisation for children and young people with disability, aged 0 to 25 years.</w:t>
      </w:r>
      <w:r w:rsidR="00536429" w:rsidRPr="00CD5AF5">
        <w:rPr>
          <w:szCs w:val="22"/>
        </w:rPr>
        <w:t xml:space="preserve"> </w:t>
      </w:r>
    </w:p>
    <w:p w:rsidR="00333276" w:rsidRPr="00CD5AF5" w:rsidRDefault="00333276" w:rsidP="001C6E83">
      <w:pPr>
        <w:pStyle w:val="ListParagraph"/>
        <w:numPr>
          <w:ilvl w:val="0"/>
          <w:numId w:val="0"/>
        </w:numPr>
        <w:ind w:left="641"/>
        <w:rPr>
          <w:szCs w:val="22"/>
        </w:rPr>
      </w:pPr>
    </w:p>
    <w:p w:rsidR="005E6AAB" w:rsidRDefault="00A72266" w:rsidP="00C61675">
      <w:pPr>
        <w:pStyle w:val="ListParagraph"/>
      </w:pPr>
      <w:r w:rsidRPr="00C61675">
        <w:t>CYDA’</w:t>
      </w:r>
      <w:r w:rsidR="00FF19CA" w:rsidRPr="00C61675">
        <w:t>s</w:t>
      </w:r>
      <w:r w:rsidRPr="00C61675">
        <w:t xml:space="preserve"> purpose is to advocate systemically at the national level for the rights and interests of all children and young people with disability living in Australia as individuals, members of a family and their community.</w:t>
      </w:r>
      <w:r w:rsidR="00981FA8" w:rsidRPr="00C61675">
        <w:t xml:space="preserve"> </w:t>
      </w:r>
    </w:p>
    <w:p w:rsidR="00C61675" w:rsidRDefault="00C61675" w:rsidP="00C61675">
      <w:pPr>
        <w:pStyle w:val="ListParagraph"/>
        <w:numPr>
          <w:ilvl w:val="0"/>
          <w:numId w:val="0"/>
        </w:numPr>
        <w:ind w:left="357"/>
      </w:pPr>
    </w:p>
    <w:p w:rsidR="00C61675" w:rsidRPr="00CD5AF5" w:rsidRDefault="00C61675" w:rsidP="00C61675">
      <w:pPr>
        <w:pStyle w:val="ListParagraph"/>
        <w:rPr>
          <w:rFonts w:eastAsia="MS Mincho" w:cstheme="minorHAnsi"/>
        </w:rPr>
      </w:pPr>
      <w:r>
        <w:t>CYDA welcomes the opportunity to provide a submission about the draft General Comment on the right to enjoy equality and non-discrimination enshrined in Article 5 of the Convention on the Rights of Persons with Disabilities (CRPD). CYDA commends the work of the Committee in developing guidance for States Parties on implementing obligations in relation to equality and non-discrimination at the domestic level. This submission focuses on the experiences, opportunities and challenges for children and young people with disability.</w:t>
      </w:r>
    </w:p>
    <w:p w:rsidR="00957CEF" w:rsidRPr="00CD5AF5" w:rsidRDefault="00957CEF" w:rsidP="00957CEF">
      <w:pPr>
        <w:pStyle w:val="ListParagraph"/>
        <w:numPr>
          <w:ilvl w:val="0"/>
          <w:numId w:val="0"/>
        </w:numPr>
        <w:ind w:left="357"/>
        <w:rPr>
          <w:b/>
          <w:szCs w:val="22"/>
        </w:rPr>
      </w:pPr>
    </w:p>
    <w:p w:rsidR="00337E54" w:rsidRPr="00CD5AF5" w:rsidRDefault="00337E54" w:rsidP="005E6AAB">
      <w:pPr>
        <w:rPr>
          <w:b/>
          <w:szCs w:val="22"/>
        </w:rPr>
      </w:pPr>
      <w:r w:rsidRPr="00CD5AF5">
        <w:rPr>
          <w:b/>
          <w:szCs w:val="22"/>
        </w:rPr>
        <w:t>GENERAL</w:t>
      </w:r>
      <w:r w:rsidR="00957CEF" w:rsidRPr="00CD5AF5">
        <w:rPr>
          <w:b/>
          <w:szCs w:val="22"/>
        </w:rPr>
        <w:t xml:space="preserve"> FEEDBACK</w:t>
      </w:r>
    </w:p>
    <w:p w:rsidR="00B65911" w:rsidRPr="00CD5AF5" w:rsidRDefault="00B65911" w:rsidP="00B65911">
      <w:pPr>
        <w:pStyle w:val="ListParagraph"/>
        <w:numPr>
          <w:ilvl w:val="0"/>
          <w:numId w:val="0"/>
        </w:numPr>
        <w:ind w:left="357"/>
      </w:pPr>
    </w:p>
    <w:p w:rsidR="00EA2195" w:rsidRPr="00CD5AF5" w:rsidRDefault="00FE7EB3" w:rsidP="00EA2195">
      <w:pPr>
        <w:pStyle w:val="ListParagraph"/>
        <w:rPr>
          <w:lang w:val="en-US"/>
        </w:rPr>
      </w:pPr>
      <w:r w:rsidRPr="00CD5AF5">
        <w:t xml:space="preserve">CYDA is concerned </w:t>
      </w:r>
      <w:r w:rsidR="00FF19CA" w:rsidRPr="00CD5AF5">
        <w:t>about the</w:t>
      </w:r>
      <w:r w:rsidR="005A3847" w:rsidRPr="00CD5AF5">
        <w:t xml:space="preserve"> perpetuation of the medical model in relation to disability in </w:t>
      </w:r>
      <w:r w:rsidR="004B6F5F" w:rsidRPr="00CD5AF5">
        <w:t>Australia</w:t>
      </w:r>
      <w:r w:rsidR="00EA2195" w:rsidRPr="00CD5AF5">
        <w:t xml:space="preserve">. </w:t>
      </w:r>
      <w:r w:rsidR="007B055C" w:rsidRPr="00CD5AF5">
        <w:t xml:space="preserve">This is evident in existing </w:t>
      </w:r>
      <w:r w:rsidR="007E2BA9" w:rsidRPr="00CD5AF5">
        <w:t xml:space="preserve">laws, </w:t>
      </w:r>
      <w:r w:rsidR="007B055C" w:rsidRPr="00CD5AF5">
        <w:t>policies and practices and is being resorted to in some new reform initiatives.</w:t>
      </w:r>
      <w:r w:rsidR="00EA2195" w:rsidRPr="00CD5AF5">
        <w:t xml:space="preserve"> Failure to change this approach is sustaining a damaging deficit view of disability. The impact of a deficit approach is reflected in reports CYDA has received of children and young people with disability and their families having to p</w:t>
      </w:r>
      <w:r w:rsidR="00981FA8" w:rsidRPr="00CD5AF5">
        <w:t>resent</w:t>
      </w:r>
      <w:r w:rsidR="00EA2195" w:rsidRPr="00CD5AF5">
        <w:t xml:space="preserve"> the child or young person based on what they cannot do, rather than their strengths, preferences, priorities, skills and qualities, in order to secure rights protection </w:t>
      </w:r>
      <w:r w:rsidR="00981FA8" w:rsidRPr="00CD5AF5">
        <w:t>including</w:t>
      </w:r>
      <w:r w:rsidR="00EA2195" w:rsidRPr="00CD5AF5">
        <w:t xml:space="preserve"> access to supports and services.</w:t>
      </w:r>
    </w:p>
    <w:p w:rsidR="007B055C" w:rsidRPr="00CD5AF5" w:rsidRDefault="007B055C" w:rsidP="00CD3628">
      <w:pPr>
        <w:pStyle w:val="ListParagraph"/>
        <w:numPr>
          <w:ilvl w:val="0"/>
          <w:numId w:val="0"/>
        </w:numPr>
        <w:ind w:left="357"/>
        <w:rPr>
          <w:lang w:val="en-US"/>
        </w:rPr>
      </w:pPr>
    </w:p>
    <w:p w:rsidR="005F110B" w:rsidRPr="00CD5AF5" w:rsidRDefault="005F110B" w:rsidP="005F110B">
      <w:pPr>
        <w:pStyle w:val="ListParagraph"/>
        <w:rPr>
          <w:lang w:val="en-US"/>
        </w:rPr>
      </w:pPr>
      <w:r w:rsidRPr="00CD5AF5">
        <w:t xml:space="preserve">The General Comment </w:t>
      </w:r>
      <w:r w:rsidR="00652D18" w:rsidRPr="00CD5AF5">
        <w:t>c</w:t>
      </w:r>
      <w:r w:rsidRPr="00CD5AF5">
        <w:t xml:space="preserve">ould be strengthened by including a statement that </w:t>
      </w:r>
      <w:r w:rsidR="002D0EF9" w:rsidRPr="00CD5AF5">
        <w:t>States Parties</w:t>
      </w:r>
      <w:r w:rsidR="00F72E7E" w:rsidRPr="00CD5AF5">
        <w:t xml:space="preserve"> should</w:t>
      </w:r>
      <w:r w:rsidR="002D0EF9" w:rsidRPr="00CD5AF5">
        <w:t xml:space="preserve"> revise and change laws and policies</w:t>
      </w:r>
      <w:r w:rsidR="002D0EF9" w:rsidRPr="00CD5AF5">
        <w:rPr>
          <w:i/>
        </w:rPr>
        <w:t xml:space="preserve"> </w:t>
      </w:r>
      <w:r w:rsidR="002D0EF9" w:rsidRPr="00CD5AF5">
        <w:t>which explicitly or implicitly uphold the medical model</w:t>
      </w:r>
      <w:r w:rsidR="003B4336" w:rsidRPr="00CD5AF5">
        <w:t xml:space="preserve"> of disability </w:t>
      </w:r>
      <w:r w:rsidR="00EA2195" w:rsidRPr="00CD5AF5">
        <w:t xml:space="preserve">in order </w:t>
      </w:r>
      <w:r w:rsidR="003B4336" w:rsidRPr="00CD5AF5">
        <w:t>to give effect to Article 5</w:t>
      </w:r>
      <w:r w:rsidR="002D0EF9" w:rsidRPr="00CD5AF5">
        <w:t>.</w:t>
      </w:r>
      <w:r w:rsidR="003B4336" w:rsidRPr="00CD5AF5">
        <w:t xml:space="preserve"> </w:t>
      </w:r>
      <w:r w:rsidRPr="00CD5AF5">
        <w:t>Mention could be made of the need for standards regarding disability to be defined in a n</w:t>
      </w:r>
      <w:r w:rsidR="00644667" w:rsidRPr="00CD5AF5">
        <w:t>on-discriminatory, objective way</w:t>
      </w:r>
      <w:r w:rsidRPr="00CD5AF5">
        <w:t xml:space="preserve"> in </w:t>
      </w:r>
      <w:r w:rsidRPr="00CD5AF5">
        <w:rPr>
          <w:i/>
        </w:rPr>
        <w:t xml:space="preserve">all </w:t>
      </w:r>
      <w:r w:rsidRPr="00CD5AF5">
        <w:t xml:space="preserve">laws and policies impacting people with disability. </w:t>
      </w:r>
      <w:r w:rsidR="00644667" w:rsidRPr="00CD5AF5">
        <w:t xml:space="preserve">States Parties could be encouraged to place </w:t>
      </w:r>
      <w:r w:rsidRPr="00CD5AF5">
        <w:t xml:space="preserve">greater emphasis on a strengths-based approach to disability in </w:t>
      </w:r>
      <w:r w:rsidR="00644667" w:rsidRPr="00CD5AF5">
        <w:t xml:space="preserve">laws and policies, focusing on </w:t>
      </w:r>
      <w:r w:rsidRPr="00CD5AF5">
        <w:t xml:space="preserve">individual strengths, preferences and support needs. </w:t>
      </w:r>
    </w:p>
    <w:p w:rsidR="005F110B" w:rsidRPr="00CD5AF5" w:rsidRDefault="005F110B" w:rsidP="00CD3628">
      <w:pPr>
        <w:pStyle w:val="ListParagraph"/>
        <w:numPr>
          <w:ilvl w:val="0"/>
          <w:numId w:val="0"/>
        </w:numPr>
        <w:ind w:left="357"/>
        <w:rPr>
          <w:lang w:val="en-US"/>
        </w:rPr>
      </w:pPr>
    </w:p>
    <w:p w:rsidR="005F110B" w:rsidRPr="00CD5AF5" w:rsidRDefault="00644667" w:rsidP="005F110B">
      <w:pPr>
        <w:pStyle w:val="ListParagraph"/>
        <w:rPr>
          <w:lang w:val="en-US"/>
        </w:rPr>
      </w:pPr>
      <w:r w:rsidRPr="00CD5AF5">
        <w:t xml:space="preserve">Guidance for States Parties on eliminating this aspect of disability-based discrimination could be provided </w:t>
      </w:r>
      <w:r w:rsidR="00066F56" w:rsidRPr="00CD5AF5">
        <w:t xml:space="preserve">in </w:t>
      </w:r>
      <w:r w:rsidR="00670126" w:rsidRPr="00CD5AF5">
        <w:t>section III in connection with the human rights model of disability and/or section V(</w:t>
      </w:r>
      <w:proofErr w:type="spellStart"/>
      <w:r w:rsidR="00670126" w:rsidRPr="00CD5AF5">
        <w:t>i</w:t>
      </w:r>
      <w:proofErr w:type="spellEnd"/>
      <w:r w:rsidR="00670126" w:rsidRPr="00CD5AF5">
        <w:t xml:space="preserve">) when discussing ‘equality under the law’. </w:t>
      </w:r>
      <w:r w:rsidRPr="00CD5AF5">
        <w:t xml:space="preserve">Currently, positive measures States Parties </w:t>
      </w:r>
      <w:r w:rsidR="00670126" w:rsidRPr="00CD5AF5">
        <w:t>can take in this regard are primarily</w:t>
      </w:r>
      <w:r w:rsidRPr="00CD5AF5">
        <w:t xml:space="preserve"> referred to in paragraph 66 of the draft General Comment in relation to Article 19.</w:t>
      </w:r>
    </w:p>
    <w:p w:rsidR="005F110B" w:rsidRPr="00CD5AF5" w:rsidRDefault="005F110B" w:rsidP="00CD3628">
      <w:pPr>
        <w:pStyle w:val="ListParagraph"/>
        <w:numPr>
          <w:ilvl w:val="0"/>
          <w:numId w:val="0"/>
        </w:numPr>
        <w:ind w:left="357"/>
        <w:rPr>
          <w:lang w:val="en-US"/>
        </w:rPr>
      </w:pPr>
    </w:p>
    <w:p w:rsidR="005E6AAB" w:rsidRPr="00CD5AF5" w:rsidRDefault="00337E54" w:rsidP="005E6AAB">
      <w:pPr>
        <w:rPr>
          <w:b/>
          <w:szCs w:val="22"/>
        </w:rPr>
      </w:pPr>
      <w:r w:rsidRPr="00CD5AF5">
        <w:rPr>
          <w:b/>
          <w:szCs w:val="22"/>
        </w:rPr>
        <w:t xml:space="preserve">SPECIFIC </w:t>
      </w:r>
      <w:r w:rsidR="00957CEF" w:rsidRPr="00CD5AF5">
        <w:rPr>
          <w:b/>
          <w:szCs w:val="22"/>
        </w:rPr>
        <w:t>COMMENTS ABOUT THE DRAFT GENERAL COMMENT</w:t>
      </w:r>
    </w:p>
    <w:p w:rsidR="005E6AAB" w:rsidRPr="00CD5AF5" w:rsidRDefault="005E6AAB" w:rsidP="005E6AAB">
      <w:pPr>
        <w:rPr>
          <w:b/>
          <w:szCs w:val="22"/>
          <w:lang w:val="en-US"/>
        </w:rPr>
      </w:pPr>
    </w:p>
    <w:p w:rsidR="008436E5" w:rsidRPr="00CD5AF5" w:rsidRDefault="008436E5" w:rsidP="005E6AAB">
      <w:pPr>
        <w:jc w:val="both"/>
        <w:rPr>
          <w:b/>
          <w:szCs w:val="22"/>
          <w:lang w:val="en-GB"/>
        </w:rPr>
      </w:pPr>
      <w:r w:rsidRPr="00CD5AF5">
        <w:rPr>
          <w:b/>
          <w:szCs w:val="22"/>
          <w:lang w:val="en-GB"/>
        </w:rPr>
        <w:t>Introduction</w:t>
      </w:r>
    </w:p>
    <w:p w:rsidR="00515688" w:rsidRPr="00CD5AF5" w:rsidRDefault="00515688" w:rsidP="00357820">
      <w:pPr>
        <w:rPr>
          <w:szCs w:val="22"/>
          <w:lang w:val="en-US"/>
        </w:rPr>
      </w:pPr>
    </w:p>
    <w:p w:rsidR="005E6AAB" w:rsidRPr="00CD5AF5" w:rsidRDefault="00515688" w:rsidP="001C6E83">
      <w:pPr>
        <w:pStyle w:val="ListParagraph"/>
        <w:rPr>
          <w:szCs w:val="22"/>
          <w:lang w:val="en-US"/>
        </w:rPr>
      </w:pPr>
      <w:r w:rsidRPr="00CD5AF5">
        <w:rPr>
          <w:szCs w:val="22"/>
          <w:lang w:val="en-US"/>
        </w:rPr>
        <w:t xml:space="preserve">Paragraph 2 </w:t>
      </w:r>
      <w:r w:rsidR="0032070D" w:rsidRPr="00CD5AF5">
        <w:rPr>
          <w:szCs w:val="22"/>
          <w:lang w:val="en-US"/>
        </w:rPr>
        <w:t xml:space="preserve">draws attention to </w:t>
      </w:r>
      <w:r w:rsidRPr="00CD5AF5">
        <w:rPr>
          <w:szCs w:val="22"/>
          <w:lang w:val="en-US"/>
        </w:rPr>
        <w:t xml:space="preserve">ongoing </w:t>
      </w:r>
      <w:r w:rsidR="0032070D" w:rsidRPr="00CD5AF5">
        <w:rPr>
          <w:szCs w:val="22"/>
          <w:lang w:val="en-US"/>
        </w:rPr>
        <w:t xml:space="preserve">attitudinal </w:t>
      </w:r>
      <w:r w:rsidRPr="00CD5AF5">
        <w:rPr>
          <w:szCs w:val="22"/>
          <w:lang w:val="en-US"/>
        </w:rPr>
        <w:t xml:space="preserve">barriers </w:t>
      </w:r>
      <w:r w:rsidR="0032070D" w:rsidRPr="00CD5AF5">
        <w:rPr>
          <w:szCs w:val="22"/>
          <w:lang w:val="en-US"/>
        </w:rPr>
        <w:t xml:space="preserve">which hinder the enjoyment of the right of people with disability to equality and non-discrimination. CYDA views this discussion as an important element of the General Comment. </w:t>
      </w:r>
      <w:r w:rsidR="00951451" w:rsidRPr="00CD5AF5">
        <w:rPr>
          <w:szCs w:val="22"/>
          <w:lang w:val="en-US"/>
        </w:rPr>
        <w:t xml:space="preserve">The direct experiences reported to CYDA indicate that </w:t>
      </w:r>
      <w:r w:rsidR="0032070D" w:rsidRPr="00CD5AF5">
        <w:rPr>
          <w:szCs w:val="22"/>
          <w:lang w:val="en-US"/>
        </w:rPr>
        <w:t xml:space="preserve">children and young people with disability </w:t>
      </w:r>
      <w:r w:rsidR="00951451" w:rsidRPr="00CD5AF5">
        <w:rPr>
          <w:szCs w:val="22"/>
          <w:lang w:val="en-US"/>
        </w:rPr>
        <w:t xml:space="preserve">must </w:t>
      </w:r>
      <w:r w:rsidR="0032070D" w:rsidRPr="00CD5AF5">
        <w:rPr>
          <w:szCs w:val="22"/>
          <w:lang w:val="en-US"/>
        </w:rPr>
        <w:t xml:space="preserve">contend with </w:t>
      </w:r>
      <w:r w:rsidR="00951451" w:rsidRPr="00CD5AF5">
        <w:rPr>
          <w:szCs w:val="22"/>
          <w:lang w:val="en-US"/>
        </w:rPr>
        <w:t>pervasive discrimination connected to widespread n</w:t>
      </w:r>
      <w:r w:rsidR="0032070D" w:rsidRPr="00CD5AF5">
        <w:rPr>
          <w:szCs w:val="22"/>
          <w:lang w:val="en-US"/>
        </w:rPr>
        <w:t>egative attitudes and a culture of low expectations.</w:t>
      </w:r>
      <w:r w:rsidR="009F087B" w:rsidRPr="00CD5AF5">
        <w:rPr>
          <w:szCs w:val="22"/>
          <w:lang w:val="en-US"/>
        </w:rPr>
        <w:t xml:space="preserve"> Stereotypes and attitudes about disability are a key driver of ongoing segregation of children and </w:t>
      </w:r>
      <w:r w:rsidR="009F087B" w:rsidRPr="00CD5AF5">
        <w:rPr>
          <w:szCs w:val="22"/>
          <w:lang w:val="en-US"/>
        </w:rPr>
        <w:lastRenderedPageBreak/>
        <w:t xml:space="preserve">young people with disability in </w:t>
      </w:r>
      <w:r w:rsidR="00DD78B2" w:rsidRPr="00CD5AF5">
        <w:rPr>
          <w:szCs w:val="22"/>
          <w:lang w:val="en-US"/>
        </w:rPr>
        <w:t xml:space="preserve">and from </w:t>
      </w:r>
      <w:r w:rsidR="009F087B" w:rsidRPr="00CD5AF5">
        <w:rPr>
          <w:szCs w:val="22"/>
          <w:lang w:val="en-US"/>
        </w:rPr>
        <w:t xml:space="preserve">a range of settings, including </w:t>
      </w:r>
      <w:r w:rsidR="007658A0" w:rsidRPr="00CD5AF5">
        <w:rPr>
          <w:szCs w:val="22"/>
          <w:lang w:val="en-US"/>
        </w:rPr>
        <w:t xml:space="preserve">segregation in </w:t>
      </w:r>
      <w:r w:rsidR="009F087B" w:rsidRPr="00CD5AF5">
        <w:rPr>
          <w:szCs w:val="22"/>
          <w:lang w:val="en-US"/>
        </w:rPr>
        <w:t>schools</w:t>
      </w:r>
      <w:r w:rsidR="00605B5C" w:rsidRPr="00CD5AF5">
        <w:rPr>
          <w:szCs w:val="22"/>
          <w:lang w:val="en-US"/>
        </w:rPr>
        <w:t>, recreation and employment</w:t>
      </w:r>
      <w:r w:rsidR="009F087B" w:rsidRPr="00CD5AF5">
        <w:rPr>
          <w:szCs w:val="22"/>
          <w:lang w:val="en-US"/>
        </w:rPr>
        <w:t>.</w:t>
      </w:r>
    </w:p>
    <w:p w:rsidR="00515688" w:rsidRPr="00CD5AF5" w:rsidRDefault="00515688" w:rsidP="001C6E83">
      <w:pPr>
        <w:pStyle w:val="ListParagraph"/>
        <w:numPr>
          <w:ilvl w:val="0"/>
          <w:numId w:val="0"/>
        </w:numPr>
        <w:ind w:left="357"/>
        <w:rPr>
          <w:szCs w:val="22"/>
          <w:lang w:val="en-US"/>
        </w:rPr>
      </w:pPr>
    </w:p>
    <w:p w:rsidR="008436E5" w:rsidRPr="00CD5AF5" w:rsidRDefault="001C6E83" w:rsidP="001C6E83">
      <w:pPr>
        <w:pStyle w:val="ListParagraph"/>
        <w:rPr>
          <w:szCs w:val="22"/>
        </w:rPr>
      </w:pPr>
      <w:r w:rsidRPr="00CD5AF5">
        <w:rPr>
          <w:szCs w:val="22"/>
        </w:rPr>
        <w:t xml:space="preserve">It </w:t>
      </w:r>
      <w:r w:rsidR="00652D18" w:rsidRPr="00CD5AF5">
        <w:rPr>
          <w:szCs w:val="22"/>
        </w:rPr>
        <w:t>c</w:t>
      </w:r>
      <w:r w:rsidRPr="00CD5AF5">
        <w:rPr>
          <w:szCs w:val="22"/>
        </w:rPr>
        <w:t>ould</w:t>
      </w:r>
      <w:r w:rsidR="00951451" w:rsidRPr="00CD5AF5">
        <w:rPr>
          <w:szCs w:val="22"/>
        </w:rPr>
        <w:t xml:space="preserve"> be useful at this point in</w:t>
      </w:r>
      <w:r w:rsidRPr="00CD5AF5">
        <w:rPr>
          <w:szCs w:val="22"/>
        </w:rPr>
        <w:t xml:space="preserve"> the General Comment to include</w:t>
      </w:r>
      <w:r w:rsidR="009F087B" w:rsidRPr="00CD5AF5">
        <w:rPr>
          <w:szCs w:val="22"/>
        </w:rPr>
        <w:t xml:space="preserve"> comment f</w:t>
      </w:r>
      <w:r w:rsidR="00951451" w:rsidRPr="00CD5AF5">
        <w:rPr>
          <w:szCs w:val="22"/>
        </w:rPr>
        <w:t>ramed in positive terms</w:t>
      </w:r>
      <w:r w:rsidR="00357820" w:rsidRPr="00CD5AF5">
        <w:rPr>
          <w:szCs w:val="22"/>
        </w:rPr>
        <w:t xml:space="preserve"> which articulate</w:t>
      </w:r>
      <w:r w:rsidRPr="00CD5AF5">
        <w:rPr>
          <w:szCs w:val="22"/>
        </w:rPr>
        <w:t>s</w:t>
      </w:r>
      <w:r w:rsidR="00357820" w:rsidRPr="00CD5AF5">
        <w:rPr>
          <w:szCs w:val="22"/>
        </w:rPr>
        <w:t xml:space="preserve"> how attitudes about people with disability can </w:t>
      </w:r>
      <w:r w:rsidRPr="00CD5AF5">
        <w:rPr>
          <w:szCs w:val="22"/>
        </w:rPr>
        <w:t xml:space="preserve">shift to </w:t>
      </w:r>
      <w:r w:rsidR="00357820" w:rsidRPr="00CD5AF5">
        <w:rPr>
          <w:szCs w:val="22"/>
        </w:rPr>
        <w:t xml:space="preserve">acknowledge and </w:t>
      </w:r>
      <w:r w:rsidR="00DD55F7" w:rsidRPr="00CD5AF5">
        <w:rPr>
          <w:szCs w:val="22"/>
        </w:rPr>
        <w:t>respec</w:t>
      </w:r>
      <w:r w:rsidR="00605B5C" w:rsidRPr="00CD5AF5">
        <w:rPr>
          <w:szCs w:val="22"/>
        </w:rPr>
        <w:t xml:space="preserve">t </w:t>
      </w:r>
      <w:r w:rsidR="00357820" w:rsidRPr="00CD5AF5">
        <w:rPr>
          <w:szCs w:val="22"/>
        </w:rPr>
        <w:t xml:space="preserve">people </w:t>
      </w:r>
      <w:r w:rsidRPr="00CD5AF5">
        <w:rPr>
          <w:szCs w:val="22"/>
        </w:rPr>
        <w:t>with disability as rights holders on an equal basis with others</w:t>
      </w:r>
      <w:r w:rsidR="00357820" w:rsidRPr="00CD5AF5">
        <w:rPr>
          <w:szCs w:val="22"/>
        </w:rPr>
        <w:t>. Approaches to disability in laws, policies, the media and cultural practices should reflect an understanding that disability is part of the diversity of human experience</w:t>
      </w:r>
      <w:r w:rsidR="00EF1CDC" w:rsidRPr="00CD5AF5">
        <w:rPr>
          <w:szCs w:val="22"/>
        </w:rPr>
        <w:t>.</w:t>
      </w:r>
      <w:r w:rsidR="0013354C" w:rsidRPr="00CD5AF5">
        <w:rPr>
          <w:szCs w:val="22"/>
        </w:rPr>
        <w:t xml:space="preserve"> Diversity should be valu</w:t>
      </w:r>
      <w:r w:rsidR="00EA2195" w:rsidRPr="00CD5AF5">
        <w:rPr>
          <w:szCs w:val="22"/>
        </w:rPr>
        <w:t xml:space="preserve">ed </w:t>
      </w:r>
      <w:r w:rsidR="00357820" w:rsidRPr="00CD5AF5">
        <w:rPr>
          <w:szCs w:val="22"/>
        </w:rPr>
        <w:t xml:space="preserve">as a </w:t>
      </w:r>
      <w:r w:rsidR="00EA2195" w:rsidRPr="00CD5AF5">
        <w:rPr>
          <w:szCs w:val="22"/>
        </w:rPr>
        <w:t xml:space="preserve">rich </w:t>
      </w:r>
      <w:r w:rsidR="00357820" w:rsidRPr="00CD5AF5">
        <w:rPr>
          <w:szCs w:val="22"/>
        </w:rPr>
        <w:t>resource rather than a problem.</w:t>
      </w:r>
      <w:r w:rsidR="002F0DC4" w:rsidRPr="00CD5AF5">
        <w:rPr>
          <w:rStyle w:val="FootnoteReference"/>
          <w:szCs w:val="22"/>
        </w:rPr>
        <w:footnoteReference w:id="1"/>
      </w:r>
      <w:r w:rsidR="00357820" w:rsidRPr="00CD5AF5">
        <w:rPr>
          <w:szCs w:val="22"/>
        </w:rPr>
        <w:t xml:space="preserve"> </w:t>
      </w:r>
      <w:r w:rsidR="009F087B" w:rsidRPr="00CD5AF5">
        <w:rPr>
          <w:szCs w:val="22"/>
        </w:rPr>
        <w:t>C</w:t>
      </w:r>
      <w:r w:rsidR="00357820" w:rsidRPr="00CD5AF5">
        <w:rPr>
          <w:szCs w:val="22"/>
        </w:rPr>
        <w:t>ountering entrenched ableism is vital to ensure that children and young people with disability can experience a sense of belonging and</w:t>
      </w:r>
      <w:r w:rsidR="00EA2195" w:rsidRPr="00CD5AF5">
        <w:rPr>
          <w:szCs w:val="22"/>
        </w:rPr>
        <w:t xml:space="preserve"> are respected as right holders</w:t>
      </w:r>
      <w:r w:rsidR="00357820" w:rsidRPr="00CD5AF5">
        <w:rPr>
          <w:szCs w:val="22"/>
        </w:rPr>
        <w:t>.</w:t>
      </w:r>
    </w:p>
    <w:p w:rsidR="0068482C" w:rsidRPr="00CD5AF5" w:rsidRDefault="0068482C" w:rsidP="0068482C">
      <w:pPr>
        <w:pStyle w:val="ListParagraph"/>
        <w:numPr>
          <w:ilvl w:val="0"/>
          <w:numId w:val="0"/>
        </w:numPr>
        <w:ind w:left="357"/>
        <w:rPr>
          <w:szCs w:val="22"/>
          <w:lang w:val="en-US"/>
        </w:rPr>
      </w:pPr>
    </w:p>
    <w:p w:rsidR="008436E5" w:rsidRPr="00CD5AF5" w:rsidRDefault="008436E5" w:rsidP="0068482C">
      <w:pPr>
        <w:rPr>
          <w:b/>
          <w:szCs w:val="22"/>
          <w:lang w:val="en-US"/>
        </w:rPr>
      </w:pPr>
      <w:r w:rsidRPr="00CD5AF5">
        <w:rPr>
          <w:b/>
          <w:szCs w:val="22"/>
          <w:lang w:val="en-GB"/>
        </w:rPr>
        <w:t>Equality and non-discrimination for persons with disabilities in international law</w:t>
      </w:r>
    </w:p>
    <w:p w:rsidR="0068482C" w:rsidRPr="00CD5AF5" w:rsidRDefault="0068482C" w:rsidP="005E6AAB">
      <w:pPr>
        <w:rPr>
          <w:szCs w:val="22"/>
          <w:lang w:val="en-US"/>
        </w:rPr>
      </w:pPr>
    </w:p>
    <w:p w:rsidR="00C652D8" w:rsidRPr="00CD5AF5" w:rsidRDefault="001A5CD7" w:rsidP="00C652D8">
      <w:pPr>
        <w:pStyle w:val="ListParagraph"/>
        <w:rPr>
          <w:szCs w:val="22"/>
          <w:lang w:val="en-US"/>
        </w:rPr>
      </w:pPr>
      <w:r w:rsidRPr="00CD5AF5">
        <w:rPr>
          <w:szCs w:val="22"/>
          <w:lang w:val="en-US"/>
        </w:rPr>
        <w:t>The current wording of Paragraph 8 implies that gross violations of the rights of people with disability</w:t>
      </w:r>
      <w:r w:rsidR="00C657BC" w:rsidRPr="00CD5AF5">
        <w:rPr>
          <w:szCs w:val="22"/>
          <w:lang w:val="en-US"/>
        </w:rPr>
        <w:t xml:space="preserve"> have been</w:t>
      </w:r>
      <w:r w:rsidRPr="00CD5AF5">
        <w:rPr>
          <w:szCs w:val="22"/>
          <w:lang w:val="en-US"/>
        </w:rPr>
        <w:t xml:space="preserve"> more of a historical concern. This paragraph does not </w:t>
      </w:r>
      <w:r w:rsidR="00DD78B2" w:rsidRPr="00CD5AF5">
        <w:rPr>
          <w:szCs w:val="22"/>
          <w:lang w:val="en-US"/>
        </w:rPr>
        <w:t>make clear</w:t>
      </w:r>
      <w:r w:rsidRPr="00CD5AF5">
        <w:rPr>
          <w:szCs w:val="22"/>
          <w:lang w:val="en-US"/>
        </w:rPr>
        <w:t xml:space="preserve"> enough that people with disability </w:t>
      </w:r>
      <w:r w:rsidRPr="00CD5AF5">
        <w:rPr>
          <w:i/>
          <w:szCs w:val="22"/>
          <w:lang w:val="en-US"/>
        </w:rPr>
        <w:t>continue</w:t>
      </w:r>
      <w:r w:rsidRPr="00CD5AF5">
        <w:rPr>
          <w:szCs w:val="22"/>
          <w:lang w:val="en-US"/>
        </w:rPr>
        <w:t xml:space="preserve"> to experience severe violations of rights involving vio</w:t>
      </w:r>
      <w:r w:rsidR="00C652D8" w:rsidRPr="00CD5AF5">
        <w:rPr>
          <w:szCs w:val="22"/>
          <w:lang w:val="en-US"/>
        </w:rPr>
        <w:t>lence and abuse</w:t>
      </w:r>
      <w:r w:rsidRPr="00CD5AF5">
        <w:rPr>
          <w:szCs w:val="22"/>
          <w:lang w:val="en-US"/>
        </w:rPr>
        <w:t xml:space="preserve">. </w:t>
      </w:r>
      <w:r w:rsidR="00C652D8" w:rsidRPr="00CD5AF5">
        <w:rPr>
          <w:szCs w:val="22"/>
          <w:lang w:val="en-US"/>
        </w:rPr>
        <w:t>Although ‘violence’ is mentioned in the quote from the Office of the United Nations High Commissioner on Hum</w:t>
      </w:r>
      <w:r w:rsidR="004E3EEE" w:rsidRPr="00CD5AF5">
        <w:rPr>
          <w:szCs w:val="22"/>
          <w:lang w:val="en-US"/>
        </w:rPr>
        <w:t>an Rights, there is little</w:t>
      </w:r>
      <w:r w:rsidR="00C652D8" w:rsidRPr="00CD5AF5">
        <w:rPr>
          <w:szCs w:val="22"/>
          <w:lang w:val="en-US"/>
        </w:rPr>
        <w:t xml:space="preserve"> elaboration on </w:t>
      </w:r>
      <w:r w:rsidR="004E3EEE" w:rsidRPr="00CD5AF5">
        <w:rPr>
          <w:szCs w:val="22"/>
          <w:lang w:val="en-US"/>
        </w:rPr>
        <w:t>the nature and scope of ongoing violence against people with disability</w:t>
      </w:r>
      <w:r w:rsidR="00C652D8" w:rsidRPr="00CD5AF5">
        <w:rPr>
          <w:szCs w:val="22"/>
          <w:lang w:val="en-US"/>
        </w:rPr>
        <w:t xml:space="preserve">, other than the statement in that quote that ‘women and girls with disability … [are subject to] </w:t>
      </w:r>
      <w:r w:rsidRPr="00CD5AF5">
        <w:rPr>
          <w:szCs w:val="22"/>
          <w:lang w:val="en-US"/>
        </w:rPr>
        <w:t>violence, abuse or neglect’.</w:t>
      </w:r>
    </w:p>
    <w:p w:rsidR="00C652D8" w:rsidRPr="00CD5AF5" w:rsidRDefault="00C652D8" w:rsidP="00C652D8">
      <w:pPr>
        <w:pStyle w:val="ListParagraph"/>
        <w:numPr>
          <w:ilvl w:val="0"/>
          <w:numId w:val="0"/>
        </w:numPr>
        <w:ind w:left="357"/>
        <w:rPr>
          <w:szCs w:val="22"/>
          <w:lang w:val="en-US"/>
        </w:rPr>
      </w:pPr>
    </w:p>
    <w:p w:rsidR="004E3EEE" w:rsidRPr="00CD5AF5" w:rsidRDefault="001A5CD7" w:rsidP="0068482C">
      <w:pPr>
        <w:pStyle w:val="ListParagraph"/>
        <w:rPr>
          <w:szCs w:val="22"/>
          <w:lang w:val="en-US"/>
        </w:rPr>
      </w:pPr>
      <w:r w:rsidRPr="00CD5AF5">
        <w:rPr>
          <w:szCs w:val="22"/>
          <w:lang w:val="en-US"/>
        </w:rPr>
        <w:t>Abuse of children and young people with disability is shamefully prevalent in Australia</w:t>
      </w:r>
      <w:r w:rsidR="00C652D8" w:rsidRPr="00CD5AF5">
        <w:rPr>
          <w:szCs w:val="22"/>
          <w:lang w:val="en-US"/>
        </w:rPr>
        <w:t xml:space="preserve">. CYDA </w:t>
      </w:r>
      <w:r w:rsidR="00700E73" w:rsidRPr="00CD5AF5">
        <w:rPr>
          <w:szCs w:val="22"/>
          <w:lang w:val="en-US"/>
        </w:rPr>
        <w:t>receives consist</w:t>
      </w:r>
      <w:r w:rsidR="00EF1CDC" w:rsidRPr="00CD5AF5">
        <w:rPr>
          <w:szCs w:val="22"/>
          <w:lang w:val="en-US"/>
        </w:rPr>
        <w:t>e</w:t>
      </w:r>
      <w:r w:rsidR="00700E73" w:rsidRPr="00CD5AF5">
        <w:rPr>
          <w:szCs w:val="22"/>
          <w:lang w:val="en-US"/>
        </w:rPr>
        <w:t xml:space="preserve">nt and increasing </w:t>
      </w:r>
      <w:r w:rsidRPr="00CD5AF5">
        <w:rPr>
          <w:szCs w:val="22"/>
          <w:lang w:val="en-US"/>
        </w:rPr>
        <w:t xml:space="preserve">reports of </w:t>
      </w:r>
      <w:r w:rsidR="00C652D8" w:rsidRPr="00CD5AF5">
        <w:rPr>
          <w:szCs w:val="22"/>
          <w:lang w:val="en-US"/>
        </w:rPr>
        <w:t>abuse of students with disability in schools</w:t>
      </w:r>
      <w:r w:rsidR="004A01DC" w:rsidRPr="00CD5AF5">
        <w:rPr>
          <w:szCs w:val="22"/>
          <w:lang w:val="en-US"/>
        </w:rPr>
        <w:t xml:space="preserve"> for example</w:t>
      </w:r>
      <w:r w:rsidR="00C652D8" w:rsidRPr="00CD5AF5">
        <w:rPr>
          <w:szCs w:val="22"/>
          <w:lang w:val="en-US"/>
        </w:rPr>
        <w:t>,</w:t>
      </w:r>
      <w:r w:rsidR="004E3EEE" w:rsidRPr="00CD5AF5">
        <w:rPr>
          <w:szCs w:val="22"/>
          <w:lang w:val="en-US"/>
        </w:rPr>
        <w:t xml:space="preserve"> incidents of restraint and seclusion</w:t>
      </w:r>
      <w:r w:rsidR="00C652D8" w:rsidRPr="00CD5AF5">
        <w:rPr>
          <w:szCs w:val="22"/>
          <w:lang w:val="en-US"/>
        </w:rPr>
        <w:t xml:space="preserve">. </w:t>
      </w:r>
      <w:r w:rsidR="004E3EEE" w:rsidRPr="00CD5AF5">
        <w:rPr>
          <w:szCs w:val="22"/>
          <w:lang w:val="en-US"/>
        </w:rPr>
        <w:t xml:space="preserve">However, these incidents are often not considered to be abusive acts warranting a response from the criminal justice system. </w:t>
      </w:r>
      <w:r w:rsidR="004E3EEE" w:rsidRPr="00CD5AF5">
        <w:rPr>
          <w:szCs w:val="22"/>
        </w:rPr>
        <w:t xml:space="preserve">Restraint and seclusion that is frequently justified as ‘behaviour management’ is an example of this. </w:t>
      </w:r>
      <w:r w:rsidR="004E3EEE" w:rsidRPr="00CD5AF5">
        <w:rPr>
          <w:szCs w:val="22"/>
          <w:lang w:val="en-US"/>
        </w:rPr>
        <w:t>CYDA is highly concerned about th</w:t>
      </w:r>
      <w:r w:rsidR="00700E73" w:rsidRPr="00CD5AF5">
        <w:rPr>
          <w:szCs w:val="22"/>
          <w:lang w:val="en-US"/>
        </w:rPr>
        <w:t xml:space="preserve">e abuse experienced </w:t>
      </w:r>
      <w:r w:rsidR="004E3EEE" w:rsidRPr="00CD5AF5">
        <w:rPr>
          <w:szCs w:val="22"/>
          <w:lang w:val="en-US"/>
        </w:rPr>
        <w:t>by children and young people with disability.</w:t>
      </w:r>
    </w:p>
    <w:p w:rsidR="004E3EEE" w:rsidRPr="00CD5AF5" w:rsidRDefault="004E3EEE" w:rsidP="004E3EEE">
      <w:pPr>
        <w:pStyle w:val="ListParagraph"/>
        <w:numPr>
          <w:ilvl w:val="0"/>
          <w:numId w:val="0"/>
        </w:numPr>
        <w:ind w:left="357"/>
        <w:rPr>
          <w:szCs w:val="22"/>
          <w:lang w:val="en-US"/>
        </w:rPr>
      </w:pPr>
    </w:p>
    <w:p w:rsidR="00A06FF9" w:rsidRPr="00CD5AF5" w:rsidRDefault="00F113CA" w:rsidP="005E6AAB">
      <w:pPr>
        <w:pStyle w:val="ListParagraph"/>
        <w:rPr>
          <w:szCs w:val="22"/>
          <w:lang w:val="en-US"/>
        </w:rPr>
      </w:pPr>
      <w:r w:rsidRPr="00CD5AF5">
        <w:rPr>
          <w:szCs w:val="22"/>
          <w:lang w:val="en-US"/>
        </w:rPr>
        <w:t xml:space="preserve">Paragraph 8 </w:t>
      </w:r>
      <w:r w:rsidR="004A01DC" w:rsidRPr="00CD5AF5">
        <w:rPr>
          <w:szCs w:val="22"/>
          <w:lang w:val="en-US"/>
        </w:rPr>
        <w:t>c</w:t>
      </w:r>
      <w:r w:rsidRPr="00CD5AF5">
        <w:rPr>
          <w:szCs w:val="22"/>
          <w:lang w:val="en-US"/>
        </w:rPr>
        <w:t xml:space="preserve">ould be broadened to </w:t>
      </w:r>
      <w:proofErr w:type="spellStart"/>
      <w:r w:rsidRPr="00CD5AF5">
        <w:rPr>
          <w:szCs w:val="22"/>
          <w:lang w:val="en-US"/>
        </w:rPr>
        <w:t>emphasise</w:t>
      </w:r>
      <w:proofErr w:type="spellEnd"/>
      <w:r w:rsidRPr="00CD5AF5">
        <w:rPr>
          <w:szCs w:val="22"/>
          <w:lang w:val="en-US"/>
        </w:rPr>
        <w:t xml:space="preserve"> the ongoing abuse and violence that people with disability continue to be subjected to on a regular basis across a range of settings. Responses from services, agencies, authorities and justice systems which reframe these abuses as lawful and acceptable </w:t>
      </w:r>
      <w:proofErr w:type="spellStart"/>
      <w:r w:rsidRPr="00CD5AF5">
        <w:rPr>
          <w:szCs w:val="22"/>
          <w:lang w:val="en-US"/>
        </w:rPr>
        <w:t>behaviour</w:t>
      </w:r>
      <w:proofErr w:type="spellEnd"/>
      <w:r w:rsidRPr="00CD5AF5">
        <w:rPr>
          <w:szCs w:val="22"/>
          <w:lang w:val="en-US"/>
        </w:rPr>
        <w:t xml:space="preserve"> should also be </w:t>
      </w:r>
      <w:r w:rsidR="004E71C2" w:rsidRPr="00CD5AF5">
        <w:rPr>
          <w:szCs w:val="22"/>
          <w:lang w:val="en-US"/>
        </w:rPr>
        <w:t xml:space="preserve">addressed in this paragraph and recognised </w:t>
      </w:r>
      <w:r w:rsidRPr="00CD5AF5">
        <w:rPr>
          <w:szCs w:val="22"/>
          <w:lang w:val="en-US"/>
        </w:rPr>
        <w:t>as contravening</w:t>
      </w:r>
      <w:r w:rsidR="005B1D05" w:rsidRPr="00CD5AF5">
        <w:rPr>
          <w:szCs w:val="22"/>
          <w:lang w:val="en-US"/>
        </w:rPr>
        <w:t xml:space="preserve"> Article 5</w:t>
      </w:r>
      <w:r w:rsidRPr="00CD5AF5">
        <w:rPr>
          <w:szCs w:val="22"/>
          <w:lang w:val="en-US"/>
        </w:rPr>
        <w:t xml:space="preserve">. </w:t>
      </w:r>
    </w:p>
    <w:p w:rsidR="00F113CA" w:rsidRPr="00CD5AF5" w:rsidRDefault="00F113CA" w:rsidP="005F1B32">
      <w:pPr>
        <w:rPr>
          <w:szCs w:val="22"/>
          <w:lang w:val="en-US"/>
        </w:rPr>
      </w:pPr>
    </w:p>
    <w:p w:rsidR="009E2DFF" w:rsidRPr="00CD5AF5" w:rsidRDefault="00FD22EB" w:rsidP="00637CD1">
      <w:pPr>
        <w:ind w:left="357" w:hanging="357"/>
        <w:jc w:val="both"/>
        <w:rPr>
          <w:b/>
          <w:szCs w:val="22"/>
          <w:lang w:val="en-GB"/>
        </w:rPr>
      </w:pPr>
      <w:r w:rsidRPr="00CD5AF5">
        <w:rPr>
          <w:b/>
          <w:szCs w:val="22"/>
          <w:lang w:val="en-GB"/>
        </w:rPr>
        <w:t>Normative Content</w:t>
      </w:r>
    </w:p>
    <w:p w:rsidR="009E2DFF" w:rsidRPr="00CD5AF5" w:rsidRDefault="009E2DFF" w:rsidP="00637CD1">
      <w:pPr>
        <w:ind w:left="357" w:hanging="357"/>
        <w:jc w:val="both"/>
        <w:rPr>
          <w:b/>
          <w:szCs w:val="22"/>
          <w:lang w:val="en-GB"/>
        </w:rPr>
      </w:pPr>
    </w:p>
    <w:p w:rsidR="00FD22EB" w:rsidRPr="00CD5AF5" w:rsidRDefault="00637CD1" w:rsidP="00637CD1">
      <w:pPr>
        <w:ind w:left="357" w:hanging="357"/>
        <w:jc w:val="both"/>
        <w:rPr>
          <w:szCs w:val="22"/>
          <w:u w:val="single"/>
          <w:lang w:val="en-GB"/>
        </w:rPr>
      </w:pPr>
      <w:r w:rsidRPr="00CD5AF5">
        <w:rPr>
          <w:szCs w:val="22"/>
          <w:u w:val="single"/>
          <w:lang w:val="en-GB"/>
        </w:rPr>
        <w:t>Being equal before and under the law</w:t>
      </w:r>
    </w:p>
    <w:p w:rsidR="002575A8" w:rsidRPr="00CD5AF5" w:rsidRDefault="002575A8" w:rsidP="005B1D05">
      <w:pPr>
        <w:ind w:left="357" w:hanging="357"/>
        <w:jc w:val="both"/>
        <w:rPr>
          <w:b/>
          <w:szCs w:val="22"/>
          <w:lang w:val="en-GB"/>
        </w:rPr>
      </w:pPr>
    </w:p>
    <w:p w:rsidR="0073795A" w:rsidRPr="00CD5AF5" w:rsidRDefault="00637CD1" w:rsidP="002024DC">
      <w:pPr>
        <w:pStyle w:val="ListParagraph"/>
        <w:rPr>
          <w:szCs w:val="22"/>
          <w:lang w:val="en-US"/>
        </w:rPr>
      </w:pPr>
      <w:r w:rsidRPr="00CD5AF5">
        <w:rPr>
          <w:lang w:val="en-US"/>
        </w:rPr>
        <w:t xml:space="preserve">Paragraph 16 states that there </w:t>
      </w:r>
      <w:r w:rsidR="00FD22EB" w:rsidRPr="00CD5AF5">
        <w:rPr>
          <w:lang w:val="en-US"/>
        </w:rPr>
        <w:t>should be no laws that allow for specific denial, restriction or limitation of the rights of persons with disabilities and that disability should be mainstreamed.</w:t>
      </w:r>
    </w:p>
    <w:p w:rsidR="0073795A" w:rsidRPr="00CD5AF5" w:rsidRDefault="0073795A" w:rsidP="0073795A">
      <w:pPr>
        <w:pStyle w:val="ListParagraph"/>
        <w:numPr>
          <w:ilvl w:val="0"/>
          <w:numId w:val="0"/>
        </w:numPr>
        <w:ind w:left="357"/>
        <w:rPr>
          <w:szCs w:val="22"/>
          <w:lang w:val="en-US"/>
        </w:rPr>
      </w:pPr>
    </w:p>
    <w:p w:rsidR="002024DC" w:rsidRPr="00CD5AF5" w:rsidRDefault="002024DC" w:rsidP="002024DC">
      <w:pPr>
        <w:pStyle w:val="ListParagraph"/>
        <w:rPr>
          <w:szCs w:val="22"/>
          <w:lang w:val="en-US"/>
        </w:rPr>
      </w:pPr>
      <w:r w:rsidRPr="00CD5AF5">
        <w:rPr>
          <w:lang w:val="en-US"/>
        </w:rPr>
        <w:t xml:space="preserve">This description of States Parties’ obligations </w:t>
      </w:r>
      <w:r w:rsidR="00066F56" w:rsidRPr="00CD5AF5">
        <w:rPr>
          <w:lang w:val="en-US"/>
        </w:rPr>
        <w:t>could be strengthened by including</w:t>
      </w:r>
      <w:r w:rsidRPr="00CD5AF5">
        <w:rPr>
          <w:lang w:val="en-US"/>
        </w:rPr>
        <w:t xml:space="preserve"> wording to indicate positive actions States Parties can take to achieve these outcomes</w:t>
      </w:r>
      <w:r w:rsidR="0073795A" w:rsidRPr="00CD5AF5">
        <w:rPr>
          <w:lang w:val="en-US"/>
        </w:rPr>
        <w:t>, such as:</w:t>
      </w:r>
      <w:r w:rsidRPr="00CD5AF5">
        <w:rPr>
          <w:lang w:val="en-US"/>
        </w:rPr>
        <w:t xml:space="preserve"> ‘States Parties are required to comprehensively review all legislation and policies and make changes to ensure that legislation and policies do not allow for specific denial, restriction or limitation of the rights of persons with disability, expressly, in purpose or in effect’. </w:t>
      </w:r>
      <w:r w:rsidR="0073795A" w:rsidRPr="00CD5AF5">
        <w:rPr>
          <w:lang w:val="en-US"/>
        </w:rPr>
        <w:t xml:space="preserve">Stating that the prohibition extends to </w:t>
      </w:r>
      <w:r w:rsidRPr="00CD5AF5">
        <w:rPr>
          <w:lang w:val="en-US"/>
        </w:rPr>
        <w:t xml:space="preserve">restrictions on the rights of people with disability </w:t>
      </w:r>
      <w:r w:rsidR="008D4A72" w:rsidRPr="00CD5AF5">
        <w:rPr>
          <w:lang w:val="en-US"/>
        </w:rPr>
        <w:t>‘</w:t>
      </w:r>
      <w:r w:rsidRPr="00CD5AF5">
        <w:rPr>
          <w:lang w:val="en-US"/>
        </w:rPr>
        <w:t>in purpose or effect</w:t>
      </w:r>
      <w:r w:rsidR="008D4A72" w:rsidRPr="00CD5AF5">
        <w:rPr>
          <w:lang w:val="en-US"/>
        </w:rPr>
        <w:t>’</w:t>
      </w:r>
      <w:r w:rsidRPr="00CD5AF5">
        <w:rPr>
          <w:i/>
          <w:lang w:val="en-US"/>
        </w:rPr>
        <w:t xml:space="preserve"> </w:t>
      </w:r>
      <w:r w:rsidRPr="00CD5AF5">
        <w:rPr>
          <w:lang w:val="en-US"/>
        </w:rPr>
        <w:t xml:space="preserve">would assist in </w:t>
      </w:r>
      <w:r w:rsidRPr="00CD5AF5">
        <w:rPr>
          <w:lang w:val="en-US"/>
        </w:rPr>
        <w:lastRenderedPageBreak/>
        <w:t>ensuring that States Parties give consideration to the practical and structural implications of legislation</w:t>
      </w:r>
      <w:r w:rsidR="0073795A" w:rsidRPr="00CD5AF5">
        <w:rPr>
          <w:lang w:val="en-US"/>
        </w:rPr>
        <w:t xml:space="preserve"> and policies</w:t>
      </w:r>
      <w:r w:rsidRPr="00CD5AF5">
        <w:rPr>
          <w:lang w:val="en-US"/>
        </w:rPr>
        <w:t>.</w:t>
      </w:r>
    </w:p>
    <w:p w:rsidR="0073795A" w:rsidRPr="00CD5AF5" w:rsidRDefault="0073795A" w:rsidP="0073795A">
      <w:pPr>
        <w:pStyle w:val="ListParagraph"/>
        <w:numPr>
          <w:ilvl w:val="0"/>
          <w:numId w:val="0"/>
        </w:numPr>
        <w:ind w:left="357"/>
        <w:rPr>
          <w:szCs w:val="22"/>
          <w:lang w:val="en-US"/>
        </w:rPr>
      </w:pPr>
    </w:p>
    <w:p w:rsidR="00CD3628" w:rsidRPr="00CD5AF5" w:rsidRDefault="0073795A" w:rsidP="005E6AAB">
      <w:pPr>
        <w:pStyle w:val="ListParagraph"/>
        <w:rPr>
          <w:szCs w:val="22"/>
          <w:lang w:val="en-US"/>
        </w:rPr>
      </w:pPr>
      <w:r w:rsidRPr="00CD5AF5">
        <w:rPr>
          <w:szCs w:val="22"/>
          <w:lang w:val="en-US"/>
        </w:rPr>
        <w:t>The obligation of States Parties to mainstream disability within laws and policies in all areas and at all levels could be</w:t>
      </w:r>
      <w:r w:rsidR="009732D1" w:rsidRPr="00CD5AF5">
        <w:rPr>
          <w:szCs w:val="22"/>
          <w:lang w:val="en-US"/>
        </w:rPr>
        <w:t xml:space="preserve"> expanded </w:t>
      </w:r>
      <w:r w:rsidR="000B2041" w:rsidRPr="00CD5AF5">
        <w:rPr>
          <w:szCs w:val="22"/>
          <w:lang w:val="en-US"/>
        </w:rPr>
        <w:t xml:space="preserve">on </w:t>
      </w:r>
      <w:r w:rsidR="009732D1" w:rsidRPr="00CD5AF5">
        <w:rPr>
          <w:szCs w:val="22"/>
          <w:lang w:val="en-US"/>
        </w:rPr>
        <w:t>and</w:t>
      </w:r>
      <w:r w:rsidRPr="00CD5AF5">
        <w:rPr>
          <w:szCs w:val="22"/>
          <w:lang w:val="en-US"/>
        </w:rPr>
        <w:t xml:space="preserve"> clarified</w:t>
      </w:r>
      <w:r w:rsidR="009732D1" w:rsidRPr="00CD5AF5">
        <w:rPr>
          <w:szCs w:val="22"/>
          <w:lang w:val="en-US"/>
        </w:rPr>
        <w:t>, including</w:t>
      </w:r>
      <w:r w:rsidRPr="00CD5AF5">
        <w:rPr>
          <w:szCs w:val="22"/>
          <w:lang w:val="en-US"/>
        </w:rPr>
        <w:t xml:space="preserve"> by </w:t>
      </w:r>
      <w:r w:rsidR="009732D1" w:rsidRPr="00CD5AF5">
        <w:rPr>
          <w:szCs w:val="22"/>
          <w:lang w:val="en-US"/>
        </w:rPr>
        <w:t>providing</w:t>
      </w:r>
      <w:r w:rsidRPr="00CD5AF5">
        <w:rPr>
          <w:szCs w:val="22"/>
          <w:lang w:val="en-US"/>
        </w:rPr>
        <w:t xml:space="preserve"> examples.</w:t>
      </w:r>
      <w:r w:rsidR="009732D1" w:rsidRPr="00CD5AF5">
        <w:rPr>
          <w:szCs w:val="22"/>
          <w:lang w:val="en-US"/>
        </w:rPr>
        <w:t xml:space="preserve"> In Australia, for example, considerations relating to children and young people with disability are often segregated from, or within, policy on </w:t>
      </w:r>
      <w:r w:rsidR="00B40015" w:rsidRPr="00CD5AF5">
        <w:rPr>
          <w:szCs w:val="22"/>
          <w:lang w:val="en-US"/>
        </w:rPr>
        <w:t xml:space="preserve">the rights, protection and welfare of </w:t>
      </w:r>
      <w:r w:rsidR="009732D1" w:rsidRPr="00CD5AF5">
        <w:rPr>
          <w:szCs w:val="22"/>
          <w:lang w:val="en-US"/>
        </w:rPr>
        <w:t>child</w:t>
      </w:r>
      <w:r w:rsidR="00DD55F7" w:rsidRPr="00CD5AF5">
        <w:rPr>
          <w:szCs w:val="22"/>
          <w:lang w:val="en-US"/>
        </w:rPr>
        <w:t>ren</w:t>
      </w:r>
      <w:r w:rsidR="00B40015" w:rsidRPr="00CD5AF5">
        <w:rPr>
          <w:szCs w:val="22"/>
          <w:lang w:val="en-US"/>
        </w:rPr>
        <w:t xml:space="preserve"> and young people</w:t>
      </w:r>
      <w:r w:rsidR="009732D1" w:rsidRPr="00CD5AF5">
        <w:rPr>
          <w:szCs w:val="22"/>
          <w:lang w:val="en-US"/>
        </w:rPr>
        <w:t xml:space="preserve">, rather than being integrated within these frameworks. </w:t>
      </w:r>
    </w:p>
    <w:p w:rsidR="00AD41AC" w:rsidRPr="00CD5AF5" w:rsidRDefault="00AD41AC" w:rsidP="00AD41AC">
      <w:pPr>
        <w:pStyle w:val="ListParagraph"/>
        <w:numPr>
          <w:ilvl w:val="0"/>
          <w:numId w:val="0"/>
        </w:numPr>
        <w:ind w:left="357"/>
        <w:rPr>
          <w:szCs w:val="22"/>
          <w:lang w:val="en-US"/>
        </w:rPr>
      </w:pPr>
    </w:p>
    <w:p w:rsidR="00FD22EB" w:rsidRPr="00CD5AF5" w:rsidRDefault="00FD22EB" w:rsidP="00AD41AC">
      <w:pPr>
        <w:ind w:left="357" w:hanging="357"/>
        <w:jc w:val="both"/>
        <w:rPr>
          <w:szCs w:val="22"/>
          <w:u w:val="single"/>
          <w:lang w:val="en-GB"/>
        </w:rPr>
      </w:pPr>
      <w:r w:rsidRPr="00CD5AF5">
        <w:rPr>
          <w:szCs w:val="22"/>
          <w:u w:val="single"/>
          <w:lang w:val="en-GB"/>
        </w:rPr>
        <w:t>Prohibition of discrimination and equal and effective legal protection</w:t>
      </w:r>
    </w:p>
    <w:p w:rsidR="00AD41AC" w:rsidRPr="00CD5AF5" w:rsidRDefault="00AD41AC" w:rsidP="005E6AAB">
      <w:pPr>
        <w:rPr>
          <w:szCs w:val="22"/>
        </w:rPr>
      </w:pPr>
    </w:p>
    <w:p w:rsidR="009F40E4" w:rsidRPr="00CD5AF5" w:rsidRDefault="009F40E4" w:rsidP="005E6AAB">
      <w:pPr>
        <w:rPr>
          <w:i/>
          <w:szCs w:val="22"/>
        </w:rPr>
      </w:pPr>
      <w:r w:rsidRPr="00CD5AF5">
        <w:rPr>
          <w:i/>
          <w:szCs w:val="22"/>
        </w:rPr>
        <w:t>Harassment and bullying</w:t>
      </w:r>
    </w:p>
    <w:p w:rsidR="009F40E4" w:rsidRPr="00CD5AF5" w:rsidRDefault="009F40E4" w:rsidP="005E6AAB">
      <w:pPr>
        <w:rPr>
          <w:szCs w:val="22"/>
        </w:rPr>
      </w:pPr>
    </w:p>
    <w:p w:rsidR="00FD22EB" w:rsidRPr="00CD5AF5" w:rsidRDefault="001E4D6F" w:rsidP="00BB44E6">
      <w:pPr>
        <w:pStyle w:val="ListParagraph"/>
      </w:pPr>
      <w:r w:rsidRPr="00CD5AF5">
        <w:t>P</w:t>
      </w:r>
      <w:r w:rsidR="006703C5" w:rsidRPr="00CD5AF5">
        <w:t>aragraph 20(d) refers to harassment as a form of discrimination prohibited under Article 5(2)</w:t>
      </w:r>
      <w:r w:rsidR="00690459" w:rsidRPr="00CD5AF5">
        <w:t>, noting</w:t>
      </w:r>
      <w:r w:rsidR="006703C5" w:rsidRPr="00CD5AF5">
        <w:t xml:space="preserve"> that bullying is a particularly violent and harmful form of harassment. CYDA supports this reference to bullying as a form of harassment and suggests adding comment on the heightened vulnerability of children and young people </w:t>
      </w:r>
      <w:r w:rsidR="0009420E">
        <w:t xml:space="preserve">with disability </w:t>
      </w:r>
      <w:bookmarkStart w:id="0" w:name="_GoBack"/>
      <w:bookmarkEnd w:id="0"/>
      <w:r w:rsidR="006703C5" w:rsidRPr="00CD5AF5">
        <w:t xml:space="preserve">in respect of harassment and bullying. </w:t>
      </w:r>
    </w:p>
    <w:p w:rsidR="006703C5" w:rsidRPr="00CD5AF5" w:rsidRDefault="006703C5" w:rsidP="006703C5">
      <w:pPr>
        <w:pStyle w:val="ListParagraph"/>
        <w:numPr>
          <w:ilvl w:val="0"/>
          <w:numId w:val="0"/>
        </w:numPr>
        <w:ind w:left="357"/>
      </w:pPr>
    </w:p>
    <w:p w:rsidR="001E4D6F" w:rsidRPr="00CD5AF5" w:rsidRDefault="006703C5" w:rsidP="00CD3628">
      <w:pPr>
        <w:pStyle w:val="ListParagraph"/>
      </w:pPr>
      <w:r w:rsidRPr="00CD5AF5">
        <w:t>Bullying represents a persistent and chronic experience for many children and young people with disability</w:t>
      </w:r>
      <w:r w:rsidR="00602CF8">
        <w:t>,</w:t>
      </w:r>
      <w:r w:rsidR="004A01DC" w:rsidRPr="00CD5AF5">
        <w:t xml:space="preserve"> particularly in the school context</w:t>
      </w:r>
      <w:r w:rsidRPr="00CD5AF5">
        <w:t xml:space="preserve">. This </w:t>
      </w:r>
      <w:r w:rsidR="004A01DC" w:rsidRPr="00CD5AF5">
        <w:t>i</w:t>
      </w:r>
      <w:r w:rsidRPr="00CD5AF5">
        <w:t>s clearly illustrated in CYDA’s 201</w:t>
      </w:r>
      <w:r w:rsidR="00066F56" w:rsidRPr="00CD5AF5">
        <w:t>6</w:t>
      </w:r>
      <w:r w:rsidRPr="00CD5AF5">
        <w:t xml:space="preserve"> survey of the education experiences of students with disability, which found </w:t>
      </w:r>
      <w:r w:rsidR="0040062A" w:rsidRPr="00CD5AF5">
        <w:t xml:space="preserve">that </w:t>
      </w:r>
      <w:r w:rsidRPr="00CD5AF5">
        <w:t>5</w:t>
      </w:r>
      <w:r w:rsidR="00DB60E6" w:rsidRPr="00CD5AF5">
        <w:t>2</w:t>
      </w:r>
      <w:r w:rsidRPr="00CD5AF5">
        <w:t>% of students with disability experience bullying nationally.</w:t>
      </w:r>
      <w:r w:rsidRPr="00CD5AF5">
        <w:rPr>
          <w:rStyle w:val="FootnoteReference"/>
        </w:rPr>
        <w:footnoteReference w:id="2"/>
      </w:r>
      <w:r w:rsidRPr="00CD5AF5">
        <w:t xml:space="preserve"> This is significantly higher than the 27% of the total student population who report bullying</w:t>
      </w:r>
      <w:r w:rsidR="00DB60E6" w:rsidRPr="00CD5AF5">
        <w:t>.</w:t>
      </w:r>
      <w:r w:rsidRPr="00CD5AF5">
        <w:rPr>
          <w:rStyle w:val="FootnoteReference"/>
        </w:rPr>
        <w:footnoteReference w:id="3"/>
      </w:r>
    </w:p>
    <w:p w:rsidR="009F40E4" w:rsidRPr="00CD5AF5" w:rsidRDefault="009F40E4" w:rsidP="003134C8">
      <w:pPr>
        <w:pStyle w:val="ListParagraph"/>
        <w:numPr>
          <w:ilvl w:val="0"/>
          <w:numId w:val="0"/>
        </w:numPr>
        <w:ind w:left="357"/>
      </w:pPr>
    </w:p>
    <w:p w:rsidR="009F40E4" w:rsidRPr="00CD5AF5" w:rsidRDefault="009F40E4" w:rsidP="003134C8">
      <w:pPr>
        <w:ind w:left="357" w:hanging="357"/>
        <w:rPr>
          <w:i/>
        </w:rPr>
      </w:pPr>
      <w:r w:rsidRPr="00CD5AF5">
        <w:rPr>
          <w:i/>
        </w:rPr>
        <w:t xml:space="preserve">Migration </w:t>
      </w:r>
      <w:r w:rsidR="00BC4DDC" w:rsidRPr="00CD5AF5">
        <w:rPr>
          <w:i/>
        </w:rPr>
        <w:t>policy and intersectional discrimination</w:t>
      </w:r>
    </w:p>
    <w:p w:rsidR="001E4D6F" w:rsidRPr="00CD5AF5" w:rsidRDefault="002C526E" w:rsidP="00CD3628">
      <w:pPr>
        <w:pStyle w:val="ListParagraph"/>
        <w:numPr>
          <w:ilvl w:val="0"/>
          <w:numId w:val="0"/>
        </w:numPr>
        <w:ind w:left="357"/>
      </w:pPr>
      <w:r>
        <w:t xml:space="preserve"> </w:t>
      </w:r>
    </w:p>
    <w:p w:rsidR="00CD3628" w:rsidRPr="00CD5AF5" w:rsidRDefault="00C61F31" w:rsidP="00CD3628">
      <w:pPr>
        <w:pStyle w:val="ListParagraph"/>
      </w:pPr>
      <w:r w:rsidRPr="00CD5AF5">
        <w:t>The descriptions</w:t>
      </w:r>
      <w:r w:rsidR="001E4D6F" w:rsidRPr="00CD5AF5">
        <w:t xml:space="preserve"> of ‘intersectional discrimination’</w:t>
      </w:r>
      <w:r w:rsidR="002D6BFB" w:rsidRPr="00CD5AF5">
        <w:t>,</w:t>
      </w:r>
      <w:r w:rsidRPr="00CD5AF5">
        <w:t xml:space="preserve"> ‘indirect discrimination’ </w:t>
      </w:r>
      <w:r w:rsidR="00637AE1" w:rsidRPr="00CD5AF5">
        <w:t xml:space="preserve">and ‘discrimination by association’ from </w:t>
      </w:r>
      <w:r w:rsidR="001E4D6F" w:rsidRPr="00CD5AF5">
        <w:t>paragraph</w:t>
      </w:r>
      <w:r w:rsidRPr="00CD5AF5">
        <w:t>s 20</w:t>
      </w:r>
      <w:r w:rsidR="00637AE1" w:rsidRPr="00CD5AF5">
        <w:t xml:space="preserve"> to</w:t>
      </w:r>
      <w:r w:rsidR="001E4D6F" w:rsidRPr="00CD5AF5">
        <w:t xml:space="preserve"> 22 </w:t>
      </w:r>
      <w:r w:rsidRPr="00CD5AF5">
        <w:t>have</w:t>
      </w:r>
      <w:r w:rsidR="001E4D6F" w:rsidRPr="00CD5AF5">
        <w:t xml:space="preserve"> </w:t>
      </w:r>
      <w:r w:rsidRPr="00CD5AF5">
        <w:t xml:space="preserve">particular </w:t>
      </w:r>
      <w:r w:rsidR="001E4D6F" w:rsidRPr="00CD5AF5">
        <w:t xml:space="preserve">relevance to Australian migration </w:t>
      </w:r>
      <w:r w:rsidR="00521B58" w:rsidRPr="00CD5AF5">
        <w:t xml:space="preserve">law and </w:t>
      </w:r>
      <w:r w:rsidR="001E4D6F" w:rsidRPr="00CD5AF5">
        <w:t xml:space="preserve">policy. </w:t>
      </w:r>
    </w:p>
    <w:p w:rsidR="00D13117" w:rsidRPr="00CD5AF5" w:rsidRDefault="00D13117" w:rsidP="003134C8">
      <w:pPr>
        <w:pStyle w:val="ListParagraph"/>
        <w:numPr>
          <w:ilvl w:val="0"/>
          <w:numId w:val="0"/>
        </w:numPr>
        <w:ind w:left="357"/>
        <w:rPr>
          <w:highlight w:val="cyan"/>
        </w:rPr>
      </w:pPr>
    </w:p>
    <w:p w:rsidR="00D13117" w:rsidRPr="00CD5AF5" w:rsidRDefault="00691670" w:rsidP="003134C8">
      <w:pPr>
        <w:pStyle w:val="ListParagraph"/>
      </w:pPr>
      <w:r>
        <w:t>Certain v</w:t>
      </w:r>
      <w:r w:rsidR="00FF5C15" w:rsidRPr="00CD5AF5">
        <w:t xml:space="preserve">isa applicants </w:t>
      </w:r>
      <w:r w:rsidR="00D13117" w:rsidRPr="00CD5AF5">
        <w:t xml:space="preserve">are required to meet a ‘health test’ which has been criticised for discriminating against people with disability and their families. Every year, people with disability and their families are deported </w:t>
      </w:r>
      <w:r w:rsidR="00FF5C15" w:rsidRPr="00CD5AF5">
        <w:t xml:space="preserve">because the person with disability is judged as </w:t>
      </w:r>
      <w:r w:rsidR="00D13117" w:rsidRPr="00CD5AF5">
        <w:t xml:space="preserve">failing to meet </w:t>
      </w:r>
      <w:r w:rsidR="00AB7D32">
        <w:t>the applicable</w:t>
      </w:r>
      <w:r w:rsidR="00FF5C15" w:rsidRPr="00CD5AF5">
        <w:t xml:space="preserve"> </w:t>
      </w:r>
      <w:r w:rsidR="00D13117" w:rsidRPr="00CD5AF5">
        <w:t>health requirements</w:t>
      </w:r>
      <w:r w:rsidR="00FF5C15" w:rsidRPr="00CD5AF5">
        <w:t>.</w:t>
      </w:r>
      <w:r w:rsidR="00B81C80" w:rsidRPr="00CD5AF5">
        <w:rPr>
          <w:rStyle w:val="FootnoteReference"/>
        </w:rPr>
        <w:footnoteReference w:id="4"/>
      </w:r>
      <w:r w:rsidR="00FF5C15" w:rsidRPr="00CD5AF5">
        <w:t xml:space="preserve"> These requirements </w:t>
      </w:r>
      <w:r w:rsidR="00D13117" w:rsidRPr="00CD5AF5">
        <w:t>permit</w:t>
      </w:r>
      <w:r w:rsidR="00FF5C15" w:rsidRPr="00CD5AF5">
        <w:t xml:space="preserve"> exclusion on the basis that a</w:t>
      </w:r>
      <w:r w:rsidR="00D13117" w:rsidRPr="00CD5AF5">
        <w:t xml:space="preserve"> person has a ‘disease or condition’ likely to result in ‘significant cost’ to the Australian health system or to ‘prejudice access’ to health or community services.</w:t>
      </w:r>
      <w:r w:rsidR="00B81C80">
        <w:rPr>
          <w:rStyle w:val="FootnoteReference"/>
        </w:rPr>
        <w:footnoteReference w:id="5"/>
      </w:r>
      <w:r w:rsidR="00D13117" w:rsidRPr="00CD5AF5">
        <w:t xml:space="preserve"> The </w:t>
      </w:r>
      <w:r w:rsidR="00D13117" w:rsidRPr="00CD5AF5">
        <w:rPr>
          <w:i/>
        </w:rPr>
        <w:t xml:space="preserve">Disability Discrimination Act 1992 </w:t>
      </w:r>
      <w:r w:rsidR="00B81C80">
        <w:t>(</w:t>
      </w:r>
      <w:proofErr w:type="spellStart"/>
      <w:r w:rsidR="00B81C80">
        <w:t>Cth</w:t>
      </w:r>
      <w:proofErr w:type="spellEnd"/>
      <w:r w:rsidR="00B81C80">
        <w:t xml:space="preserve">) </w:t>
      </w:r>
      <w:r w:rsidR="00D13117" w:rsidRPr="00CD5AF5">
        <w:t>creates an exemption from anti-discrimination law for discriminatory provisions in the federal migration law framework.</w:t>
      </w:r>
      <w:r w:rsidR="00D13117" w:rsidRPr="00CD5AF5">
        <w:rPr>
          <w:rStyle w:val="FootnoteReference"/>
        </w:rPr>
        <w:footnoteReference w:id="6"/>
      </w:r>
    </w:p>
    <w:p w:rsidR="00D13117" w:rsidRPr="00CD5AF5" w:rsidRDefault="00D13117" w:rsidP="003134C8">
      <w:pPr>
        <w:pStyle w:val="ListParagraph"/>
        <w:numPr>
          <w:ilvl w:val="0"/>
          <w:numId w:val="0"/>
        </w:numPr>
        <w:ind w:left="357"/>
        <w:rPr>
          <w:highlight w:val="cyan"/>
        </w:rPr>
      </w:pPr>
    </w:p>
    <w:p w:rsidR="00875B2A" w:rsidRPr="00CD5AF5" w:rsidRDefault="00D13117" w:rsidP="00CD3628">
      <w:pPr>
        <w:pStyle w:val="ListParagraph"/>
      </w:pPr>
      <w:r w:rsidRPr="00CD5AF5">
        <w:t xml:space="preserve">The Australian Government maintains </w:t>
      </w:r>
      <w:r w:rsidR="00AA2046">
        <w:t>that the health</w:t>
      </w:r>
      <w:r w:rsidR="00B96753" w:rsidRPr="00CD5AF5">
        <w:t xml:space="preserve"> requirements do not discriminate on the grounds of disabi</w:t>
      </w:r>
      <w:r w:rsidR="00875B2A" w:rsidRPr="00CD5AF5">
        <w:t>lity because having</w:t>
      </w:r>
      <w:r w:rsidR="00B96753" w:rsidRPr="00CD5AF5">
        <w:t xml:space="preserve"> a disability will not, in itself, result in a failure to meet the</w:t>
      </w:r>
      <w:r w:rsidR="00AA2046">
        <w:t xml:space="preserve"> </w:t>
      </w:r>
      <w:r w:rsidR="00AA2046">
        <w:lastRenderedPageBreak/>
        <w:t>requirements</w:t>
      </w:r>
      <w:r w:rsidR="00B96753" w:rsidRPr="00CD5AF5">
        <w:t>.</w:t>
      </w:r>
      <w:r w:rsidR="00875B2A" w:rsidRPr="00CD5AF5">
        <w:rPr>
          <w:rStyle w:val="FootnoteReference"/>
        </w:rPr>
        <w:footnoteReference w:id="7"/>
      </w:r>
      <w:r w:rsidR="00B96753" w:rsidRPr="00CD5AF5">
        <w:t xml:space="preserve"> </w:t>
      </w:r>
      <w:r w:rsidRPr="00CD5AF5">
        <w:t xml:space="preserve">The current approach, however, appears to entail a restriction which discriminates against migrants with disability </w:t>
      </w:r>
      <w:r w:rsidRPr="00CD5AF5">
        <w:rPr>
          <w:i/>
        </w:rPr>
        <w:t xml:space="preserve">indirectly </w:t>
      </w:r>
      <w:r w:rsidRPr="00CD5AF5">
        <w:t xml:space="preserve">or </w:t>
      </w:r>
      <w:r w:rsidRPr="00CD5AF5">
        <w:rPr>
          <w:i/>
        </w:rPr>
        <w:t>in purpose or effect</w:t>
      </w:r>
      <w:r w:rsidRPr="00CD5AF5">
        <w:t>, for example because it fails to consider the disproportionate impact of the health test on people with disability.</w:t>
      </w:r>
      <w:r w:rsidRPr="00CD5AF5">
        <w:rPr>
          <w:rStyle w:val="FootnoteReference"/>
        </w:rPr>
        <w:footnoteReference w:id="8"/>
      </w:r>
      <w:r w:rsidRPr="00CD5AF5">
        <w:t xml:space="preserve"> It is particularly detrimental for</w:t>
      </w:r>
      <w:r w:rsidR="00875B2A" w:rsidRPr="00CD5AF5">
        <w:t xml:space="preserve"> children</w:t>
      </w:r>
      <w:r w:rsidR="00793D87" w:rsidRPr="00CD5AF5">
        <w:t xml:space="preserve"> and young people</w:t>
      </w:r>
      <w:r w:rsidR="00875B2A" w:rsidRPr="00CD5AF5">
        <w:t xml:space="preserve"> </w:t>
      </w:r>
      <w:r w:rsidR="00026893" w:rsidRPr="00CD5AF5">
        <w:t xml:space="preserve">with </w:t>
      </w:r>
      <w:r w:rsidR="00875B2A" w:rsidRPr="00CD5AF5">
        <w:t>disability</w:t>
      </w:r>
      <w:r w:rsidRPr="00CD5AF5">
        <w:t>,</w:t>
      </w:r>
      <w:r w:rsidR="00875B2A" w:rsidRPr="00CD5AF5">
        <w:t xml:space="preserve"> since </w:t>
      </w:r>
      <w:r w:rsidRPr="00CD5AF5">
        <w:t>the relevant ‘</w:t>
      </w:r>
      <w:r w:rsidR="00875B2A" w:rsidRPr="00CD5AF5">
        <w:t>cost</w:t>
      </w:r>
      <w:r w:rsidRPr="00CD5AF5">
        <w:t xml:space="preserve">’ and ‘prejudice’ is </w:t>
      </w:r>
      <w:r w:rsidR="00875B2A" w:rsidRPr="00CD5AF5">
        <w:t>calculated over a lifetime.</w:t>
      </w:r>
      <w:r w:rsidR="00875B2A" w:rsidRPr="00CD5AF5">
        <w:rPr>
          <w:rStyle w:val="FootnoteReference"/>
        </w:rPr>
        <w:footnoteReference w:id="9"/>
      </w:r>
    </w:p>
    <w:p w:rsidR="00875B2A" w:rsidRPr="00CD5AF5" w:rsidRDefault="00875B2A" w:rsidP="00CD3628">
      <w:pPr>
        <w:pStyle w:val="ListParagraph"/>
        <w:numPr>
          <w:ilvl w:val="0"/>
          <w:numId w:val="0"/>
        </w:numPr>
        <w:ind w:left="357"/>
      </w:pPr>
    </w:p>
    <w:p w:rsidR="00C61F31" w:rsidRPr="00CD5AF5" w:rsidRDefault="00D13117" w:rsidP="003134C8">
      <w:pPr>
        <w:pStyle w:val="ListParagraph"/>
      </w:pPr>
      <w:r w:rsidRPr="00CD5AF5">
        <w:t>Despite recent policy changes which decrease the likelihood that the health test will operate to exclude people with disability,</w:t>
      </w:r>
      <w:r w:rsidRPr="00CD5AF5">
        <w:rPr>
          <w:rStyle w:val="FootnoteReference"/>
        </w:rPr>
        <w:footnoteReference w:id="10"/>
      </w:r>
      <w:r w:rsidRPr="00CD5AF5">
        <w:t xml:space="preserve"> some of the most vulnerable migrants and refugees, including children and young people with disability, continue to be deported. In CYDA’s view, this is an example of indirect intersectional discrimination in contravention of Article 5. </w:t>
      </w:r>
      <w:r w:rsidR="009364A7" w:rsidRPr="00CD5AF5">
        <w:t xml:space="preserve">CYDA suggests specifically identifying </w:t>
      </w:r>
      <w:r w:rsidRPr="00CD5AF5">
        <w:t>migrati</w:t>
      </w:r>
      <w:r w:rsidR="00FF5C15" w:rsidRPr="00CD5AF5">
        <w:t>on policies which discriminate</w:t>
      </w:r>
      <w:r w:rsidRPr="00CD5AF5">
        <w:t xml:space="preserve"> on </w:t>
      </w:r>
      <w:r w:rsidR="009364A7" w:rsidRPr="00CD5AF5">
        <w:t>the</w:t>
      </w:r>
      <w:r w:rsidR="00C61F31" w:rsidRPr="00CD5AF5">
        <w:t xml:space="preserve"> intersecti</w:t>
      </w:r>
      <w:r w:rsidRPr="00CD5AF5">
        <w:t xml:space="preserve">ng grounds of </w:t>
      </w:r>
      <w:r w:rsidR="00C61F31" w:rsidRPr="00CD5AF5">
        <w:t>disability, health status,</w:t>
      </w:r>
      <w:r w:rsidR="009364A7" w:rsidRPr="00CD5AF5">
        <w:t xml:space="preserve"> and migrant</w:t>
      </w:r>
      <w:r w:rsidR="00C61F31" w:rsidRPr="00CD5AF5">
        <w:t>, refugee or asylum</w:t>
      </w:r>
      <w:r w:rsidR="009364A7" w:rsidRPr="00CD5AF5">
        <w:t xml:space="preserve"> status</w:t>
      </w:r>
      <w:r w:rsidR="00BD665F" w:rsidRPr="00CD5AF5">
        <w:t xml:space="preserve"> in </w:t>
      </w:r>
      <w:r w:rsidR="00C86192" w:rsidRPr="00CD5AF5">
        <w:t>providing</w:t>
      </w:r>
      <w:r w:rsidR="00C61F31" w:rsidRPr="00CD5AF5">
        <w:t xml:space="preserve"> </w:t>
      </w:r>
      <w:r w:rsidRPr="00CD5AF5">
        <w:t>further guidance on the implementation of Article 5(2)</w:t>
      </w:r>
      <w:r w:rsidR="009364A7" w:rsidRPr="00CD5AF5">
        <w:t xml:space="preserve">. </w:t>
      </w:r>
    </w:p>
    <w:p w:rsidR="007A71C6" w:rsidRPr="00CD5AF5" w:rsidRDefault="007A71C6" w:rsidP="00CD3628">
      <w:pPr>
        <w:pStyle w:val="ListParagraph"/>
        <w:numPr>
          <w:ilvl w:val="0"/>
          <w:numId w:val="0"/>
        </w:numPr>
        <w:ind w:left="357"/>
        <w:jc w:val="both"/>
        <w:rPr>
          <w:b/>
          <w:szCs w:val="22"/>
          <w:lang w:val="en-GB"/>
        </w:rPr>
      </w:pPr>
    </w:p>
    <w:p w:rsidR="000A3B98" w:rsidRPr="00CD5AF5" w:rsidRDefault="000A3B98" w:rsidP="007A71C6">
      <w:pPr>
        <w:ind w:left="357" w:hanging="357"/>
        <w:jc w:val="both"/>
        <w:rPr>
          <w:szCs w:val="22"/>
          <w:u w:val="single"/>
          <w:lang w:val="en-GB"/>
        </w:rPr>
      </w:pPr>
      <w:r w:rsidRPr="00CD5AF5">
        <w:rPr>
          <w:szCs w:val="22"/>
          <w:u w:val="single"/>
          <w:lang w:val="en-GB"/>
        </w:rPr>
        <w:t>Reasonable Accommodation</w:t>
      </w:r>
    </w:p>
    <w:p w:rsidR="007A71C6" w:rsidRPr="00CD5AF5" w:rsidRDefault="007A71C6" w:rsidP="005E6AAB">
      <w:pPr>
        <w:rPr>
          <w:szCs w:val="22"/>
        </w:rPr>
      </w:pPr>
    </w:p>
    <w:p w:rsidR="00D71886" w:rsidRPr="00CD5AF5" w:rsidRDefault="007A71C6" w:rsidP="007A71C6">
      <w:pPr>
        <w:pStyle w:val="ListParagraph"/>
      </w:pPr>
      <w:r w:rsidRPr="00CD5AF5">
        <w:t>In outlining key elements that guide the implementation of the duty to provide reasonable accommodation at paragraph 27(a)-(b), the draft General C</w:t>
      </w:r>
      <w:r w:rsidR="00537546" w:rsidRPr="00CD5AF5">
        <w:t>omment</w:t>
      </w:r>
      <w:r w:rsidRPr="00CD5AF5">
        <w:t xml:space="preserve"> refers to ‘proving’ that an accommodation is feasible and relevant. This wording </w:t>
      </w:r>
      <w:r w:rsidR="00B934B9" w:rsidRPr="00CD5AF5">
        <w:t>may create</w:t>
      </w:r>
      <w:r w:rsidRPr="00CD5AF5">
        <w:t xml:space="preserve"> the impression that there </w:t>
      </w:r>
      <w:r w:rsidR="009D79AF" w:rsidRPr="00CD5AF5">
        <w:t xml:space="preserve">should be </w:t>
      </w:r>
      <w:r w:rsidRPr="00CD5AF5">
        <w:t>an onus on the person with disability to ‘prove’ the need for reasonable accommodation before it will be provided</w:t>
      </w:r>
      <w:r w:rsidR="00D71886" w:rsidRPr="00CD5AF5">
        <w:t>.</w:t>
      </w:r>
    </w:p>
    <w:p w:rsidR="00EA2195" w:rsidRPr="00CD5AF5" w:rsidRDefault="00EA2195" w:rsidP="00CD3628">
      <w:pPr>
        <w:pStyle w:val="ListParagraph"/>
        <w:numPr>
          <w:ilvl w:val="0"/>
          <w:numId w:val="0"/>
        </w:numPr>
        <w:ind w:left="357"/>
      </w:pPr>
    </w:p>
    <w:p w:rsidR="000A3B98" w:rsidRPr="00CD5AF5" w:rsidRDefault="007A71C6" w:rsidP="007A71C6">
      <w:pPr>
        <w:pStyle w:val="ListParagraph"/>
      </w:pPr>
      <w:r w:rsidRPr="00CD5AF5">
        <w:t>The duty</w:t>
      </w:r>
      <w:r w:rsidRPr="00CD5AF5">
        <w:rPr>
          <w:i/>
        </w:rPr>
        <w:t xml:space="preserve"> </w:t>
      </w:r>
      <w:r w:rsidRPr="00CD5AF5">
        <w:t xml:space="preserve">to provide reasonable accommodation, as stated in paragraph 25, needs to be negotiated with the individual in question and it should be up to the </w:t>
      </w:r>
      <w:r w:rsidR="00852F9D" w:rsidRPr="00CD5AF5">
        <w:t>duty bearer</w:t>
      </w:r>
      <w:r w:rsidRPr="00CD5AF5">
        <w:t xml:space="preserve"> to prove that a particular request cannot be reasonably accommodated.</w:t>
      </w:r>
      <w:r w:rsidR="00D71886" w:rsidRPr="00CD5AF5">
        <w:t xml:space="preserve"> Whilst it is stated in paragraph 27(f) that the burden of proof in relation to whether the desired accommodation imposes a disproportionate or undue burden </w:t>
      </w:r>
      <w:r w:rsidR="009D79AF" w:rsidRPr="00CD5AF5">
        <w:t xml:space="preserve">should </w:t>
      </w:r>
      <w:r w:rsidR="00D71886" w:rsidRPr="00CD5AF5">
        <w:t xml:space="preserve">rest with the duty bearer, paragraph 27 </w:t>
      </w:r>
      <w:r w:rsidR="00E66231" w:rsidRPr="00CD5AF5">
        <w:t>c</w:t>
      </w:r>
      <w:r w:rsidR="00D71886" w:rsidRPr="00CD5AF5">
        <w:t xml:space="preserve">ould be revised in its entirety to remove any implication that the person with disability </w:t>
      </w:r>
      <w:r w:rsidR="009D79AF" w:rsidRPr="00CD5AF5">
        <w:t xml:space="preserve">should </w:t>
      </w:r>
      <w:r w:rsidR="00D71886" w:rsidRPr="00CD5AF5">
        <w:t>bear the burden of proof when it comes to providing and negotiating reasonable accommodation.</w:t>
      </w:r>
    </w:p>
    <w:p w:rsidR="00D71886" w:rsidRPr="00CD5AF5" w:rsidRDefault="00D71886" w:rsidP="00D71886">
      <w:pPr>
        <w:pStyle w:val="ListParagraph"/>
        <w:numPr>
          <w:ilvl w:val="0"/>
          <w:numId w:val="0"/>
        </w:numPr>
        <w:ind w:left="357"/>
      </w:pPr>
    </w:p>
    <w:p w:rsidR="00D71886" w:rsidRPr="00CD5AF5" w:rsidRDefault="00B27CFA" w:rsidP="007A71C6">
      <w:pPr>
        <w:pStyle w:val="ListParagraph"/>
      </w:pPr>
      <w:r>
        <w:t>It may</w:t>
      </w:r>
      <w:r w:rsidR="00D71886" w:rsidRPr="00CD5AF5">
        <w:t xml:space="preserve"> be useful to distinguish between requirements relating to reasonable accommodation</w:t>
      </w:r>
      <w:r w:rsidR="00852F9D" w:rsidRPr="00CD5AF5">
        <w:t xml:space="preserve">: (a) in negotiations between the person with disability and the relevant agency, service or organisation; and (b) in </w:t>
      </w:r>
      <w:r w:rsidR="00D71886" w:rsidRPr="00CD5AF5">
        <w:t>legal determinations</w:t>
      </w:r>
      <w:r w:rsidR="00852F9D" w:rsidRPr="00CD5AF5">
        <w:t xml:space="preserve"> when a dispute arises. The ‘burden of proof’ issue could then be discussed specifically in relation to legal proceedings</w:t>
      </w:r>
      <w:r w:rsidR="00B773C7" w:rsidRPr="00CD5AF5">
        <w:t xml:space="preserve"> to avoid conflating these two contexts. Using this terminology to describe </w:t>
      </w:r>
      <w:r w:rsidR="00C0743F" w:rsidRPr="00CD5AF5">
        <w:t>general implementation of the</w:t>
      </w:r>
      <w:r w:rsidR="00B773C7" w:rsidRPr="00CD5AF5">
        <w:t xml:space="preserve"> duty could inadvertently encourage </w:t>
      </w:r>
      <w:r w:rsidR="00852F9D" w:rsidRPr="00CD5AF5">
        <w:t xml:space="preserve">an overly adversarial approach </w:t>
      </w:r>
      <w:r w:rsidR="00B773C7" w:rsidRPr="00CD5AF5">
        <w:t xml:space="preserve">in </w:t>
      </w:r>
      <w:r w:rsidR="00852F9D" w:rsidRPr="00CD5AF5">
        <w:t>everyday negotiations about reasonable accommodation</w:t>
      </w:r>
      <w:r w:rsidR="00D71886" w:rsidRPr="00CD5AF5">
        <w:t>.</w:t>
      </w:r>
    </w:p>
    <w:p w:rsidR="00A06FF9" w:rsidRDefault="00A06FF9" w:rsidP="005E6AAB">
      <w:pPr>
        <w:rPr>
          <w:szCs w:val="22"/>
          <w:lang w:val="en-GB"/>
        </w:rPr>
      </w:pPr>
    </w:p>
    <w:p w:rsidR="00CD5AF5" w:rsidRDefault="00CD5AF5" w:rsidP="005E6AAB">
      <w:pPr>
        <w:rPr>
          <w:szCs w:val="22"/>
          <w:lang w:val="en-GB"/>
        </w:rPr>
      </w:pPr>
    </w:p>
    <w:p w:rsidR="00CD5AF5" w:rsidRDefault="00CD5AF5" w:rsidP="005E6AAB">
      <w:pPr>
        <w:rPr>
          <w:szCs w:val="22"/>
          <w:lang w:val="en-GB"/>
        </w:rPr>
      </w:pPr>
    </w:p>
    <w:p w:rsidR="00CD5AF5" w:rsidRDefault="00CD5AF5" w:rsidP="005E6AAB">
      <w:pPr>
        <w:rPr>
          <w:szCs w:val="22"/>
          <w:lang w:val="en-GB"/>
        </w:rPr>
      </w:pPr>
    </w:p>
    <w:p w:rsidR="00CD5AF5" w:rsidRPr="00CD5AF5" w:rsidRDefault="00CD5AF5" w:rsidP="005E6AAB">
      <w:pPr>
        <w:rPr>
          <w:szCs w:val="22"/>
          <w:lang w:val="en-GB"/>
        </w:rPr>
      </w:pPr>
    </w:p>
    <w:p w:rsidR="000A3B98" w:rsidRPr="00CD5AF5" w:rsidRDefault="000A3B98" w:rsidP="00FD20D6">
      <w:pPr>
        <w:ind w:left="357" w:hanging="357"/>
        <w:jc w:val="both"/>
        <w:rPr>
          <w:b/>
          <w:szCs w:val="22"/>
          <w:lang w:val="en-GB"/>
        </w:rPr>
      </w:pPr>
      <w:r w:rsidRPr="00CD5AF5">
        <w:rPr>
          <w:b/>
          <w:szCs w:val="22"/>
          <w:lang w:val="en-GB"/>
        </w:rPr>
        <w:lastRenderedPageBreak/>
        <w:t xml:space="preserve">Relationship with other specific articles of the Convention </w:t>
      </w:r>
    </w:p>
    <w:p w:rsidR="002575A8" w:rsidRPr="00CD5AF5" w:rsidRDefault="002575A8" w:rsidP="00FD20D6">
      <w:pPr>
        <w:pStyle w:val="ListParagraph"/>
        <w:numPr>
          <w:ilvl w:val="0"/>
          <w:numId w:val="0"/>
        </w:numPr>
        <w:ind w:left="357"/>
        <w:jc w:val="both"/>
        <w:rPr>
          <w:b/>
          <w:szCs w:val="22"/>
          <w:lang w:val="en-GB"/>
        </w:rPr>
      </w:pPr>
    </w:p>
    <w:p w:rsidR="000A3B98" w:rsidRPr="00CD5AF5" w:rsidRDefault="000A3B98" w:rsidP="00FD20D6">
      <w:pPr>
        <w:ind w:left="357" w:hanging="357"/>
        <w:jc w:val="both"/>
        <w:rPr>
          <w:szCs w:val="22"/>
          <w:u w:val="single"/>
          <w:lang w:val="en-US"/>
        </w:rPr>
      </w:pPr>
      <w:r w:rsidRPr="00CD5AF5">
        <w:rPr>
          <w:szCs w:val="22"/>
          <w:u w:val="single"/>
          <w:lang w:val="en-US"/>
        </w:rPr>
        <w:t>Article 7 – Children with disabilities</w:t>
      </w:r>
    </w:p>
    <w:p w:rsidR="00FD20D6" w:rsidRPr="00CD5AF5" w:rsidRDefault="00FD20D6" w:rsidP="005E6AAB">
      <w:pPr>
        <w:jc w:val="both"/>
        <w:rPr>
          <w:szCs w:val="22"/>
          <w:lang w:val="en-GB"/>
        </w:rPr>
      </w:pPr>
    </w:p>
    <w:p w:rsidR="00395236" w:rsidRPr="00CD5AF5" w:rsidRDefault="00221D42" w:rsidP="002D320B">
      <w:pPr>
        <w:pStyle w:val="ListParagraph"/>
        <w:rPr>
          <w:lang w:val="en-GB"/>
        </w:rPr>
      </w:pPr>
      <w:r w:rsidRPr="00CD5AF5">
        <w:rPr>
          <w:lang w:val="en-GB"/>
        </w:rPr>
        <w:t>Paragraph 43 states that ‘[g]</w:t>
      </w:r>
      <w:proofErr w:type="spellStart"/>
      <w:r w:rsidRPr="00CD5AF5">
        <w:rPr>
          <w:lang w:val="en-GB"/>
        </w:rPr>
        <w:t>eneral</w:t>
      </w:r>
      <w:proofErr w:type="spellEnd"/>
      <w:r w:rsidRPr="00CD5AF5">
        <w:rPr>
          <w:lang w:val="en-GB"/>
        </w:rPr>
        <w:t xml:space="preserve"> laws concerning childhood rarely consider children with disabilities’. The dr</w:t>
      </w:r>
      <w:r w:rsidR="00234A25" w:rsidRPr="00CD5AF5">
        <w:rPr>
          <w:lang w:val="en-GB"/>
        </w:rPr>
        <w:t xml:space="preserve">aft General Comment </w:t>
      </w:r>
      <w:r w:rsidR="00700E73" w:rsidRPr="00CD5AF5">
        <w:rPr>
          <w:lang w:val="en-GB"/>
        </w:rPr>
        <w:t>c</w:t>
      </w:r>
      <w:r w:rsidR="00234A25" w:rsidRPr="00CD5AF5">
        <w:rPr>
          <w:lang w:val="en-GB"/>
        </w:rPr>
        <w:t xml:space="preserve">ould </w:t>
      </w:r>
      <w:r w:rsidR="001E30EB" w:rsidRPr="00CD5AF5">
        <w:rPr>
          <w:lang w:val="en-GB"/>
        </w:rPr>
        <w:t>also ref</w:t>
      </w:r>
      <w:r w:rsidR="00700E73" w:rsidRPr="00CD5AF5">
        <w:rPr>
          <w:lang w:val="en-GB"/>
        </w:rPr>
        <w:t>er</w:t>
      </w:r>
      <w:r w:rsidRPr="00CD5AF5">
        <w:rPr>
          <w:lang w:val="en-GB"/>
        </w:rPr>
        <w:t xml:space="preserve"> at this point </w:t>
      </w:r>
      <w:r w:rsidR="001E30EB" w:rsidRPr="00CD5AF5">
        <w:rPr>
          <w:lang w:val="en-GB"/>
        </w:rPr>
        <w:t xml:space="preserve">to the </w:t>
      </w:r>
      <w:r w:rsidR="00234A25" w:rsidRPr="00CD5AF5">
        <w:rPr>
          <w:lang w:val="en-GB"/>
        </w:rPr>
        <w:t>n</w:t>
      </w:r>
      <w:r w:rsidR="001E30EB" w:rsidRPr="00CD5AF5">
        <w:rPr>
          <w:lang w:val="en-GB"/>
        </w:rPr>
        <w:t>eed to ensure that general</w:t>
      </w:r>
      <w:r w:rsidRPr="00CD5AF5">
        <w:rPr>
          <w:lang w:val="en-GB"/>
        </w:rPr>
        <w:t xml:space="preserve"> policies and </w:t>
      </w:r>
      <w:r w:rsidR="001E30EB" w:rsidRPr="00CD5AF5">
        <w:rPr>
          <w:lang w:val="en-GB"/>
        </w:rPr>
        <w:t xml:space="preserve">administrative </w:t>
      </w:r>
      <w:r w:rsidRPr="00CD5AF5">
        <w:rPr>
          <w:lang w:val="en-GB"/>
        </w:rPr>
        <w:t>arrangements concerning chil</w:t>
      </w:r>
      <w:r w:rsidR="00234A25" w:rsidRPr="00CD5AF5">
        <w:rPr>
          <w:lang w:val="en-GB"/>
        </w:rPr>
        <w:t>dren</w:t>
      </w:r>
      <w:r w:rsidRPr="00CD5AF5">
        <w:rPr>
          <w:lang w:val="en-GB"/>
        </w:rPr>
        <w:t xml:space="preserve">, including child protection and welfare mechanisms, incorporate specific considerations </w:t>
      </w:r>
      <w:r w:rsidR="00234A25" w:rsidRPr="00CD5AF5">
        <w:rPr>
          <w:lang w:val="en-GB"/>
        </w:rPr>
        <w:t>relating to children with disability.</w:t>
      </w:r>
    </w:p>
    <w:p w:rsidR="002D320B" w:rsidRPr="00CD5AF5" w:rsidRDefault="002D320B" w:rsidP="002D320B">
      <w:pPr>
        <w:pStyle w:val="ListParagraph"/>
        <w:numPr>
          <w:ilvl w:val="0"/>
          <w:numId w:val="0"/>
        </w:numPr>
        <w:ind w:left="357"/>
        <w:rPr>
          <w:lang w:val="en-GB"/>
        </w:rPr>
      </w:pPr>
    </w:p>
    <w:p w:rsidR="00395236" w:rsidRPr="00CD5AF5" w:rsidRDefault="00D94CD7" w:rsidP="00234A25">
      <w:pPr>
        <w:pStyle w:val="ListParagraph"/>
        <w:rPr>
          <w:lang w:val="en-GB"/>
        </w:rPr>
      </w:pPr>
      <w:r w:rsidRPr="00CD5AF5">
        <w:rPr>
          <w:lang w:val="en-GB"/>
        </w:rPr>
        <w:t xml:space="preserve">CYDA strongly supports the statement in paragraph 43 that </w:t>
      </w:r>
      <w:r w:rsidR="00234A25" w:rsidRPr="00CD5AF5">
        <w:rPr>
          <w:lang w:val="en-GB"/>
        </w:rPr>
        <w:t>violence and institutionalisation of children with disabilit</w:t>
      </w:r>
      <w:r w:rsidR="00A24468" w:rsidRPr="00CD5AF5">
        <w:rPr>
          <w:lang w:val="en-GB"/>
        </w:rPr>
        <w:t>y</w:t>
      </w:r>
      <w:r w:rsidR="00234A25" w:rsidRPr="00CD5AF5">
        <w:rPr>
          <w:lang w:val="en-GB"/>
        </w:rPr>
        <w:t xml:space="preserve"> </w:t>
      </w:r>
      <w:r w:rsidRPr="00CD5AF5">
        <w:rPr>
          <w:lang w:val="en-GB"/>
        </w:rPr>
        <w:t xml:space="preserve">must be addressed </w:t>
      </w:r>
      <w:r w:rsidR="00234A25" w:rsidRPr="00CD5AF5">
        <w:rPr>
          <w:lang w:val="en-GB"/>
        </w:rPr>
        <w:t>as a matter of discrimination</w:t>
      </w:r>
      <w:r w:rsidRPr="00CD5AF5">
        <w:rPr>
          <w:lang w:val="en-GB"/>
        </w:rPr>
        <w:t xml:space="preserve">. This section </w:t>
      </w:r>
      <w:r w:rsidR="00700E73" w:rsidRPr="00CD5AF5">
        <w:rPr>
          <w:lang w:val="en-GB"/>
        </w:rPr>
        <w:t>c</w:t>
      </w:r>
      <w:r w:rsidRPr="00CD5AF5">
        <w:rPr>
          <w:lang w:val="en-GB"/>
        </w:rPr>
        <w:t xml:space="preserve">ould refer to </w:t>
      </w:r>
      <w:r w:rsidR="00234A25" w:rsidRPr="00CD5AF5">
        <w:rPr>
          <w:lang w:val="en-GB"/>
        </w:rPr>
        <w:t xml:space="preserve">the heightened vulnerability of children with disability to abuse and neglect, not only in disability support settings but also in mainstream settings, institutions and services. </w:t>
      </w:r>
      <w:r w:rsidRPr="00CD5AF5">
        <w:rPr>
          <w:lang w:val="en-GB"/>
        </w:rPr>
        <w:t xml:space="preserve">It </w:t>
      </w:r>
      <w:r w:rsidR="00700E73" w:rsidRPr="00CD5AF5">
        <w:rPr>
          <w:lang w:val="en-GB"/>
        </w:rPr>
        <w:t>c</w:t>
      </w:r>
      <w:r w:rsidR="00C0743F" w:rsidRPr="00CD5AF5">
        <w:rPr>
          <w:lang w:val="en-GB"/>
        </w:rPr>
        <w:t xml:space="preserve">ould </w:t>
      </w:r>
      <w:r w:rsidRPr="00CD5AF5">
        <w:rPr>
          <w:lang w:val="en-GB"/>
        </w:rPr>
        <w:t>mention th</w:t>
      </w:r>
      <w:r w:rsidR="00234A25" w:rsidRPr="00CD5AF5">
        <w:rPr>
          <w:lang w:val="en-GB"/>
        </w:rPr>
        <w:t>e need for children with disability to be afforded a level of attention and protection commensurate with this known level of increased vulnerability</w:t>
      </w:r>
      <w:r w:rsidRPr="00CD5AF5">
        <w:rPr>
          <w:lang w:val="en-GB"/>
        </w:rPr>
        <w:t xml:space="preserve">, consistent with the new model </w:t>
      </w:r>
      <w:r w:rsidR="00CF0797" w:rsidRPr="00CD5AF5">
        <w:rPr>
          <w:lang w:val="en-GB"/>
        </w:rPr>
        <w:t xml:space="preserve">of equality </w:t>
      </w:r>
      <w:r w:rsidR="00C0743F" w:rsidRPr="00CD5AF5">
        <w:rPr>
          <w:lang w:val="en-GB"/>
        </w:rPr>
        <w:t>underpinning the CRPD</w:t>
      </w:r>
      <w:r w:rsidR="00234A25" w:rsidRPr="00CD5AF5">
        <w:rPr>
          <w:lang w:val="en-GB"/>
        </w:rPr>
        <w:t>.</w:t>
      </w:r>
    </w:p>
    <w:p w:rsidR="001E30EB" w:rsidRPr="00CD5AF5" w:rsidRDefault="001E30EB" w:rsidP="00CD3628">
      <w:pPr>
        <w:pStyle w:val="ListParagraph"/>
        <w:numPr>
          <w:ilvl w:val="0"/>
          <w:numId w:val="0"/>
        </w:numPr>
        <w:ind w:left="357"/>
        <w:rPr>
          <w:lang w:val="en-GB"/>
        </w:rPr>
      </w:pPr>
    </w:p>
    <w:p w:rsidR="001E30EB" w:rsidRPr="00CD5AF5" w:rsidRDefault="001E30EB" w:rsidP="001E30EB">
      <w:pPr>
        <w:pStyle w:val="ListParagraph"/>
        <w:rPr>
          <w:lang w:val="en-GB"/>
        </w:rPr>
      </w:pPr>
      <w:r w:rsidRPr="00CD5AF5">
        <w:rPr>
          <w:lang w:val="en-GB"/>
        </w:rPr>
        <w:t>At paragraph 43 it is stated that States Parties should adopt age-appropriate support measures to enable children with disability to exercise their right to be heard in all procedures that affect them. Legal proceedings could be included in the non-exhaustive list of applicable proceedings that follows. CYDA suggests including further guidance on what is involved in the provision of age-appropriate support, such as: p</w:t>
      </w:r>
      <w:r w:rsidR="00B27CFA">
        <w:rPr>
          <w:lang w:val="en-GB"/>
        </w:rPr>
        <w:t>roviding information in a manner</w:t>
      </w:r>
      <w:r w:rsidRPr="00CD5AF5">
        <w:rPr>
          <w:lang w:val="en-GB"/>
        </w:rPr>
        <w:t xml:space="preserve"> that takes account of children’s developmental stage; taking positive action to enable children to express their views; and engaging children using their preferred mode of communication.</w:t>
      </w:r>
      <w:r w:rsidR="004A01DC" w:rsidRPr="00CD5AF5">
        <w:rPr>
          <w:lang w:val="en-GB"/>
        </w:rPr>
        <w:t xml:space="preserve">  </w:t>
      </w:r>
    </w:p>
    <w:p w:rsidR="001E30EB" w:rsidRPr="00CD5AF5" w:rsidRDefault="001E30EB" w:rsidP="00CD3628">
      <w:pPr>
        <w:pStyle w:val="ListParagraph"/>
        <w:numPr>
          <w:ilvl w:val="0"/>
          <w:numId w:val="0"/>
        </w:numPr>
        <w:ind w:left="357"/>
        <w:rPr>
          <w:lang w:val="en-GB"/>
        </w:rPr>
      </w:pPr>
    </w:p>
    <w:p w:rsidR="001E30EB" w:rsidRPr="00CD5AF5" w:rsidRDefault="001E30EB" w:rsidP="001E30EB">
      <w:pPr>
        <w:pStyle w:val="ListParagraph"/>
        <w:rPr>
          <w:lang w:val="en-GB"/>
        </w:rPr>
      </w:pPr>
      <w:r w:rsidRPr="00CD5AF5">
        <w:rPr>
          <w:lang w:val="en-GB"/>
        </w:rPr>
        <w:t>The statement regarding States Parties’ obligation to provide accessible means, modes and formats of communication could be worded more strongly to convey the fundamental importance of this duty.</w:t>
      </w:r>
      <w:r w:rsidR="00CF0797" w:rsidRPr="00CD5AF5">
        <w:rPr>
          <w:lang w:val="en-GB"/>
        </w:rPr>
        <w:t xml:space="preserve"> A possible revision would be: ‘</w:t>
      </w:r>
      <w:r w:rsidRPr="00CD5AF5">
        <w:rPr>
          <w:lang w:val="en-GB"/>
        </w:rPr>
        <w:t>States Parties</w:t>
      </w:r>
      <w:r w:rsidRPr="00CD5AF5">
        <w:rPr>
          <w:i/>
          <w:lang w:val="en-GB"/>
        </w:rPr>
        <w:t xml:space="preserve"> must</w:t>
      </w:r>
      <w:r w:rsidRPr="00CD5AF5">
        <w:rPr>
          <w:lang w:val="en-GB"/>
        </w:rPr>
        <w:t xml:space="preserve"> provide accessible means, modes and formats of communication to ensure that children with disability can participate in all procedures that affect them, in order to facilitate</w:t>
      </w:r>
      <w:r w:rsidR="00F94ABB" w:rsidRPr="00CD5AF5">
        <w:rPr>
          <w:lang w:val="en-GB"/>
        </w:rPr>
        <w:t xml:space="preserve"> </w:t>
      </w:r>
      <w:r w:rsidR="00CF0797" w:rsidRPr="00CD5AF5">
        <w:rPr>
          <w:lang w:val="en-GB"/>
        </w:rPr>
        <w:t xml:space="preserve">the </w:t>
      </w:r>
      <w:r w:rsidR="00F94ABB" w:rsidRPr="00CD5AF5">
        <w:rPr>
          <w:lang w:val="en-GB"/>
        </w:rPr>
        <w:t xml:space="preserve">non-discrimination and equality rights </w:t>
      </w:r>
      <w:r w:rsidR="001E4D6F" w:rsidRPr="00CD5AF5">
        <w:rPr>
          <w:lang w:val="en-GB"/>
        </w:rPr>
        <w:t>of children with disability.</w:t>
      </w:r>
      <w:r w:rsidR="00CF0797" w:rsidRPr="00CD5AF5">
        <w:rPr>
          <w:lang w:val="en-GB"/>
        </w:rPr>
        <w:t>’</w:t>
      </w:r>
    </w:p>
    <w:p w:rsidR="00F94ABB" w:rsidRPr="00CD5AF5" w:rsidRDefault="00F94ABB" w:rsidP="00CD3628">
      <w:pPr>
        <w:pStyle w:val="ListParagraph"/>
        <w:numPr>
          <w:ilvl w:val="0"/>
          <w:numId w:val="0"/>
        </w:numPr>
        <w:ind w:left="357"/>
        <w:rPr>
          <w:lang w:val="en-GB"/>
        </w:rPr>
      </w:pPr>
    </w:p>
    <w:p w:rsidR="00395236" w:rsidRPr="00CD5AF5" w:rsidRDefault="005B05BF" w:rsidP="00FD20D6">
      <w:pPr>
        <w:jc w:val="both"/>
        <w:rPr>
          <w:szCs w:val="22"/>
          <w:u w:val="single"/>
          <w:lang w:val="en-US"/>
        </w:rPr>
      </w:pPr>
      <w:r w:rsidRPr="00CD5AF5">
        <w:rPr>
          <w:szCs w:val="22"/>
          <w:u w:val="single"/>
          <w:lang w:val="en-US"/>
        </w:rPr>
        <w:t>A</w:t>
      </w:r>
      <w:r w:rsidR="00395236" w:rsidRPr="00CD5AF5">
        <w:rPr>
          <w:szCs w:val="22"/>
          <w:u w:val="single"/>
          <w:lang w:val="en-US"/>
        </w:rPr>
        <w:t>rticle 9 – Accessibility</w:t>
      </w:r>
    </w:p>
    <w:p w:rsidR="00FD20D6" w:rsidRPr="00CD5AF5" w:rsidRDefault="00FD20D6" w:rsidP="005E6AAB">
      <w:pPr>
        <w:jc w:val="both"/>
        <w:rPr>
          <w:szCs w:val="22"/>
          <w:lang w:val="en-US"/>
        </w:rPr>
      </w:pPr>
    </w:p>
    <w:p w:rsidR="005B05BF" w:rsidRPr="00CD5AF5" w:rsidRDefault="00295C87" w:rsidP="002D320B">
      <w:pPr>
        <w:pStyle w:val="ListParagraph"/>
        <w:rPr>
          <w:lang w:val="en-US"/>
        </w:rPr>
      </w:pPr>
      <w:r w:rsidRPr="00CD5AF5">
        <w:rPr>
          <w:lang w:val="en-US"/>
        </w:rPr>
        <w:t>Paragraphs 46 and 47</w:t>
      </w:r>
      <w:r w:rsidR="009E2DFF" w:rsidRPr="00CD5AF5">
        <w:rPr>
          <w:lang w:val="en-US"/>
        </w:rPr>
        <w:t xml:space="preserve"> refer to </w:t>
      </w:r>
      <w:r w:rsidR="00AC39F2" w:rsidRPr="00CD5AF5">
        <w:rPr>
          <w:lang w:val="en-US"/>
        </w:rPr>
        <w:t>‘</w:t>
      </w:r>
      <w:r w:rsidR="00867B40" w:rsidRPr="00CD5AF5">
        <w:rPr>
          <w:lang w:val="en-US"/>
        </w:rPr>
        <w:t xml:space="preserve">accessibility of the </w:t>
      </w:r>
      <w:r w:rsidR="005B05BF" w:rsidRPr="00CD5AF5">
        <w:rPr>
          <w:lang w:val="en-US"/>
        </w:rPr>
        <w:t>built environment, public transport, as well as information and communication services</w:t>
      </w:r>
      <w:r w:rsidR="00AC39F2" w:rsidRPr="00CD5AF5">
        <w:rPr>
          <w:lang w:val="en-US"/>
        </w:rPr>
        <w:t>’</w:t>
      </w:r>
      <w:r w:rsidR="009E2DFF" w:rsidRPr="00CD5AF5">
        <w:rPr>
          <w:lang w:val="en-US"/>
        </w:rPr>
        <w:t xml:space="preserve"> in </w:t>
      </w:r>
      <w:r w:rsidR="00867B40" w:rsidRPr="00CD5AF5">
        <w:rPr>
          <w:lang w:val="en-US"/>
        </w:rPr>
        <w:t xml:space="preserve">outlining States Parties obligations </w:t>
      </w:r>
      <w:r w:rsidR="000B647A" w:rsidRPr="00CD5AF5">
        <w:rPr>
          <w:lang w:val="en-US"/>
        </w:rPr>
        <w:t xml:space="preserve">under </w:t>
      </w:r>
      <w:r w:rsidR="00867B40" w:rsidRPr="00CD5AF5">
        <w:rPr>
          <w:lang w:val="en-US"/>
        </w:rPr>
        <w:t>Article 9</w:t>
      </w:r>
      <w:r w:rsidR="005B05BF" w:rsidRPr="00CD5AF5">
        <w:rPr>
          <w:lang w:val="en-US"/>
        </w:rPr>
        <w:t xml:space="preserve">. This </w:t>
      </w:r>
      <w:r w:rsidR="009E2DFF" w:rsidRPr="00CD5AF5">
        <w:rPr>
          <w:lang w:val="en-US"/>
        </w:rPr>
        <w:t xml:space="preserve">section </w:t>
      </w:r>
      <w:r w:rsidR="00700E73" w:rsidRPr="00CD5AF5">
        <w:rPr>
          <w:lang w:val="en-US"/>
        </w:rPr>
        <w:t>c</w:t>
      </w:r>
      <w:r w:rsidR="009E2DFF" w:rsidRPr="00CD5AF5">
        <w:rPr>
          <w:lang w:val="en-US"/>
        </w:rPr>
        <w:t xml:space="preserve">ould be expanded </w:t>
      </w:r>
      <w:r w:rsidR="00867B40" w:rsidRPr="00CD5AF5">
        <w:rPr>
          <w:lang w:val="en-US"/>
        </w:rPr>
        <w:t xml:space="preserve">to explicitly refer to </w:t>
      </w:r>
      <w:r w:rsidR="009E2DFF" w:rsidRPr="00CD5AF5">
        <w:rPr>
          <w:lang w:val="en-US"/>
        </w:rPr>
        <w:t xml:space="preserve">requirements relating to people </w:t>
      </w:r>
      <w:r w:rsidR="00867B40" w:rsidRPr="00CD5AF5">
        <w:rPr>
          <w:lang w:val="en-US"/>
        </w:rPr>
        <w:t>for whom accessibility involves the provision of social and communication support, which is</w:t>
      </w:r>
      <w:r w:rsidR="00C0743F" w:rsidRPr="00CD5AF5">
        <w:rPr>
          <w:lang w:val="en-US"/>
        </w:rPr>
        <w:t xml:space="preserve"> not necessarily</w:t>
      </w:r>
      <w:r w:rsidR="00867B40" w:rsidRPr="00CD5AF5">
        <w:rPr>
          <w:lang w:val="en-US"/>
        </w:rPr>
        <w:t xml:space="preserve"> covered by the term ‘communication services’. </w:t>
      </w:r>
    </w:p>
    <w:p w:rsidR="009E2DFF" w:rsidRPr="00CD5AF5" w:rsidRDefault="009E2DFF" w:rsidP="009E2DFF">
      <w:pPr>
        <w:pStyle w:val="ListParagraph"/>
        <w:numPr>
          <w:ilvl w:val="0"/>
          <w:numId w:val="0"/>
        </w:numPr>
        <w:ind w:left="357"/>
        <w:rPr>
          <w:lang w:val="en-US"/>
        </w:rPr>
      </w:pPr>
    </w:p>
    <w:p w:rsidR="005B05BF" w:rsidRPr="00CD5AF5" w:rsidRDefault="005B05BF" w:rsidP="00FD20D6">
      <w:pPr>
        <w:ind w:left="357" w:hanging="357"/>
        <w:jc w:val="both"/>
        <w:rPr>
          <w:szCs w:val="22"/>
          <w:u w:val="single"/>
        </w:rPr>
      </w:pPr>
      <w:r w:rsidRPr="00CD5AF5">
        <w:rPr>
          <w:szCs w:val="22"/>
          <w:u w:val="single"/>
        </w:rPr>
        <w:t>Article 13 – Access to justice</w:t>
      </w:r>
    </w:p>
    <w:p w:rsidR="00FD20D6" w:rsidRPr="00CD5AF5" w:rsidRDefault="00FD20D6" w:rsidP="00FD20D6">
      <w:pPr>
        <w:ind w:left="357" w:hanging="357"/>
        <w:jc w:val="both"/>
        <w:rPr>
          <w:b/>
          <w:szCs w:val="22"/>
        </w:rPr>
      </w:pPr>
    </w:p>
    <w:p w:rsidR="0013354C" w:rsidRPr="00CD5AF5" w:rsidRDefault="0013354C" w:rsidP="00B73753">
      <w:pPr>
        <w:pStyle w:val="ListParagraph"/>
      </w:pPr>
      <w:r w:rsidRPr="00CD5AF5">
        <w:t xml:space="preserve">It is critical for States Parties to implement procedural accommodations which will ensure access to justice </w:t>
      </w:r>
      <w:r w:rsidR="00826D1F" w:rsidRPr="00CD5AF5">
        <w:t>on an equal basis</w:t>
      </w:r>
      <w:r w:rsidRPr="00CD5AF5">
        <w:t xml:space="preserve"> by </w:t>
      </w:r>
      <w:r w:rsidR="00826D1F" w:rsidRPr="00CD5AF5">
        <w:t>imple</w:t>
      </w:r>
      <w:r w:rsidR="00DB2D12" w:rsidRPr="00CD5AF5">
        <w:t xml:space="preserve">menting </w:t>
      </w:r>
      <w:r w:rsidR="00826D1F" w:rsidRPr="00CD5AF5">
        <w:t>measures to facilitate</w:t>
      </w:r>
      <w:r w:rsidRPr="00CD5AF5">
        <w:t xml:space="preserve"> the participation of people with disability in legal proceedings. </w:t>
      </w:r>
      <w:r w:rsidR="000B647A" w:rsidRPr="00CD5AF5">
        <w:t>The section on Article 13</w:t>
      </w:r>
      <w:r w:rsidR="00B62E49" w:rsidRPr="00CD5AF5">
        <w:t xml:space="preserve"> from paragraphs 58 to 64 </w:t>
      </w:r>
      <w:r w:rsidR="00826D1F" w:rsidRPr="00CD5AF5">
        <w:t>articulates comprehensively</w:t>
      </w:r>
      <w:r w:rsidR="009C1836" w:rsidRPr="00CD5AF5">
        <w:t xml:space="preserve"> practical</w:t>
      </w:r>
      <w:r w:rsidRPr="00CD5AF5">
        <w:t xml:space="preserve"> </w:t>
      </w:r>
      <w:r w:rsidR="00826D1F" w:rsidRPr="00CD5AF5">
        <w:t xml:space="preserve">considerations regarding this obligation. </w:t>
      </w:r>
      <w:r w:rsidRPr="00CD5AF5">
        <w:t xml:space="preserve">However, </w:t>
      </w:r>
      <w:r w:rsidR="00826D1F" w:rsidRPr="00CD5AF5">
        <w:t xml:space="preserve">the absolute nature of this obligation as a mechanism to protect the equality and non-discrimination rights of people with disability could be </w:t>
      </w:r>
      <w:r w:rsidR="009C1836" w:rsidRPr="00CD5AF5">
        <w:t xml:space="preserve">further </w:t>
      </w:r>
      <w:r w:rsidR="00826D1F" w:rsidRPr="00CD5AF5">
        <w:t>emphasised.</w:t>
      </w:r>
    </w:p>
    <w:p w:rsidR="0013354C" w:rsidRPr="00CD5AF5" w:rsidRDefault="0013354C" w:rsidP="00CD3628">
      <w:pPr>
        <w:pStyle w:val="ListParagraph"/>
        <w:numPr>
          <w:ilvl w:val="0"/>
          <w:numId w:val="0"/>
        </w:numPr>
        <w:ind w:left="357"/>
      </w:pPr>
    </w:p>
    <w:p w:rsidR="00B62E49" w:rsidRPr="00CD5AF5" w:rsidRDefault="0013354C" w:rsidP="00B73753">
      <w:pPr>
        <w:pStyle w:val="ListParagraph"/>
      </w:pPr>
      <w:r w:rsidRPr="00CD5AF5">
        <w:lastRenderedPageBreak/>
        <w:t xml:space="preserve">Further, this section </w:t>
      </w:r>
      <w:r w:rsidR="000B647A" w:rsidRPr="00CD5AF5">
        <w:t xml:space="preserve">does not </w:t>
      </w:r>
      <w:r w:rsidR="00700E73" w:rsidRPr="00CD5AF5">
        <w:t xml:space="preserve">in the view of CYDA </w:t>
      </w:r>
      <w:r w:rsidR="000B647A" w:rsidRPr="00CD5AF5">
        <w:t>sufficiently address</w:t>
      </w:r>
      <w:r w:rsidR="00B73753" w:rsidRPr="00CD5AF5">
        <w:t xml:space="preserve"> </w:t>
      </w:r>
      <w:r w:rsidR="00271343" w:rsidRPr="00CD5AF5">
        <w:t xml:space="preserve">the persistent negative effects of </w:t>
      </w:r>
      <w:r w:rsidR="00B73753" w:rsidRPr="00CD5AF5">
        <w:t>ableism,</w:t>
      </w:r>
      <w:r w:rsidR="00927AB3" w:rsidRPr="00CD5AF5">
        <w:t xml:space="preserve"> </w:t>
      </w:r>
      <w:r w:rsidR="00B73753" w:rsidRPr="00CD5AF5">
        <w:t xml:space="preserve">which frequently prevent </w:t>
      </w:r>
      <w:r w:rsidR="00927AB3" w:rsidRPr="00CD5AF5">
        <w:t>people with disability from participating in the justice system</w:t>
      </w:r>
      <w:r w:rsidR="00B73753" w:rsidRPr="00CD5AF5">
        <w:t>.</w:t>
      </w:r>
    </w:p>
    <w:p w:rsidR="00B62E49" w:rsidRPr="00CD5AF5" w:rsidRDefault="00B62E49" w:rsidP="00B62E49">
      <w:pPr>
        <w:pStyle w:val="ListParagraph"/>
        <w:numPr>
          <w:ilvl w:val="0"/>
          <w:numId w:val="0"/>
        </w:numPr>
        <w:ind w:left="357"/>
      </w:pPr>
    </w:p>
    <w:p w:rsidR="00F94ABB" w:rsidRPr="00CD5AF5" w:rsidRDefault="00271343" w:rsidP="00B73753">
      <w:pPr>
        <w:pStyle w:val="ListParagraph"/>
      </w:pPr>
      <w:r w:rsidRPr="00CD5AF5">
        <w:t>CYDA has received reports of p</w:t>
      </w:r>
      <w:r w:rsidR="00B73753" w:rsidRPr="00CD5AF5">
        <w:t xml:space="preserve">olice refusing to take statements from children and young people with disability and lawyers viewing cases as ‘too difficult’. </w:t>
      </w:r>
      <w:r w:rsidR="004D7E3F" w:rsidRPr="00CD5AF5">
        <w:t>T</w:t>
      </w:r>
      <w:r w:rsidR="00B73753" w:rsidRPr="00CD5AF5">
        <w:t>he stereotype that people with disability make ‘poor witnesses’</w:t>
      </w:r>
      <w:r w:rsidR="004D7E3F" w:rsidRPr="00CD5AF5">
        <w:t xml:space="preserve"> is one example of the negative attitudes that </w:t>
      </w:r>
      <w:r w:rsidR="00B73753" w:rsidRPr="00CD5AF5">
        <w:t>continue to inform hesitance to proceed with charges and prosecution of crimes against children and young people with disability. The curtailed opportunity to demonstrate credibility as a witness in a court of law further perpetuates this stereotype.</w:t>
      </w:r>
      <w:r w:rsidR="00B73753" w:rsidRPr="00CD5AF5">
        <w:rPr>
          <w:rStyle w:val="FootnoteReference"/>
        </w:rPr>
        <w:footnoteReference w:id="11"/>
      </w:r>
      <w:r w:rsidR="006D750F" w:rsidRPr="00CD5AF5">
        <w:t xml:space="preserve"> </w:t>
      </w:r>
    </w:p>
    <w:p w:rsidR="0013354C" w:rsidRPr="00CD5AF5" w:rsidRDefault="0013354C" w:rsidP="00CD3628">
      <w:pPr>
        <w:pStyle w:val="ListParagraph"/>
        <w:numPr>
          <w:ilvl w:val="0"/>
          <w:numId w:val="0"/>
        </w:numPr>
        <w:ind w:left="357"/>
      </w:pPr>
    </w:p>
    <w:p w:rsidR="00271343" w:rsidRPr="00CD5AF5" w:rsidRDefault="006545EC" w:rsidP="00B73753">
      <w:pPr>
        <w:pStyle w:val="ListParagraph"/>
      </w:pPr>
      <w:r w:rsidRPr="00CD5AF5">
        <w:t>Paragraph 62</w:t>
      </w:r>
      <w:r w:rsidR="0013354C" w:rsidRPr="00CD5AF5">
        <w:t xml:space="preserve"> </w:t>
      </w:r>
      <w:r w:rsidR="006D750F" w:rsidRPr="00CD5AF5">
        <w:t>c</w:t>
      </w:r>
      <w:r w:rsidR="00B62E49" w:rsidRPr="00CD5AF5">
        <w:t>ould refer to ongoing discriminatory denial of access to justice for people with disability connected to attitudinal discrimination and the need for training for those working in the field of administration and justice in order to counteract</w:t>
      </w:r>
      <w:r w:rsidR="00C0743F" w:rsidRPr="00CD5AF5">
        <w:t xml:space="preserve"> this </w:t>
      </w:r>
      <w:r w:rsidR="00CF0797" w:rsidRPr="00CD5AF5">
        <w:t>practice</w:t>
      </w:r>
      <w:r w:rsidR="00B62E49" w:rsidRPr="00CD5AF5">
        <w:t xml:space="preserve">. </w:t>
      </w:r>
    </w:p>
    <w:p w:rsidR="005B05BF" w:rsidRPr="00CD5AF5" w:rsidRDefault="005B05BF" w:rsidP="005E6AAB">
      <w:pPr>
        <w:jc w:val="both"/>
        <w:rPr>
          <w:szCs w:val="22"/>
        </w:rPr>
      </w:pPr>
    </w:p>
    <w:p w:rsidR="00DB6B19" w:rsidRPr="00CD5AF5" w:rsidRDefault="00DB6B19" w:rsidP="00FD20D6">
      <w:pPr>
        <w:ind w:left="357" w:hanging="357"/>
        <w:jc w:val="both"/>
        <w:rPr>
          <w:szCs w:val="22"/>
          <w:u w:val="single"/>
          <w:lang w:val="en-US"/>
        </w:rPr>
      </w:pPr>
      <w:r w:rsidRPr="00CD5AF5">
        <w:rPr>
          <w:szCs w:val="22"/>
          <w:u w:val="single"/>
        </w:rPr>
        <w:t>Article 19</w:t>
      </w:r>
      <w:r w:rsidR="00FD20D6" w:rsidRPr="00CD5AF5">
        <w:rPr>
          <w:szCs w:val="22"/>
          <w:u w:val="single"/>
        </w:rPr>
        <w:t xml:space="preserve"> </w:t>
      </w:r>
      <w:r w:rsidR="00AE204D" w:rsidRPr="00CD5AF5">
        <w:rPr>
          <w:szCs w:val="22"/>
          <w:u w:val="single"/>
        </w:rPr>
        <w:t>–</w:t>
      </w:r>
      <w:r w:rsidR="00FD20D6" w:rsidRPr="00CD5AF5">
        <w:rPr>
          <w:szCs w:val="22"/>
          <w:u w:val="single"/>
        </w:rPr>
        <w:t xml:space="preserve"> </w:t>
      </w:r>
      <w:r w:rsidR="00FD20D6" w:rsidRPr="00CD5AF5">
        <w:rPr>
          <w:szCs w:val="22"/>
          <w:u w:val="single"/>
          <w:lang w:val="en-US"/>
        </w:rPr>
        <w:t>Living independently and being included in the community</w:t>
      </w:r>
    </w:p>
    <w:p w:rsidR="00FD20D6" w:rsidRPr="00CD5AF5" w:rsidRDefault="00FD20D6" w:rsidP="00FD20D6">
      <w:pPr>
        <w:ind w:left="357" w:hanging="357"/>
        <w:jc w:val="both"/>
        <w:rPr>
          <w:szCs w:val="22"/>
          <w:u w:val="single"/>
        </w:rPr>
      </w:pPr>
    </w:p>
    <w:p w:rsidR="00EA2195" w:rsidRPr="00CD5AF5" w:rsidRDefault="00736662" w:rsidP="00CD3628">
      <w:pPr>
        <w:pStyle w:val="ListParagraph"/>
      </w:pPr>
      <w:r w:rsidRPr="00CD5AF5">
        <w:t xml:space="preserve">CYDA strongly supports the statement in </w:t>
      </w:r>
      <w:r w:rsidR="000D294B" w:rsidRPr="00CD5AF5">
        <w:t>p</w:t>
      </w:r>
      <w:r w:rsidR="00F72E7E" w:rsidRPr="00CD5AF5">
        <w:t xml:space="preserve">aragraph 66 </w:t>
      </w:r>
      <w:r w:rsidR="00EA2195" w:rsidRPr="00CD5AF5">
        <w:t>that</w:t>
      </w:r>
      <w:r w:rsidR="00F72E7E" w:rsidRPr="00CD5AF5">
        <w:t xml:space="preserve"> </w:t>
      </w:r>
      <w:r w:rsidR="00333FEF" w:rsidRPr="00CD5AF5">
        <w:t>‘</w:t>
      </w:r>
      <w:r w:rsidR="00701689" w:rsidRPr="00CD5AF5">
        <w:t>[e</w:t>
      </w:r>
      <w:r w:rsidR="00701689" w:rsidRPr="00CD5AF5">
        <w:rPr>
          <w:lang w:val="en-US"/>
        </w:rPr>
        <w:t>]</w:t>
      </w:r>
      <w:proofErr w:type="spellStart"/>
      <w:r w:rsidR="00F72E7E" w:rsidRPr="00CD5AF5">
        <w:rPr>
          <w:lang w:val="en-US"/>
        </w:rPr>
        <w:t>ligibility</w:t>
      </w:r>
      <w:proofErr w:type="spellEnd"/>
      <w:r w:rsidR="00F72E7E" w:rsidRPr="00CD5AF5">
        <w:rPr>
          <w:lang w:val="en-US"/>
        </w:rPr>
        <w:t xml:space="preserve"> criteria and procedures for accessing support services need to be defined in a non-discriminatory, objective way, and focus on the requirements of the person rather than the impairment, following a human rights-based approach.</w:t>
      </w:r>
      <w:r w:rsidR="00333FEF" w:rsidRPr="00CD5AF5">
        <w:rPr>
          <w:lang w:val="en-US"/>
        </w:rPr>
        <w:t>’</w:t>
      </w:r>
      <w:r w:rsidR="00F72E7E" w:rsidRPr="00CD5AF5">
        <w:t xml:space="preserve"> </w:t>
      </w:r>
    </w:p>
    <w:p w:rsidR="00EA2195" w:rsidRPr="00CD5AF5" w:rsidRDefault="00EA2195" w:rsidP="00CD3628">
      <w:pPr>
        <w:pStyle w:val="ListParagraph"/>
        <w:numPr>
          <w:ilvl w:val="0"/>
          <w:numId w:val="0"/>
        </w:numPr>
        <w:ind w:left="357"/>
      </w:pPr>
    </w:p>
    <w:p w:rsidR="00A416C3" w:rsidRPr="00CD5AF5" w:rsidRDefault="00736662" w:rsidP="00EA2195">
      <w:pPr>
        <w:pStyle w:val="ListParagraph"/>
        <w:rPr>
          <w:lang w:val="en-US"/>
        </w:rPr>
      </w:pPr>
      <w:r w:rsidRPr="00CD5AF5">
        <w:rPr>
          <w:lang w:val="en-US"/>
        </w:rPr>
        <w:t>In the Australian context t</w:t>
      </w:r>
      <w:r w:rsidR="00EA2195" w:rsidRPr="00CD5AF5">
        <w:rPr>
          <w:lang w:val="en-US"/>
        </w:rPr>
        <w:t>he</w:t>
      </w:r>
      <w:r w:rsidR="00E57FA3" w:rsidRPr="00CD5AF5">
        <w:rPr>
          <w:lang w:val="en-US"/>
        </w:rPr>
        <w:t xml:space="preserve"> National D</w:t>
      </w:r>
      <w:r w:rsidR="00EA2195" w:rsidRPr="00CD5AF5">
        <w:rPr>
          <w:lang w:val="en-US"/>
        </w:rPr>
        <w:t xml:space="preserve">isability Insurance Scheme </w:t>
      </w:r>
      <w:r w:rsidRPr="00CD5AF5">
        <w:rPr>
          <w:lang w:val="en-US"/>
        </w:rPr>
        <w:t xml:space="preserve">(NDIS) provides an example of one mechanism for giving effect to Article 19 of the CRPD which is inconsistent with this requirement in a number of respects. </w:t>
      </w:r>
      <w:r w:rsidR="00EA2195" w:rsidRPr="00CD5AF5">
        <w:rPr>
          <w:lang w:val="en-US"/>
        </w:rPr>
        <w:t xml:space="preserve">The NDIS represents a major reform </w:t>
      </w:r>
      <w:r w:rsidR="00E57FA3" w:rsidRPr="00CD5AF5">
        <w:rPr>
          <w:lang w:val="en-US"/>
        </w:rPr>
        <w:t xml:space="preserve">of </w:t>
      </w:r>
      <w:r w:rsidR="00EA2195" w:rsidRPr="00CD5AF5">
        <w:rPr>
          <w:lang w:val="en-US"/>
        </w:rPr>
        <w:t xml:space="preserve">disability services, </w:t>
      </w:r>
      <w:r w:rsidR="000D294B" w:rsidRPr="00CD5AF5">
        <w:rPr>
          <w:lang w:val="en-US"/>
        </w:rPr>
        <w:t xml:space="preserve">aiming to fulfil Australia’s human rights obligations and enable </w:t>
      </w:r>
      <w:r w:rsidR="00EA2195" w:rsidRPr="00CD5AF5">
        <w:rPr>
          <w:lang w:val="en-US"/>
        </w:rPr>
        <w:t>people with disability to exercise choice and control in relation to supports received</w:t>
      </w:r>
      <w:r w:rsidRPr="00CD5AF5">
        <w:rPr>
          <w:lang w:val="en-US"/>
        </w:rPr>
        <w:t>.</w:t>
      </w:r>
      <w:r w:rsidR="000D294B" w:rsidRPr="00CD5AF5">
        <w:rPr>
          <w:rStyle w:val="FootnoteReference"/>
        </w:rPr>
        <w:footnoteReference w:id="12"/>
      </w:r>
      <w:r w:rsidRPr="00CD5AF5">
        <w:rPr>
          <w:lang w:val="en-US"/>
        </w:rPr>
        <w:t xml:space="preserve"> However, the intention </w:t>
      </w:r>
      <w:r w:rsidR="00EA2195" w:rsidRPr="00CD5AF5">
        <w:rPr>
          <w:lang w:val="en-US"/>
        </w:rPr>
        <w:t xml:space="preserve">to shift </w:t>
      </w:r>
      <w:r w:rsidR="00E57FA3" w:rsidRPr="00CD5AF5">
        <w:rPr>
          <w:lang w:val="en-US"/>
        </w:rPr>
        <w:t xml:space="preserve">from a medical model of disability </w:t>
      </w:r>
      <w:r w:rsidR="00EA2195" w:rsidRPr="00CD5AF5">
        <w:rPr>
          <w:lang w:val="en-US"/>
        </w:rPr>
        <w:t>to an approach of providing supports on the basis of the functional impact of</w:t>
      </w:r>
      <w:r w:rsidR="00A416C3" w:rsidRPr="00CD5AF5">
        <w:rPr>
          <w:lang w:val="en-US"/>
        </w:rPr>
        <w:t xml:space="preserve"> disability on a person’s life</w:t>
      </w:r>
      <w:r w:rsidRPr="00CD5AF5">
        <w:rPr>
          <w:lang w:val="en-US"/>
        </w:rPr>
        <w:t xml:space="preserve"> has been </w:t>
      </w:r>
      <w:r w:rsidR="00701689" w:rsidRPr="00CD5AF5">
        <w:rPr>
          <w:lang w:val="en-US"/>
        </w:rPr>
        <w:t xml:space="preserve">only </w:t>
      </w:r>
      <w:r w:rsidRPr="00CD5AF5">
        <w:rPr>
          <w:lang w:val="en-US"/>
        </w:rPr>
        <w:t xml:space="preserve">partially </w:t>
      </w:r>
      <w:proofErr w:type="spellStart"/>
      <w:r w:rsidR="009D0706" w:rsidRPr="00CD5AF5">
        <w:rPr>
          <w:lang w:val="en-US"/>
        </w:rPr>
        <w:t>reali</w:t>
      </w:r>
      <w:r w:rsidR="00503C05" w:rsidRPr="00CD5AF5">
        <w:rPr>
          <w:lang w:val="en-US"/>
        </w:rPr>
        <w:t>s</w:t>
      </w:r>
      <w:r w:rsidR="009D0706" w:rsidRPr="00CD5AF5">
        <w:rPr>
          <w:lang w:val="en-US"/>
        </w:rPr>
        <w:t>ed</w:t>
      </w:r>
      <w:proofErr w:type="spellEnd"/>
      <w:r w:rsidR="009D0706" w:rsidRPr="00CD5AF5">
        <w:rPr>
          <w:lang w:val="en-US"/>
        </w:rPr>
        <w:t xml:space="preserve"> to date</w:t>
      </w:r>
      <w:r w:rsidR="00A416C3" w:rsidRPr="00CD5AF5">
        <w:rPr>
          <w:lang w:val="en-US"/>
        </w:rPr>
        <w:t>.</w:t>
      </w:r>
    </w:p>
    <w:p w:rsidR="00A416C3" w:rsidRPr="00CD5AF5" w:rsidRDefault="00A416C3" w:rsidP="00CD3628">
      <w:pPr>
        <w:pStyle w:val="ListParagraph"/>
        <w:numPr>
          <w:ilvl w:val="0"/>
          <w:numId w:val="0"/>
        </w:numPr>
        <w:ind w:left="357"/>
        <w:rPr>
          <w:lang w:val="en-US"/>
        </w:rPr>
      </w:pPr>
    </w:p>
    <w:p w:rsidR="00A416C3" w:rsidRPr="00CD5AF5" w:rsidRDefault="00736662" w:rsidP="00EA2195">
      <w:pPr>
        <w:pStyle w:val="ListParagraph"/>
        <w:rPr>
          <w:lang w:val="en-US"/>
        </w:rPr>
      </w:pPr>
      <w:proofErr w:type="spellStart"/>
      <w:r w:rsidRPr="00CD5AF5">
        <w:rPr>
          <w:lang w:val="en-US"/>
        </w:rPr>
        <w:t>Publicised</w:t>
      </w:r>
      <w:proofErr w:type="spellEnd"/>
      <w:r w:rsidRPr="00CD5AF5">
        <w:rPr>
          <w:lang w:val="en-US"/>
        </w:rPr>
        <w:t xml:space="preserve"> and promoted NDIS policies and practices display an undue focus on impairment and diagnostic groups</w:t>
      </w:r>
      <w:r w:rsidR="00B64483" w:rsidRPr="00CD5AF5">
        <w:rPr>
          <w:lang w:val="en-US"/>
        </w:rPr>
        <w:t xml:space="preserve"> as pivotal to </w:t>
      </w:r>
      <w:r w:rsidR="00AE204D" w:rsidRPr="00CD5AF5">
        <w:rPr>
          <w:lang w:val="en-US"/>
        </w:rPr>
        <w:t xml:space="preserve">decision-making processes and </w:t>
      </w:r>
      <w:r w:rsidR="00B64483" w:rsidRPr="00CD5AF5">
        <w:rPr>
          <w:lang w:val="en-US"/>
        </w:rPr>
        <w:t xml:space="preserve">the insurance approach </w:t>
      </w:r>
      <w:r w:rsidR="00A24468" w:rsidRPr="00CD5AF5">
        <w:rPr>
          <w:lang w:val="en-US"/>
        </w:rPr>
        <w:t>underpinning</w:t>
      </w:r>
      <w:r w:rsidR="005372BE" w:rsidRPr="00CD5AF5">
        <w:rPr>
          <w:lang w:val="en-US"/>
        </w:rPr>
        <w:t xml:space="preserve"> the S</w:t>
      </w:r>
      <w:r w:rsidR="00B64483" w:rsidRPr="00CD5AF5">
        <w:rPr>
          <w:lang w:val="en-US"/>
        </w:rPr>
        <w:t>cheme. Quarterly reports</w:t>
      </w:r>
      <w:r w:rsidR="005372BE" w:rsidRPr="00CD5AF5">
        <w:rPr>
          <w:lang w:val="en-US"/>
        </w:rPr>
        <w:t xml:space="preserve"> on the Scheme</w:t>
      </w:r>
      <w:r w:rsidR="00B64483" w:rsidRPr="00CD5AF5">
        <w:rPr>
          <w:lang w:val="en-US"/>
        </w:rPr>
        <w:t xml:space="preserve"> include data disaggregated according to ‘level of function’ (</w:t>
      </w:r>
      <w:r w:rsidR="0028140B" w:rsidRPr="00CD5AF5">
        <w:rPr>
          <w:lang w:val="en-US"/>
        </w:rPr>
        <w:t>‘</w:t>
      </w:r>
      <w:r w:rsidR="00B64483" w:rsidRPr="00CD5AF5">
        <w:rPr>
          <w:lang w:val="en-US"/>
        </w:rPr>
        <w:t>high</w:t>
      </w:r>
      <w:r w:rsidR="0028140B" w:rsidRPr="00CD5AF5">
        <w:rPr>
          <w:lang w:val="en-US"/>
        </w:rPr>
        <w:t>’</w:t>
      </w:r>
      <w:r w:rsidR="00B64483" w:rsidRPr="00CD5AF5">
        <w:rPr>
          <w:lang w:val="en-US"/>
        </w:rPr>
        <w:t xml:space="preserve">, </w:t>
      </w:r>
      <w:r w:rsidR="0028140B" w:rsidRPr="00CD5AF5">
        <w:rPr>
          <w:lang w:val="en-US"/>
        </w:rPr>
        <w:t>‘</w:t>
      </w:r>
      <w:r w:rsidR="00B64483" w:rsidRPr="00CD5AF5">
        <w:rPr>
          <w:lang w:val="en-US"/>
        </w:rPr>
        <w:t>medium</w:t>
      </w:r>
      <w:r w:rsidR="0028140B" w:rsidRPr="00CD5AF5">
        <w:rPr>
          <w:lang w:val="en-US"/>
        </w:rPr>
        <w:t>’</w:t>
      </w:r>
      <w:r w:rsidR="00B64483" w:rsidRPr="00CD5AF5">
        <w:rPr>
          <w:lang w:val="en-US"/>
        </w:rPr>
        <w:t xml:space="preserve"> or </w:t>
      </w:r>
      <w:r w:rsidR="0028140B" w:rsidRPr="00CD5AF5">
        <w:rPr>
          <w:lang w:val="en-US"/>
        </w:rPr>
        <w:t>‘</w:t>
      </w:r>
      <w:r w:rsidR="00B64483" w:rsidRPr="00CD5AF5">
        <w:rPr>
          <w:lang w:val="en-US"/>
        </w:rPr>
        <w:t>low</w:t>
      </w:r>
      <w:r w:rsidR="0028140B" w:rsidRPr="00CD5AF5">
        <w:rPr>
          <w:lang w:val="en-US"/>
        </w:rPr>
        <w:t>’</w:t>
      </w:r>
      <w:r w:rsidR="00B64483" w:rsidRPr="00CD5AF5">
        <w:rPr>
          <w:lang w:val="en-US"/>
        </w:rPr>
        <w:t>).</w:t>
      </w:r>
      <w:r w:rsidR="00B64483" w:rsidRPr="00CD5AF5">
        <w:rPr>
          <w:rStyle w:val="FootnoteReference"/>
          <w:lang w:val="en-US"/>
        </w:rPr>
        <w:footnoteReference w:id="13"/>
      </w:r>
      <w:r w:rsidR="005372BE" w:rsidRPr="00CD5AF5">
        <w:rPr>
          <w:lang w:val="en-US"/>
        </w:rPr>
        <w:t xml:space="preserve"> CYDA has received ongoing and consistent feedback from NDIS participants about decisions being inappropriately based on diagnostic assumptions and assessments.</w:t>
      </w:r>
    </w:p>
    <w:p w:rsidR="00A416C3" w:rsidRPr="00CD5AF5" w:rsidRDefault="005372BE" w:rsidP="00CD3628">
      <w:pPr>
        <w:pStyle w:val="ListParagraph"/>
        <w:numPr>
          <w:ilvl w:val="0"/>
          <w:numId w:val="0"/>
        </w:numPr>
        <w:tabs>
          <w:tab w:val="left" w:pos="6720"/>
        </w:tabs>
        <w:ind w:left="357"/>
        <w:rPr>
          <w:lang w:val="en-US"/>
        </w:rPr>
      </w:pPr>
      <w:r w:rsidRPr="00CD5AF5">
        <w:rPr>
          <w:lang w:val="en-US"/>
        </w:rPr>
        <w:tab/>
      </w:r>
    </w:p>
    <w:p w:rsidR="00EA2195" w:rsidRPr="00CD5AF5" w:rsidRDefault="00EA2195" w:rsidP="00EA2195">
      <w:pPr>
        <w:pStyle w:val="ListParagraph"/>
        <w:rPr>
          <w:lang w:val="en-US"/>
        </w:rPr>
      </w:pPr>
      <w:r w:rsidRPr="00CD5AF5">
        <w:rPr>
          <w:lang w:val="en-US"/>
        </w:rPr>
        <w:t xml:space="preserve">CYDA is concerned that these combined </w:t>
      </w:r>
      <w:r w:rsidR="00736662" w:rsidRPr="00CD5AF5">
        <w:rPr>
          <w:lang w:val="en-US"/>
        </w:rPr>
        <w:t xml:space="preserve">laws, </w:t>
      </w:r>
      <w:r w:rsidRPr="00CD5AF5">
        <w:rPr>
          <w:lang w:val="en-US"/>
        </w:rPr>
        <w:t xml:space="preserve">policies and practices </w:t>
      </w:r>
      <w:r w:rsidR="009D0706" w:rsidRPr="00CD5AF5">
        <w:rPr>
          <w:lang w:val="en-US"/>
        </w:rPr>
        <w:t xml:space="preserve">contribute to </w:t>
      </w:r>
      <w:r w:rsidRPr="00CD5AF5">
        <w:rPr>
          <w:lang w:val="en-US"/>
        </w:rPr>
        <w:t>sustain</w:t>
      </w:r>
      <w:r w:rsidR="009D0706" w:rsidRPr="00CD5AF5">
        <w:rPr>
          <w:lang w:val="en-US"/>
        </w:rPr>
        <w:t>ing</w:t>
      </w:r>
      <w:r w:rsidRPr="00CD5AF5">
        <w:rPr>
          <w:lang w:val="en-US"/>
        </w:rPr>
        <w:t xml:space="preserve"> a deficit view of disability. The approach being taken undermines equality before the law and involves denial of the right to independent living under Article 19. </w:t>
      </w:r>
    </w:p>
    <w:p w:rsidR="00A24468" w:rsidRPr="00CD5AF5" w:rsidRDefault="00A24468" w:rsidP="00CD3628">
      <w:pPr>
        <w:pStyle w:val="ListParagraph"/>
        <w:numPr>
          <w:ilvl w:val="0"/>
          <w:numId w:val="0"/>
        </w:numPr>
        <w:ind w:left="357"/>
        <w:rPr>
          <w:lang w:val="en-US"/>
        </w:rPr>
      </w:pPr>
    </w:p>
    <w:p w:rsidR="000D294B" w:rsidRPr="00CD5AF5" w:rsidRDefault="000D294B" w:rsidP="000D294B">
      <w:pPr>
        <w:pStyle w:val="ListParagraph"/>
        <w:spacing w:after="120"/>
      </w:pPr>
      <w:r w:rsidRPr="00CD5AF5">
        <w:rPr>
          <w:lang w:val="en-US"/>
        </w:rPr>
        <w:t>CYDA recom</w:t>
      </w:r>
      <w:r w:rsidR="0028140B" w:rsidRPr="00CD5AF5">
        <w:rPr>
          <w:lang w:val="en-US"/>
        </w:rPr>
        <w:t xml:space="preserve">mends expanding paragraph 66 to </w:t>
      </w:r>
      <w:r w:rsidRPr="00CD5AF5">
        <w:t xml:space="preserve">provide </w:t>
      </w:r>
      <w:r w:rsidR="0028140B" w:rsidRPr="00CD5AF5">
        <w:t xml:space="preserve">further guidance </w:t>
      </w:r>
      <w:r w:rsidRPr="00CD5AF5">
        <w:t xml:space="preserve">on framing laws, policies and practices in a non-discriminatory, objective way. </w:t>
      </w:r>
      <w:r w:rsidR="0028140B" w:rsidRPr="00CD5AF5">
        <w:t>For example,</w:t>
      </w:r>
      <w:r w:rsidR="00701689" w:rsidRPr="00CD5AF5">
        <w:t xml:space="preserve"> </w:t>
      </w:r>
      <w:r w:rsidR="00F52671" w:rsidRPr="00CD5AF5">
        <w:t xml:space="preserve">rather than </w:t>
      </w:r>
      <w:r w:rsidR="00F52671">
        <w:t>relying on standards such as</w:t>
      </w:r>
      <w:r w:rsidR="00F52671" w:rsidRPr="00CD5AF5">
        <w:t xml:space="preserve"> ‘reduced</w:t>
      </w:r>
      <w:r w:rsidR="00F52671">
        <w:t xml:space="preserve"> functional capacity’,</w:t>
      </w:r>
      <w:r w:rsidR="00F52671" w:rsidRPr="00CD5AF5">
        <w:rPr>
          <w:rStyle w:val="FootnoteReference"/>
          <w:lang w:val="en-US"/>
        </w:rPr>
        <w:footnoteReference w:id="14"/>
      </w:r>
      <w:r w:rsidR="00F52671" w:rsidRPr="00CD5AF5">
        <w:t xml:space="preserve"> </w:t>
      </w:r>
      <w:r w:rsidR="00701689" w:rsidRPr="00CD5AF5">
        <w:t>States Parties could be encouraged to define</w:t>
      </w:r>
      <w:r w:rsidR="0028140B" w:rsidRPr="00CD5AF5">
        <w:t xml:space="preserve"> t</w:t>
      </w:r>
      <w:r w:rsidRPr="00CD5AF5">
        <w:t>he</w:t>
      </w:r>
      <w:r w:rsidR="0028140B" w:rsidRPr="00CD5AF5">
        <w:t xml:space="preserve"> functional impact of disability according to a person’s ‘</w:t>
      </w:r>
      <w:r w:rsidRPr="00CD5AF5">
        <w:t xml:space="preserve">support needs’, ‘preferences’ and </w:t>
      </w:r>
      <w:r w:rsidRPr="00CD5AF5">
        <w:lastRenderedPageBreak/>
        <w:t>‘strengths’</w:t>
      </w:r>
      <w:r w:rsidR="00F52671">
        <w:t>.</w:t>
      </w:r>
      <w:r w:rsidRPr="00CD5AF5">
        <w:t xml:space="preserve"> </w:t>
      </w:r>
      <w:r w:rsidR="000E3E94" w:rsidRPr="00CD5AF5">
        <w:t xml:space="preserve">Mechanisms for accessing support services should </w:t>
      </w:r>
      <w:r w:rsidR="008E77AA" w:rsidRPr="00CD5AF5">
        <w:rPr>
          <w:lang w:val="en-US"/>
        </w:rPr>
        <w:t>develop an understanding of the specific person and their individual support needs and circumstances rather than depending primarily</w:t>
      </w:r>
      <w:r w:rsidR="008E77AA" w:rsidRPr="00CD5AF5">
        <w:t xml:space="preserve"> upon diagnostic group assumptions</w:t>
      </w:r>
      <w:r w:rsidR="000E3E94" w:rsidRPr="00CD5AF5">
        <w:t>.</w:t>
      </w:r>
    </w:p>
    <w:p w:rsidR="00EA2195" w:rsidRPr="00CD5AF5" w:rsidRDefault="00EA2195" w:rsidP="00CD3628">
      <w:pPr>
        <w:pStyle w:val="ListParagraph"/>
        <w:numPr>
          <w:ilvl w:val="0"/>
          <w:numId w:val="0"/>
        </w:numPr>
        <w:ind w:left="357"/>
        <w:rPr>
          <w:lang w:val="en-US"/>
        </w:rPr>
      </w:pPr>
    </w:p>
    <w:p w:rsidR="005B05BF" w:rsidRPr="00CD5AF5" w:rsidRDefault="005B05BF" w:rsidP="00FD20D6">
      <w:pPr>
        <w:ind w:left="357" w:hanging="357"/>
        <w:jc w:val="both"/>
        <w:rPr>
          <w:szCs w:val="22"/>
          <w:u w:val="single"/>
        </w:rPr>
      </w:pPr>
      <w:r w:rsidRPr="00CD5AF5">
        <w:rPr>
          <w:szCs w:val="22"/>
          <w:u w:val="single"/>
        </w:rPr>
        <w:t>Article 24 – Education</w:t>
      </w:r>
    </w:p>
    <w:p w:rsidR="00FD20D6" w:rsidRPr="00CD5AF5" w:rsidRDefault="00FD20D6" w:rsidP="005E6AAB">
      <w:pPr>
        <w:rPr>
          <w:szCs w:val="22"/>
          <w:lang w:val="en-US"/>
        </w:rPr>
      </w:pPr>
    </w:p>
    <w:p w:rsidR="000D294B" w:rsidRDefault="00CE5D2E" w:rsidP="00B27CFA">
      <w:pPr>
        <w:pStyle w:val="ListParagraph"/>
        <w:rPr>
          <w:lang w:val="en-US"/>
        </w:rPr>
      </w:pPr>
      <w:r w:rsidRPr="00CD5AF5">
        <w:rPr>
          <w:lang w:val="en-US"/>
        </w:rPr>
        <w:t xml:space="preserve">National data evidence a disturbing trend </w:t>
      </w:r>
      <w:r w:rsidRPr="00CD5AF5">
        <w:rPr>
          <w:i/>
          <w:lang w:val="en-US"/>
        </w:rPr>
        <w:t xml:space="preserve">towards </w:t>
      </w:r>
      <w:r w:rsidRPr="00CD5AF5">
        <w:rPr>
          <w:lang w:val="en-US"/>
        </w:rPr>
        <w:t>attending special schools in Australia.</w:t>
      </w:r>
      <w:r w:rsidRPr="00CD5AF5">
        <w:rPr>
          <w:rStyle w:val="FootnoteReference"/>
          <w:lang w:val="en-US"/>
        </w:rPr>
        <w:footnoteReference w:id="15"/>
      </w:r>
      <w:r w:rsidRPr="00CD5AF5">
        <w:rPr>
          <w:lang w:val="en-US"/>
        </w:rPr>
        <w:t xml:space="preserve"> Further, p</w:t>
      </w:r>
      <w:r w:rsidR="00733ED9" w:rsidRPr="00CD5AF5">
        <w:rPr>
          <w:lang w:val="en-US"/>
        </w:rPr>
        <w:t>olicies and practices in</w:t>
      </w:r>
      <w:r w:rsidR="003134C8" w:rsidRPr="00CD5AF5">
        <w:rPr>
          <w:lang w:val="en-US"/>
        </w:rPr>
        <w:t xml:space="preserve"> some </w:t>
      </w:r>
      <w:r w:rsidR="00733ED9" w:rsidRPr="00CD5AF5">
        <w:rPr>
          <w:lang w:val="en-US"/>
        </w:rPr>
        <w:t>Australia</w:t>
      </w:r>
      <w:r w:rsidR="003134C8" w:rsidRPr="00CD5AF5">
        <w:rPr>
          <w:lang w:val="en-US"/>
        </w:rPr>
        <w:t>n jurisdictions</w:t>
      </w:r>
      <w:r w:rsidR="00733ED9" w:rsidRPr="00CD5AF5">
        <w:rPr>
          <w:lang w:val="en-US"/>
        </w:rPr>
        <w:t xml:space="preserve"> position segregated settings such as special schools and special classes as ‘inclusive education’. </w:t>
      </w:r>
      <w:r w:rsidR="00F0775D" w:rsidRPr="00CD5AF5">
        <w:rPr>
          <w:lang w:val="en-US"/>
        </w:rPr>
        <w:t>The Victorian Government, for example, is developing new segregated schools, stated to be ‘inclusive new schools’, as part of inclusive education policies.</w:t>
      </w:r>
      <w:r w:rsidR="00F0775D" w:rsidRPr="00CD5AF5">
        <w:rPr>
          <w:rStyle w:val="FootnoteReference"/>
          <w:lang w:val="en-US"/>
        </w:rPr>
        <w:footnoteReference w:id="16"/>
      </w:r>
      <w:r w:rsidR="00F0775D" w:rsidRPr="00CD5AF5">
        <w:rPr>
          <w:lang w:val="en-US"/>
        </w:rPr>
        <w:t xml:space="preserve"> </w:t>
      </w:r>
    </w:p>
    <w:p w:rsidR="00B27CFA" w:rsidRPr="00CD5AF5" w:rsidRDefault="00B27CFA" w:rsidP="00B27CFA">
      <w:pPr>
        <w:pStyle w:val="ListParagraph"/>
        <w:numPr>
          <w:ilvl w:val="0"/>
          <w:numId w:val="0"/>
        </w:numPr>
        <w:ind w:left="357"/>
        <w:rPr>
          <w:lang w:val="en-US"/>
        </w:rPr>
      </w:pPr>
    </w:p>
    <w:p w:rsidR="000B4FDC" w:rsidRPr="00CD5AF5" w:rsidRDefault="00701689" w:rsidP="002D320B">
      <w:pPr>
        <w:pStyle w:val="ListParagraph"/>
        <w:rPr>
          <w:lang w:val="en-US"/>
        </w:rPr>
      </w:pPr>
      <w:r w:rsidRPr="00CD5AF5">
        <w:rPr>
          <w:lang w:val="en-US"/>
        </w:rPr>
        <w:t>This</w:t>
      </w:r>
      <w:r w:rsidR="00F22BB3" w:rsidRPr="00CD5AF5">
        <w:rPr>
          <w:lang w:val="en-US"/>
        </w:rPr>
        <w:t xml:space="preserve"> </w:t>
      </w:r>
      <w:r w:rsidR="00733ED9" w:rsidRPr="00CD5AF5">
        <w:rPr>
          <w:lang w:val="en-US"/>
        </w:rPr>
        <w:t>reflect</w:t>
      </w:r>
      <w:r w:rsidR="00CF0797" w:rsidRPr="00CD5AF5">
        <w:rPr>
          <w:lang w:val="en-US"/>
        </w:rPr>
        <w:t>s</w:t>
      </w:r>
      <w:r w:rsidR="00733ED9" w:rsidRPr="00CD5AF5">
        <w:rPr>
          <w:lang w:val="en-US"/>
        </w:rPr>
        <w:t xml:space="preserve"> a fundamental misunderstand</w:t>
      </w:r>
      <w:r w:rsidR="00C0743F" w:rsidRPr="00CD5AF5">
        <w:rPr>
          <w:lang w:val="en-US"/>
        </w:rPr>
        <w:t xml:space="preserve">ing about how to </w:t>
      </w:r>
      <w:proofErr w:type="spellStart"/>
      <w:r w:rsidR="00C0743F" w:rsidRPr="00CD5AF5">
        <w:rPr>
          <w:lang w:val="en-US"/>
        </w:rPr>
        <w:t>realise</w:t>
      </w:r>
      <w:proofErr w:type="spellEnd"/>
      <w:r w:rsidR="00733ED9" w:rsidRPr="00CD5AF5">
        <w:rPr>
          <w:lang w:val="en-US"/>
        </w:rPr>
        <w:t xml:space="preserve"> equality and non-discrimination in the education system</w:t>
      </w:r>
      <w:r w:rsidR="006D750F" w:rsidRPr="00CD5AF5">
        <w:rPr>
          <w:lang w:val="en-US"/>
        </w:rPr>
        <w:t xml:space="preserve"> and is perpetuating segregation </w:t>
      </w:r>
      <w:r w:rsidR="008E560B" w:rsidRPr="00CD5AF5">
        <w:rPr>
          <w:lang w:val="en-US"/>
        </w:rPr>
        <w:t xml:space="preserve">of students with disability </w:t>
      </w:r>
      <w:r w:rsidR="006D750F" w:rsidRPr="00CD5AF5">
        <w:rPr>
          <w:lang w:val="en-US"/>
        </w:rPr>
        <w:t>and discriminatory practice</w:t>
      </w:r>
      <w:r w:rsidR="008E560B" w:rsidRPr="00CD5AF5">
        <w:rPr>
          <w:lang w:val="en-US"/>
        </w:rPr>
        <w:t>s</w:t>
      </w:r>
      <w:r w:rsidR="00733ED9" w:rsidRPr="00CD5AF5">
        <w:rPr>
          <w:lang w:val="en-US"/>
        </w:rPr>
        <w:t xml:space="preserve">. </w:t>
      </w:r>
      <w:r w:rsidR="000B4FDC" w:rsidRPr="00CD5AF5">
        <w:rPr>
          <w:lang w:val="en-US"/>
        </w:rPr>
        <w:t>S</w:t>
      </w:r>
      <w:r w:rsidR="00733ED9" w:rsidRPr="00CD5AF5">
        <w:rPr>
          <w:lang w:val="en-US"/>
        </w:rPr>
        <w:t xml:space="preserve">egregated education arrangements </w:t>
      </w:r>
      <w:r w:rsidR="000B4FDC" w:rsidRPr="00CD5AF5">
        <w:rPr>
          <w:lang w:val="en-US"/>
        </w:rPr>
        <w:t xml:space="preserve">should not be considered part of ‘inclusive education’ in any circumstances. </w:t>
      </w:r>
      <w:r w:rsidR="00CE5D2E" w:rsidRPr="00CD5AF5">
        <w:rPr>
          <w:lang w:val="en-US"/>
        </w:rPr>
        <w:t>Given the above trends</w:t>
      </w:r>
      <w:r w:rsidR="005762B4" w:rsidRPr="00CD5AF5">
        <w:rPr>
          <w:lang w:val="en-US"/>
        </w:rPr>
        <w:t xml:space="preserve"> </w:t>
      </w:r>
      <w:r w:rsidR="00CE5D2E" w:rsidRPr="00CD5AF5">
        <w:rPr>
          <w:lang w:val="en-US"/>
        </w:rPr>
        <w:t>and practices, C</w:t>
      </w:r>
      <w:r w:rsidR="000B4FDC" w:rsidRPr="00CD5AF5">
        <w:rPr>
          <w:lang w:val="en-US"/>
        </w:rPr>
        <w:t>YDA considers this section of the General Comment to be a critical means of promoting understanding of the rights of students with disability</w:t>
      </w:r>
      <w:r w:rsidR="00F45320" w:rsidRPr="00CD5AF5">
        <w:rPr>
          <w:lang w:val="en-US"/>
        </w:rPr>
        <w:t>.</w:t>
      </w:r>
    </w:p>
    <w:p w:rsidR="000B4FDC" w:rsidRPr="00CD5AF5" w:rsidRDefault="000B4FDC" w:rsidP="000B4FDC">
      <w:pPr>
        <w:pStyle w:val="ListParagraph"/>
        <w:numPr>
          <w:ilvl w:val="0"/>
          <w:numId w:val="0"/>
        </w:numPr>
        <w:ind w:left="357"/>
        <w:rPr>
          <w:lang w:val="en-US"/>
        </w:rPr>
      </w:pPr>
    </w:p>
    <w:p w:rsidR="000B4FDC" w:rsidRPr="00CD5AF5" w:rsidRDefault="005B05BF" w:rsidP="00B62E49">
      <w:pPr>
        <w:pStyle w:val="ListParagraph"/>
        <w:rPr>
          <w:lang w:val="en-US"/>
        </w:rPr>
      </w:pPr>
      <w:r w:rsidRPr="00CD5AF5">
        <w:rPr>
          <w:lang w:val="en-US"/>
        </w:rPr>
        <w:t xml:space="preserve">Paragraphs 70 and 71 </w:t>
      </w:r>
      <w:r w:rsidR="000B4FDC" w:rsidRPr="00CD5AF5">
        <w:rPr>
          <w:lang w:val="en-US"/>
        </w:rPr>
        <w:t xml:space="preserve">do not cover the breadth of </w:t>
      </w:r>
      <w:r w:rsidR="00AC39F2" w:rsidRPr="00CD5AF5">
        <w:t xml:space="preserve">exclusion and segregation </w:t>
      </w:r>
      <w:r w:rsidR="000B4FDC" w:rsidRPr="00CD5AF5">
        <w:t xml:space="preserve">frequently </w:t>
      </w:r>
      <w:r w:rsidR="00AC39F2" w:rsidRPr="00CD5AF5">
        <w:t>experienced by students with disability</w:t>
      </w:r>
      <w:r w:rsidR="000B4FDC" w:rsidRPr="00CD5AF5">
        <w:t xml:space="preserve"> in education</w:t>
      </w:r>
      <w:r w:rsidR="00AC39F2" w:rsidRPr="00CD5AF5">
        <w:t>.</w:t>
      </w:r>
      <w:r w:rsidRPr="00CD5AF5">
        <w:rPr>
          <w:lang w:val="en-US"/>
        </w:rPr>
        <w:t xml:space="preserve"> </w:t>
      </w:r>
      <w:r w:rsidR="000B4FDC" w:rsidRPr="00CD5AF5">
        <w:rPr>
          <w:lang w:val="en-US"/>
        </w:rPr>
        <w:t xml:space="preserve">In addition to segregation </w:t>
      </w:r>
      <w:r w:rsidR="000B4FDC" w:rsidRPr="00CD5AF5">
        <w:rPr>
          <w:i/>
          <w:lang w:val="en-US"/>
        </w:rPr>
        <w:t xml:space="preserve">from </w:t>
      </w:r>
      <w:r w:rsidR="000B4FDC" w:rsidRPr="00CD5AF5">
        <w:rPr>
          <w:lang w:val="en-US"/>
        </w:rPr>
        <w:t xml:space="preserve">mainstream education settings, Australian students with disability are frequently segregated </w:t>
      </w:r>
      <w:r w:rsidR="000B4FDC" w:rsidRPr="00CD5AF5">
        <w:rPr>
          <w:i/>
          <w:lang w:val="en-US"/>
        </w:rPr>
        <w:t xml:space="preserve">within </w:t>
      </w:r>
      <w:r w:rsidR="000B4FDC" w:rsidRPr="00CD5AF5">
        <w:rPr>
          <w:lang w:val="en-US"/>
        </w:rPr>
        <w:t>mainstream education settings, such as by being allocated to separate classes and locations, being assigned different tasks or being excluded from activities.</w:t>
      </w:r>
    </w:p>
    <w:p w:rsidR="000B4FDC" w:rsidRPr="00CD5AF5" w:rsidRDefault="000B4FDC" w:rsidP="000B4FDC">
      <w:pPr>
        <w:pStyle w:val="ListParagraph"/>
        <w:numPr>
          <w:ilvl w:val="0"/>
          <w:numId w:val="0"/>
        </w:numPr>
        <w:ind w:left="357"/>
        <w:rPr>
          <w:lang w:val="en-US"/>
        </w:rPr>
      </w:pPr>
    </w:p>
    <w:p w:rsidR="00F22BB3" w:rsidRPr="00CD5AF5" w:rsidRDefault="000B4FDC" w:rsidP="000B4FDC">
      <w:pPr>
        <w:pStyle w:val="ListParagraph"/>
        <w:rPr>
          <w:lang w:val="en-US"/>
        </w:rPr>
      </w:pPr>
      <w:r w:rsidRPr="00CD5AF5">
        <w:rPr>
          <w:lang w:val="en-US"/>
        </w:rPr>
        <w:t xml:space="preserve">It is believed that the description of discriminatory barriers to inclusive education </w:t>
      </w:r>
      <w:r w:rsidR="00CD3628" w:rsidRPr="00CD5AF5">
        <w:rPr>
          <w:lang w:val="en-US"/>
        </w:rPr>
        <w:t>c</w:t>
      </w:r>
      <w:r w:rsidRPr="00CD5AF5">
        <w:rPr>
          <w:lang w:val="en-US"/>
        </w:rPr>
        <w:t>ould be broadened to include these forms of discrimination and refer to definitions of both macro exclusion and micro exclusion.</w:t>
      </w:r>
      <w:r w:rsidR="00AC39F2" w:rsidRPr="00CD5AF5">
        <w:rPr>
          <w:lang w:val="en-US"/>
        </w:rPr>
        <w:t xml:space="preserve"> </w:t>
      </w:r>
      <w:r w:rsidRPr="00CD5AF5">
        <w:t>In an education context, macro-exclusion refers to a child being segregated into a special school or a special class or unit within a mainstream school.</w:t>
      </w:r>
      <w:r w:rsidRPr="00CD5AF5">
        <w:rPr>
          <w:rStyle w:val="FootnoteReference"/>
        </w:rPr>
        <w:footnoteReference w:id="17"/>
      </w:r>
      <w:r w:rsidRPr="00CD5AF5">
        <w:t xml:space="preserve"> The presence of students within a mainstream education setting, but without being included, is referred to as micro-exclusion.</w:t>
      </w:r>
      <w:r w:rsidRPr="00CD5AF5">
        <w:rPr>
          <w:rStyle w:val="FootnoteReference"/>
        </w:rPr>
        <w:footnoteReference w:id="18"/>
      </w:r>
      <w:r w:rsidRPr="00CD5AF5">
        <w:t xml:space="preserve"> </w:t>
      </w:r>
    </w:p>
    <w:p w:rsidR="00F22BB3" w:rsidRPr="00CD5AF5" w:rsidRDefault="00F22BB3" w:rsidP="00CD3628">
      <w:pPr>
        <w:pStyle w:val="ListParagraph"/>
        <w:numPr>
          <w:ilvl w:val="0"/>
          <w:numId w:val="0"/>
        </w:numPr>
        <w:ind w:left="357"/>
      </w:pPr>
    </w:p>
    <w:p w:rsidR="000B4FDC" w:rsidRPr="00CD5AF5" w:rsidRDefault="000B4FDC" w:rsidP="000B4FDC">
      <w:pPr>
        <w:pStyle w:val="ListParagraph"/>
        <w:rPr>
          <w:lang w:val="en-US"/>
        </w:rPr>
      </w:pPr>
      <w:r w:rsidRPr="00CD5AF5">
        <w:t xml:space="preserve">Inclusion is a frequently misunderstood term and it is therefore highly important that it is clearly defined. </w:t>
      </w:r>
      <w:r w:rsidR="004E1CC2" w:rsidRPr="00CD5AF5">
        <w:t xml:space="preserve">It may </w:t>
      </w:r>
      <w:r w:rsidR="00F22BB3" w:rsidRPr="00CD5AF5">
        <w:t>assist to refer to research evidence demonstrating that inclusive education produces better academic, social and economic outcomes.</w:t>
      </w:r>
      <w:r w:rsidR="007A312C" w:rsidRPr="00CD5AF5">
        <w:rPr>
          <w:rStyle w:val="FootnoteReference"/>
        </w:rPr>
        <w:footnoteReference w:id="19"/>
      </w:r>
      <w:r w:rsidR="00F22BB3" w:rsidRPr="00CD5AF5">
        <w:t xml:space="preserve"> </w:t>
      </w:r>
    </w:p>
    <w:p w:rsidR="005B05BF" w:rsidRPr="00CD5AF5" w:rsidRDefault="005B05BF" w:rsidP="005E6AAB">
      <w:pPr>
        <w:rPr>
          <w:szCs w:val="22"/>
          <w:lang w:val="en-US"/>
        </w:rPr>
      </w:pPr>
    </w:p>
    <w:p w:rsidR="005B05BF" w:rsidRPr="00CD5AF5" w:rsidRDefault="005B05BF" w:rsidP="00300366">
      <w:pPr>
        <w:ind w:left="357" w:hanging="357"/>
        <w:jc w:val="both"/>
        <w:rPr>
          <w:szCs w:val="22"/>
          <w:u w:val="single"/>
        </w:rPr>
      </w:pPr>
      <w:r w:rsidRPr="00CD5AF5">
        <w:rPr>
          <w:szCs w:val="22"/>
          <w:u w:val="single"/>
        </w:rPr>
        <w:t>Article 27 – Work and employment</w:t>
      </w:r>
    </w:p>
    <w:p w:rsidR="00B62E49" w:rsidRPr="00CD5AF5" w:rsidRDefault="00B62E49" w:rsidP="00300366">
      <w:pPr>
        <w:ind w:left="357" w:hanging="357"/>
        <w:jc w:val="both"/>
        <w:rPr>
          <w:szCs w:val="22"/>
          <w:u w:val="single"/>
        </w:rPr>
      </w:pPr>
    </w:p>
    <w:p w:rsidR="007506C0" w:rsidRPr="00CD5AF5" w:rsidRDefault="00E52B34" w:rsidP="007506C0">
      <w:pPr>
        <w:pStyle w:val="ListParagraph"/>
      </w:pPr>
      <w:r w:rsidRPr="00CD5AF5">
        <w:t xml:space="preserve">Paragraph 73 </w:t>
      </w:r>
      <w:r w:rsidR="006D750F" w:rsidRPr="00CD5AF5">
        <w:t>c</w:t>
      </w:r>
      <w:r w:rsidRPr="00CD5AF5">
        <w:t>ould include mention of measures needed to assist students to transition from school to work and/or study</w:t>
      </w:r>
      <w:r w:rsidR="00C0743F" w:rsidRPr="00CD5AF5">
        <w:t>,</w:t>
      </w:r>
      <w:r w:rsidRPr="00CD5AF5">
        <w:t xml:space="preserve"> as part of States Parties</w:t>
      </w:r>
      <w:r w:rsidR="00AE204D" w:rsidRPr="00CD5AF5">
        <w:t>’</w:t>
      </w:r>
      <w:r w:rsidRPr="00CD5AF5">
        <w:t xml:space="preserve"> obligations to prevent discrimination on the grounds of disability connected to work and employment</w:t>
      </w:r>
      <w:r w:rsidR="005B05BF" w:rsidRPr="00CD5AF5">
        <w:t>.</w:t>
      </w:r>
    </w:p>
    <w:p w:rsidR="007506C0" w:rsidRPr="00CD5AF5" w:rsidRDefault="007506C0" w:rsidP="007506C0">
      <w:pPr>
        <w:pStyle w:val="ListParagraph"/>
        <w:numPr>
          <w:ilvl w:val="0"/>
          <w:numId w:val="0"/>
        </w:numPr>
        <w:ind w:left="357"/>
      </w:pPr>
    </w:p>
    <w:p w:rsidR="00F94ABB" w:rsidRPr="00CD5AF5" w:rsidRDefault="00B62E49" w:rsidP="00F94ABB">
      <w:pPr>
        <w:pStyle w:val="ListParagraph"/>
      </w:pPr>
      <w:r w:rsidRPr="00CD5AF5">
        <w:lastRenderedPageBreak/>
        <w:t xml:space="preserve">Paragraph 75 lists </w:t>
      </w:r>
      <w:r w:rsidR="00237284" w:rsidRPr="00CD5AF5">
        <w:t>requirement</w:t>
      </w:r>
      <w:r w:rsidR="00C0743F" w:rsidRPr="00CD5AF5">
        <w:t>s</w:t>
      </w:r>
      <w:r w:rsidR="00237284" w:rsidRPr="00CD5AF5">
        <w:t xml:space="preserve"> regarding data collection and analysis ‘to monitor anti-discrimination policy and laws’. It </w:t>
      </w:r>
      <w:r w:rsidR="006D750F" w:rsidRPr="00CD5AF5">
        <w:t>c</w:t>
      </w:r>
      <w:r w:rsidR="00237284" w:rsidRPr="00CD5AF5">
        <w:t>ould be made clear that data collection requirements to enable States Parties to accurately assess whether they are complying with Article 5 e</w:t>
      </w:r>
      <w:r w:rsidR="00C0743F" w:rsidRPr="00CD5AF5">
        <w:t>xtend to collecting and analysing</w:t>
      </w:r>
      <w:r w:rsidR="00237284" w:rsidRPr="00CD5AF5">
        <w:t xml:space="preserve"> data about discriminatory practices pursuant to a range of laws and policies across different life areas, including education, employment, welfare and health among others. These requirements should not be confined to formal legal complaints pursuant to anti-discrimination laws.</w:t>
      </w:r>
    </w:p>
    <w:p w:rsidR="00F94ABB" w:rsidRPr="00CD5AF5" w:rsidRDefault="00F94ABB" w:rsidP="00CD3628">
      <w:pPr>
        <w:pStyle w:val="ListParagraph"/>
        <w:numPr>
          <w:ilvl w:val="0"/>
          <w:numId w:val="0"/>
        </w:numPr>
        <w:ind w:left="357"/>
      </w:pPr>
    </w:p>
    <w:p w:rsidR="00F94ABB" w:rsidRPr="00CD5AF5" w:rsidRDefault="00F94ABB" w:rsidP="00CD3628">
      <w:pPr>
        <w:rPr>
          <w:b/>
        </w:rPr>
      </w:pPr>
      <w:r w:rsidRPr="00CD5AF5">
        <w:rPr>
          <w:b/>
        </w:rPr>
        <w:t>CONTACT</w:t>
      </w:r>
    </w:p>
    <w:p w:rsidR="00F94ABB" w:rsidRPr="00CD5AF5" w:rsidRDefault="00F94ABB" w:rsidP="00CD3628">
      <w:pPr>
        <w:rPr>
          <w:b/>
        </w:rPr>
      </w:pPr>
    </w:p>
    <w:p w:rsidR="00F94ABB" w:rsidRPr="00CD5AF5" w:rsidRDefault="00F94ABB" w:rsidP="00CD3628">
      <w:r w:rsidRPr="00CD5AF5">
        <w:t>Stephanie Gotlib</w:t>
      </w:r>
    </w:p>
    <w:p w:rsidR="00F94ABB" w:rsidRPr="00CD5AF5" w:rsidRDefault="00F94ABB" w:rsidP="00CD3628">
      <w:r w:rsidRPr="00CD5AF5">
        <w:t>Chief Executive Officer</w:t>
      </w:r>
    </w:p>
    <w:p w:rsidR="00F94ABB" w:rsidRPr="00CD5AF5" w:rsidRDefault="00F94ABB" w:rsidP="00CD3628">
      <w:r w:rsidRPr="00CD5AF5">
        <w:t>20 Derby Street</w:t>
      </w:r>
    </w:p>
    <w:p w:rsidR="00F94ABB" w:rsidRPr="00CD5AF5" w:rsidRDefault="00F94ABB" w:rsidP="00CD3628">
      <w:r w:rsidRPr="00CD5AF5">
        <w:t xml:space="preserve">Collingwood VIC </w:t>
      </w:r>
      <w:r w:rsidR="00F777A1">
        <w:t xml:space="preserve">Australia </w:t>
      </w:r>
      <w:r w:rsidRPr="00CD5AF5">
        <w:t>3066</w:t>
      </w:r>
    </w:p>
    <w:p w:rsidR="00F94ABB" w:rsidRPr="00CD5AF5" w:rsidRDefault="00F777A1" w:rsidP="00CD3628">
      <w:r>
        <w:t xml:space="preserve">+ 61 </w:t>
      </w:r>
      <w:r w:rsidR="00F94ABB" w:rsidRPr="00CD5AF5">
        <w:t>03 9417 1025</w:t>
      </w:r>
    </w:p>
    <w:p w:rsidR="00F94ABB" w:rsidRPr="00CD5AF5" w:rsidRDefault="00F94ABB" w:rsidP="00CD3628">
      <w:r w:rsidRPr="00CD5AF5">
        <w:t>stephaniegotlib@cyda.org.au</w:t>
      </w:r>
    </w:p>
    <w:p w:rsidR="00F94ABB" w:rsidRPr="00CD5AF5" w:rsidRDefault="0009420E" w:rsidP="00CD3628">
      <w:hyperlink r:id="rId8" w:history="1">
        <w:r w:rsidR="00F94ABB" w:rsidRPr="00CD5AF5">
          <w:rPr>
            <w:rStyle w:val="Hyperlink"/>
            <w:color w:val="auto"/>
          </w:rPr>
          <w:t>www.cyda.org.au</w:t>
        </w:r>
      </w:hyperlink>
    </w:p>
    <w:p w:rsidR="00B04562" w:rsidRPr="00CD5AF5" w:rsidRDefault="00B04562">
      <w:pPr>
        <w:spacing w:after="120" w:line="264" w:lineRule="auto"/>
      </w:pPr>
      <w:r w:rsidRPr="00CD5AF5">
        <w:br w:type="page"/>
      </w:r>
    </w:p>
    <w:p w:rsidR="00F94ABB" w:rsidRPr="00CD5AF5" w:rsidRDefault="00B04562" w:rsidP="00CD3628">
      <w:pPr>
        <w:rPr>
          <w:b/>
        </w:rPr>
      </w:pPr>
      <w:r w:rsidRPr="00CD5AF5">
        <w:rPr>
          <w:b/>
        </w:rPr>
        <w:lastRenderedPageBreak/>
        <w:t>BIBLIOGRAPHY</w:t>
      </w:r>
    </w:p>
    <w:p w:rsidR="00F94ABB" w:rsidRPr="00CD5AF5" w:rsidRDefault="00F94ABB" w:rsidP="00CD3628"/>
    <w:p w:rsidR="005C5711" w:rsidRPr="00CD5AF5" w:rsidRDefault="005C5711" w:rsidP="005A5D98">
      <w:pPr>
        <w:pStyle w:val="FootnoteText"/>
        <w:rPr>
          <w:szCs w:val="22"/>
        </w:rPr>
      </w:pPr>
      <w:r w:rsidRPr="00CD5AF5">
        <w:rPr>
          <w:szCs w:val="22"/>
        </w:rPr>
        <w:t xml:space="preserve">Attorney-General’s Department 2017, </w:t>
      </w:r>
      <w:r w:rsidRPr="00CD5AF5">
        <w:rPr>
          <w:i/>
          <w:szCs w:val="22"/>
        </w:rPr>
        <w:t>Australia’s draft report to the UN Committee on the Rights of the Child</w:t>
      </w:r>
      <w:r w:rsidRPr="00CD5AF5">
        <w:rPr>
          <w:szCs w:val="22"/>
        </w:rPr>
        <w:t>, Australian Government, Canberra</w:t>
      </w:r>
    </w:p>
    <w:p w:rsidR="005C5711" w:rsidRPr="00CD5AF5" w:rsidRDefault="005C5711" w:rsidP="005A5D98">
      <w:pPr>
        <w:pStyle w:val="FootnoteText"/>
        <w:rPr>
          <w:szCs w:val="22"/>
          <w:lang w:val="en-AU"/>
        </w:rPr>
      </w:pPr>
    </w:p>
    <w:p w:rsidR="005A5D98" w:rsidRPr="00CD5AF5" w:rsidRDefault="005A5D98" w:rsidP="005A5D98">
      <w:pPr>
        <w:pStyle w:val="FootnoteText"/>
        <w:rPr>
          <w:sz w:val="20"/>
        </w:rPr>
      </w:pPr>
      <w:r w:rsidRPr="00CD5AF5">
        <w:rPr>
          <w:lang w:val="en-AU"/>
        </w:rPr>
        <w:t xml:space="preserve">Australian Institute of Health and Welfare 2017, </w:t>
      </w:r>
      <w:r w:rsidRPr="00CD5AF5">
        <w:rPr>
          <w:i/>
          <w:lang w:val="en-AU"/>
        </w:rPr>
        <w:t>Disability in Australia: changes over time in inclusion and participation in education</w:t>
      </w:r>
      <w:r w:rsidRPr="00CD5AF5">
        <w:rPr>
          <w:lang w:val="en-AU"/>
        </w:rPr>
        <w:t>, Australian Government, viewed 15 November 2017,</w:t>
      </w:r>
      <w:r w:rsidR="003134C8" w:rsidRPr="00CD5AF5">
        <w:rPr>
          <w:lang w:val="en-AU"/>
        </w:rPr>
        <w:t xml:space="preserve"> </w:t>
      </w:r>
      <w:r w:rsidR="003134C8" w:rsidRPr="00CD5AF5">
        <w:rPr>
          <w:rFonts w:ascii="Calibri" w:hAnsi="Calibri" w:cs="Helvetica"/>
          <w:szCs w:val="22"/>
        </w:rPr>
        <w:t>https://goo.gl/doqiKc</w:t>
      </w:r>
    </w:p>
    <w:p w:rsidR="005A5D98" w:rsidRPr="00CD5AF5" w:rsidRDefault="005A5D98" w:rsidP="00B04562">
      <w:pPr>
        <w:pStyle w:val="FootnoteText"/>
        <w:rPr>
          <w:rFonts w:eastAsia="Arial" w:cs="Arial"/>
          <w:szCs w:val="22"/>
        </w:rPr>
      </w:pPr>
    </w:p>
    <w:p w:rsidR="007B53C0" w:rsidRPr="00CD5AF5" w:rsidRDefault="007B53C0" w:rsidP="00B04562">
      <w:pPr>
        <w:pStyle w:val="FootnoteText"/>
        <w:rPr>
          <w:rFonts w:eastAsia="Arial" w:cs="Arial"/>
          <w:iCs/>
          <w:szCs w:val="22"/>
        </w:rPr>
      </w:pPr>
      <w:r w:rsidRPr="00CD5AF5">
        <w:rPr>
          <w:rFonts w:eastAsia="Arial" w:cs="Arial"/>
          <w:szCs w:val="22"/>
        </w:rPr>
        <w:t>Australian Human Rights Commi</w:t>
      </w:r>
      <w:r w:rsidR="00637AE1" w:rsidRPr="00CD5AF5">
        <w:rPr>
          <w:rFonts w:eastAsia="Arial" w:cs="Arial"/>
          <w:szCs w:val="22"/>
        </w:rPr>
        <w:t>s</w:t>
      </w:r>
      <w:r w:rsidRPr="00CD5AF5">
        <w:rPr>
          <w:rFonts w:eastAsia="Arial" w:cs="Arial"/>
          <w:szCs w:val="22"/>
        </w:rPr>
        <w:t xml:space="preserve">son 2014, </w:t>
      </w:r>
      <w:r w:rsidRPr="00CD5AF5">
        <w:rPr>
          <w:rFonts w:eastAsia="Arial" w:cs="Arial"/>
          <w:i/>
          <w:iCs/>
          <w:szCs w:val="22"/>
        </w:rPr>
        <w:t xml:space="preserve">Equal before the law: Towards disability justice strategies, </w:t>
      </w:r>
      <w:r w:rsidRPr="00CD5AF5">
        <w:rPr>
          <w:rFonts w:eastAsia="Arial" w:cs="Arial"/>
          <w:iCs/>
          <w:szCs w:val="22"/>
        </w:rPr>
        <w:t>Sydney</w:t>
      </w:r>
    </w:p>
    <w:p w:rsidR="007B53C0" w:rsidRPr="00CD5AF5" w:rsidRDefault="007B53C0" w:rsidP="00B04562">
      <w:pPr>
        <w:pStyle w:val="FootnoteText"/>
        <w:rPr>
          <w:szCs w:val="22"/>
        </w:rPr>
      </w:pPr>
    </w:p>
    <w:p w:rsidR="00875B2A" w:rsidRPr="00CD5AF5" w:rsidRDefault="00875B2A" w:rsidP="00B04562">
      <w:pPr>
        <w:pStyle w:val="FootnoteText"/>
      </w:pPr>
      <w:r w:rsidRPr="00CD5AF5">
        <w:t xml:space="preserve">Balint, R 2017, ’Australia has kept disabled migrant children out for decades – it’s time we gave them protection instead‘, </w:t>
      </w:r>
      <w:r w:rsidRPr="00CD5AF5">
        <w:rPr>
          <w:i/>
        </w:rPr>
        <w:t>The Conversation</w:t>
      </w:r>
      <w:r w:rsidRPr="00CD5AF5">
        <w:t xml:space="preserve">, viewed 15 November </w:t>
      </w:r>
      <w:r w:rsidRPr="00CD5AF5">
        <w:rPr>
          <w:szCs w:val="22"/>
        </w:rPr>
        <w:t xml:space="preserve">2017, </w:t>
      </w:r>
      <w:r w:rsidR="003134C8" w:rsidRPr="00CD5AF5">
        <w:rPr>
          <w:rFonts w:cs="Helvetica"/>
          <w:szCs w:val="22"/>
        </w:rPr>
        <w:t>https://goo.gl/7dY5TZ</w:t>
      </w:r>
    </w:p>
    <w:p w:rsidR="00875B2A" w:rsidRPr="00CD5AF5" w:rsidRDefault="00875B2A" w:rsidP="00B04562">
      <w:pPr>
        <w:pStyle w:val="FootnoteText"/>
        <w:rPr>
          <w:szCs w:val="22"/>
        </w:rPr>
      </w:pPr>
    </w:p>
    <w:p w:rsidR="00B04562" w:rsidRPr="00CD5AF5" w:rsidRDefault="00B04562" w:rsidP="00B04562">
      <w:pPr>
        <w:pStyle w:val="FootnoteText"/>
        <w:rPr>
          <w:szCs w:val="22"/>
        </w:rPr>
      </w:pPr>
      <w:r w:rsidRPr="00CD5AF5">
        <w:rPr>
          <w:szCs w:val="22"/>
        </w:rPr>
        <w:t xml:space="preserve">Children and Young People with Disability Australia 2016, </w:t>
      </w:r>
      <w:r w:rsidRPr="00CD5AF5">
        <w:rPr>
          <w:i/>
          <w:szCs w:val="22"/>
        </w:rPr>
        <w:t>CYDA Education Survey 2016 – National Summary of Results</w:t>
      </w:r>
      <w:r w:rsidRPr="00CD5AF5">
        <w:rPr>
          <w:szCs w:val="22"/>
        </w:rPr>
        <w:t>, Melbourne</w:t>
      </w:r>
    </w:p>
    <w:p w:rsidR="007B53C0" w:rsidRPr="00CD5AF5" w:rsidRDefault="007B53C0" w:rsidP="00B04562">
      <w:pPr>
        <w:pStyle w:val="FootnoteText"/>
        <w:rPr>
          <w:szCs w:val="22"/>
        </w:rPr>
      </w:pPr>
    </w:p>
    <w:p w:rsidR="007B53C0" w:rsidRPr="00CD5AF5" w:rsidRDefault="007B53C0" w:rsidP="00B04562">
      <w:pPr>
        <w:pStyle w:val="FootnoteText"/>
        <w:rPr>
          <w:szCs w:val="22"/>
        </w:rPr>
      </w:pPr>
      <w:r w:rsidRPr="00CD5AF5">
        <w:rPr>
          <w:szCs w:val="22"/>
        </w:rPr>
        <w:t>Children and Young People with Disability Australia 2013</w:t>
      </w:r>
      <w:r w:rsidRPr="00CD5AF5">
        <w:rPr>
          <w:i/>
          <w:szCs w:val="22"/>
        </w:rPr>
        <w:t>, Inclusion in Education: Towards Equality for Students with Disability</w:t>
      </w:r>
      <w:r w:rsidRPr="00CD5AF5">
        <w:rPr>
          <w:szCs w:val="22"/>
        </w:rPr>
        <w:t>, Melbourne</w:t>
      </w:r>
    </w:p>
    <w:p w:rsidR="00B04562" w:rsidRPr="00CD5AF5" w:rsidRDefault="00B04562" w:rsidP="00B04562">
      <w:pPr>
        <w:pStyle w:val="FootnoteText"/>
        <w:rPr>
          <w:szCs w:val="22"/>
        </w:rPr>
      </w:pPr>
    </w:p>
    <w:p w:rsidR="00B04562" w:rsidRPr="00CD5AF5" w:rsidRDefault="00B04562" w:rsidP="00B04562">
      <w:pPr>
        <w:rPr>
          <w:rFonts w:cs="TimesNewRomanPSMT"/>
          <w:szCs w:val="22"/>
          <w:lang w:val="en-GB"/>
        </w:rPr>
      </w:pPr>
      <w:r w:rsidRPr="00CD5AF5">
        <w:rPr>
          <w:rFonts w:cs="TimesNewRomanPSMT"/>
          <w:szCs w:val="22"/>
          <w:lang w:val="en-GB"/>
        </w:rPr>
        <w:t>Cologon, K 2013, Inclusion in education: towards equality for students with disability, Children and Young People with Disability Australia, Melbourne</w:t>
      </w:r>
    </w:p>
    <w:p w:rsidR="00546EB5" w:rsidRPr="00CD5AF5" w:rsidRDefault="00546EB5" w:rsidP="00B04562">
      <w:pPr>
        <w:rPr>
          <w:rFonts w:cs="TimesNewRomanPSMT"/>
          <w:szCs w:val="22"/>
          <w:lang w:val="en-GB"/>
        </w:rPr>
      </w:pPr>
    </w:p>
    <w:p w:rsidR="00B04562" w:rsidRPr="00CD5AF5" w:rsidRDefault="00546EB5" w:rsidP="00B04562">
      <w:pPr>
        <w:pStyle w:val="FootnoteText"/>
      </w:pPr>
      <w:r w:rsidRPr="00CD5AF5">
        <w:t>Crock</w:t>
      </w:r>
      <w:r w:rsidR="00B27CFA">
        <w:t>,</w:t>
      </w:r>
      <w:r w:rsidRPr="00CD5AF5">
        <w:t xml:space="preserve"> M et al</w:t>
      </w:r>
      <w:r w:rsidR="00AB7D32">
        <w:t>.</w:t>
      </w:r>
      <w:r w:rsidRPr="00CD5AF5">
        <w:t xml:space="preserve"> 2017, </w:t>
      </w:r>
      <w:r w:rsidRPr="00CD5AF5">
        <w:rPr>
          <w:i/>
        </w:rPr>
        <w:t>The Legal Protection of Refugees with Disabilities</w:t>
      </w:r>
      <w:r w:rsidR="00637AE1" w:rsidRPr="00CD5AF5">
        <w:rPr>
          <w:i/>
        </w:rPr>
        <w:t>: Forgotten and Invisible</w:t>
      </w:r>
      <w:r w:rsidRPr="00CD5AF5">
        <w:t>, Edward Elgar</w:t>
      </w:r>
      <w:r w:rsidR="00637AE1" w:rsidRPr="00CD5AF5">
        <w:t xml:space="preserve"> Publishing</w:t>
      </w:r>
      <w:r w:rsidRPr="00CD5AF5">
        <w:t>, Cheltenam</w:t>
      </w:r>
    </w:p>
    <w:p w:rsidR="003134C8" w:rsidRPr="00CD5AF5" w:rsidRDefault="003134C8" w:rsidP="00B04562">
      <w:pPr>
        <w:pStyle w:val="FootnoteText"/>
        <w:rPr>
          <w:szCs w:val="22"/>
        </w:rPr>
      </w:pPr>
    </w:p>
    <w:p w:rsidR="00B04562" w:rsidRPr="00CD5AF5" w:rsidRDefault="00B04562" w:rsidP="00B04562">
      <w:pPr>
        <w:pStyle w:val="FootnoteText"/>
        <w:rPr>
          <w:szCs w:val="22"/>
        </w:rPr>
      </w:pPr>
      <w:r w:rsidRPr="00CD5AF5">
        <w:rPr>
          <w:szCs w:val="22"/>
        </w:rPr>
        <w:t>Cross, D et al</w:t>
      </w:r>
      <w:r w:rsidR="00AB7D32">
        <w:rPr>
          <w:szCs w:val="22"/>
        </w:rPr>
        <w:t>.</w:t>
      </w:r>
      <w:r w:rsidRPr="00CD5AF5">
        <w:rPr>
          <w:szCs w:val="22"/>
        </w:rPr>
        <w:t xml:space="preserve"> 2009, </w:t>
      </w:r>
      <w:r w:rsidRPr="00CD5AF5">
        <w:rPr>
          <w:i/>
          <w:szCs w:val="22"/>
        </w:rPr>
        <w:t xml:space="preserve">Australian Covert Bullying Prevalence Study: Executive Summary, </w:t>
      </w:r>
      <w:r w:rsidRPr="00CD5AF5">
        <w:rPr>
          <w:szCs w:val="22"/>
        </w:rPr>
        <w:t>Child Health Promotion Research Centre, Edith Cowan University, Perth</w:t>
      </w:r>
    </w:p>
    <w:p w:rsidR="00A24468" w:rsidRPr="00CD5AF5" w:rsidRDefault="00A24468" w:rsidP="00B04562">
      <w:pPr>
        <w:pStyle w:val="FootnoteText"/>
        <w:rPr>
          <w:szCs w:val="22"/>
        </w:rPr>
      </w:pPr>
    </w:p>
    <w:p w:rsidR="00ED2BD8" w:rsidRPr="00CD5AF5" w:rsidRDefault="00ED2BD8" w:rsidP="00ED2BD8">
      <w:pPr>
        <w:pStyle w:val="FootnoteText"/>
        <w:rPr>
          <w:lang w:val="en-AU"/>
        </w:rPr>
      </w:pPr>
      <w:r w:rsidRPr="00CD5AF5">
        <w:t xml:space="preserve">Department of Education and Training, State Government of Victoria 2017‚ ‘Planning and building inclusive new schools‘, </w:t>
      </w:r>
      <w:r w:rsidRPr="00CD5AF5">
        <w:rPr>
          <w:lang w:val="en-AU"/>
        </w:rPr>
        <w:t xml:space="preserve">viewed 15 </w:t>
      </w:r>
      <w:r w:rsidRPr="00CD5AF5">
        <w:rPr>
          <w:szCs w:val="22"/>
          <w:lang w:val="en-AU"/>
        </w:rPr>
        <w:t xml:space="preserve">November 2017, </w:t>
      </w:r>
      <w:r w:rsidR="003134C8" w:rsidRPr="00CD5AF5">
        <w:rPr>
          <w:rFonts w:cs="Helvetica"/>
          <w:szCs w:val="22"/>
        </w:rPr>
        <w:t>https://goo.gl/Ku36CJ</w:t>
      </w:r>
    </w:p>
    <w:p w:rsidR="00ED2BD8" w:rsidRPr="00CD5AF5" w:rsidRDefault="00ED2BD8" w:rsidP="00B04562">
      <w:pPr>
        <w:pStyle w:val="FootnoteText"/>
        <w:rPr>
          <w:szCs w:val="22"/>
        </w:rPr>
      </w:pPr>
    </w:p>
    <w:p w:rsidR="00A24468" w:rsidRPr="00CD5AF5" w:rsidRDefault="00A24468" w:rsidP="00B04562">
      <w:pPr>
        <w:pStyle w:val="FootnoteText"/>
      </w:pPr>
      <w:r w:rsidRPr="00CD5AF5">
        <w:rPr>
          <w:lang w:val="en-AU"/>
        </w:rPr>
        <w:t xml:space="preserve">Disability Reform Council 2017, </w:t>
      </w:r>
      <w:r w:rsidRPr="00CD5AF5">
        <w:rPr>
          <w:i/>
          <w:lang w:val="en-AU"/>
        </w:rPr>
        <w:t>Quarterly Performance Report</w:t>
      </w:r>
      <w:r w:rsidRPr="00CD5AF5">
        <w:rPr>
          <w:lang w:val="en-AU"/>
        </w:rPr>
        <w:t xml:space="preserve">, National, June 2017, Council of Australian Governments, Canberra, viewed 15 November 2017, </w:t>
      </w:r>
      <w:r w:rsidR="003134C8" w:rsidRPr="00CD5AF5">
        <w:rPr>
          <w:rFonts w:cs="Helvetica"/>
          <w:szCs w:val="22"/>
        </w:rPr>
        <w:t>https://goo.gl/9pZyMN</w:t>
      </w:r>
    </w:p>
    <w:p w:rsidR="00546EB5" w:rsidRPr="00CD5AF5" w:rsidRDefault="00546EB5" w:rsidP="00B04562">
      <w:pPr>
        <w:pStyle w:val="FootnoteText"/>
      </w:pPr>
    </w:p>
    <w:p w:rsidR="00546EB5" w:rsidRPr="00CD5AF5" w:rsidRDefault="00546EB5" w:rsidP="00B04562">
      <w:pPr>
        <w:pStyle w:val="FootnoteText"/>
        <w:rPr>
          <w:szCs w:val="22"/>
        </w:rPr>
      </w:pPr>
      <w:r w:rsidRPr="00CD5AF5">
        <w:rPr>
          <w:szCs w:val="22"/>
        </w:rPr>
        <w:t xml:space="preserve">Murphy-Oates, L 2017 ‘“It’s completely inappropriate”: Australian Immigration deporting people with disabilities’, </w:t>
      </w:r>
      <w:r w:rsidRPr="00CD5AF5">
        <w:rPr>
          <w:i/>
          <w:szCs w:val="22"/>
        </w:rPr>
        <w:t>SBS, The Feed</w:t>
      </w:r>
      <w:r w:rsidRPr="00CD5AF5">
        <w:rPr>
          <w:szCs w:val="22"/>
        </w:rPr>
        <w:t xml:space="preserve">, viewed 22 November 2017, </w:t>
      </w:r>
      <w:r w:rsidRPr="00CD5AF5">
        <w:rPr>
          <w:rFonts w:cs="Helvetica"/>
          <w:szCs w:val="22"/>
        </w:rPr>
        <w:t>https://goo.gl/ZeEPbg</w:t>
      </w:r>
    </w:p>
    <w:p w:rsidR="00B04562" w:rsidRPr="00CD5AF5" w:rsidRDefault="00B04562" w:rsidP="00CD3628">
      <w:pPr>
        <w:rPr>
          <w:rFonts w:cs="TimesNewRomanPSMT"/>
          <w:szCs w:val="22"/>
          <w:lang w:val="en-GB"/>
        </w:rPr>
      </w:pPr>
    </w:p>
    <w:p w:rsidR="00B04562" w:rsidRPr="00CD5AF5" w:rsidRDefault="00B04562" w:rsidP="00B04562">
      <w:pPr>
        <w:pStyle w:val="FootnoteText"/>
        <w:rPr>
          <w:szCs w:val="22"/>
        </w:rPr>
      </w:pPr>
      <w:r w:rsidRPr="00CD5AF5">
        <w:rPr>
          <w:szCs w:val="22"/>
        </w:rPr>
        <w:t xml:space="preserve">Robinson, S 2012, </w:t>
      </w:r>
      <w:r w:rsidRPr="00CD5AF5">
        <w:rPr>
          <w:i/>
          <w:szCs w:val="22"/>
        </w:rPr>
        <w:t>Enabling and Protecting: Proactive approaches to addressing the abuse and neglect of children and young people with disability,</w:t>
      </w:r>
      <w:r w:rsidRPr="00CD5AF5">
        <w:rPr>
          <w:szCs w:val="22"/>
        </w:rPr>
        <w:t xml:space="preserve"> Children and Young People with D</w:t>
      </w:r>
      <w:r w:rsidR="007B53C0" w:rsidRPr="00CD5AF5">
        <w:rPr>
          <w:szCs w:val="22"/>
        </w:rPr>
        <w:t>isability Australia, Melbourne</w:t>
      </w:r>
    </w:p>
    <w:p w:rsidR="00546EB5" w:rsidRPr="00CD5AF5" w:rsidRDefault="00546EB5" w:rsidP="00B04562">
      <w:pPr>
        <w:pStyle w:val="FootnoteText"/>
        <w:rPr>
          <w:szCs w:val="22"/>
        </w:rPr>
      </w:pPr>
    </w:p>
    <w:p w:rsidR="00546EB5" w:rsidRPr="00CD5AF5" w:rsidRDefault="00546EB5" w:rsidP="00B04562">
      <w:pPr>
        <w:pStyle w:val="FootnoteText"/>
        <w:rPr>
          <w:szCs w:val="22"/>
        </w:rPr>
      </w:pPr>
      <w:r w:rsidRPr="00CD5AF5">
        <w:rPr>
          <w:szCs w:val="22"/>
        </w:rPr>
        <w:t>Saul, B 2010, ‘Migrating to Australia with Disabilities: Non-Discrimination and the Convention on the Rights of Persons with Disabilities’, Sydney Law School, Legal Studies Research Paper No. 10/109, viewed 22 November 2017, http://ssrn.com/abstract=1700922</w:t>
      </w:r>
    </w:p>
    <w:p w:rsidR="00B04562" w:rsidRPr="00CD5AF5" w:rsidRDefault="00B04562" w:rsidP="00B04562">
      <w:pPr>
        <w:pStyle w:val="FootnoteText"/>
        <w:rPr>
          <w:sz w:val="20"/>
        </w:rPr>
      </w:pPr>
    </w:p>
    <w:p w:rsidR="005A5D98" w:rsidRPr="00CD5AF5" w:rsidRDefault="005A5D98" w:rsidP="005A5D98">
      <w:pPr>
        <w:pStyle w:val="FootnoteText"/>
        <w:rPr>
          <w:lang w:val="en-AU"/>
        </w:rPr>
      </w:pPr>
    </w:p>
    <w:p w:rsidR="005A5D98" w:rsidRPr="00CD5AF5" w:rsidRDefault="005A5D98" w:rsidP="005A5D98">
      <w:pPr>
        <w:pStyle w:val="FootnoteText"/>
      </w:pPr>
    </w:p>
    <w:p w:rsidR="00B04562" w:rsidRPr="00CD5AF5" w:rsidRDefault="00B04562" w:rsidP="00CD3628">
      <w:pPr>
        <w:pStyle w:val="FootnoteText"/>
        <w:rPr>
          <w:sz w:val="20"/>
        </w:rPr>
      </w:pPr>
    </w:p>
    <w:sectPr w:rsidR="00B04562" w:rsidRPr="00CD5AF5" w:rsidSect="00CD362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A88" w:rsidRDefault="00013A88" w:rsidP="005D2A85">
      <w:r>
        <w:separator/>
      </w:r>
    </w:p>
  </w:endnote>
  <w:endnote w:type="continuationSeparator" w:id="0">
    <w:p w:rsidR="00013A88" w:rsidRDefault="00013A88" w:rsidP="005D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95" w:rsidRPr="00462670" w:rsidRDefault="00434595" w:rsidP="005D2A85">
    <w:pPr>
      <w:pStyle w:val="Footer"/>
      <w:pBdr>
        <w:top w:val="thinThickSmallGap" w:sz="24" w:space="1" w:color="823B0B" w:themeColor="accent2" w:themeShade="7F"/>
      </w:pBdr>
      <w:rPr>
        <w:rFonts w:eastAsiaTheme="majorEastAsia" w:cstheme="majorBidi"/>
      </w:rPr>
    </w:pPr>
    <w:r w:rsidRPr="00F5548B">
      <w:rPr>
        <w:rFonts w:eastAsiaTheme="majorEastAsia" w:cstheme="majorBidi"/>
      </w:rPr>
      <w:t xml:space="preserve">Children </w:t>
    </w:r>
    <w:r>
      <w:rPr>
        <w:rFonts w:eastAsiaTheme="majorEastAsia" w:cstheme="majorBidi"/>
      </w:rPr>
      <w:t>and Young People with Disability Australia</w:t>
    </w:r>
    <w:r w:rsidRPr="00F5548B">
      <w:rPr>
        <w:rFonts w:eastAsiaTheme="majorEastAsia" w:cstheme="majorBidi"/>
      </w:rPr>
      <w:ptab w:relativeTo="margin" w:alignment="right" w:leader="none"/>
    </w:r>
    <w:r w:rsidRPr="00F5548B">
      <w:rPr>
        <w:rFonts w:eastAsiaTheme="majorEastAsia" w:cstheme="majorBidi"/>
      </w:rPr>
      <w:t xml:space="preserve">Page </w:t>
    </w:r>
    <w:r w:rsidRPr="003D6D39">
      <w:fldChar w:fldCharType="begin"/>
    </w:r>
    <w:r w:rsidRPr="00F5548B">
      <w:instrText xml:space="preserve"> PAGE   \* MERGEFORMAT </w:instrText>
    </w:r>
    <w:r w:rsidRPr="003D6D39">
      <w:fldChar w:fldCharType="separate"/>
    </w:r>
    <w:r w:rsidR="0009420E" w:rsidRPr="0009420E">
      <w:rPr>
        <w:rFonts w:eastAsiaTheme="majorEastAsia" w:cstheme="majorBidi"/>
        <w:noProof/>
      </w:rPr>
      <w:t>10</w:t>
    </w:r>
    <w:r w:rsidRPr="003D6D39">
      <w:rPr>
        <w:rFonts w:eastAsiaTheme="majorEastAsia" w:cstheme="majorBidi"/>
        <w:noProof/>
      </w:rPr>
      <w:fldChar w:fldCharType="end"/>
    </w:r>
  </w:p>
  <w:p w:rsidR="00434595" w:rsidRDefault="00434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A88" w:rsidRDefault="00013A88" w:rsidP="005D2A85">
      <w:r>
        <w:separator/>
      </w:r>
    </w:p>
  </w:footnote>
  <w:footnote w:type="continuationSeparator" w:id="0">
    <w:p w:rsidR="00013A88" w:rsidRDefault="00013A88" w:rsidP="005D2A85">
      <w:r>
        <w:continuationSeparator/>
      </w:r>
    </w:p>
  </w:footnote>
  <w:footnote w:id="1">
    <w:p w:rsidR="00434595" w:rsidRPr="00BC4DDC" w:rsidRDefault="00434595" w:rsidP="002F0DC4">
      <w:pPr>
        <w:widowControl w:val="0"/>
        <w:suppressAutoHyphens/>
        <w:autoSpaceDE w:val="0"/>
        <w:autoSpaceDN w:val="0"/>
        <w:adjustRightInd w:val="0"/>
        <w:spacing w:line="288" w:lineRule="auto"/>
        <w:textAlignment w:val="center"/>
        <w:rPr>
          <w:rFonts w:cs="TimesNewRomanPSMT"/>
          <w:color w:val="30343E"/>
          <w:sz w:val="20"/>
          <w:lang w:val="en-GB"/>
        </w:rPr>
      </w:pPr>
      <w:r w:rsidRPr="00BC4DDC">
        <w:rPr>
          <w:rStyle w:val="FootnoteReference"/>
          <w:sz w:val="20"/>
        </w:rPr>
        <w:footnoteRef/>
      </w:r>
      <w:r w:rsidRPr="00BC4DDC">
        <w:rPr>
          <w:sz w:val="20"/>
        </w:rPr>
        <w:t xml:space="preserve"> K </w:t>
      </w:r>
      <w:r w:rsidRPr="00BC4DDC">
        <w:rPr>
          <w:rFonts w:cs="TimesNewRomanPSMT"/>
          <w:color w:val="30343E"/>
          <w:sz w:val="20"/>
          <w:lang w:val="en-GB"/>
        </w:rPr>
        <w:t xml:space="preserve">Cologon 2013, Inclusion in education: towards equality for students with disability, Children and Young People with Disability Australia, Melbourne, </w:t>
      </w:r>
      <w:proofErr w:type="gramStart"/>
      <w:r w:rsidRPr="00BC4DDC">
        <w:rPr>
          <w:rFonts w:cs="TimesNewRomanPSMT"/>
          <w:color w:val="30343E"/>
          <w:sz w:val="20"/>
          <w:lang w:val="en-GB"/>
        </w:rPr>
        <w:t>p</w:t>
      </w:r>
      <w:proofErr w:type="gramEnd"/>
      <w:r w:rsidRPr="00BC4DDC">
        <w:rPr>
          <w:rFonts w:cs="TimesNewRomanPSMT"/>
          <w:color w:val="30343E"/>
          <w:sz w:val="20"/>
          <w:lang w:val="en-GB"/>
        </w:rPr>
        <w:t>. 20.</w:t>
      </w:r>
    </w:p>
  </w:footnote>
  <w:footnote w:id="2">
    <w:p w:rsidR="00434595" w:rsidRPr="00BC4DDC" w:rsidRDefault="00434595" w:rsidP="006703C5">
      <w:pPr>
        <w:pStyle w:val="FootnoteText"/>
        <w:rPr>
          <w:sz w:val="20"/>
        </w:rPr>
      </w:pPr>
      <w:r w:rsidRPr="00BC4DDC">
        <w:rPr>
          <w:rStyle w:val="FootnoteReference"/>
          <w:sz w:val="20"/>
        </w:rPr>
        <w:footnoteRef/>
      </w:r>
      <w:r w:rsidRPr="00BC4DDC">
        <w:rPr>
          <w:sz w:val="20"/>
        </w:rPr>
        <w:t xml:space="preserve"> Children and Young People with Disability Australia 2016, </w:t>
      </w:r>
      <w:r w:rsidRPr="00BC4DDC">
        <w:rPr>
          <w:i/>
          <w:sz w:val="20"/>
        </w:rPr>
        <w:t>CYDA Education Survey 2016 – National Summary of Results</w:t>
      </w:r>
      <w:r w:rsidRPr="00BC4DDC">
        <w:rPr>
          <w:sz w:val="20"/>
        </w:rPr>
        <w:t>, Melbourne.</w:t>
      </w:r>
    </w:p>
  </w:footnote>
  <w:footnote w:id="3">
    <w:p w:rsidR="00434595" w:rsidRPr="00BC4DDC" w:rsidRDefault="00434595" w:rsidP="006703C5">
      <w:pPr>
        <w:pStyle w:val="FootnoteText"/>
        <w:rPr>
          <w:sz w:val="20"/>
        </w:rPr>
      </w:pPr>
      <w:r w:rsidRPr="00BC4DDC">
        <w:rPr>
          <w:rStyle w:val="FootnoteReference"/>
          <w:sz w:val="20"/>
        </w:rPr>
        <w:footnoteRef/>
      </w:r>
      <w:r w:rsidRPr="00BC4DDC">
        <w:rPr>
          <w:sz w:val="20"/>
        </w:rPr>
        <w:t xml:space="preserve"> D Cross et al. 2009, </w:t>
      </w:r>
      <w:r w:rsidRPr="00BC4DDC">
        <w:rPr>
          <w:i/>
          <w:sz w:val="20"/>
        </w:rPr>
        <w:t xml:space="preserve">Australian Covert Bullying Prevalence Study: Executive Summary, </w:t>
      </w:r>
      <w:r w:rsidRPr="00BC4DDC">
        <w:rPr>
          <w:sz w:val="20"/>
        </w:rPr>
        <w:t>Child Health Promotion Research Centre, Edith Cowan University, Perth, p. xxi.</w:t>
      </w:r>
    </w:p>
  </w:footnote>
  <w:footnote w:id="4">
    <w:p w:rsidR="00B81C80" w:rsidRPr="00B81C80" w:rsidRDefault="00B81C80" w:rsidP="00B81C80">
      <w:pPr>
        <w:pStyle w:val="FootnoteText"/>
        <w:rPr>
          <w:sz w:val="20"/>
        </w:rPr>
      </w:pPr>
      <w:r w:rsidRPr="00BC4DDC">
        <w:rPr>
          <w:rStyle w:val="FootnoteReference"/>
          <w:sz w:val="20"/>
        </w:rPr>
        <w:footnoteRef/>
      </w:r>
      <w:r w:rsidRPr="00BC4DDC">
        <w:rPr>
          <w:sz w:val="20"/>
        </w:rPr>
        <w:t xml:space="preserve"> L Murphy-Oates 2017, ‘“It’s completely inappropriate”: Australian Immigration deporting people with </w:t>
      </w:r>
      <w:r w:rsidRPr="00B81C80">
        <w:rPr>
          <w:sz w:val="20"/>
        </w:rPr>
        <w:t xml:space="preserve">disabilities’, </w:t>
      </w:r>
      <w:r w:rsidRPr="00B81C80">
        <w:rPr>
          <w:i/>
          <w:sz w:val="20"/>
        </w:rPr>
        <w:t>SBS, The Feed</w:t>
      </w:r>
      <w:r w:rsidRPr="00B81C80">
        <w:rPr>
          <w:sz w:val="20"/>
        </w:rPr>
        <w:t xml:space="preserve">, viewed 22 November 2017, </w:t>
      </w:r>
      <w:r w:rsidRPr="00B81C80">
        <w:rPr>
          <w:rFonts w:cs="Helvetica"/>
          <w:sz w:val="20"/>
        </w:rPr>
        <w:t>https://goo.gl/ZeEPbg</w:t>
      </w:r>
      <w:r w:rsidRPr="00B81C80">
        <w:rPr>
          <w:sz w:val="20"/>
        </w:rPr>
        <w:t>.</w:t>
      </w:r>
    </w:p>
  </w:footnote>
  <w:footnote w:id="5">
    <w:p w:rsidR="00B81C80" w:rsidRPr="00B81C80" w:rsidRDefault="00B81C80">
      <w:pPr>
        <w:pStyle w:val="FootnoteText"/>
        <w:rPr>
          <w:lang w:val="en-AU"/>
        </w:rPr>
      </w:pPr>
      <w:r w:rsidRPr="00B81C80">
        <w:rPr>
          <w:rStyle w:val="FootnoteReference"/>
          <w:sz w:val="20"/>
        </w:rPr>
        <w:footnoteRef/>
      </w:r>
      <w:r w:rsidRPr="00B81C80">
        <w:rPr>
          <w:sz w:val="20"/>
        </w:rPr>
        <w:t xml:space="preserve"> </w:t>
      </w:r>
      <w:r w:rsidRPr="00B81C80">
        <w:rPr>
          <w:i/>
          <w:sz w:val="20"/>
        </w:rPr>
        <w:t xml:space="preserve">Migration Regulations 1994 </w:t>
      </w:r>
      <w:r w:rsidRPr="00B81C80">
        <w:rPr>
          <w:sz w:val="20"/>
        </w:rPr>
        <w:t>(Cth), Schedule 4, 4005</w:t>
      </w:r>
      <w:r>
        <w:rPr>
          <w:sz w:val="20"/>
        </w:rPr>
        <w:t>-07</w:t>
      </w:r>
      <w:r w:rsidRPr="00B81C80">
        <w:rPr>
          <w:sz w:val="20"/>
        </w:rPr>
        <w:t>.</w:t>
      </w:r>
    </w:p>
  </w:footnote>
  <w:footnote w:id="6">
    <w:p w:rsidR="00D13117" w:rsidRPr="00BC4DDC" w:rsidRDefault="00D13117" w:rsidP="00D13117">
      <w:pPr>
        <w:pStyle w:val="FootnoteText"/>
        <w:rPr>
          <w:sz w:val="20"/>
        </w:rPr>
      </w:pPr>
      <w:r w:rsidRPr="00BC4DDC">
        <w:rPr>
          <w:rStyle w:val="FootnoteReference"/>
          <w:sz w:val="20"/>
        </w:rPr>
        <w:footnoteRef/>
      </w:r>
      <w:r w:rsidRPr="00BC4DDC">
        <w:rPr>
          <w:sz w:val="20"/>
        </w:rPr>
        <w:t xml:space="preserve"> B Saul 2010, ‘Migrating to Australia with Disabilities: Non-Discrimination and the Convention on the Rights of Persons with Disabilities’, Sydney Law School, Legal Studies Research Paper No. 10/109</w:t>
      </w:r>
      <w:r w:rsidR="009220AB">
        <w:rPr>
          <w:sz w:val="20"/>
        </w:rPr>
        <w:t>, p. 3</w:t>
      </w:r>
      <w:r w:rsidRPr="00BC4DDC">
        <w:rPr>
          <w:sz w:val="20"/>
        </w:rPr>
        <w:t xml:space="preserve">, viewed 22 November 2017, </w:t>
      </w:r>
      <w:r w:rsidRPr="00CD5AF5">
        <w:rPr>
          <w:sz w:val="20"/>
        </w:rPr>
        <w:t>http://ssrn.com/abstract=1700922</w:t>
      </w:r>
      <w:r w:rsidRPr="00BC4DDC">
        <w:rPr>
          <w:sz w:val="20"/>
        </w:rPr>
        <w:t xml:space="preserve">; </w:t>
      </w:r>
      <w:r w:rsidRPr="00BC4DDC">
        <w:rPr>
          <w:i/>
          <w:sz w:val="20"/>
        </w:rPr>
        <w:t>Disability Discrimination Act 1992</w:t>
      </w:r>
      <w:r w:rsidR="00B81C80">
        <w:rPr>
          <w:i/>
          <w:sz w:val="20"/>
        </w:rPr>
        <w:t xml:space="preserve"> </w:t>
      </w:r>
      <w:r w:rsidR="00B81C80">
        <w:rPr>
          <w:sz w:val="20"/>
        </w:rPr>
        <w:t>(Cth)</w:t>
      </w:r>
      <w:r w:rsidRPr="00BC4DDC">
        <w:rPr>
          <w:sz w:val="20"/>
        </w:rPr>
        <w:t>, s. 52.</w:t>
      </w:r>
    </w:p>
  </w:footnote>
  <w:footnote w:id="7">
    <w:p w:rsidR="00875B2A" w:rsidRPr="00BC4DDC" w:rsidRDefault="00875B2A">
      <w:pPr>
        <w:pStyle w:val="FootnoteText"/>
        <w:rPr>
          <w:sz w:val="20"/>
          <w:lang w:val="en-AU"/>
        </w:rPr>
      </w:pPr>
      <w:r w:rsidRPr="00BC4DDC">
        <w:rPr>
          <w:rStyle w:val="FootnoteReference"/>
          <w:sz w:val="20"/>
        </w:rPr>
        <w:footnoteRef/>
      </w:r>
      <w:r w:rsidRPr="00BC4DDC">
        <w:rPr>
          <w:sz w:val="20"/>
        </w:rPr>
        <w:t xml:space="preserve"> Attorney-General’s Department 2017, </w:t>
      </w:r>
      <w:r w:rsidRPr="00BC4DDC">
        <w:rPr>
          <w:i/>
          <w:sz w:val="20"/>
        </w:rPr>
        <w:t>Australia’s draft report to the UN Committee on the Rights of the Child</w:t>
      </w:r>
      <w:r w:rsidRPr="00BC4DDC">
        <w:rPr>
          <w:sz w:val="20"/>
        </w:rPr>
        <w:t>, Australian Government, Canberra, p. 39.</w:t>
      </w:r>
    </w:p>
  </w:footnote>
  <w:footnote w:id="8">
    <w:p w:rsidR="00D13117" w:rsidRPr="00BC4DDC" w:rsidRDefault="00D13117" w:rsidP="00D13117">
      <w:pPr>
        <w:pStyle w:val="FootnoteText"/>
        <w:rPr>
          <w:sz w:val="20"/>
        </w:rPr>
      </w:pPr>
      <w:r w:rsidRPr="00BC4DDC">
        <w:rPr>
          <w:rStyle w:val="FootnoteReference"/>
          <w:sz w:val="20"/>
        </w:rPr>
        <w:footnoteRef/>
      </w:r>
      <w:r w:rsidRPr="00BC4DDC">
        <w:rPr>
          <w:sz w:val="20"/>
        </w:rPr>
        <w:t xml:space="preserve"> See B Saul 2010, ‘Migrating to Australia with Disabilities: Non-Discrimination and the Convention on the Rights of Persons with Disabilities’, Sydney Law School, Legal Studies Research Paper No. 10/109</w:t>
      </w:r>
      <w:r w:rsidR="009220AB">
        <w:rPr>
          <w:sz w:val="20"/>
        </w:rPr>
        <w:t>, pp. 8-10</w:t>
      </w:r>
      <w:r w:rsidRPr="00BC4DDC">
        <w:rPr>
          <w:sz w:val="20"/>
        </w:rPr>
        <w:t xml:space="preserve">, viewed 22 November 2017, </w:t>
      </w:r>
      <w:r w:rsidRPr="00CD5AF5">
        <w:rPr>
          <w:sz w:val="20"/>
        </w:rPr>
        <w:t>http://ssrn.com/abstract=1700922</w:t>
      </w:r>
      <w:r w:rsidRPr="00BC4DDC">
        <w:rPr>
          <w:sz w:val="20"/>
        </w:rPr>
        <w:t>.</w:t>
      </w:r>
    </w:p>
  </w:footnote>
  <w:footnote w:id="9">
    <w:p w:rsidR="00875B2A" w:rsidRPr="00BC4DDC" w:rsidRDefault="00875B2A">
      <w:pPr>
        <w:pStyle w:val="FootnoteText"/>
        <w:rPr>
          <w:sz w:val="20"/>
          <w:lang w:val="en-AU"/>
        </w:rPr>
      </w:pPr>
      <w:r w:rsidRPr="00BC4DDC">
        <w:rPr>
          <w:rStyle w:val="FootnoteReference"/>
          <w:sz w:val="20"/>
        </w:rPr>
        <w:footnoteRef/>
      </w:r>
      <w:r w:rsidRPr="00BC4DDC">
        <w:rPr>
          <w:sz w:val="20"/>
        </w:rPr>
        <w:t xml:space="preserve"> </w:t>
      </w:r>
      <w:r w:rsidR="00D13117" w:rsidRPr="00BC4DDC">
        <w:rPr>
          <w:sz w:val="20"/>
        </w:rPr>
        <w:t xml:space="preserve">R </w:t>
      </w:r>
      <w:r w:rsidRPr="00BC4DDC">
        <w:rPr>
          <w:sz w:val="20"/>
        </w:rPr>
        <w:t xml:space="preserve">Balint 2017, ’Australia has kept disabled migrant children out for decades – it’s time we gave them protection instead‘, </w:t>
      </w:r>
      <w:r w:rsidRPr="00BC4DDC">
        <w:rPr>
          <w:i/>
          <w:sz w:val="20"/>
        </w:rPr>
        <w:t>The Conversation</w:t>
      </w:r>
      <w:r w:rsidRPr="00BC4DDC">
        <w:rPr>
          <w:sz w:val="20"/>
        </w:rPr>
        <w:t xml:space="preserve">, viewed 15 November 2017, </w:t>
      </w:r>
      <w:r w:rsidR="003134C8" w:rsidRPr="003134C8">
        <w:rPr>
          <w:rFonts w:cs="Helvetica"/>
          <w:color w:val="444444"/>
          <w:sz w:val="20"/>
        </w:rPr>
        <w:t>https://goo.gl/7dY5TZ</w:t>
      </w:r>
      <w:r w:rsidRPr="003134C8">
        <w:rPr>
          <w:sz w:val="20"/>
        </w:rPr>
        <w:t>.</w:t>
      </w:r>
    </w:p>
  </w:footnote>
  <w:footnote w:id="10">
    <w:p w:rsidR="00D13117" w:rsidRPr="00BC4DDC" w:rsidRDefault="00D13117" w:rsidP="00D13117">
      <w:pPr>
        <w:pStyle w:val="FootnoteText"/>
        <w:rPr>
          <w:sz w:val="20"/>
        </w:rPr>
      </w:pPr>
      <w:r w:rsidRPr="00BC4DDC">
        <w:rPr>
          <w:rStyle w:val="FootnoteReference"/>
          <w:sz w:val="20"/>
        </w:rPr>
        <w:footnoteRef/>
      </w:r>
      <w:r w:rsidRPr="00BC4DDC">
        <w:rPr>
          <w:sz w:val="20"/>
        </w:rPr>
        <w:t xml:space="preserve"> M Crock et al</w:t>
      </w:r>
      <w:r w:rsidR="00BC4DDC" w:rsidRPr="00BC4DDC">
        <w:rPr>
          <w:sz w:val="20"/>
        </w:rPr>
        <w:t>.</w:t>
      </w:r>
      <w:r w:rsidRPr="00BC4DDC">
        <w:rPr>
          <w:sz w:val="20"/>
        </w:rPr>
        <w:t xml:space="preserve"> 2017, </w:t>
      </w:r>
      <w:r w:rsidRPr="00BC4DDC">
        <w:rPr>
          <w:i/>
          <w:sz w:val="20"/>
        </w:rPr>
        <w:t>The Legal Protection of Refugees with Disabilities</w:t>
      </w:r>
      <w:r w:rsidR="00637AE1">
        <w:rPr>
          <w:i/>
          <w:sz w:val="20"/>
        </w:rPr>
        <w:t>: Forgotten and Invisible</w:t>
      </w:r>
      <w:r w:rsidRPr="00BC4DDC">
        <w:rPr>
          <w:sz w:val="20"/>
        </w:rPr>
        <w:t>, Edward Elgar Publishing, Cheltenam, p. 256</w:t>
      </w:r>
    </w:p>
  </w:footnote>
  <w:footnote w:id="11">
    <w:p w:rsidR="00434595" w:rsidRPr="00CD3628" w:rsidRDefault="00434595" w:rsidP="00B73753">
      <w:pPr>
        <w:pStyle w:val="FootnoteText"/>
        <w:rPr>
          <w:sz w:val="20"/>
        </w:rPr>
      </w:pPr>
      <w:r w:rsidRPr="00CD3628">
        <w:rPr>
          <w:rStyle w:val="FootnoteReference"/>
          <w:rFonts w:eastAsia="Arial" w:cs="Arial"/>
          <w:sz w:val="20"/>
        </w:rPr>
        <w:footnoteRef/>
      </w:r>
      <w:r w:rsidRPr="00CD3628">
        <w:rPr>
          <w:rFonts w:eastAsia="Arial" w:cs="Arial"/>
          <w:sz w:val="20"/>
        </w:rPr>
        <w:t xml:space="preserve"> Australian Human Rights Commiss</w:t>
      </w:r>
      <w:r w:rsidR="00134D7C">
        <w:rPr>
          <w:rFonts w:eastAsia="Arial" w:cs="Arial"/>
          <w:sz w:val="20"/>
        </w:rPr>
        <w:t>i</w:t>
      </w:r>
      <w:r w:rsidRPr="00CD3628">
        <w:rPr>
          <w:rFonts w:eastAsia="Arial" w:cs="Arial"/>
          <w:sz w:val="20"/>
        </w:rPr>
        <w:t xml:space="preserve">on 2014, </w:t>
      </w:r>
      <w:r w:rsidRPr="00CD3628">
        <w:rPr>
          <w:rFonts w:eastAsia="Arial" w:cs="Arial"/>
          <w:i/>
          <w:iCs/>
          <w:sz w:val="20"/>
        </w:rPr>
        <w:t xml:space="preserve">Equal before the law: Towards disability justice strategies, </w:t>
      </w:r>
      <w:r w:rsidRPr="00CD3628">
        <w:rPr>
          <w:rFonts w:eastAsia="Arial" w:cs="Arial"/>
          <w:iCs/>
          <w:sz w:val="20"/>
        </w:rPr>
        <w:t xml:space="preserve">Sydney, </w:t>
      </w:r>
      <w:r>
        <w:rPr>
          <w:rFonts w:eastAsia="Arial" w:cs="Arial"/>
          <w:iCs/>
          <w:sz w:val="20"/>
        </w:rPr>
        <w:t>p</w:t>
      </w:r>
      <w:r w:rsidRPr="00CD3628">
        <w:rPr>
          <w:rFonts w:eastAsia="Arial" w:cs="Arial"/>
          <w:sz w:val="20"/>
        </w:rPr>
        <w:t>p. 23-24.</w:t>
      </w:r>
    </w:p>
  </w:footnote>
  <w:footnote w:id="12">
    <w:p w:rsidR="00434595" w:rsidRPr="00CD3628" w:rsidRDefault="00434595" w:rsidP="000D294B">
      <w:pPr>
        <w:pStyle w:val="FootnoteText"/>
        <w:rPr>
          <w:sz w:val="20"/>
        </w:rPr>
      </w:pPr>
      <w:r w:rsidRPr="00CD3628">
        <w:rPr>
          <w:rStyle w:val="FootnoteReference"/>
          <w:sz w:val="20"/>
        </w:rPr>
        <w:footnoteRef/>
      </w:r>
      <w:r w:rsidRPr="00CD3628">
        <w:rPr>
          <w:sz w:val="20"/>
        </w:rPr>
        <w:t xml:space="preserve"> </w:t>
      </w:r>
      <w:r w:rsidRPr="00CD3628">
        <w:rPr>
          <w:i/>
          <w:sz w:val="20"/>
        </w:rPr>
        <w:t xml:space="preserve">National Disability Insurance Scheme Act 2013 </w:t>
      </w:r>
      <w:r w:rsidRPr="00CD3628">
        <w:rPr>
          <w:sz w:val="20"/>
        </w:rPr>
        <w:t>(Cth),</w:t>
      </w:r>
      <w:r w:rsidRPr="00CD3628">
        <w:rPr>
          <w:i/>
          <w:sz w:val="20"/>
        </w:rPr>
        <w:t xml:space="preserve"> </w:t>
      </w:r>
      <w:r w:rsidRPr="000E3E94">
        <w:rPr>
          <w:sz w:val="20"/>
        </w:rPr>
        <w:t>s</w:t>
      </w:r>
      <w:r w:rsidR="00BC4DDC">
        <w:rPr>
          <w:sz w:val="20"/>
        </w:rPr>
        <w:t>.</w:t>
      </w:r>
      <w:r w:rsidRPr="000E3E94">
        <w:rPr>
          <w:sz w:val="20"/>
        </w:rPr>
        <w:t xml:space="preserve"> 3(1).</w:t>
      </w:r>
    </w:p>
  </w:footnote>
  <w:footnote w:id="13">
    <w:p w:rsidR="00434595" w:rsidRPr="00CD3628" w:rsidRDefault="00434595">
      <w:pPr>
        <w:pStyle w:val="FootnoteText"/>
        <w:rPr>
          <w:sz w:val="20"/>
          <w:u w:val="single"/>
          <w:lang w:val="en-AU"/>
        </w:rPr>
      </w:pPr>
      <w:r w:rsidRPr="00CD3628">
        <w:rPr>
          <w:rStyle w:val="FootnoteReference"/>
          <w:sz w:val="20"/>
        </w:rPr>
        <w:footnoteRef/>
      </w:r>
      <w:r w:rsidRPr="00CD3628">
        <w:rPr>
          <w:sz w:val="20"/>
        </w:rPr>
        <w:t xml:space="preserve"> For example, </w:t>
      </w:r>
      <w:r w:rsidRPr="00CD3628">
        <w:rPr>
          <w:sz w:val="20"/>
          <w:lang w:val="en-AU"/>
        </w:rPr>
        <w:t xml:space="preserve">Disability Reform Council 2017, </w:t>
      </w:r>
      <w:r w:rsidRPr="00CD3628">
        <w:rPr>
          <w:i/>
          <w:sz w:val="20"/>
          <w:lang w:val="en-AU"/>
        </w:rPr>
        <w:t>Quarterly Performance Report</w:t>
      </w:r>
      <w:r w:rsidRPr="00CD3628">
        <w:rPr>
          <w:sz w:val="20"/>
          <w:lang w:val="en-AU"/>
        </w:rPr>
        <w:t>, National, June 2017, Council of Australian Governments, Canberra, p. 11, viewed 15 November 2017</w:t>
      </w:r>
      <w:r w:rsidRPr="003134C8">
        <w:rPr>
          <w:sz w:val="20"/>
          <w:lang w:val="en-AU"/>
        </w:rPr>
        <w:t xml:space="preserve">, </w:t>
      </w:r>
      <w:r w:rsidR="003134C8" w:rsidRPr="003134C8">
        <w:rPr>
          <w:rFonts w:cs="Helvetica"/>
          <w:sz w:val="20"/>
        </w:rPr>
        <w:t>https://goo.gl/9pZyMN</w:t>
      </w:r>
      <w:r w:rsidRPr="00CD3628">
        <w:rPr>
          <w:sz w:val="20"/>
          <w:lang w:val="en-AU"/>
        </w:rPr>
        <w:t xml:space="preserve">. </w:t>
      </w:r>
    </w:p>
  </w:footnote>
  <w:footnote w:id="14">
    <w:p w:rsidR="00F52671" w:rsidRPr="00CD3628" w:rsidRDefault="00F52671" w:rsidP="00F52671">
      <w:pPr>
        <w:pStyle w:val="FootnoteText"/>
        <w:rPr>
          <w:sz w:val="20"/>
          <w:lang w:val="en-AU"/>
        </w:rPr>
      </w:pPr>
      <w:r w:rsidRPr="00CD3628">
        <w:rPr>
          <w:rStyle w:val="FootnoteReference"/>
          <w:sz w:val="20"/>
        </w:rPr>
        <w:footnoteRef/>
      </w:r>
      <w:r w:rsidRPr="00CD3628">
        <w:rPr>
          <w:sz w:val="20"/>
        </w:rPr>
        <w:t xml:space="preserve"> </w:t>
      </w:r>
      <w:r>
        <w:rPr>
          <w:sz w:val="20"/>
        </w:rPr>
        <w:t xml:space="preserve">For example, </w:t>
      </w:r>
      <w:r w:rsidRPr="00CD3628">
        <w:rPr>
          <w:i/>
          <w:sz w:val="20"/>
          <w:lang w:val="en-AU"/>
        </w:rPr>
        <w:t xml:space="preserve">National Disability Insurance Scheme Act 2013 </w:t>
      </w:r>
      <w:r w:rsidRPr="00CD3628">
        <w:rPr>
          <w:sz w:val="20"/>
          <w:lang w:val="en-AU"/>
        </w:rPr>
        <w:t>(</w:t>
      </w:r>
      <w:proofErr w:type="spellStart"/>
      <w:r w:rsidRPr="00CD3628">
        <w:rPr>
          <w:sz w:val="20"/>
          <w:lang w:val="en-AU"/>
        </w:rPr>
        <w:t>Cth</w:t>
      </w:r>
      <w:proofErr w:type="spellEnd"/>
      <w:r w:rsidRPr="00CD3628">
        <w:rPr>
          <w:sz w:val="20"/>
          <w:lang w:val="en-AU"/>
        </w:rPr>
        <w:t>), s</w:t>
      </w:r>
      <w:r>
        <w:rPr>
          <w:sz w:val="20"/>
          <w:lang w:val="en-AU"/>
        </w:rPr>
        <w:t>.</w:t>
      </w:r>
      <w:r w:rsidRPr="00CD3628">
        <w:rPr>
          <w:sz w:val="20"/>
          <w:lang w:val="en-AU"/>
        </w:rPr>
        <w:t xml:space="preserve"> 24(1</w:t>
      </w:r>
      <w:proofErr w:type="gramStart"/>
      <w:r w:rsidRPr="00CD3628">
        <w:rPr>
          <w:sz w:val="20"/>
          <w:lang w:val="en-AU"/>
        </w:rPr>
        <w:t>)(</w:t>
      </w:r>
      <w:proofErr w:type="gramEnd"/>
      <w:r w:rsidRPr="00CD3628">
        <w:rPr>
          <w:sz w:val="20"/>
          <w:lang w:val="en-AU"/>
        </w:rPr>
        <w:t>c).</w:t>
      </w:r>
    </w:p>
  </w:footnote>
  <w:footnote w:id="15">
    <w:p w:rsidR="00CE5D2E" w:rsidRPr="00607FF5" w:rsidRDefault="00CE5D2E" w:rsidP="00CE5D2E">
      <w:pPr>
        <w:pStyle w:val="FootnoteText"/>
        <w:rPr>
          <w:lang w:val="en-AU"/>
        </w:rPr>
      </w:pPr>
      <w:r w:rsidRPr="00607FF5">
        <w:rPr>
          <w:rStyle w:val="FootnoteReference"/>
          <w:sz w:val="20"/>
        </w:rPr>
        <w:footnoteRef/>
      </w:r>
      <w:r w:rsidRPr="00607FF5">
        <w:rPr>
          <w:sz w:val="20"/>
        </w:rPr>
        <w:t xml:space="preserve"> </w:t>
      </w:r>
      <w:r w:rsidRPr="00607FF5">
        <w:rPr>
          <w:sz w:val="20"/>
          <w:lang w:val="en-AU"/>
        </w:rPr>
        <w:t xml:space="preserve">Australian Institute of Health and Welfare 2017, </w:t>
      </w:r>
      <w:r w:rsidRPr="00607FF5">
        <w:rPr>
          <w:i/>
          <w:sz w:val="20"/>
          <w:lang w:val="en-AU"/>
        </w:rPr>
        <w:t>Disability in Australia: changes over time in inclusion and participation in education</w:t>
      </w:r>
      <w:r w:rsidRPr="00607FF5">
        <w:rPr>
          <w:sz w:val="20"/>
          <w:lang w:val="en-AU"/>
        </w:rPr>
        <w:t>, Australian Government, viewed 15 November 2017</w:t>
      </w:r>
      <w:r w:rsidRPr="003134C8">
        <w:rPr>
          <w:rFonts w:ascii="Calibri" w:hAnsi="Calibri"/>
          <w:sz w:val="20"/>
          <w:lang w:val="en-AU"/>
        </w:rPr>
        <w:t xml:space="preserve">, </w:t>
      </w:r>
      <w:r w:rsidR="003134C8" w:rsidRPr="003134C8">
        <w:rPr>
          <w:rFonts w:ascii="Calibri" w:hAnsi="Calibri" w:cs="Helvetica"/>
          <w:sz w:val="20"/>
        </w:rPr>
        <w:t>https://goo.gl/doqiKc</w:t>
      </w:r>
      <w:r w:rsidRPr="003134C8">
        <w:rPr>
          <w:rFonts w:ascii="Calibri" w:hAnsi="Calibri"/>
          <w:sz w:val="20"/>
          <w:lang w:val="en-AU"/>
        </w:rPr>
        <w:t>.</w:t>
      </w:r>
    </w:p>
  </w:footnote>
  <w:footnote w:id="16">
    <w:p w:rsidR="00F0775D" w:rsidRPr="00CD3628" w:rsidRDefault="00F0775D">
      <w:pPr>
        <w:pStyle w:val="FootnoteText"/>
        <w:rPr>
          <w:sz w:val="20"/>
          <w:lang w:val="en-AU"/>
        </w:rPr>
      </w:pPr>
      <w:r w:rsidRPr="00CD3628">
        <w:rPr>
          <w:rStyle w:val="FootnoteReference"/>
          <w:sz w:val="20"/>
        </w:rPr>
        <w:footnoteRef/>
      </w:r>
      <w:r w:rsidRPr="00CD3628">
        <w:rPr>
          <w:sz w:val="20"/>
        </w:rPr>
        <w:t xml:space="preserve"> Department of Education and Training</w:t>
      </w:r>
      <w:r w:rsidR="00ED2BD8">
        <w:rPr>
          <w:sz w:val="20"/>
        </w:rPr>
        <w:t>, State Government of Victoria</w:t>
      </w:r>
      <w:r w:rsidRPr="00CD3628">
        <w:rPr>
          <w:sz w:val="20"/>
        </w:rPr>
        <w:t xml:space="preserve"> 2017‚ </w:t>
      </w:r>
      <w:r w:rsidR="004C042E" w:rsidRPr="00CD3628">
        <w:rPr>
          <w:sz w:val="20"/>
        </w:rPr>
        <w:t>‘P</w:t>
      </w:r>
      <w:r w:rsidRPr="00CD3628">
        <w:rPr>
          <w:sz w:val="20"/>
        </w:rPr>
        <w:t>lanning and building inclusive new schools‘</w:t>
      </w:r>
      <w:r w:rsidR="004C042E" w:rsidRPr="00CD3628">
        <w:rPr>
          <w:sz w:val="20"/>
        </w:rPr>
        <w:t>,</w:t>
      </w:r>
      <w:r w:rsidRPr="00CD3628">
        <w:rPr>
          <w:sz w:val="20"/>
        </w:rPr>
        <w:t xml:space="preserve"> </w:t>
      </w:r>
      <w:r w:rsidRPr="00CD3628">
        <w:rPr>
          <w:sz w:val="20"/>
          <w:lang w:val="en-AU"/>
        </w:rPr>
        <w:t xml:space="preserve">viewed </w:t>
      </w:r>
      <w:r w:rsidR="004C042E" w:rsidRPr="00CD3628">
        <w:rPr>
          <w:sz w:val="20"/>
          <w:lang w:val="en-AU"/>
        </w:rPr>
        <w:t>15 November 2017</w:t>
      </w:r>
      <w:r w:rsidR="004C042E" w:rsidRPr="003134C8">
        <w:rPr>
          <w:sz w:val="20"/>
          <w:lang w:val="en-AU"/>
        </w:rPr>
        <w:t xml:space="preserve">, </w:t>
      </w:r>
      <w:r w:rsidR="003134C8" w:rsidRPr="003134C8">
        <w:rPr>
          <w:rFonts w:cs="Helvetica"/>
          <w:color w:val="444444"/>
          <w:sz w:val="20"/>
        </w:rPr>
        <w:t>https://goo.gl/Ku36CJ</w:t>
      </w:r>
      <w:r w:rsidRPr="003134C8">
        <w:rPr>
          <w:sz w:val="20"/>
          <w:lang w:val="en-AU"/>
        </w:rPr>
        <w:t>.</w:t>
      </w:r>
    </w:p>
  </w:footnote>
  <w:footnote w:id="17">
    <w:p w:rsidR="00434595" w:rsidRPr="00CD3628" w:rsidRDefault="00434595" w:rsidP="000B4FDC">
      <w:pPr>
        <w:pStyle w:val="FootnoteText"/>
        <w:rPr>
          <w:sz w:val="20"/>
        </w:rPr>
      </w:pPr>
      <w:r w:rsidRPr="00CD3628">
        <w:rPr>
          <w:rStyle w:val="FootnoteReference"/>
          <w:sz w:val="20"/>
        </w:rPr>
        <w:footnoteRef/>
      </w:r>
      <w:r w:rsidRPr="00CD3628">
        <w:rPr>
          <w:sz w:val="20"/>
        </w:rPr>
        <w:t xml:space="preserve"> Children </w:t>
      </w:r>
      <w:r w:rsidRPr="000E3E94">
        <w:rPr>
          <w:sz w:val="20"/>
        </w:rPr>
        <w:t xml:space="preserve">and Young People </w:t>
      </w:r>
      <w:r w:rsidRPr="00CD3628">
        <w:rPr>
          <w:sz w:val="20"/>
        </w:rPr>
        <w:t>with Disability Australia 2013</w:t>
      </w:r>
      <w:r w:rsidRPr="00CD3628">
        <w:rPr>
          <w:i/>
          <w:sz w:val="20"/>
        </w:rPr>
        <w:t>, Inclusion in Education: Towards Equality for Students with Disability</w:t>
      </w:r>
      <w:r w:rsidRPr="00CD3628">
        <w:rPr>
          <w:sz w:val="20"/>
        </w:rPr>
        <w:t>, Melbourne, p. 14.</w:t>
      </w:r>
    </w:p>
  </w:footnote>
  <w:footnote w:id="18">
    <w:p w:rsidR="00434595" w:rsidRPr="00CD3628" w:rsidRDefault="00434595" w:rsidP="000B4FDC">
      <w:pPr>
        <w:pStyle w:val="FootnoteText"/>
        <w:rPr>
          <w:sz w:val="20"/>
        </w:rPr>
      </w:pPr>
      <w:r w:rsidRPr="00CD3628">
        <w:rPr>
          <w:rStyle w:val="FootnoteReference"/>
          <w:sz w:val="20"/>
        </w:rPr>
        <w:footnoteRef/>
      </w:r>
      <w:r w:rsidRPr="00CD3628">
        <w:rPr>
          <w:sz w:val="20"/>
        </w:rPr>
        <w:t xml:space="preserve"> Ibid.</w:t>
      </w:r>
    </w:p>
  </w:footnote>
  <w:footnote w:id="19">
    <w:p w:rsidR="007A312C" w:rsidRPr="00BC4DDC" w:rsidRDefault="007A312C">
      <w:pPr>
        <w:pStyle w:val="FootnoteText"/>
        <w:rPr>
          <w:sz w:val="20"/>
          <w:lang w:val="en-AU"/>
        </w:rPr>
      </w:pPr>
      <w:r w:rsidRPr="00BC4DDC">
        <w:rPr>
          <w:rStyle w:val="FootnoteReference"/>
          <w:sz w:val="20"/>
        </w:rPr>
        <w:footnoteRef/>
      </w:r>
      <w:r w:rsidRPr="00BC4DDC">
        <w:rPr>
          <w:sz w:val="20"/>
        </w:rPr>
        <w:t xml:space="preserve"> </w:t>
      </w:r>
      <w:r w:rsidR="00721B27" w:rsidRPr="00BC4DDC">
        <w:rPr>
          <w:sz w:val="20"/>
        </w:rPr>
        <w:t xml:space="preserve">For example, </w:t>
      </w:r>
      <w:r w:rsidRPr="00BC4DDC">
        <w:rPr>
          <w:sz w:val="20"/>
        </w:rPr>
        <w:t>Children and Young People with Disability Australia 2013</w:t>
      </w:r>
      <w:r w:rsidRPr="00BC4DDC">
        <w:rPr>
          <w:i/>
          <w:sz w:val="20"/>
        </w:rPr>
        <w:t>, Inclusion in Education: Towards Equality for Students with Disability</w:t>
      </w:r>
      <w:r w:rsidRPr="00BC4DDC">
        <w:rPr>
          <w:sz w:val="20"/>
        </w:rPr>
        <w:t>, Melbourne, pp. 23-27.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48F7"/>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D37832"/>
    <w:multiLevelType w:val="hybridMultilevel"/>
    <w:tmpl w:val="B1EE7CBA"/>
    <w:lvl w:ilvl="0" w:tplc="C66234BE">
      <w:start w:val="1"/>
      <w:numFmt w:val="lowerRoman"/>
      <w:lvlText w:val="%1."/>
      <w:lvlJc w:val="right"/>
      <w:pPr>
        <w:ind w:left="1785" w:hanging="70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474B1D"/>
    <w:multiLevelType w:val="hybridMultilevel"/>
    <w:tmpl w:val="197AC0F6"/>
    <w:lvl w:ilvl="0" w:tplc="749C1C68">
      <w:start w:val="1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43B52B1"/>
    <w:multiLevelType w:val="hybridMultilevel"/>
    <w:tmpl w:val="0EA674AE"/>
    <w:lvl w:ilvl="0" w:tplc="C66234BE">
      <w:start w:val="1"/>
      <w:numFmt w:val="lowerRoman"/>
      <w:lvlText w:val="%1."/>
      <w:lvlJc w:val="right"/>
      <w:pPr>
        <w:ind w:left="1785" w:hanging="70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5E2874"/>
    <w:multiLevelType w:val="hybridMultilevel"/>
    <w:tmpl w:val="B55AEA04"/>
    <w:lvl w:ilvl="0" w:tplc="7BFAC890">
      <w:start w:val="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331AA"/>
    <w:multiLevelType w:val="hybridMultilevel"/>
    <w:tmpl w:val="54964FC6"/>
    <w:lvl w:ilvl="0" w:tplc="08090013">
      <w:start w:val="1"/>
      <w:numFmt w:val="upperRoman"/>
      <w:lvlText w:val="%1."/>
      <w:lvlJc w:val="right"/>
      <w:pPr>
        <w:ind w:left="360" w:hanging="360"/>
      </w:pPr>
      <w:rPr>
        <w:rFonts w:hint="default"/>
      </w:rPr>
    </w:lvl>
    <w:lvl w:ilvl="1" w:tplc="C66234BE">
      <w:start w:val="1"/>
      <w:numFmt w:val="lowerRoman"/>
      <w:lvlText w:val="%2."/>
      <w:lvlJc w:val="right"/>
      <w:pPr>
        <w:ind w:left="1425" w:hanging="705"/>
      </w:pPr>
      <w:rPr>
        <w:rFonts w:hint="default"/>
        <w:b/>
      </w:r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AC40077"/>
    <w:multiLevelType w:val="hybridMultilevel"/>
    <w:tmpl w:val="E82C9DA0"/>
    <w:lvl w:ilvl="0" w:tplc="C66234BE">
      <w:start w:val="1"/>
      <w:numFmt w:val="lowerRoman"/>
      <w:lvlText w:val="%1."/>
      <w:lvlJc w:val="right"/>
      <w:pPr>
        <w:ind w:left="1785" w:hanging="70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7D0F37"/>
    <w:multiLevelType w:val="hybridMultilevel"/>
    <w:tmpl w:val="1302AFB8"/>
    <w:lvl w:ilvl="0" w:tplc="108C0A72">
      <w:start w:val="1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6008E1"/>
    <w:multiLevelType w:val="hybridMultilevel"/>
    <w:tmpl w:val="C75A84D8"/>
    <w:lvl w:ilvl="0" w:tplc="C66234BE">
      <w:start w:val="1"/>
      <w:numFmt w:val="lowerRoman"/>
      <w:lvlText w:val="%1."/>
      <w:lvlJc w:val="right"/>
      <w:pPr>
        <w:ind w:left="1785" w:hanging="70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6A448A"/>
    <w:multiLevelType w:val="hybridMultilevel"/>
    <w:tmpl w:val="6482678E"/>
    <w:lvl w:ilvl="0" w:tplc="C66234BE">
      <w:start w:val="1"/>
      <w:numFmt w:val="lowerRoman"/>
      <w:lvlText w:val="%1."/>
      <w:lvlJc w:val="right"/>
      <w:pPr>
        <w:ind w:left="1785" w:hanging="70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9D34E9"/>
    <w:multiLevelType w:val="hybridMultilevel"/>
    <w:tmpl w:val="F6025AD6"/>
    <w:lvl w:ilvl="0" w:tplc="F29496E2">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79E61D6"/>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1952D06"/>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6BB3056"/>
    <w:multiLevelType w:val="hybridMultilevel"/>
    <w:tmpl w:val="2258F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E7FAC"/>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AC2281F"/>
    <w:multiLevelType w:val="hybridMultilevel"/>
    <w:tmpl w:val="D15AF752"/>
    <w:lvl w:ilvl="0" w:tplc="406CEE12">
      <w:start w:val="7"/>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4C1D44"/>
    <w:multiLevelType w:val="hybridMultilevel"/>
    <w:tmpl w:val="9A78631A"/>
    <w:lvl w:ilvl="0" w:tplc="65DAEF36">
      <w:start w:val="13"/>
      <w:numFmt w:val="lowerRoman"/>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8FD3422"/>
    <w:multiLevelType w:val="hybridMultilevel"/>
    <w:tmpl w:val="6AD6F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3F44B1"/>
    <w:multiLevelType w:val="hybridMultilevel"/>
    <w:tmpl w:val="14F8EB36"/>
    <w:lvl w:ilvl="0" w:tplc="C66234BE">
      <w:start w:val="1"/>
      <w:numFmt w:val="lowerRoman"/>
      <w:lvlText w:val="%1."/>
      <w:lvlJc w:val="right"/>
      <w:pPr>
        <w:ind w:left="1785" w:hanging="705"/>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6610D6"/>
    <w:multiLevelType w:val="hybridMultilevel"/>
    <w:tmpl w:val="AED83ADC"/>
    <w:lvl w:ilvl="0" w:tplc="ADFC134C">
      <w:start w:val="4"/>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42370F3"/>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8781846"/>
    <w:multiLevelType w:val="hybridMultilevel"/>
    <w:tmpl w:val="448654A8"/>
    <w:lvl w:ilvl="0" w:tplc="4BA0CCAA">
      <w:start w:val="5"/>
      <w:numFmt w:val="upperRoman"/>
      <w:lvlText w:val="%1."/>
      <w:lvlJc w:val="left"/>
      <w:pPr>
        <w:ind w:left="720" w:hanging="72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D3F45F3"/>
    <w:multiLevelType w:val="hybridMultilevel"/>
    <w:tmpl w:val="6CE06F70"/>
    <w:lvl w:ilvl="0" w:tplc="0CE6232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B561F9"/>
    <w:multiLevelType w:val="hybridMultilevel"/>
    <w:tmpl w:val="B9A2356E"/>
    <w:lvl w:ilvl="0" w:tplc="0CE6232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F902A1"/>
    <w:multiLevelType w:val="hybridMultilevel"/>
    <w:tmpl w:val="F2EAB380"/>
    <w:lvl w:ilvl="0" w:tplc="D436B85A">
      <w:start w:val="1"/>
      <w:numFmt w:val="decimal"/>
      <w:pStyle w:val="ListParagraph"/>
      <w:lvlText w:val="%1."/>
      <w:lvlJc w:val="left"/>
      <w:pPr>
        <w:ind w:left="785"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7DCF3A36"/>
    <w:multiLevelType w:val="hybridMultilevel"/>
    <w:tmpl w:val="54964FC6"/>
    <w:lvl w:ilvl="0" w:tplc="08090013">
      <w:start w:val="1"/>
      <w:numFmt w:val="upperRoman"/>
      <w:lvlText w:val="%1."/>
      <w:lvlJc w:val="right"/>
      <w:pPr>
        <w:ind w:left="720" w:hanging="360"/>
      </w:pPr>
      <w:rPr>
        <w:rFonts w:hint="default"/>
      </w:rPr>
    </w:lvl>
    <w:lvl w:ilvl="1" w:tplc="C66234BE">
      <w:start w:val="1"/>
      <w:numFmt w:val="lowerRoman"/>
      <w:lvlText w:val="%2."/>
      <w:lvlJc w:val="right"/>
      <w:pPr>
        <w:ind w:left="1785" w:hanging="705"/>
      </w:pPr>
      <w:rPr>
        <w:rFonts w:hint="default"/>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1"/>
  </w:num>
  <w:num w:numId="5">
    <w:abstractNumId w:val="2"/>
  </w:num>
  <w:num w:numId="6">
    <w:abstractNumId w:val="25"/>
  </w:num>
  <w:num w:numId="7">
    <w:abstractNumId w:val="21"/>
  </w:num>
  <w:num w:numId="8">
    <w:abstractNumId w:val="4"/>
  </w:num>
  <w:num w:numId="9">
    <w:abstractNumId w:val="8"/>
  </w:num>
  <w:num w:numId="10">
    <w:abstractNumId w:val="19"/>
  </w:num>
  <w:num w:numId="11">
    <w:abstractNumId w:val="12"/>
  </w:num>
  <w:num w:numId="12">
    <w:abstractNumId w:val="14"/>
  </w:num>
  <w:num w:numId="13">
    <w:abstractNumId w:val="1"/>
  </w:num>
  <w:num w:numId="14">
    <w:abstractNumId w:val="10"/>
  </w:num>
  <w:num w:numId="15">
    <w:abstractNumId w:val="6"/>
  </w:num>
  <w:num w:numId="16">
    <w:abstractNumId w:val="18"/>
  </w:num>
  <w:num w:numId="17">
    <w:abstractNumId w:val="15"/>
  </w:num>
  <w:num w:numId="18">
    <w:abstractNumId w:val="9"/>
  </w:num>
  <w:num w:numId="19">
    <w:abstractNumId w:val="7"/>
  </w:num>
  <w:num w:numId="20">
    <w:abstractNumId w:val="3"/>
  </w:num>
  <w:num w:numId="21">
    <w:abstractNumId w:val="16"/>
  </w:num>
  <w:num w:numId="22">
    <w:abstractNumId w:val="24"/>
  </w:num>
  <w:num w:numId="23">
    <w:abstractNumId w:val="23"/>
  </w:num>
  <w:num w:numId="24">
    <w:abstractNumId w:val="22"/>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A71563-DDFA-42F1-AD13-362DDFC60EF3}"/>
    <w:docVar w:name="dgnword-eventsink" w:val="380575328"/>
    <w:docVar w:name="dgnword-lastRevisionsView" w:val="0"/>
  </w:docVars>
  <w:rsids>
    <w:rsidRoot w:val="00ED6A55"/>
    <w:rsid w:val="00005716"/>
    <w:rsid w:val="00013A88"/>
    <w:rsid w:val="00013B58"/>
    <w:rsid w:val="00026893"/>
    <w:rsid w:val="000273A2"/>
    <w:rsid w:val="00033F41"/>
    <w:rsid w:val="00066F56"/>
    <w:rsid w:val="00092712"/>
    <w:rsid w:val="0009420E"/>
    <w:rsid w:val="000A3B98"/>
    <w:rsid w:val="000B2041"/>
    <w:rsid w:val="000B4FDC"/>
    <w:rsid w:val="000B647A"/>
    <w:rsid w:val="000C1A91"/>
    <w:rsid w:val="000C45AC"/>
    <w:rsid w:val="000D0E60"/>
    <w:rsid w:val="000D294B"/>
    <w:rsid w:val="000E3E94"/>
    <w:rsid w:val="000F4776"/>
    <w:rsid w:val="00113242"/>
    <w:rsid w:val="00120883"/>
    <w:rsid w:val="00120964"/>
    <w:rsid w:val="00124D46"/>
    <w:rsid w:val="0013354C"/>
    <w:rsid w:val="00134D7C"/>
    <w:rsid w:val="0013732F"/>
    <w:rsid w:val="00166CA5"/>
    <w:rsid w:val="001A4456"/>
    <w:rsid w:val="001A5CD7"/>
    <w:rsid w:val="001C6E83"/>
    <w:rsid w:val="001E30EB"/>
    <w:rsid w:val="001E4D6F"/>
    <w:rsid w:val="002024DC"/>
    <w:rsid w:val="00216A2B"/>
    <w:rsid w:val="00221D42"/>
    <w:rsid w:val="00227340"/>
    <w:rsid w:val="00234A25"/>
    <w:rsid w:val="00237284"/>
    <w:rsid w:val="00246134"/>
    <w:rsid w:val="00252FF6"/>
    <w:rsid w:val="00256EDB"/>
    <w:rsid w:val="002575A8"/>
    <w:rsid w:val="00271343"/>
    <w:rsid w:val="00273E63"/>
    <w:rsid w:val="00276E25"/>
    <w:rsid w:val="0028140B"/>
    <w:rsid w:val="002945C0"/>
    <w:rsid w:val="00295C87"/>
    <w:rsid w:val="002B416D"/>
    <w:rsid w:val="002B6340"/>
    <w:rsid w:val="002C12CC"/>
    <w:rsid w:val="002C526E"/>
    <w:rsid w:val="002D0EF9"/>
    <w:rsid w:val="002D320B"/>
    <w:rsid w:val="002D6BFB"/>
    <w:rsid w:val="002F0DC4"/>
    <w:rsid w:val="00300366"/>
    <w:rsid w:val="003020B3"/>
    <w:rsid w:val="003134C8"/>
    <w:rsid w:val="0032022B"/>
    <w:rsid w:val="0032070D"/>
    <w:rsid w:val="00332763"/>
    <w:rsid w:val="00333276"/>
    <w:rsid w:val="00333FEF"/>
    <w:rsid w:val="003366C2"/>
    <w:rsid w:val="00337E54"/>
    <w:rsid w:val="00357820"/>
    <w:rsid w:val="00395236"/>
    <w:rsid w:val="003961DB"/>
    <w:rsid w:val="003A76D0"/>
    <w:rsid w:val="003B4336"/>
    <w:rsid w:val="003C56C8"/>
    <w:rsid w:val="003D1208"/>
    <w:rsid w:val="003E12D7"/>
    <w:rsid w:val="003E608E"/>
    <w:rsid w:val="003E70E5"/>
    <w:rsid w:val="0040062A"/>
    <w:rsid w:val="00401459"/>
    <w:rsid w:val="004072E2"/>
    <w:rsid w:val="00434595"/>
    <w:rsid w:val="00443FFA"/>
    <w:rsid w:val="0045605E"/>
    <w:rsid w:val="004640DD"/>
    <w:rsid w:val="004A01DC"/>
    <w:rsid w:val="004A06A7"/>
    <w:rsid w:val="004A748B"/>
    <w:rsid w:val="004B6F5F"/>
    <w:rsid w:val="004C042E"/>
    <w:rsid w:val="004C7B4F"/>
    <w:rsid w:val="004D7E3F"/>
    <w:rsid w:val="004E1CC2"/>
    <w:rsid w:val="004E2270"/>
    <w:rsid w:val="004E3EEE"/>
    <w:rsid w:val="004E71C2"/>
    <w:rsid w:val="00503C05"/>
    <w:rsid w:val="00504D17"/>
    <w:rsid w:val="00514162"/>
    <w:rsid w:val="00515688"/>
    <w:rsid w:val="00521B58"/>
    <w:rsid w:val="00536429"/>
    <w:rsid w:val="005372BE"/>
    <w:rsid w:val="00537546"/>
    <w:rsid w:val="00546EB5"/>
    <w:rsid w:val="005762B4"/>
    <w:rsid w:val="005A3847"/>
    <w:rsid w:val="005A5D98"/>
    <w:rsid w:val="005B05BF"/>
    <w:rsid w:val="005B1D05"/>
    <w:rsid w:val="005B529B"/>
    <w:rsid w:val="005B7836"/>
    <w:rsid w:val="005C5711"/>
    <w:rsid w:val="005D2015"/>
    <w:rsid w:val="005D2A85"/>
    <w:rsid w:val="005D4606"/>
    <w:rsid w:val="005E6AAB"/>
    <w:rsid w:val="005F110B"/>
    <w:rsid w:val="005F1B32"/>
    <w:rsid w:val="00602CF8"/>
    <w:rsid w:val="00605B5C"/>
    <w:rsid w:val="00637AE1"/>
    <w:rsid w:val="00637CD1"/>
    <w:rsid w:val="00644667"/>
    <w:rsid w:val="0065009F"/>
    <w:rsid w:val="00652D18"/>
    <w:rsid w:val="006545EC"/>
    <w:rsid w:val="00655781"/>
    <w:rsid w:val="00670126"/>
    <w:rsid w:val="006703C5"/>
    <w:rsid w:val="00671CAE"/>
    <w:rsid w:val="0068482C"/>
    <w:rsid w:val="00690459"/>
    <w:rsid w:val="00691670"/>
    <w:rsid w:val="006D750F"/>
    <w:rsid w:val="00700E73"/>
    <w:rsid w:val="00701333"/>
    <w:rsid w:val="00701689"/>
    <w:rsid w:val="00715CB1"/>
    <w:rsid w:val="00717057"/>
    <w:rsid w:val="00721B27"/>
    <w:rsid w:val="007326B4"/>
    <w:rsid w:val="00733ED9"/>
    <w:rsid w:val="00736662"/>
    <w:rsid w:val="0073795A"/>
    <w:rsid w:val="0075032F"/>
    <w:rsid w:val="007506C0"/>
    <w:rsid w:val="00756670"/>
    <w:rsid w:val="007658A0"/>
    <w:rsid w:val="00774FC5"/>
    <w:rsid w:val="00793D87"/>
    <w:rsid w:val="007A312C"/>
    <w:rsid w:val="007A71C6"/>
    <w:rsid w:val="007B055C"/>
    <w:rsid w:val="007B53C0"/>
    <w:rsid w:val="007C0253"/>
    <w:rsid w:val="007C0261"/>
    <w:rsid w:val="007E2BA9"/>
    <w:rsid w:val="00826D1F"/>
    <w:rsid w:val="00836109"/>
    <w:rsid w:val="00836BDE"/>
    <w:rsid w:val="008436E5"/>
    <w:rsid w:val="00847606"/>
    <w:rsid w:val="00852F9D"/>
    <w:rsid w:val="00867B40"/>
    <w:rsid w:val="0087341C"/>
    <w:rsid w:val="00875B2A"/>
    <w:rsid w:val="008B08DB"/>
    <w:rsid w:val="008D1901"/>
    <w:rsid w:val="008D4A72"/>
    <w:rsid w:val="008E560B"/>
    <w:rsid w:val="008E77AA"/>
    <w:rsid w:val="00907584"/>
    <w:rsid w:val="009153C1"/>
    <w:rsid w:val="009220AB"/>
    <w:rsid w:val="00927AB3"/>
    <w:rsid w:val="009364A7"/>
    <w:rsid w:val="00951451"/>
    <w:rsid w:val="0095372C"/>
    <w:rsid w:val="00957CEF"/>
    <w:rsid w:val="009732D1"/>
    <w:rsid w:val="00981FA8"/>
    <w:rsid w:val="0098437E"/>
    <w:rsid w:val="009A0515"/>
    <w:rsid w:val="009A1BFE"/>
    <w:rsid w:val="009A3AE0"/>
    <w:rsid w:val="009B23F5"/>
    <w:rsid w:val="009C1836"/>
    <w:rsid w:val="009D0706"/>
    <w:rsid w:val="009D44F3"/>
    <w:rsid w:val="009D79AF"/>
    <w:rsid w:val="009E2DFF"/>
    <w:rsid w:val="009F087B"/>
    <w:rsid w:val="009F40E4"/>
    <w:rsid w:val="00A06FF9"/>
    <w:rsid w:val="00A101AC"/>
    <w:rsid w:val="00A14D92"/>
    <w:rsid w:val="00A24468"/>
    <w:rsid w:val="00A30641"/>
    <w:rsid w:val="00A345CC"/>
    <w:rsid w:val="00A416C3"/>
    <w:rsid w:val="00A448B1"/>
    <w:rsid w:val="00A47553"/>
    <w:rsid w:val="00A47C6B"/>
    <w:rsid w:val="00A72266"/>
    <w:rsid w:val="00AA2046"/>
    <w:rsid w:val="00AA5A62"/>
    <w:rsid w:val="00AB0F42"/>
    <w:rsid w:val="00AB7D32"/>
    <w:rsid w:val="00AC39F2"/>
    <w:rsid w:val="00AD41AC"/>
    <w:rsid w:val="00AD60D4"/>
    <w:rsid w:val="00AE204D"/>
    <w:rsid w:val="00B04562"/>
    <w:rsid w:val="00B14A5E"/>
    <w:rsid w:val="00B27CFA"/>
    <w:rsid w:val="00B40015"/>
    <w:rsid w:val="00B578C5"/>
    <w:rsid w:val="00B62E49"/>
    <w:rsid w:val="00B64483"/>
    <w:rsid w:val="00B65911"/>
    <w:rsid w:val="00B73753"/>
    <w:rsid w:val="00B773C7"/>
    <w:rsid w:val="00B81C80"/>
    <w:rsid w:val="00B93321"/>
    <w:rsid w:val="00B934B9"/>
    <w:rsid w:val="00B96753"/>
    <w:rsid w:val="00B96A74"/>
    <w:rsid w:val="00BA30D7"/>
    <w:rsid w:val="00BA7464"/>
    <w:rsid w:val="00BB44E6"/>
    <w:rsid w:val="00BC3468"/>
    <w:rsid w:val="00BC4DDC"/>
    <w:rsid w:val="00BD5899"/>
    <w:rsid w:val="00BD665F"/>
    <w:rsid w:val="00BE3786"/>
    <w:rsid w:val="00C0743F"/>
    <w:rsid w:val="00C30CAF"/>
    <w:rsid w:val="00C33E65"/>
    <w:rsid w:val="00C61675"/>
    <w:rsid w:val="00C61F31"/>
    <w:rsid w:val="00C652D8"/>
    <w:rsid w:val="00C657BC"/>
    <w:rsid w:val="00C66B3D"/>
    <w:rsid w:val="00C86192"/>
    <w:rsid w:val="00CD3628"/>
    <w:rsid w:val="00CD5AF5"/>
    <w:rsid w:val="00CE5D2E"/>
    <w:rsid w:val="00CF0532"/>
    <w:rsid w:val="00CF0797"/>
    <w:rsid w:val="00CF7898"/>
    <w:rsid w:val="00D13117"/>
    <w:rsid w:val="00D304D5"/>
    <w:rsid w:val="00D4659E"/>
    <w:rsid w:val="00D637FA"/>
    <w:rsid w:val="00D67084"/>
    <w:rsid w:val="00D71886"/>
    <w:rsid w:val="00D85C86"/>
    <w:rsid w:val="00D862F4"/>
    <w:rsid w:val="00D865FD"/>
    <w:rsid w:val="00D94CD7"/>
    <w:rsid w:val="00DB2D12"/>
    <w:rsid w:val="00DB357C"/>
    <w:rsid w:val="00DB60E6"/>
    <w:rsid w:val="00DB6B19"/>
    <w:rsid w:val="00DD3845"/>
    <w:rsid w:val="00DD3AAA"/>
    <w:rsid w:val="00DD55F7"/>
    <w:rsid w:val="00DD78B2"/>
    <w:rsid w:val="00DE02FE"/>
    <w:rsid w:val="00DF1D5E"/>
    <w:rsid w:val="00E2168F"/>
    <w:rsid w:val="00E270D8"/>
    <w:rsid w:val="00E52B34"/>
    <w:rsid w:val="00E57FA3"/>
    <w:rsid w:val="00E66231"/>
    <w:rsid w:val="00E767B9"/>
    <w:rsid w:val="00E77FD4"/>
    <w:rsid w:val="00E8520A"/>
    <w:rsid w:val="00EA2195"/>
    <w:rsid w:val="00EB3EA4"/>
    <w:rsid w:val="00EB4907"/>
    <w:rsid w:val="00ED2BD8"/>
    <w:rsid w:val="00ED6A55"/>
    <w:rsid w:val="00EF1CDC"/>
    <w:rsid w:val="00F0270C"/>
    <w:rsid w:val="00F0775D"/>
    <w:rsid w:val="00F113CA"/>
    <w:rsid w:val="00F22053"/>
    <w:rsid w:val="00F22BB3"/>
    <w:rsid w:val="00F4183D"/>
    <w:rsid w:val="00F45320"/>
    <w:rsid w:val="00F52671"/>
    <w:rsid w:val="00F72E7E"/>
    <w:rsid w:val="00F753D2"/>
    <w:rsid w:val="00F777A1"/>
    <w:rsid w:val="00F94ABB"/>
    <w:rsid w:val="00FB087E"/>
    <w:rsid w:val="00FD20D6"/>
    <w:rsid w:val="00FD22EB"/>
    <w:rsid w:val="00FE7EB3"/>
    <w:rsid w:val="00FF19CA"/>
    <w:rsid w:val="00FF5C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7CBE5-0860-4355-9D6E-0448543AA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BB"/>
    <w:pPr>
      <w:spacing w:after="0" w:line="240" w:lineRule="auto"/>
    </w:pPr>
    <w:rPr>
      <w:sz w:val="22"/>
    </w:rPr>
  </w:style>
  <w:style w:type="paragraph" w:styleId="Heading1">
    <w:name w:val="heading 1"/>
    <w:basedOn w:val="Normal"/>
    <w:next w:val="Normal"/>
    <w:link w:val="Heading1Char"/>
    <w:uiPriority w:val="9"/>
    <w:qFormat/>
    <w:rsid w:val="00AC39F2"/>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C39F2"/>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C39F2"/>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C39F2"/>
    <w:pPr>
      <w:keepNext/>
      <w:keepLines/>
      <w:spacing w:before="4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AC39F2"/>
    <w:pPr>
      <w:keepNext/>
      <w:keepLines/>
      <w:spacing w:before="4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AC39F2"/>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C39F2"/>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C39F2"/>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C39F2"/>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EF"/>
    <w:pPr>
      <w:numPr>
        <w:numId w:val="22"/>
      </w:numPr>
      <w:ind w:left="357" w:hanging="357"/>
      <w:contextualSpacing/>
    </w:pPr>
  </w:style>
  <w:style w:type="character" w:customStyle="1" w:styleId="Heading1Char">
    <w:name w:val="Heading 1 Char"/>
    <w:basedOn w:val="DefaultParagraphFont"/>
    <w:link w:val="Heading1"/>
    <w:uiPriority w:val="9"/>
    <w:rsid w:val="00AC39F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C39F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C39F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C39F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C39F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C39F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C39F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C39F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C39F2"/>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C39F2"/>
    <w:rPr>
      <w:b/>
      <w:bCs/>
      <w:smallCaps/>
      <w:color w:val="595959" w:themeColor="text1" w:themeTint="A6"/>
      <w:spacing w:val="6"/>
    </w:rPr>
  </w:style>
  <w:style w:type="paragraph" w:styleId="Title">
    <w:name w:val="Title"/>
    <w:basedOn w:val="Normal"/>
    <w:next w:val="Normal"/>
    <w:link w:val="TitleChar"/>
    <w:uiPriority w:val="10"/>
    <w:qFormat/>
    <w:rsid w:val="00AC39F2"/>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C39F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C39F2"/>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C39F2"/>
    <w:rPr>
      <w:rFonts w:asciiTheme="majorHAnsi" w:eastAsiaTheme="majorEastAsia" w:hAnsiTheme="majorHAnsi" w:cstheme="majorBidi"/>
      <w:sz w:val="24"/>
      <w:szCs w:val="24"/>
    </w:rPr>
  </w:style>
  <w:style w:type="character" w:styleId="Strong">
    <w:name w:val="Strong"/>
    <w:basedOn w:val="DefaultParagraphFont"/>
    <w:uiPriority w:val="22"/>
    <w:qFormat/>
    <w:rsid w:val="00AC39F2"/>
    <w:rPr>
      <w:b/>
      <w:bCs/>
    </w:rPr>
  </w:style>
  <w:style w:type="character" w:styleId="Emphasis">
    <w:name w:val="Emphasis"/>
    <w:basedOn w:val="DefaultParagraphFont"/>
    <w:uiPriority w:val="20"/>
    <w:qFormat/>
    <w:rsid w:val="00AC39F2"/>
    <w:rPr>
      <w:i/>
      <w:iCs/>
    </w:rPr>
  </w:style>
  <w:style w:type="paragraph" w:styleId="NoSpacing">
    <w:name w:val="No Spacing"/>
    <w:uiPriority w:val="1"/>
    <w:qFormat/>
    <w:rsid w:val="00AC39F2"/>
    <w:pPr>
      <w:spacing w:after="0" w:line="240" w:lineRule="auto"/>
    </w:pPr>
  </w:style>
  <w:style w:type="paragraph" w:styleId="Quote">
    <w:name w:val="Quote"/>
    <w:basedOn w:val="Normal"/>
    <w:next w:val="Normal"/>
    <w:link w:val="QuoteChar"/>
    <w:uiPriority w:val="29"/>
    <w:qFormat/>
    <w:rsid w:val="00AC39F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C39F2"/>
    <w:rPr>
      <w:i/>
      <w:iCs/>
      <w:color w:val="404040" w:themeColor="text1" w:themeTint="BF"/>
    </w:rPr>
  </w:style>
  <w:style w:type="paragraph" w:styleId="IntenseQuote">
    <w:name w:val="Intense Quote"/>
    <w:basedOn w:val="Normal"/>
    <w:next w:val="Normal"/>
    <w:link w:val="IntenseQuoteChar"/>
    <w:uiPriority w:val="30"/>
    <w:qFormat/>
    <w:rsid w:val="00AC39F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C39F2"/>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C39F2"/>
    <w:rPr>
      <w:i/>
      <w:iCs/>
      <w:color w:val="404040" w:themeColor="text1" w:themeTint="BF"/>
    </w:rPr>
  </w:style>
  <w:style w:type="character" w:styleId="IntenseEmphasis">
    <w:name w:val="Intense Emphasis"/>
    <w:basedOn w:val="DefaultParagraphFont"/>
    <w:uiPriority w:val="21"/>
    <w:qFormat/>
    <w:rsid w:val="00AC39F2"/>
    <w:rPr>
      <w:b/>
      <w:bCs/>
      <w:i/>
      <w:iCs/>
    </w:rPr>
  </w:style>
  <w:style w:type="character" w:styleId="SubtleReference">
    <w:name w:val="Subtle Reference"/>
    <w:basedOn w:val="DefaultParagraphFont"/>
    <w:uiPriority w:val="31"/>
    <w:qFormat/>
    <w:rsid w:val="00AC39F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C39F2"/>
    <w:rPr>
      <w:b/>
      <w:bCs/>
      <w:smallCaps/>
      <w:spacing w:val="5"/>
      <w:u w:val="single"/>
    </w:rPr>
  </w:style>
  <w:style w:type="character" w:styleId="BookTitle">
    <w:name w:val="Book Title"/>
    <w:basedOn w:val="DefaultParagraphFont"/>
    <w:uiPriority w:val="33"/>
    <w:qFormat/>
    <w:rsid w:val="00AC39F2"/>
    <w:rPr>
      <w:b/>
      <w:bCs/>
      <w:smallCaps/>
    </w:rPr>
  </w:style>
  <w:style w:type="paragraph" w:styleId="TOCHeading">
    <w:name w:val="TOC Heading"/>
    <w:basedOn w:val="Heading1"/>
    <w:next w:val="Normal"/>
    <w:uiPriority w:val="39"/>
    <w:semiHidden/>
    <w:unhideWhenUsed/>
    <w:qFormat/>
    <w:rsid w:val="00AC39F2"/>
    <w:pPr>
      <w:outlineLvl w:val="9"/>
    </w:pPr>
  </w:style>
  <w:style w:type="paragraph" w:styleId="Header">
    <w:name w:val="header"/>
    <w:basedOn w:val="Normal"/>
    <w:link w:val="HeaderChar"/>
    <w:uiPriority w:val="99"/>
    <w:unhideWhenUsed/>
    <w:rsid w:val="005D2A85"/>
    <w:pPr>
      <w:tabs>
        <w:tab w:val="center" w:pos="4513"/>
        <w:tab w:val="right" w:pos="9026"/>
      </w:tabs>
    </w:pPr>
  </w:style>
  <w:style w:type="character" w:customStyle="1" w:styleId="HeaderChar">
    <w:name w:val="Header Char"/>
    <w:basedOn w:val="DefaultParagraphFont"/>
    <w:link w:val="Header"/>
    <w:uiPriority w:val="99"/>
    <w:rsid w:val="005D2A85"/>
  </w:style>
  <w:style w:type="paragraph" w:styleId="Footer">
    <w:name w:val="footer"/>
    <w:basedOn w:val="Normal"/>
    <w:link w:val="FooterChar"/>
    <w:uiPriority w:val="99"/>
    <w:unhideWhenUsed/>
    <w:rsid w:val="005D2A85"/>
    <w:pPr>
      <w:tabs>
        <w:tab w:val="center" w:pos="4513"/>
        <w:tab w:val="right" w:pos="9026"/>
      </w:tabs>
    </w:pPr>
  </w:style>
  <w:style w:type="character" w:customStyle="1" w:styleId="FooterChar">
    <w:name w:val="Footer Char"/>
    <w:basedOn w:val="DefaultParagraphFont"/>
    <w:link w:val="Footer"/>
    <w:uiPriority w:val="99"/>
    <w:rsid w:val="005D2A85"/>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87341C"/>
    <w:rPr>
      <w:vertAlign w:val="superscript"/>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D865FD"/>
    <w:rPr>
      <w:rFonts w:eastAsiaTheme="minorHAnsi"/>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D865FD"/>
    <w:rPr>
      <w:rFonts w:eastAsiaTheme="minorHAnsi"/>
      <w:lang w:val="de-D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D865FD"/>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033F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F41"/>
    <w:rPr>
      <w:rFonts w:ascii="Segoe UI" w:hAnsi="Segoe UI" w:cs="Segoe UI"/>
      <w:sz w:val="18"/>
      <w:szCs w:val="18"/>
    </w:rPr>
  </w:style>
  <w:style w:type="character" w:styleId="CommentReference">
    <w:name w:val="annotation reference"/>
    <w:basedOn w:val="DefaultParagraphFont"/>
    <w:uiPriority w:val="99"/>
    <w:semiHidden/>
    <w:unhideWhenUsed/>
    <w:rsid w:val="00A72266"/>
    <w:rPr>
      <w:sz w:val="16"/>
      <w:szCs w:val="16"/>
    </w:rPr>
  </w:style>
  <w:style w:type="paragraph" w:styleId="CommentText">
    <w:name w:val="annotation text"/>
    <w:basedOn w:val="Normal"/>
    <w:link w:val="CommentTextChar"/>
    <w:uiPriority w:val="99"/>
    <w:semiHidden/>
    <w:unhideWhenUsed/>
    <w:rsid w:val="00A72266"/>
  </w:style>
  <w:style w:type="character" w:customStyle="1" w:styleId="CommentTextChar">
    <w:name w:val="Comment Text Char"/>
    <w:basedOn w:val="DefaultParagraphFont"/>
    <w:link w:val="CommentText"/>
    <w:uiPriority w:val="99"/>
    <w:semiHidden/>
    <w:rsid w:val="00A72266"/>
  </w:style>
  <w:style w:type="paragraph" w:styleId="CommentSubject">
    <w:name w:val="annotation subject"/>
    <w:basedOn w:val="CommentText"/>
    <w:next w:val="CommentText"/>
    <w:link w:val="CommentSubjectChar"/>
    <w:uiPriority w:val="99"/>
    <w:semiHidden/>
    <w:unhideWhenUsed/>
    <w:rsid w:val="00A72266"/>
    <w:rPr>
      <w:b/>
      <w:bCs/>
    </w:rPr>
  </w:style>
  <w:style w:type="character" w:customStyle="1" w:styleId="CommentSubjectChar">
    <w:name w:val="Comment Subject Char"/>
    <w:basedOn w:val="CommentTextChar"/>
    <w:link w:val="CommentSubject"/>
    <w:uiPriority w:val="99"/>
    <w:semiHidden/>
    <w:rsid w:val="00A72266"/>
    <w:rPr>
      <w:b/>
      <w:bCs/>
    </w:rPr>
  </w:style>
  <w:style w:type="character" w:styleId="Hyperlink">
    <w:name w:val="Hyperlink"/>
    <w:basedOn w:val="DefaultParagraphFont"/>
    <w:uiPriority w:val="99"/>
    <w:unhideWhenUsed/>
    <w:rsid w:val="00F94ABB"/>
    <w:rPr>
      <w:color w:val="0563C1" w:themeColor="hyperlink"/>
      <w:u w:val="single"/>
    </w:rPr>
  </w:style>
  <w:style w:type="paragraph" w:styleId="Revision">
    <w:name w:val="Revision"/>
    <w:hidden/>
    <w:uiPriority w:val="99"/>
    <w:semiHidden/>
    <w:rsid w:val="00CF0797"/>
    <w:pPr>
      <w:spacing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1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da.org.a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A30A4B-8E16-4B57-8E90-2B996BFC7704}">
  <ds:schemaRefs>
    <ds:schemaRef ds:uri="http://schemas.openxmlformats.org/officeDocument/2006/bibliography"/>
  </ds:schemaRefs>
</ds:datastoreItem>
</file>

<file path=customXml/itemProps2.xml><?xml version="1.0" encoding="utf-8"?>
<ds:datastoreItem xmlns:ds="http://schemas.openxmlformats.org/officeDocument/2006/customXml" ds:itemID="{95DD716A-8882-4E29-8FFA-F8062FF92565}"/>
</file>

<file path=customXml/itemProps3.xml><?xml version="1.0" encoding="utf-8"?>
<ds:datastoreItem xmlns:ds="http://schemas.openxmlformats.org/officeDocument/2006/customXml" ds:itemID="{4A8BD493-7CE1-4BC6-B0CF-A7C13E545E5C}"/>
</file>

<file path=customXml/itemProps4.xml><?xml version="1.0" encoding="utf-8"?>
<ds:datastoreItem xmlns:ds="http://schemas.openxmlformats.org/officeDocument/2006/customXml" ds:itemID="{8907B087-25DC-4442-B619-8410E79EEC37}"/>
</file>

<file path=docProps/app.xml><?xml version="1.0" encoding="utf-8"?>
<Properties xmlns="http://schemas.openxmlformats.org/officeDocument/2006/extended-properties" xmlns:vt="http://schemas.openxmlformats.org/officeDocument/2006/docPropsVTypes">
  <Template>Normal</Template>
  <TotalTime>46</TotalTime>
  <Pages>10</Pages>
  <Words>3551</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Beaupert</dc:creator>
  <cp:keywords/>
  <dc:description/>
  <cp:lastModifiedBy>Stephanie Gotlib</cp:lastModifiedBy>
  <cp:revision>17</cp:revision>
  <cp:lastPrinted>2017-11-23T23:37:00Z</cp:lastPrinted>
  <dcterms:created xsi:type="dcterms:W3CDTF">2017-11-23T23:22:00Z</dcterms:created>
  <dcterms:modified xsi:type="dcterms:W3CDTF">2017-11-24T03:09:00Z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