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C0CE2" w14:textId="77777777" w:rsidR="00162E5B" w:rsidRDefault="00162E5B" w:rsidP="00162E5B"/>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23"/>
      </w:tblGrid>
      <w:tr w:rsidR="00162E5B" w14:paraId="667C0CF1" w14:textId="77777777" w:rsidTr="00A83203">
        <w:tc>
          <w:tcPr>
            <w:tcW w:w="6237" w:type="dxa"/>
          </w:tcPr>
          <w:p w14:paraId="667C0CE3" w14:textId="77777777" w:rsidR="00162E5B" w:rsidRDefault="00162E5B" w:rsidP="00A83203">
            <w:pPr>
              <w:rPr>
                <w:rFonts w:ascii="Verdana" w:hAnsi="Verdana"/>
              </w:rPr>
            </w:pPr>
            <w:r w:rsidRPr="00453733">
              <w:rPr>
                <w:rFonts w:ascii="Verdana" w:hAnsi="Verdana"/>
              </w:rPr>
              <w:t>To the attention of:</w:t>
            </w:r>
          </w:p>
          <w:p w14:paraId="667C0CE4" w14:textId="77777777" w:rsidR="00162E5B" w:rsidRDefault="00162E5B" w:rsidP="00A83203">
            <w:pPr>
              <w:rPr>
                <w:rFonts w:ascii="Verdana" w:hAnsi="Verdana"/>
              </w:rPr>
            </w:pPr>
          </w:p>
          <w:p w14:paraId="667C0CE5" w14:textId="77777777" w:rsidR="001B0E88" w:rsidRPr="00911566" w:rsidRDefault="001B0E88" w:rsidP="001B0E88">
            <w:pPr>
              <w:rPr>
                <w:rFonts w:ascii="Verdana" w:hAnsi="Verdana"/>
              </w:rPr>
            </w:pPr>
            <w:r w:rsidRPr="00911566">
              <w:rPr>
                <w:rFonts w:ascii="Verdana" w:hAnsi="Verdana"/>
              </w:rPr>
              <w:t>Committee on the Rights of Persons withDisabilities</w:t>
            </w:r>
          </w:p>
          <w:p w14:paraId="667C0CE6" w14:textId="77777777" w:rsidR="001B0E88" w:rsidRPr="00911566" w:rsidRDefault="001B0E88" w:rsidP="001B0E88">
            <w:pPr>
              <w:rPr>
                <w:rFonts w:ascii="Verdana" w:hAnsi="Verdana"/>
              </w:rPr>
            </w:pPr>
            <w:r w:rsidRPr="00911566">
              <w:rPr>
                <w:rFonts w:ascii="Verdana" w:hAnsi="Verdana"/>
              </w:rPr>
              <w:t>Human Rights Treaties Division</w:t>
            </w:r>
          </w:p>
          <w:p w14:paraId="667C0CE7" w14:textId="77777777" w:rsidR="00162E5B" w:rsidRPr="00911566" w:rsidRDefault="00162E5B" w:rsidP="00A83203">
            <w:pPr>
              <w:rPr>
                <w:rFonts w:ascii="Verdana" w:hAnsi="Verdana"/>
              </w:rPr>
            </w:pPr>
            <w:r w:rsidRPr="00911566">
              <w:rPr>
                <w:rFonts w:ascii="Verdana" w:hAnsi="Verdana"/>
              </w:rPr>
              <w:t xml:space="preserve">Office of the United Nations High Commissioner </w:t>
            </w:r>
            <w:r>
              <w:rPr>
                <w:rFonts w:ascii="Verdana" w:hAnsi="Verdana"/>
              </w:rPr>
              <w:br/>
            </w:r>
            <w:r w:rsidRPr="00911566">
              <w:rPr>
                <w:rFonts w:ascii="Verdana" w:hAnsi="Verdana"/>
              </w:rPr>
              <w:t>for Human Rights</w:t>
            </w:r>
          </w:p>
          <w:p w14:paraId="667C0CE8" w14:textId="77777777" w:rsidR="00162E5B" w:rsidRPr="00911566" w:rsidRDefault="00162E5B" w:rsidP="00A83203">
            <w:pPr>
              <w:rPr>
                <w:rFonts w:ascii="Verdana" w:hAnsi="Verdana"/>
              </w:rPr>
            </w:pPr>
            <w:r w:rsidRPr="00911566">
              <w:rPr>
                <w:rFonts w:ascii="Verdana" w:hAnsi="Verdana"/>
              </w:rPr>
              <w:t>United Nations Office at Geneva</w:t>
            </w:r>
          </w:p>
          <w:p w14:paraId="667C0CE9" w14:textId="77777777" w:rsidR="00162E5B" w:rsidRDefault="00162E5B" w:rsidP="00A83203">
            <w:pPr>
              <w:rPr>
                <w:b/>
                <w:sz w:val="28"/>
              </w:rPr>
            </w:pPr>
            <w:r w:rsidRPr="00911566">
              <w:rPr>
                <w:rFonts w:ascii="Verdana" w:hAnsi="Verdana"/>
              </w:rPr>
              <w:t>CH – 1201 Geneva</w:t>
            </w:r>
            <w:r w:rsidR="009A12BE">
              <w:rPr>
                <w:rFonts w:ascii="Verdana" w:hAnsi="Verdana"/>
              </w:rPr>
              <w:t xml:space="preserve"> 10</w:t>
            </w:r>
          </w:p>
        </w:tc>
        <w:tc>
          <w:tcPr>
            <w:tcW w:w="3123" w:type="dxa"/>
          </w:tcPr>
          <w:p w14:paraId="667C0CEA" w14:textId="77777777" w:rsidR="00162E5B" w:rsidRDefault="00162E5B" w:rsidP="00A83203">
            <w:pPr>
              <w:jc w:val="right"/>
              <w:rPr>
                <w:rFonts w:ascii="Verdana" w:hAnsi="Verdana"/>
              </w:rPr>
            </w:pPr>
          </w:p>
          <w:p w14:paraId="667C0CEB" w14:textId="77777777" w:rsidR="00162E5B" w:rsidRDefault="00162E5B" w:rsidP="00A83203">
            <w:pPr>
              <w:jc w:val="right"/>
              <w:rPr>
                <w:rFonts w:ascii="Verdana" w:hAnsi="Verdana"/>
              </w:rPr>
            </w:pPr>
          </w:p>
          <w:p w14:paraId="667C0CEC" w14:textId="77777777" w:rsidR="00162E5B" w:rsidRDefault="00162E5B" w:rsidP="00A83203">
            <w:pPr>
              <w:rPr>
                <w:rFonts w:ascii="Verdana" w:hAnsi="Verdana"/>
              </w:rPr>
            </w:pPr>
          </w:p>
          <w:p w14:paraId="667C0CED" w14:textId="77777777" w:rsidR="00162E5B" w:rsidRDefault="00162E5B" w:rsidP="00A83203">
            <w:pPr>
              <w:jc w:val="right"/>
              <w:rPr>
                <w:rFonts w:ascii="Verdana" w:hAnsi="Verdana"/>
              </w:rPr>
            </w:pPr>
          </w:p>
          <w:p w14:paraId="667C0CEE" w14:textId="77777777" w:rsidR="00162E5B" w:rsidRDefault="00162E5B" w:rsidP="00A83203">
            <w:pPr>
              <w:jc w:val="right"/>
              <w:rPr>
                <w:rFonts w:ascii="Verdana" w:hAnsi="Verdana"/>
              </w:rPr>
            </w:pPr>
          </w:p>
          <w:p w14:paraId="667C0CEF" w14:textId="77777777" w:rsidR="00162E5B" w:rsidRPr="00194BFF" w:rsidRDefault="00162E5B" w:rsidP="00A83203">
            <w:pPr>
              <w:jc w:val="center"/>
              <w:rPr>
                <w:rFonts w:ascii="Verdana" w:hAnsi="Verdana"/>
              </w:rPr>
            </w:pPr>
          </w:p>
          <w:p w14:paraId="667C0CF0" w14:textId="77777777" w:rsidR="00162E5B" w:rsidRDefault="00162E5B" w:rsidP="00A83203">
            <w:pPr>
              <w:jc w:val="right"/>
              <w:rPr>
                <w:b/>
                <w:sz w:val="28"/>
              </w:rPr>
            </w:pPr>
          </w:p>
        </w:tc>
      </w:tr>
    </w:tbl>
    <w:p w14:paraId="667C0CF2" w14:textId="77777777" w:rsidR="00162E5B" w:rsidRDefault="00162E5B" w:rsidP="00162E5B">
      <w:pPr>
        <w:rPr>
          <w:rFonts w:ascii="Verdana" w:hAnsi="Verdana"/>
        </w:rPr>
      </w:pPr>
    </w:p>
    <w:p w14:paraId="667C0CF3" w14:textId="458E883F" w:rsidR="00162E5B" w:rsidRDefault="00162E5B" w:rsidP="00162E5B">
      <w:pPr>
        <w:jc w:val="right"/>
        <w:rPr>
          <w:rFonts w:ascii="Verdana" w:hAnsi="Verdana"/>
        </w:rPr>
      </w:pPr>
      <w:r w:rsidRPr="00A60B0A">
        <w:rPr>
          <w:rFonts w:ascii="Verdana" w:hAnsi="Verdana"/>
        </w:rPr>
        <w:t xml:space="preserve">Vienna, </w:t>
      </w:r>
      <w:r w:rsidR="0076040D">
        <w:rPr>
          <w:rFonts w:ascii="Verdana" w:hAnsi="Verdana"/>
        </w:rPr>
        <w:t>24</w:t>
      </w:r>
      <w:bookmarkStart w:id="0" w:name="_GoBack"/>
      <w:bookmarkEnd w:id="0"/>
      <w:r w:rsidR="003458EE">
        <w:rPr>
          <w:rFonts w:ascii="Verdana" w:hAnsi="Verdana"/>
        </w:rPr>
        <w:t xml:space="preserve"> November</w:t>
      </w:r>
      <w:r w:rsidR="00CF39D7">
        <w:rPr>
          <w:rFonts w:ascii="Verdana" w:hAnsi="Verdana"/>
        </w:rPr>
        <w:t xml:space="preserve"> 201</w:t>
      </w:r>
      <w:r w:rsidR="003458EE">
        <w:rPr>
          <w:rFonts w:ascii="Verdana" w:hAnsi="Verdana"/>
        </w:rPr>
        <w:t>7</w:t>
      </w:r>
    </w:p>
    <w:p w14:paraId="667C0CF4" w14:textId="05C1B68B" w:rsidR="00162E5B" w:rsidRPr="003D5EFE" w:rsidRDefault="00162E5B" w:rsidP="00162E5B">
      <w:pPr>
        <w:jc w:val="right"/>
        <w:rPr>
          <w:rFonts w:ascii="Verdana" w:hAnsi="Verdana"/>
          <w:sz w:val="18"/>
          <w:szCs w:val="18"/>
        </w:rPr>
      </w:pPr>
      <w:r w:rsidRPr="00FA4212">
        <w:rPr>
          <w:rFonts w:ascii="Verdana" w:hAnsi="Verdana"/>
          <w:sz w:val="18"/>
          <w:szCs w:val="18"/>
        </w:rPr>
        <w:t>Ref: 201</w:t>
      </w:r>
      <w:r w:rsidR="001B0E88" w:rsidRPr="00FA4212">
        <w:rPr>
          <w:rFonts w:ascii="Verdana" w:hAnsi="Verdana"/>
          <w:sz w:val="18"/>
          <w:szCs w:val="18"/>
        </w:rPr>
        <w:t>7</w:t>
      </w:r>
      <w:r w:rsidRPr="00FA4212">
        <w:rPr>
          <w:rFonts w:ascii="Verdana" w:hAnsi="Verdana"/>
          <w:sz w:val="18"/>
          <w:szCs w:val="18"/>
        </w:rPr>
        <w:t>-outgoing-</w:t>
      </w:r>
      <w:r w:rsidR="00FA4212">
        <w:rPr>
          <w:rFonts w:ascii="Verdana" w:hAnsi="Verdana"/>
          <w:sz w:val="18"/>
          <w:szCs w:val="18"/>
        </w:rPr>
        <w:t>001730</w:t>
      </w:r>
    </w:p>
    <w:p w14:paraId="667C0CF5" w14:textId="77777777" w:rsidR="00162E5B" w:rsidRPr="00217229" w:rsidRDefault="00162E5B" w:rsidP="00162E5B">
      <w:pPr>
        <w:jc w:val="right"/>
        <w:rPr>
          <w:rFonts w:ascii="Verdana" w:hAnsi="Verdana"/>
        </w:rPr>
      </w:pPr>
    </w:p>
    <w:p w14:paraId="667C0CF6" w14:textId="77777777" w:rsidR="00162E5B" w:rsidRPr="00217229" w:rsidRDefault="00162E5B" w:rsidP="00162E5B">
      <w:pPr>
        <w:jc w:val="both"/>
        <w:rPr>
          <w:rFonts w:ascii="Verdana" w:hAnsi="Verdana"/>
          <w:b/>
        </w:rPr>
      </w:pPr>
      <w:r w:rsidRPr="00217229">
        <w:rPr>
          <w:rFonts w:ascii="Verdana" w:hAnsi="Verdana"/>
          <w:b/>
        </w:rPr>
        <w:t xml:space="preserve">Subject: </w:t>
      </w:r>
      <w:r w:rsidR="003458EE">
        <w:rPr>
          <w:rFonts w:ascii="Verdana" w:hAnsi="Verdana"/>
          <w:b/>
        </w:rPr>
        <w:t>Comments on the Draft</w:t>
      </w:r>
      <w:r w:rsidR="001B0E88">
        <w:rPr>
          <w:rFonts w:ascii="Verdana" w:hAnsi="Verdana"/>
          <w:b/>
        </w:rPr>
        <w:t xml:space="preserve"> General </w:t>
      </w:r>
      <w:r w:rsidR="003458EE">
        <w:rPr>
          <w:rFonts w:ascii="Verdana" w:hAnsi="Verdana"/>
          <w:b/>
        </w:rPr>
        <w:t>Comment</w:t>
      </w:r>
      <w:r w:rsidR="001B0E88">
        <w:rPr>
          <w:rFonts w:ascii="Verdana" w:hAnsi="Verdana"/>
          <w:b/>
        </w:rPr>
        <w:t xml:space="preserve"> on the right of persons with disabilities to equality and non-discrimination</w:t>
      </w:r>
    </w:p>
    <w:p w14:paraId="667C0CF7" w14:textId="77777777" w:rsidR="00162E5B" w:rsidRPr="00217229" w:rsidRDefault="00162E5B" w:rsidP="00162E5B">
      <w:pPr>
        <w:jc w:val="both"/>
        <w:rPr>
          <w:rFonts w:ascii="Verdana" w:hAnsi="Verdana"/>
        </w:rPr>
      </w:pPr>
      <w:r w:rsidRPr="00217229">
        <w:rPr>
          <w:rFonts w:ascii="Verdana" w:hAnsi="Verdana"/>
        </w:rPr>
        <w:t xml:space="preserve">Dear </w:t>
      </w:r>
      <w:r w:rsidR="00B263BF">
        <w:rPr>
          <w:rFonts w:ascii="Verdana" w:hAnsi="Verdana"/>
        </w:rPr>
        <w:t xml:space="preserve">Ms </w:t>
      </w:r>
      <w:r w:rsidR="001B0E88">
        <w:rPr>
          <w:rFonts w:ascii="Verdana" w:hAnsi="Verdana"/>
        </w:rPr>
        <w:t>Degener</w:t>
      </w:r>
      <w:r w:rsidRPr="00217229">
        <w:rPr>
          <w:rFonts w:ascii="Verdana" w:hAnsi="Verdana"/>
        </w:rPr>
        <w:t>,</w:t>
      </w:r>
    </w:p>
    <w:p w14:paraId="667C0CF8" w14:textId="2A10DBA7" w:rsidR="00DC4781" w:rsidRDefault="00162E5B" w:rsidP="00162E5B">
      <w:pPr>
        <w:jc w:val="both"/>
        <w:rPr>
          <w:rFonts w:ascii="Verdana" w:hAnsi="Verdana"/>
        </w:rPr>
      </w:pPr>
      <w:r w:rsidRPr="00217229">
        <w:rPr>
          <w:rFonts w:ascii="Verdana" w:hAnsi="Verdana"/>
        </w:rPr>
        <w:t xml:space="preserve">The </w:t>
      </w:r>
      <w:r>
        <w:rPr>
          <w:rFonts w:ascii="Verdana" w:hAnsi="Verdana"/>
        </w:rPr>
        <w:t xml:space="preserve">European Union Agency for </w:t>
      </w:r>
      <w:r w:rsidRPr="00217229">
        <w:rPr>
          <w:rFonts w:ascii="Verdana" w:hAnsi="Verdana"/>
        </w:rPr>
        <w:t xml:space="preserve">Fundamental Rights (FRA) very much welcomes the opportunity to </w:t>
      </w:r>
      <w:r w:rsidR="003458EE">
        <w:rPr>
          <w:rFonts w:ascii="Verdana" w:hAnsi="Verdana"/>
        </w:rPr>
        <w:t>submit its</w:t>
      </w:r>
      <w:r w:rsidR="00A5425B">
        <w:rPr>
          <w:rFonts w:ascii="Verdana" w:hAnsi="Verdana"/>
        </w:rPr>
        <w:t xml:space="preserve"> comments on the CRPD Committee</w:t>
      </w:r>
      <w:r w:rsidR="00042E3B">
        <w:rPr>
          <w:rFonts w:ascii="Verdana" w:hAnsi="Verdana"/>
        </w:rPr>
        <w:t>’s</w:t>
      </w:r>
      <w:r w:rsidR="003458EE">
        <w:rPr>
          <w:rFonts w:ascii="Verdana" w:hAnsi="Verdana"/>
        </w:rPr>
        <w:t xml:space="preserve"> draft</w:t>
      </w:r>
      <w:r w:rsidR="001B0E88">
        <w:rPr>
          <w:rFonts w:ascii="Verdana" w:hAnsi="Verdana"/>
        </w:rPr>
        <w:t xml:space="preserve"> </w:t>
      </w:r>
      <w:r w:rsidR="003458EE">
        <w:rPr>
          <w:rFonts w:ascii="Verdana" w:hAnsi="Verdana"/>
        </w:rPr>
        <w:t xml:space="preserve">General Comment </w:t>
      </w:r>
      <w:r w:rsidR="001B0E88">
        <w:rPr>
          <w:rFonts w:ascii="Verdana" w:hAnsi="Verdana"/>
        </w:rPr>
        <w:t>on the right of persons with disabilities to equality and non-discrimination</w:t>
      </w:r>
      <w:r w:rsidR="003458EE">
        <w:rPr>
          <w:rFonts w:ascii="Verdana" w:hAnsi="Verdana"/>
        </w:rPr>
        <w:t xml:space="preserve"> (Article 5)</w:t>
      </w:r>
      <w:r w:rsidR="00C32BDC">
        <w:rPr>
          <w:rFonts w:ascii="Verdana" w:hAnsi="Verdana"/>
        </w:rPr>
        <w:t>.</w:t>
      </w:r>
      <w:r w:rsidR="00005C6A">
        <w:rPr>
          <w:rFonts w:ascii="Verdana" w:hAnsi="Verdana"/>
        </w:rPr>
        <w:t xml:space="preserve"> All the publications mentioned in this submission can be </w:t>
      </w:r>
      <w:hyperlink r:id="rId13" w:history="1">
        <w:r w:rsidR="00005C6A" w:rsidRPr="00005C6A">
          <w:rPr>
            <w:rStyle w:val="Hyperlink"/>
            <w:rFonts w:ascii="Verdana" w:hAnsi="Verdana"/>
          </w:rPr>
          <w:t>downloaded from the FRA website</w:t>
        </w:r>
      </w:hyperlink>
      <w:r w:rsidR="00005C6A">
        <w:rPr>
          <w:rFonts w:ascii="Verdana" w:hAnsi="Verdana"/>
        </w:rPr>
        <w:t>.</w:t>
      </w:r>
    </w:p>
    <w:p w14:paraId="667C0CF9" w14:textId="77777777" w:rsidR="001B0E88" w:rsidRDefault="001B0E88" w:rsidP="00162E5B">
      <w:pPr>
        <w:jc w:val="both"/>
        <w:rPr>
          <w:rFonts w:ascii="Verdana" w:hAnsi="Verdana"/>
          <w:b/>
        </w:rPr>
      </w:pPr>
      <w:r>
        <w:rPr>
          <w:rFonts w:ascii="Verdana" w:hAnsi="Verdana"/>
          <w:b/>
        </w:rPr>
        <w:t>Background</w:t>
      </w:r>
      <w:r w:rsidR="00DA088D">
        <w:rPr>
          <w:rFonts w:ascii="Verdana" w:hAnsi="Verdana"/>
          <w:b/>
        </w:rPr>
        <w:t xml:space="preserve"> </w:t>
      </w:r>
    </w:p>
    <w:p w14:paraId="667C0CFA" w14:textId="77777777" w:rsidR="00305BDE" w:rsidRDefault="001B0E88" w:rsidP="00305BDE">
      <w:pPr>
        <w:jc w:val="both"/>
        <w:rPr>
          <w:rFonts w:ascii="Verdana" w:hAnsi="Verdana"/>
        </w:rPr>
      </w:pPr>
      <w:r>
        <w:rPr>
          <w:rFonts w:ascii="Verdana" w:hAnsi="Verdana"/>
        </w:rPr>
        <w:t>FRA has focused extensively on the principles of equality and non-discrimination in its work on the rights of persons with disabilities.</w:t>
      </w:r>
      <w:r w:rsidR="002921FE">
        <w:rPr>
          <w:rFonts w:ascii="Verdana" w:hAnsi="Verdana"/>
        </w:rPr>
        <w:t xml:space="preserve"> A</w:t>
      </w:r>
      <w:r w:rsidR="00305BDE">
        <w:rPr>
          <w:rFonts w:ascii="Verdana" w:hAnsi="Verdana"/>
        </w:rPr>
        <w:t xml:space="preserve"> great deal of information can be found in:</w:t>
      </w:r>
    </w:p>
    <w:p w14:paraId="667C0CFB" w14:textId="77777777" w:rsidR="00305BDE" w:rsidRDefault="00305BDE" w:rsidP="00305BDE">
      <w:pPr>
        <w:pStyle w:val="ListParagraph"/>
        <w:numPr>
          <w:ilvl w:val="0"/>
          <w:numId w:val="7"/>
        </w:numPr>
        <w:jc w:val="both"/>
        <w:rPr>
          <w:rFonts w:ascii="Verdana" w:hAnsi="Verdana"/>
        </w:rPr>
      </w:pPr>
      <w:r>
        <w:rPr>
          <w:rFonts w:ascii="Verdana" w:hAnsi="Verdana"/>
        </w:rPr>
        <w:t xml:space="preserve">FRA’s annual </w:t>
      </w:r>
      <w:hyperlink r:id="rId14" w:history="1">
        <w:r w:rsidRPr="00B76738">
          <w:rPr>
            <w:rStyle w:val="Hyperlink"/>
            <w:rFonts w:ascii="Verdana" w:hAnsi="Verdana"/>
          </w:rPr>
          <w:t>Fundamental Rights Report</w:t>
        </w:r>
      </w:hyperlink>
      <w:r>
        <w:rPr>
          <w:rFonts w:ascii="Verdana" w:hAnsi="Verdana"/>
        </w:rPr>
        <w:t xml:space="preserve"> (chapters 1 and 9)</w:t>
      </w:r>
    </w:p>
    <w:p w14:paraId="667C0CFC" w14:textId="77777777" w:rsidR="00305BDE" w:rsidRDefault="00305BDE" w:rsidP="00305BDE">
      <w:pPr>
        <w:pStyle w:val="ListParagraph"/>
        <w:numPr>
          <w:ilvl w:val="0"/>
          <w:numId w:val="7"/>
        </w:numPr>
        <w:jc w:val="both"/>
        <w:rPr>
          <w:rFonts w:ascii="Verdana" w:hAnsi="Verdana"/>
        </w:rPr>
      </w:pPr>
      <w:r w:rsidRPr="00305BDE">
        <w:rPr>
          <w:rFonts w:ascii="Verdana" w:hAnsi="Verdana"/>
        </w:rPr>
        <w:t xml:space="preserve">Paper on </w:t>
      </w:r>
      <w:hyperlink r:id="rId15" w:history="1">
        <w:r w:rsidRPr="00305BDE">
          <w:rPr>
            <w:rStyle w:val="Hyperlink"/>
            <w:rFonts w:ascii="Verdana" w:hAnsi="Verdana"/>
          </w:rPr>
          <w:t>Implementing the UN CRPD – An overview of legal reforms in EU Member States</w:t>
        </w:r>
      </w:hyperlink>
    </w:p>
    <w:p w14:paraId="667C0CFD" w14:textId="77777777" w:rsidR="00305BDE" w:rsidRPr="002921FE" w:rsidRDefault="0076040D" w:rsidP="00305BDE">
      <w:pPr>
        <w:pStyle w:val="ListParagraph"/>
        <w:numPr>
          <w:ilvl w:val="0"/>
          <w:numId w:val="7"/>
        </w:numPr>
        <w:jc w:val="both"/>
        <w:rPr>
          <w:rFonts w:ascii="Verdana" w:hAnsi="Verdana"/>
        </w:rPr>
      </w:pPr>
      <w:hyperlink r:id="rId16" w:history="1">
        <w:r w:rsidR="00305BDE" w:rsidRPr="00305BDE">
          <w:rPr>
            <w:rStyle w:val="Hyperlink"/>
            <w:rFonts w:ascii="Verdana" w:hAnsi="Verdana"/>
          </w:rPr>
          <w:t>Opinion on the situation of equality in the European Union 10 years on from initial implementation of the equality directives</w:t>
        </w:r>
      </w:hyperlink>
    </w:p>
    <w:p w14:paraId="667C0CFE" w14:textId="03EE4E44" w:rsidR="002921FE" w:rsidRDefault="002921FE" w:rsidP="002921FE">
      <w:pPr>
        <w:jc w:val="both"/>
        <w:rPr>
          <w:rStyle w:val="Hyperlink"/>
          <w:rFonts w:ascii="Verdana" w:hAnsi="Verdana"/>
          <w:color w:val="auto"/>
          <w:u w:val="none"/>
        </w:rPr>
      </w:pPr>
      <w:r>
        <w:rPr>
          <w:rStyle w:val="Hyperlink"/>
          <w:rFonts w:ascii="Verdana" w:hAnsi="Verdana"/>
          <w:color w:val="auto"/>
          <w:u w:val="none"/>
        </w:rPr>
        <w:t xml:space="preserve">Additionally, </w:t>
      </w:r>
      <w:r w:rsidR="00042E3B">
        <w:rPr>
          <w:rStyle w:val="Hyperlink"/>
          <w:rFonts w:ascii="Verdana" w:hAnsi="Verdana"/>
          <w:color w:val="auto"/>
          <w:u w:val="none"/>
        </w:rPr>
        <w:t>FRA’</w:t>
      </w:r>
      <w:r w:rsidR="004E2DCC">
        <w:rPr>
          <w:rStyle w:val="Hyperlink"/>
          <w:rFonts w:ascii="Verdana" w:hAnsi="Verdana"/>
          <w:color w:val="auto"/>
          <w:u w:val="none"/>
        </w:rPr>
        <w:t xml:space="preserve">s contribution draws on </w:t>
      </w:r>
      <w:r w:rsidR="00E93B14">
        <w:rPr>
          <w:rStyle w:val="Hyperlink"/>
          <w:rFonts w:ascii="Verdana" w:hAnsi="Verdana"/>
          <w:color w:val="auto"/>
          <w:u w:val="none"/>
        </w:rPr>
        <w:t xml:space="preserve">our work in relation to the development </w:t>
      </w:r>
      <w:r w:rsidR="00E93B14">
        <w:rPr>
          <w:rFonts w:ascii="Verdana" w:hAnsi="Verdana"/>
        </w:rPr>
        <w:t xml:space="preserve">of </w:t>
      </w:r>
      <w:r w:rsidR="00E93B14" w:rsidRPr="00B350FC">
        <w:rPr>
          <w:rFonts w:ascii="Verdana" w:hAnsi="Verdana"/>
        </w:rPr>
        <w:t xml:space="preserve">human rights indicators on </w:t>
      </w:r>
      <w:hyperlink r:id="rId17" w:history="1">
        <w:r w:rsidR="00E93B14" w:rsidRPr="00FA4212">
          <w:rPr>
            <w:rStyle w:val="Hyperlink"/>
            <w:rFonts w:ascii="Verdana" w:hAnsi="Verdana"/>
          </w:rPr>
          <w:t>Article</w:t>
        </w:r>
        <w:r w:rsidR="00B350FC" w:rsidRPr="00FA4212">
          <w:rPr>
            <w:rStyle w:val="Hyperlink"/>
            <w:rFonts w:ascii="Verdana" w:hAnsi="Verdana"/>
          </w:rPr>
          <w:t>s</w:t>
        </w:r>
        <w:r w:rsidR="00E93B14" w:rsidRPr="00FA4212">
          <w:rPr>
            <w:rStyle w:val="Hyperlink"/>
            <w:rFonts w:ascii="Verdana" w:hAnsi="Verdana"/>
          </w:rPr>
          <w:t xml:space="preserve"> 19</w:t>
        </w:r>
      </w:hyperlink>
      <w:r w:rsidR="00B350FC">
        <w:rPr>
          <w:rFonts w:ascii="Verdana" w:hAnsi="Verdana"/>
        </w:rPr>
        <w:t xml:space="preserve"> and </w:t>
      </w:r>
      <w:hyperlink r:id="rId18" w:history="1">
        <w:r w:rsidR="00B350FC" w:rsidRPr="00FA4212">
          <w:rPr>
            <w:rStyle w:val="Hyperlink"/>
            <w:rFonts w:ascii="Verdana" w:hAnsi="Verdana"/>
          </w:rPr>
          <w:t xml:space="preserve">29 </w:t>
        </w:r>
        <w:r w:rsidR="00042E3B" w:rsidRPr="00FA4212">
          <w:rPr>
            <w:rStyle w:val="Hyperlink"/>
            <w:rFonts w:ascii="Verdana" w:hAnsi="Verdana"/>
          </w:rPr>
          <w:t>of the CRPD</w:t>
        </w:r>
      </w:hyperlink>
      <w:r w:rsidR="00042E3B">
        <w:rPr>
          <w:rFonts w:ascii="Verdana" w:hAnsi="Verdana"/>
        </w:rPr>
        <w:t xml:space="preserve">, </w:t>
      </w:r>
      <w:r w:rsidR="00B350FC">
        <w:rPr>
          <w:rFonts w:ascii="Verdana" w:hAnsi="Verdana"/>
        </w:rPr>
        <w:t>as well as</w:t>
      </w:r>
      <w:r w:rsidR="00E93B14">
        <w:rPr>
          <w:rStyle w:val="Hyperlink"/>
          <w:rFonts w:ascii="Verdana" w:hAnsi="Verdana"/>
          <w:color w:val="auto"/>
          <w:u w:val="none"/>
        </w:rPr>
        <w:t xml:space="preserve"> </w:t>
      </w:r>
      <w:r w:rsidR="004E2DCC">
        <w:rPr>
          <w:rStyle w:val="Hyperlink"/>
          <w:rFonts w:ascii="Verdana" w:hAnsi="Verdana"/>
          <w:color w:val="auto"/>
          <w:u w:val="none"/>
        </w:rPr>
        <w:t>findings of the Agency</w:t>
      </w:r>
      <w:r w:rsidR="00042E3B">
        <w:rPr>
          <w:rStyle w:val="Hyperlink"/>
          <w:rFonts w:ascii="Verdana" w:hAnsi="Verdana"/>
          <w:color w:val="auto"/>
          <w:u w:val="none"/>
        </w:rPr>
        <w:t>’</w:t>
      </w:r>
      <w:r w:rsidR="004E2DCC">
        <w:rPr>
          <w:rStyle w:val="Hyperlink"/>
          <w:rFonts w:ascii="Verdana" w:hAnsi="Verdana"/>
          <w:color w:val="auto"/>
          <w:u w:val="none"/>
        </w:rPr>
        <w:t xml:space="preserve">s past research in relation to the rights of of persons with </w:t>
      </w:r>
      <w:r w:rsidR="00C1422B">
        <w:rPr>
          <w:rStyle w:val="Hyperlink"/>
          <w:rFonts w:ascii="Verdana" w:hAnsi="Verdana"/>
          <w:color w:val="auto"/>
          <w:u w:val="none"/>
        </w:rPr>
        <w:t xml:space="preserve">disabilities, in particular its </w:t>
      </w:r>
      <w:r>
        <w:rPr>
          <w:rStyle w:val="Hyperlink"/>
          <w:rFonts w:ascii="Verdana" w:hAnsi="Verdana"/>
          <w:color w:val="auto"/>
          <w:u w:val="none"/>
        </w:rPr>
        <w:t>reports on:</w:t>
      </w:r>
    </w:p>
    <w:p w14:paraId="667C0CFF" w14:textId="20BCCE74" w:rsidR="002921FE" w:rsidRPr="00B350FC" w:rsidRDefault="0076040D" w:rsidP="002921FE">
      <w:pPr>
        <w:pStyle w:val="ListParagraph"/>
        <w:numPr>
          <w:ilvl w:val="0"/>
          <w:numId w:val="9"/>
        </w:numPr>
        <w:jc w:val="both"/>
        <w:rPr>
          <w:rFonts w:ascii="Verdana" w:hAnsi="Verdana"/>
        </w:rPr>
      </w:pPr>
      <w:hyperlink r:id="rId19" w:history="1">
        <w:r w:rsidR="004E2DCC" w:rsidRPr="00FA4212">
          <w:rPr>
            <w:rStyle w:val="Hyperlink"/>
            <w:rFonts w:ascii="Verdana" w:hAnsi="Verdana"/>
          </w:rPr>
          <w:t>L</w:t>
        </w:r>
        <w:r w:rsidR="002921FE" w:rsidRPr="00FA4212">
          <w:rPr>
            <w:rStyle w:val="Hyperlink"/>
            <w:rFonts w:ascii="Verdana" w:hAnsi="Verdana"/>
          </w:rPr>
          <w:t>egal protection of persons with mental health problems under non-discrimination law</w:t>
        </w:r>
      </w:hyperlink>
    </w:p>
    <w:p w14:paraId="667C0D00" w14:textId="4F73C07B" w:rsidR="002921FE" w:rsidRPr="002921FE" w:rsidRDefault="0076040D" w:rsidP="002921FE">
      <w:pPr>
        <w:pStyle w:val="ListParagraph"/>
        <w:numPr>
          <w:ilvl w:val="0"/>
          <w:numId w:val="9"/>
        </w:numPr>
        <w:jc w:val="both"/>
        <w:rPr>
          <w:rFonts w:ascii="Verdana" w:hAnsi="Verdana"/>
        </w:rPr>
      </w:pPr>
      <w:hyperlink r:id="rId20" w:history="1">
        <w:r w:rsidR="004E2DCC" w:rsidRPr="00FA4212">
          <w:rPr>
            <w:rStyle w:val="Hyperlink"/>
            <w:rFonts w:ascii="Verdana" w:hAnsi="Verdana"/>
          </w:rPr>
          <w:t>I</w:t>
        </w:r>
        <w:r w:rsidR="002921FE" w:rsidRPr="00FA4212">
          <w:rPr>
            <w:rStyle w:val="Hyperlink"/>
            <w:rFonts w:ascii="Verdana" w:hAnsi="Verdana"/>
          </w:rPr>
          <w:t>nvoluntary placement and involuntary treatment of persons with mental health problems</w:t>
        </w:r>
      </w:hyperlink>
    </w:p>
    <w:p w14:paraId="667C0D03" w14:textId="2D34E16D" w:rsidR="00EE169C" w:rsidRDefault="0076040D" w:rsidP="00130E6A">
      <w:pPr>
        <w:pStyle w:val="ListParagraph"/>
        <w:numPr>
          <w:ilvl w:val="0"/>
          <w:numId w:val="9"/>
        </w:numPr>
        <w:jc w:val="both"/>
        <w:rPr>
          <w:rFonts w:ascii="Verdana" w:hAnsi="Verdana"/>
        </w:rPr>
      </w:pPr>
      <w:hyperlink r:id="rId21" w:history="1">
        <w:r w:rsidR="004E2DCC" w:rsidRPr="00FA4212">
          <w:rPr>
            <w:rStyle w:val="Hyperlink"/>
            <w:rFonts w:ascii="Verdana" w:hAnsi="Verdana"/>
          </w:rPr>
          <w:t>Legal capacity of persons with intellectual disabilities and persons with mental health problems</w:t>
        </w:r>
      </w:hyperlink>
      <w:r w:rsidR="00DA088D" w:rsidRPr="00EE169C">
        <w:rPr>
          <w:rFonts w:ascii="Verdana" w:hAnsi="Verdana"/>
        </w:rPr>
        <w:t xml:space="preserve"> </w:t>
      </w:r>
    </w:p>
    <w:p w14:paraId="6FC952EC" w14:textId="57F8ACDF" w:rsidR="00042E3B" w:rsidRDefault="0076040D" w:rsidP="00042E3B">
      <w:pPr>
        <w:pStyle w:val="ListParagraph"/>
        <w:numPr>
          <w:ilvl w:val="0"/>
          <w:numId w:val="9"/>
        </w:numPr>
        <w:jc w:val="both"/>
        <w:rPr>
          <w:rFonts w:ascii="Verdana" w:hAnsi="Verdana"/>
        </w:rPr>
      </w:pPr>
      <w:hyperlink r:id="rId22" w:history="1">
        <w:r w:rsidR="00042E3B" w:rsidRPr="00D61F16">
          <w:rPr>
            <w:rStyle w:val="Hyperlink"/>
            <w:rFonts w:ascii="Verdana" w:hAnsi="Verdana"/>
          </w:rPr>
          <w:t>Inequalities and multiple discrimination in access to and quality of healthcare</w:t>
        </w:r>
      </w:hyperlink>
    </w:p>
    <w:p w14:paraId="77995C13" w14:textId="7233BDD5" w:rsidR="00042E3B" w:rsidRPr="00042E3B" w:rsidRDefault="0076040D" w:rsidP="00042E3B">
      <w:pPr>
        <w:pStyle w:val="ListParagraph"/>
        <w:numPr>
          <w:ilvl w:val="0"/>
          <w:numId w:val="9"/>
        </w:numPr>
        <w:jc w:val="both"/>
        <w:rPr>
          <w:rFonts w:ascii="Verdana" w:hAnsi="Verdana"/>
        </w:rPr>
      </w:pPr>
      <w:hyperlink r:id="rId23" w:history="1">
        <w:r w:rsidR="00042E3B" w:rsidRPr="00D61F16">
          <w:rPr>
            <w:rStyle w:val="Hyperlink"/>
            <w:rFonts w:ascii="Verdana" w:hAnsi="Verdana"/>
          </w:rPr>
          <w:t>Violence against children with disabilities</w:t>
        </w:r>
      </w:hyperlink>
    </w:p>
    <w:p w14:paraId="667C0D04" w14:textId="77777777" w:rsidR="00EE169C" w:rsidRDefault="00EE169C" w:rsidP="00EE169C">
      <w:pPr>
        <w:pStyle w:val="ListParagraph"/>
        <w:jc w:val="both"/>
        <w:rPr>
          <w:rFonts w:ascii="Verdana" w:hAnsi="Verdana"/>
        </w:rPr>
      </w:pPr>
    </w:p>
    <w:p w14:paraId="667C0D05" w14:textId="159D340A" w:rsidR="00130E6A" w:rsidRPr="00EE169C" w:rsidRDefault="00130E6A" w:rsidP="00A64DEB">
      <w:pPr>
        <w:jc w:val="both"/>
        <w:rPr>
          <w:rFonts w:ascii="Verdana" w:hAnsi="Verdana"/>
        </w:rPr>
      </w:pPr>
      <w:r w:rsidRPr="00EE169C">
        <w:rPr>
          <w:rFonts w:ascii="Verdana" w:hAnsi="Verdana"/>
        </w:rPr>
        <w:t xml:space="preserve">FRA </w:t>
      </w:r>
      <w:r w:rsidR="00042E3B">
        <w:rPr>
          <w:rFonts w:ascii="Verdana" w:hAnsi="Verdana"/>
        </w:rPr>
        <w:t>is</w:t>
      </w:r>
      <w:r w:rsidRPr="00EE169C">
        <w:rPr>
          <w:rFonts w:ascii="Verdana" w:hAnsi="Verdana"/>
        </w:rPr>
        <w:t xml:space="preserve"> a member of the EU Framework to promote, protect and monitor the implementation of the CRPD, </w:t>
      </w:r>
      <w:r w:rsidR="00042E3B">
        <w:rPr>
          <w:rFonts w:ascii="Verdana" w:hAnsi="Verdana"/>
        </w:rPr>
        <w:t>established under Article 33(2)</w:t>
      </w:r>
      <w:r w:rsidRPr="00EE169C">
        <w:rPr>
          <w:rFonts w:ascii="Verdana" w:hAnsi="Verdana"/>
        </w:rPr>
        <w:t xml:space="preserve">. The EU framework complements </w:t>
      </w:r>
      <w:hyperlink r:id="rId24" w:history="1">
        <w:r w:rsidRPr="00EE169C">
          <w:rPr>
            <w:rStyle w:val="Hyperlink"/>
            <w:rFonts w:ascii="Verdana" w:hAnsi="Verdana"/>
          </w:rPr>
          <w:t>national monitoring frameworks</w:t>
        </w:r>
      </w:hyperlink>
      <w:r w:rsidRPr="00EE169C">
        <w:rPr>
          <w:rFonts w:ascii="Verdana" w:hAnsi="Verdana"/>
        </w:rPr>
        <w:t xml:space="preserve"> responsible for promoting, protecting and monitoring the CRPD in EU Member States. It consists of the </w:t>
      </w:r>
      <w:hyperlink r:id="rId25" w:history="1">
        <w:r w:rsidRPr="00EE169C">
          <w:rPr>
            <w:rStyle w:val="Hyperlink"/>
            <w:rFonts w:ascii="Verdana" w:hAnsi="Verdana"/>
          </w:rPr>
          <w:t>European Parliament</w:t>
        </w:r>
      </w:hyperlink>
      <w:r w:rsidRPr="00EE169C">
        <w:rPr>
          <w:rFonts w:ascii="Verdana" w:hAnsi="Verdana"/>
        </w:rPr>
        <w:t xml:space="preserve">, the </w:t>
      </w:r>
      <w:hyperlink r:id="rId26" w:history="1">
        <w:r w:rsidRPr="00EE169C">
          <w:rPr>
            <w:rStyle w:val="Hyperlink"/>
            <w:rFonts w:ascii="Verdana" w:hAnsi="Verdana"/>
          </w:rPr>
          <w:t>European Ombudsman</w:t>
        </w:r>
      </w:hyperlink>
      <w:r w:rsidRPr="00EE169C">
        <w:rPr>
          <w:rFonts w:ascii="Verdana" w:hAnsi="Verdana"/>
        </w:rPr>
        <w:t xml:space="preserve">, the </w:t>
      </w:r>
      <w:hyperlink r:id="rId27" w:history="1">
        <w:r w:rsidRPr="00EE169C">
          <w:rPr>
            <w:rStyle w:val="Hyperlink"/>
            <w:rFonts w:ascii="Verdana" w:hAnsi="Verdana"/>
          </w:rPr>
          <w:t>European Agency for Fundamental Rights</w:t>
        </w:r>
      </w:hyperlink>
      <w:r w:rsidRPr="00EE169C">
        <w:rPr>
          <w:rFonts w:ascii="Verdana" w:hAnsi="Verdana"/>
        </w:rPr>
        <w:t xml:space="preserve"> (FRA) and the </w:t>
      </w:r>
      <w:hyperlink r:id="rId28" w:history="1">
        <w:r w:rsidRPr="00EE169C">
          <w:rPr>
            <w:rStyle w:val="Hyperlink"/>
            <w:rFonts w:ascii="Verdana" w:hAnsi="Verdana"/>
          </w:rPr>
          <w:t>European Disability Forum</w:t>
        </w:r>
      </w:hyperlink>
      <w:r w:rsidRPr="00EE169C">
        <w:rPr>
          <w:rFonts w:ascii="Verdana" w:hAnsi="Verdana"/>
        </w:rPr>
        <w:t xml:space="preserve">. More information on the EU framework’s activities can be found on its </w:t>
      </w:r>
      <w:hyperlink r:id="rId29" w:history="1">
        <w:r w:rsidRPr="00EE169C">
          <w:rPr>
            <w:rStyle w:val="Hyperlink"/>
            <w:rFonts w:ascii="Verdana" w:hAnsi="Verdana"/>
          </w:rPr>
          <w:t>webpage</w:t>
        </w:r>
      </w:hyperlink>
      <w:r w:rsidRPr="00EE169C">
        <w:rPr>
          <w:rFonts w:ascii="Verdana" w:hAnsi="Verdana"/>
        </w:rPr>
        <w:t>.</w:t>
      </w:r>
    </w:p>
    <w:p w14:paraId="2FD1FDF1" w14:textId="0241CDC6" w:rsidR="00D61F16" w:rsidRDefault="00D61F16" w:rsidP="00162E5B">
      <w:pPr>
        <w:jc w:val="both"/>
        <w:rPr>
          <w:rFonts w:ascii="Verdana" w:hAnsi="Verdana"/>
          <w:b/>
        </w:rPr>
      </w:pPr>
      <w:r>
        <w:rPr>
          <w:rFonts w:ascii="Verdana" w:hAnsi="Verdana"/>
          <w:b/>
        </w:rPr>
        <w:t>General comment on the draft General Comment on Article 5</w:t>
      </w:r>
    </w:p>
    <w:p w14:paraId="317FDAA8" w14:textId="1072A0E7" w:rsidR="00D61F16" w:rsidRDefault="00D61F16" w:rsidP="00162E5B">
      <w:pPr>
        <w:jc w:val="both"/>
        <w:rPr>
          <w:rFonts w:ascii="Verdana" w:hAnsi="Verdana"/>
          <w:color w:val="000000"/>
        </w:rPr>
      </w:pPr>
      <w:r>
        <w:rPr>
          <w:rFonts w:ascii="Verdana" w:hAnsi="Verdana" w:cs="Tahoma"/>
          <w:color w:val="000000"/>
          <w:shd w:val="clear" w:color="auto" w:fill="FFFFFF"/>
          <w:lang w:val="en-IE"/>
        </w:rPr>
        <w:t>One consistent issue emerging from FRA’s research concerns the potential for a ‘hierarchy’ of discrimination grounds, where higher levels of protection against discrimination</w:t>
      </w:r>
      <w:r w:rsidR="00171DAB">
        <w:rPr>
          <w:rFonts w:ascii="Verdana" w:hAnsi="Verdana" w:cs="Tahoma"/>
          <w:color w:val="000000"/>
          <w:shd w:val="clear" w:color="auto" w:fill="FFFFFF"/>
          <w:lang w:val="en-IE"/>
        </w:rPr>
        <w:t xml:space="preserve"> are afforded on certain grounds. For example, in the EU, protection against discrimination based on ethnicity covers more areas of life than does the protection against discrimination based on grounds such as sexual orientation, age or disability. FRA’s </w:t>
      </w:r>
      <w:hyperlink r:id="rId30" w:tgtFrame="_blank" w:history="1">
        <w:r w:rsidRPr="002B1DE3">
          <w:rPr>
            <w:rFonts w:ascii="Verdana" w:hAnsi="Verdana"/>
            <w:color w:val="0000FF"/>
            <w:u w:val="single"/>
          </w:rPr>
          <w:t>Opinion on the situation of equality in the European Union 10 years on from the initial implementation of the equality directives</w:t>
        </w:r>
      </w:hyperlink>
      <w:r w:rsidR="00171DAB">
        <w:rPr>
          <w:rFonts w:ascii="Verdana" w:hAnsi="Verdana"/>
          <w:color w:val="000000"/>
        </w:rPr>
        <w:t xml:space="preserve"> explores this issue in some depth</w:t>
      </w:r>
      <w:r w:rsidRPr="002B1DE3">
        <w:rPr>
          <w:rFonts w:ascii="Verdana" w:hAnsi="Verdana"/>
          <w:color w:val="000000"/>
        </w:rPr>
        <w:t>.</w:t>
      </w:r>
    </w:p>
    <w:p w14:paraId="18936D0D" w14:textId="33D2D6FD" w:rsidR="00171DAB" w:rsidRDefault="00171DAB" w:rsidP="00162E5B">
      <w:pPr>
        <w:jc w:val="both"/>
        <w:rPr>
          <w:rFonts w:ascii="Verdana" w:hAnsi="Verdana"/>
          <w:color w:val="000000"/>
        </w:rPr>
      </w:pPr>
      <w:r>
        <w:rPr>
          <w:rFonts w:ascii="Verdana" w:hAnsi="Verdana"/>
          <w:color w:val="000000"/>
        </w:rPr>
        <w:t>In addition, as the comments below on para. 19 indicate, in some cases not all persons with disabilities are afforded equal protection against non-discrimination.</w:t>
      </w:r>
    </w:p>
    <w:p w14:paraId="4CB924C6" w14:textId="77777777" w:rsidR="00171DAB" w:rsidRDefault="00171DAB" w:rsidP="00162E5B">
      <w:pPr>
        <w:jc w:val="both"/>
        <w:rPr>
          <w:rFonts w:ascii="Verdana" w:hAnsi="Verdana"/>
          <w:color w:val="000000"/>
        </w:rPr>
      </w:pPr>
      <w:r>
        <w:rPr>
          <w:rFonts w:ascii="Verdana" w:hAnsi="Verdana"/>
          <w:color w:val="000000"/>
        </w:rPr>
        <w:t xml:space="preserve">The General Comment could specifically address this issue by: </w:t>
      </w:r>
    </w:p>
    <w:p w14:paraId="3A8E87D2" w14:textId="75C4A169" w:rsidR="00171DAB" w:rsidRPr="003D5EFE" w:rsidRDefault="00171DAB" w:rsidP="003D5EFE">
      <w:pPr>
        <w:pStyle w:val="ListParagraph"/>
        <w:numPr>
          <w:ilvl w:val="0"/>
          <w:numId w:val="13"/>
        </w:numPr>
        <w:jc w:val="both"/>
        <w:rPr>
          <w:rFonts w:ascii="Verdana" w:hAnsi="Verdana" w:cs="Tahoma"/>
          <w:color w:val="000000"/>
          <w:shd w:val="clear" w:color="auto" w:fill="FFFFFF"/>
          <w:lang w:val="en-IE"/>
        </w:rPr>
      </w:pPr>
      <w:r w:rsidRPr="003D5EFE">
        <w:rPr>
          <w:rFonts w:ascii="Verdana" w:hAnsi="Verdana"/>
          <w:color w:val="000000"/>
        </w:rPr>
        <w:t>reinforcing para. 76 (d) by mentioning earlier the importance of ensuring that legal protections against discrimination on the grounds of disability are of an equivalent depth and breadth to protections against discrimination on other protected grounds.</w:t>
      </w:r>
    </w:p>
    <w:p w14:paraId="7CD352B8" w14:textId="26BCED2C" w:rsidR="00171DAB" w:rsidRPr="003D5EFE" w:rsidRDefault="00171DAB" w:rsidP="003D5EFE">
      <w:pPr>
        <w:pStyle w:val="ListParagraph"/>
        <w:numPr>
          <w:ilvl w:val="0"/>
          <w:numId w:val="13"/>
        </w:numPr>
        <w:jc w:val="both"/>
        <w:rPr>
          <w:rFonts w:ascii="Verdana" w:hAnsi="Verdana" w:cs="Tahoma"/>
          <w:color w:val="000000"/>
          <w:shd w:val="clear" w:color="auto" w:fill="FFFFFF"/>
          <w:lang w:val="en-IE"/>
        </w:rPr>
      </w:pPr>
      <w:r>
        <w:rPr>
          <w:rFonts w:ascii="Verdana" w:hAnsi="Verdana"/>
          <w:color w:val="000000"/>
        </w:rPr>
        <w:t>Specifying that all non-discrimination provisions should apply equally to all persons with disabilities, irrespective of type or severity of impairment.</w:t>
      </w:r>
    </w:p>
    <w:p w14:paraId="08CD1B71" w14:textId="4D531EFC" w:rsidR="00D61F16" w:rsidRPr="003D5EFE" w:rsidRDefault="00712666" w:rsidP="00162E5B">
      <w:pPr>
        <w:jc w:val="both"/>
        <w:rPr>
          <w:rFonts w:ascii="Verdana" w:hAnsi="Verdana" w:cs="Tahoma"/>
          <w:color w:val="000000"/>
          <w:shd w:val="clear" w:color="auto" w:fill="FFFFFF"/>
          <w:lang w:val="en-IE"/>
        </w:rPr>
      </w:pPr>
      <w:r>
        <w:rPr>
          <w:rFonts w:ascii="Verdana" w:hAnsi="Verdana" w:cs="Tahoma"/>
          <w:color w:val="000000"/>
          <w:shd w:val="clear" w:color="auto" w:fill="FFFFFF"/>
          <w:lang w:val="en-IE"/>
        </w:rPr>
        <w:t>At several points, the draft General Comment makes reference to the particular discrimination faced by certain groups of persons with disabilities. T</w:t>
      </w:r>
      <w:r w:rsidR="00D61F16" w:rsidRPr="002B1DE3">
        <w:rPr>
          <w:rFonts w:ascii="Verdana" w:hAnsi="Verdana" w:cs="Tahoma"/>
          <w:color w:val="000000"/>
          <w:shd w:val="clear" w:color="auto" w:fill="FFFFFF"/>
          <w:lang w:val="en-IE"/>
        </w:rPr>
        <w:t xml:space="preserve">o ensure </w:t>
      </w:r>
      <w:r>
        <w:rPr>
          <w:rFonts w:ascii="Verdana" w:hAnsi="Verdana" w:cs="Tahoma"/>
          <w:color w:val="000000"/>
          <w:shd w:val="clear" w:color="auto" w:fill="FFFFFF"/>
          <w:lang w:val="en-IE"/>
        </w:rPr>
        <w:t>an inclusive approach to</w:t>
      </w:r>
      <w:r w:rsidR="00D61F16" w:rsidRPr="002B1DE3">
        <w:rPr>
          <w:rFonts w:ascii="Verdana" w:hAnsi="Verdana" w:cs="Tahoma"/>
          <w:color w:val="000000"/>
          <w:shd w:val="clear" w:color="auto" w:fill="FFFFFF"/>
          <w:lang w:val="en-IE"/>
        </w:rPr>
        <w:t xml:space="preserve"> social groups, FRA suggests that </w:t>
      </w:r>
      <w:r>
        <w:rPr>
          <w:rFonts w:ascii="Verdana" w:hAnsi="Verdana" w:cs="Tahoma"/>
          <w:color w:val="000000"/>
          <w:shd w:val="clear" w:color="auto" w:fill="FFFFFF"/>
          <w:lang w:val="en-IE"/>
        </w:rPr>
        <w:t xml:space="preserve">the groups mentioned be broadened, based on </w:t>
      </w:r>
      <w:r w:rsidR="00D61F16" w:rsidRPr="002B1DE3">
        <w:rPr>
          <w:rFonts w:ascii="Verdana" w:hAnsi="Verdana" w:cs="Tahoma"/>
          <w:color w:val="000000"/>
          <w:shd w:val="clear" w:color="auto" w:fill="FFFFFF"/>
          <w:lang w:val="en-IE"/>
        </w:rPr>
        <w:t xml:space="preserve">the the extensive list of </w:t>
      </w:r>
      <w:r>
        <w:rPr>
          <w:rFonts w:ascii="Verdana" w:hAnsi="Verdana" w:cs="Tahoma"/>
          <w:color w:val="000000"/>
          <w:shd w:val="clear" w:color="auto" w:fill="FFFFFF"/>
          <w:lang w:val="en-IE"/>
        </w:rPr>
        <w:t xml:space="preserve">discrimination </w:t>
      </w:r>
      <w:r w:rsidR="00D61F16" w:rsidRPr="002B1DE3">
        <w:rPr>
          <w:rFonts w:ascii="Verdana" w:hAnsi="Verdana" w:cs="Tahoma"/>
          <w:color w:val="000000"/>
          <w:shd w:val="clear" w:color="auto" w:fill="FFFFFF"/>
          <w:lang w:val="en-IE"/>
        </w:rPr>
        <w:t>grounds provided in para. 22.</w:t>
      </w:r>
    </w:p>
    <w:p w14:paraId="45A50A53" w14:textId="22AFD8DA" w:rsidR="00D61F16" w:rsidRDefault="001B0E88" w:rsidP="00162E5B">
      <w:pPr>
        <w:jc w:val="both"/>
        <w:rPr>
          <w:rFonts w:ascii="Verdana" w:hAnsi="Verdana"/>
          <w:b/>
        </w:rPr>
      </w:pPr>
      <w:r>
        <w:rPr>
          <w:rFonts w:ascii="Verdana" w:hAnsi="Verdana"/>
          <w:b/>
        </w:rPr>
        <w:t xml:space="preserve">Comments on </w:t>
      </w:r>
      <w:r w:rsidR="00D61F16">
        <w:rPr>
          <w:rFonts w:ascii="Verdana" w:hAnsi="Verdana"/>
          <w:b/>
        </w:rPr>
        <w:t xml:space="preserve">specific paragraphs of </w:t>
      </w:r>
      <w:r>
        <w:rPr>
          <w:rFonts w:ascii="Verdana" w:hAnsi="Verdana"/>
          <w:b/>
        </w:rPr>
        <w:t xml:space="preserve">the draft </w:t>
      </w:r>
      <w:r w:rsidR="001C5BB0">
        <w:rPr>
          <w:rFonts w:ascii="Verdana" w:hAnsi="Verdana"/>
          <w:b/>
        </w:rPr>
        <w:t>G</w:t>
      </w:r>
      <w:r>
        <w:rPr>
          <w:rFonts w:ascii="Verdana" w:hAnsi="Verdana"/>
          <w:b/>
        </w:rPr>
        <w:t xml:space="preserve">eneral </w:t>
      </w:r>
      <w:r w:rsidR="001C5BB0">
        <w:rPr>
          <w:rFonts w:ascii="Verdana" w:hAnsi="Verdana"/>
          <w:b/>
        </w:rPr>
        <w:t>C</w:t>
      </w:r>
      <w:r>
        <w:rPr>
          <w:rFonts w:ascii="Verdana" w:hAnsi="Verdana"/>
          <w:b/>
        </w:rPr>
        <w:t>omment</w:t>
      </w:r>
      <w:r w:rsidR="004443A4">
        <w:rPr>
          <w:rFonts w:ascii="Verdana" w:hAnsi="Verdana"/>
          <w:b/>
        </w:rPr>
        <w:t xml:space="preserve"> on </w:t>
      </w:r>
      <w:r w:rsidR="00D61F16">
        <w:rPr>
          <w:rFonts w:ascii="Verdana" w:hAnsi="Verdana"/>
          <w:b/>
        </w:rPr>
        <w:t>Article </w:t>
      </w:r>
      <w:r w:rsidR="004443A4">
        <w:rPr>
          <w:rFonts w:ascii="Verdana" w:hAnsi="Verdana"/>
          <w:b/>
        </w:rPr>
        <w:t>5</w:t>
      </w:r>
    </w:p>
    <w:p w14:paraId="667C0D07" w14:textId="77777777" w:rsidR="009768CE" w:rsidRPr="000B46AA" w:rsidRDefault="009768CE" w:rsidP="000B46AA">
      <w:pPr>
        <w:pStyle w:val="ListParagraph"/>
        <w:numPr>
          <w:ilvl w:val="0"/>
          <w:numId w:val="10"/>
        </w:numPr>
        <w:jc w:val="both"/>
        <w:rPr>
          <w:rFonts w:ascii="Verdana" w:hAnsi="Verdana"/>
          <w:b/>
        </w:rPr>
      </w:pPr>
      <w:r w:rsidRPr="000B46AA">
        <w:rPr>
          <w:rFonts w:ascii="Verdana" w:hAnsi="Verdana"/>
          <w:b/>
        </w:rPr>
        <w:t>Introduction</w:t>
      </w:r>
    </w:p>
    <w:p w14:paraId="667C0D08" w14:textId="4394C6C7" w:rsidR="00772E4D" w:rsidRPr="00C4793A" w:rsidRDefault="00772E4D" w:rsidP="00772E4D">
      <w:pPr>
        <w:jc w:val="both"/>
        <w:rPr>
          <w:rFonts w:ascii="Verdana" w:hAnsi="Verdana"/>
        </w:rPr>
      </w:pPr>
      <w:r w:rsidRPr="00C4793A">
        <w:rPr>
          <w:rFonts w:ascii="Verdana" w:hAnsi="Verdana"/>
        </w:rPr>
        <w:t xml:space="preserve">One of the significant changes prompted by the CRPD is that it introduces equality and non-discrimination principles into areas of law and policy where they were not previously considered. FRA has consistently highlighted the importance </w:t>
      </w:r>
      <w:r w:rsidR="00042E3B">
        <w:rPr>
          <w:rFonts w:ascii="Verdana" w:hAnsi="Verdana"/>
        </w:rPr>
        <w:t>of</w:t>
      </w:r>
      <w:r w:rsidRPr="00C4793A">
        <w:rPr>
          <w:rFonts w:ascii="Verdana" w:hAnsi="Verdana"/>
        </w:rPr>
        <w:t xml:space="preserve"> focus</w:t>
      </w:r>
      <w:r w:rsidR="00042E3B">
        <w:rPr>
          <w:rFonts w:ascii="Verdana" w:hAnsi="Verdana"/>
        </w:rPr>
        <w:t>ing</w:t>
      </w:r>
      <w:r w:rsidRPr="00C4793A">
        <w:rPr>
          <w:rFonts w:ascii="Verdana" w:hAnsi="Verdana"/>
        </w:rPr>
        <w:t xml:space="preserve"> on ensuring that people with disabilities are treated on an equal basis with others, in particular in specific processes examined in the Agency’s reports on </w:t>
      </w:r>
      <w:hyperlink r:id="rId31" w:history="1">
        <w:r w:rsidRPr="00C4793A">
          <w:rPr>
            <w:rStyle w:val="Hyperlink"/>
            <w:rFonts w:ascii="Verdana" w:hAnsi="Verdana"/>
          </w:rPr>
          <w:t>legal capacity</w:t>
        </w:r>
      </w:hyperlink>
      <w:r w:rsidRPr="00C4793A">
        <w:rPr>
          <w:rFonts w:ascii="Verdana" w:hAnsi="Verdana"/>
        </w:rPr>
        <w:t xml:space="preserve"> and </w:t>
      </w:r>
      <w:hyperlink r:id="rId32" w:history="1">
        <w:r w:rsidRPr="00C4793A">
          <w:rPr>
            <w:rStyle w:val="Hyperlink"/>
            <w:rFonts w:ascii="Verdana" w:hAnsi="Verdana"/>
          </w:rPr>
          <w:t>involuntary placement and treatment</w:t>
        </w:r>
      </w:hyperlink>
      <w:r w:rsidRPr="00C4793A">
        <w:rPr>
          <w:rFonts w:ascii="Verdana" w:hAnsi="Verdana"/>
        </w:rPr>
        <w:t xml:space="preserve">. </w:t>
      </w:r>
    </w:p>
    <w:p w14:paraId="667C0D09" w14:textId="394BD42C" w:rsidR="000B46AA" w:rsidRDefault="00772E4D" w:rsidP="00772E4D">
      <w:pPr>
        <w:jc w:val="both"/>
        <w:rPr>
          <w:rFonts w:ascii="Verdana" w:hAnsi="Verdana"/>
        </w:rPr>
      </w:pPr>
      <w:r w:rsidRPr="00C4793A">
        <w:rPr>
          <w:rFonts w:ascii="Verdana" w:hAnsi="Verdana"/>
        </w:rPr>
        <w:t xml:space="preserve">The introduction to the draft General Comment could therefore highlight that the concept of equality and non-discrimination set out in Articles 3 and 5 of the CRPD </w:t>
      </w:r>
      <w:r w:rsidRPr="00C4793A">
        <w:rPr>
          <w:rFonts w:ascii="Verdana" w:hAnsi="Verdana"/>
        </w:rPr>
        <w:lastRenderedPageBreak/>
        <w:t xml:space="preserve">requires a shift in traditional approaches in many </w:t>
      </w:r>
      <w:r w:rsidR="00042E3B">
        <w:rPr>
          <w:rFonts w:ascii="Verdana" w:hAnsi="Verdana"/>
        </w:rPr>
        <w:t>areas of law and policy</w:t>
      </w:r>
      <w:r w:rsidRPr="00C4793A">
        <w:rPr>
          <w:rFonts w:ascii="Verdana" w:hAnsi="Verdana"/>
        </w:rPr>
        <w:t xml:space="preserve"> addressing persons with disabilities</w:t>
      </w:r>
      <w:r w:rsidR="00C4757F">
        <w:rPr>
          <w:rFonts w:ascii="Verdana" w:hAnsi="Verdana"/>
        </w:rPr>
        <w:t>.</w:t>
      </w:r>
    </w:p>
    <w:p w14:paraId="667C0D0A" w14:textId="77777777" w:rsidR="000B46AA" w:rsidRPr="000B46AA" w:rsidRDefault="000B46AA" w:rsidP="000B46AA">
      <w:pPr>
        <w:pStyle w:val="ListParagraph"/>
        <w:numPr>
          <w:ilvl w:val="0"/>
          <w:numId w:val="10"/>
        </w:numPr>
        <w:jc w:val="both"/>
        <w:rPr>
          <w:rFonts w:ascii="Verdana" w:hAnsi="Verdana"/>
          <w:b/>
        </w:rPr>
      </w:pPr>
      <w:r w:rsidRPr="000B46AA">
        <w:rPr>
          <w:rFonts w:ascii="Verdana" w:hAnsi="Verdana"/>
          <w:b/>
        </w:rPr>
        <w:t>Equality and non-discrimination for persons with disabilities in international law</w:t>
      </w:r>
    </w:p>
    <w:p w14:paraId="667C0D0B" w14:textId="77777777" w:rsidR="00305BDE" w:rsidRDefault="00B350FC" w:rsidP="00B350FC">
      <w:pPr>
        <w:jc w:val="both"/>
        <w:rPr>
          <w:rFonts w:ascii="Verdana" w:hAnsi="Verdana"/>
          <w:b/>
        </w:rPr>
      </w:pPr>
      <w:r>
        <w:rPr>
          <w:rFonts w:ascii="Verdana" w:hAnsi="Verdana"/>
          <w:b/>
        </w:rPr>
        <w:t xml:space="preserve">Para. </w:t>
      </w:r>
      <w:r w:rsidR="00654541">
        <w:rPr>
          <w:rFonts w:ascii="Verdana" w:hAnsi="Verdana"/>
          <w:b/>
        </w:rPr>
        <w:t>6</w:t>
      </w:r>
    </w:p>
    <w:p w14:paraId="667C0D0C" w14:textId="1E5A0CE4" w:rsidR="00B350FC" w:rsidRDefault="002907C9" w:rsidP="00B350FC">
      <w:pPr>
        <w:jc w:val="both"/>
        <w:rPr>
          <w:rFonts w:ascii="Verdana" w:hAnsi="Verdana"/>
        </w:rPr>
      </w:pPr>
      <w:r>
        <w:rPr>
          <w:rFonts w:ascii="Verdana" w:hAnsi="Verdana"/>
        </w:rPr>
        <w:t xml:space="preserve">The draft General Comment </w:t>
      </w:r>
      <w:r w:rsidR="00405724">
        <w:rPr>
          <w:rFonts w:ascii="Verdana" w:hAnsi="Verdana"/>
        </w:rPr>
        <w:t>makes numerous references to multiple and intersectional discrimination. Para. 6  could specifically acknowledge that the CRPD is the first core human rights convention to include these concepts.</w:t>
      </w:r>
    </w:p>
    <w:p w14:paraId="667C0D0E" w14:textId="77777777" w:rsidR="000B46AA" w:rsidRPr="000B46AA" w:rsidRDefault="000B46AA" w:rsidP="000B46AA">
      <w:pPr>
        <w:pStyle w:val="ListParagraph"/>
        <w:numPr>
          <w:ilvl w:val="0"/>
          <w:numId w:val="10"/>
        </w:numPr>
        <w:jc w:val="both"/>
        <w:rPr>
          <w:rFonts w:ascii="Verdana" w:hAnsi="Verdana"/>
          <w:b/>
        </w:rPr>
      </w:pPr>
      <w:r w:rsidRPr="000B46AA">
        <w:rPr>
          <w:rFonts w:ascii="Verdana" w:hAnsi="Verdana"/>
          <w:b/>
        </w:rPr>
        <w:t>The history of article 5 and article 2 of the Convention and the human rights model of disability</w:t>
      </w:r>
    </w:p>
    <w:p w14:paraId="667C0D0F" w14:textId="77777777" w:rsidR="00654541" w:rsidRPr="00654541" w:rsidRDefault="00654541" w:rsidP="00E91A77">
      <w:pPr>
        <w:jc w:val="both"/>
        <w:rPr>
          <w:rFonts w:ascii="Verdana" w:hAnsi="Verdana"/>
          <w:b/>
        </w:rPr>
      </w:pPr>
      <w:r w:rsidRPr="00654541">
        <w:rPr>
          <w:rFonts w:ascii="Verdana" w:hAnsi="Verdana"/>
          <w:b/>
        </w:rPr>
        <w:t>P</w:t>
      </w:r>
      <w:r>
        <w:rPr>
          <w:rFonts w:ascii="Verdana" w:hAnsi="Verdana"/>
          <w:b/>
        </w:rPr>
        <w:t>ara</w:t>
      </w:r>
      <w:r w:rsidR="0080178A">
        <w:rPr>
          <w:rFonts w:ascii="Verdana" w:hAnsi="Verdana"/>
          <w:b/>
        </w:rPr>
        <w:t>s</w:t>
      </w:r>
      <w:r>
        <w:rPr>
          <w:rFonts w:ascii="Verdana" w:hAnsi="Verdana"/>
          <w:b/>
        </w:rPr>
        <w:t>. 10</w:t>
      </w:r>
      <w:r w:rsidR="0080178A">
        <w:rPr>
          <w:rFonts w:ascii="Verdana" w:hAnsi="Verdana"/>
          <w:b/>
        </w:rPr>
        <w:t xml:space="preserve"> and 11</w:t>
      </w:r>
    </w:p>
    <w:p w14:paraId="667C0D10" w14:textId="37930038" w:rsidR="00E942D3" w:rsidRDefault="00CB3A1D" w:rsidP="00E942D3">
      <w:pPr>
        <w:jc w:val="both"/>
        <w:rPr>
          <w:rFonts w:ascii="Verdana" w:hAnsi="Verdana"/>
        </w:rPr>
      </w:pPr>
      <w:r>
        <w:rPr>
          <w:rFonts w:ascii="Verdana" w:hAnsi="Verdana"/>
        </w:rPr>
        <w:t>The draft General Co</w:t>
      </w:r>
      <w:r w:rsidR="0065666A">
        <w:rPr>
          <w:rFonts w:ascii="Verdana" w:hAnsi="Verdana"/>
        </w:rPr>
        <w:t>mment introduces the notion of ‘inclusive equality’</w:t>
      </w:r>
      <w:r w:rsidR="00E942D3">
        <w:rPr>
          <w:rFonts w:ascii="Verdana" w:hAnsi="Verdana"/>
        </w:rPr>
        <w:t>. I</w:t>
      </w:r>
      <w:r>
        <w:rPr>
          <w:rFonts w:ascii="Verdana" w:hAnsi="Verdana"/>
        </w:rPr>
        <w:t>t would be useful to clarify</w:t>
      </w:r>
      <w:r w:rsidR="00800BE5">
        <w:rPr>
          <w:rFonts w:ascii="Verdana" w:hAnsi="Verdana"/>
        </w:rPr>
        <w:t xml:space="preserve"> </w:t>
      </w:r>
      <w:r w:rsidR="00E942D3">
        <w:rPr>
          <w:rFonts w:ascii="Verdana" w:hAnsi="Verdana"/>
        </w:rPr>
        <w:t xml:space="preserve">the distinction between that term and the notion of </w:t>
      </w:r>
      <w:r w:rsidR="00800BE5">
        <w:rPr>
          <w:rFonts w:ascii="Verdana" w:hAnsi="Verdana"/>
        </w:rPr>
        <w:t xml:space="preserve"> </w:t>
      </w:r>
      <w:r w:rsidR="00E942D3">
        <w:rPr>
          <w:rFonts w:ascii="Verdana" w:hAnsi="Verdana"/>
        </w:rPr>
        <w:t xml:space="preserve">‘transformative  equality’ as the </w:t>
      </w:r>
      <w:r w:rsidR="0065666A">
        <w:rPr>
          <w:rFonts w:ascii="Verdana" w:hAnsi="Verdana"/>
        </w:rPr>
        <w:t>draft currently speaks at various points of</w:t>
      </w:r>
      <w:r w:rsidR="00E942D3">
        <w:rPr>
          <w:rFonts w:ascii="Verdana" w:hAnsi="Verdana"/>
        </w:rPr>
        <w:t xml:space="preserve">          ‘transformative or inclusive equality’, ‘transformative or inclusive model of equality’ and ‘inclusive equality’. Consistency of terminology </w:t>
      </w:r>
      <w:r w:rsidR="00405724">
        <w:rPr>
          <w:rFonts w:ascii="Verdana" w:hAnsi="Verdana"/>
        </w:rPr>
        <w:t xml:space="preserve">would </w:t>
      </w:r>
      <w:r w:rsidR="00E942D3">
        <w:rPr>
          <w:rFonts w:ascii="Verdana" w:hAnsi="Verdana"/>
        </w:rPr>
        <w:t>help to ensure conceptual and operational clarity.</w:t>
      </w:r>
    </w:p>
    <w:p w14:paraId="3FC51B7A" w14:textId="2D21CA70" w:rsidR="00405724" w:rsidRDefault="00405724" w:rsidP="00E942D3">
      <w:pPr>
        <w:jc w:val="both"/>
        <w:rPr>
          <w:rFonts w:ascii="Verdana" w:hAnsi="Verdana"/>
        </w:rPr>
      </w:pPr>
      <w:r>
        <w:rPr>
          <w:rFonts w:ascii="Verdana" w:hAnsi="Verdana"/>
        </w:rPr>
        <w:t xml:space="preserve">If the substantive meaning of ‘inclusive equality’ is the same as that of ‘transformative equality’, the Committee could consider simplifying the text by referring only to ‘transformative equality’. This would also contribute to ensuring consistency across the UN treaty bodies, </w:t>
      </w:r>
      <w:r w:rsidR="009B3287">
        <w:rPr>
          <w:rFonts w:ascii="Verdana" w:hAnsi="Verdana"/>
        </w:rPr>
        <w:t>mirroring</w:t>
      </w:r>
      <w:r>
        <w:rPr>
          <w:rFonts w:ascii="Verdana" w:hAnsi="Verdana"/>
        </w:rPr>
        <w:t xml:space="preserve"> the language used by the CEDAW Committee.</w:t>
      </w:r>
    </w:p>
    <w:p w14:paraId="667C0D11" w14:textId="77777777" w:rsidR="000B46AA" w:rsidRPr="000B46AA" w:rsidRDefault="000B46AA" w:rsidP="000B46AA">
      <w:pPr>
        <w:pStyle w:val="ListParagraph"/>
        <w:numPr>
          <w:ilvl w:val="0"/>
          <w:numId w:val="10"/>
        </w:numPr>
        <w:jc w:val="both"/>
        <w:rPr>
          <w:rFonts w:ascii="Verdana" w:hAnsi="Verdana"/>
          <w:b/>
        </w:rPr>
      </w:pPr>
      <w:r w:rsidRPr="000B46AA">
        <w:rPr>
          <w:rFonts w:ascii="Verdana" w:hAnsi="Verdana"/>
          <w:b/>
        </w:rPr>
        <w:t>Legal character of non-discrimination and equality</w:t>
      </w:r>
    </w:p>
    <w:p w14:paraId="667C0D12" w14:textId="77777777" w:rsidR="00E91A77" w:rsidRDefault="00DA088D" w:rsidP="002907C9">
      <w:pPr>
        <w:jc w:val="both"/>
        <w:rPr>
          <w:rFonts w:ascii="Verdana" w:hAnsi="Verdana"/>
          <w:b/>
        </w:rPr>
      </w:pPr>
      <w:r>
        <w:rPr>
          <w:rFonts w:ascii="Verdana" w:hAnsi="Verdana"/>
          <w:b/>
        </w:rPr>
        <w:t>Para. 13</w:t>
      </w:r>
    </w:p>
    <w:p w14:paraId="667C0D13" w14:textId="5AB59218" w:rsidR="00E91A77" w:rsidRDefault="009B3287" w:rsidP="00ED7F22">
      <w:pPr>
        <w:jc w:val="both"/>
        <w:rPr>
          <w:rFonts w:ascii="Verdana" w:hAnsi="Verdana"/>
        </w:rPr>
      </w:pPr>
      <w:r>
        <w:rPr>
          <w:rFonts w:ascii="Verdana" w:hAnsi="Verdana"/>
        </w:rPr>
        <w:t xml:space="preserve">This paragraph could more explicitly highlight that the CRPD requires </w:t>
      </w:r>
      <w:r w:rsidR="00ED7F22">
        <w:rPr>
          <w:rFonts w:ascii="Verdana" w:hAnsi="Verdana"/>
        </w:rPr>
        <w:t>other rights to be interpreted from a non-discrimination prespective</w:t>
      </w:r>
      <w:r>
        <w:rPr>
          <w:rFonts w:ascii="Verdana" w:hAnsi="Verdana"/>
        </w:rPr>
        <w:t>. This marks a significant change from previous approaches, and represents one of the transformative aspects of the convention (see comments on the introduction above)</w:t>
      </w:r>
      <w:r w:rsidR="00ED7F22">
        <w:rPr>
          <w:rFonts w:ascii="Verdana" w:hAnsi="Verdana"/>
        </w:rPr>
        <w:t>.</w:t>
      </w:r>
    </w:p>
    <w:p w14:paraId="667C0D14" w14:textId="77777777" w:rsidR="009768CE" w:rsidRDefault="00194657" w:rsidP="00604ACD">
      <w:pPr>
        <w:pStyle w:val="ListParagraph"/>
        <w:numPr>
          <w:ilvl w:val="0"/>
          <w:numId w:val="10"/>
        </w:numPr>
        <w:jc w:val="both"/>
        <w:rPr>
          <w:rFonts w:ascii="Verdana" w:hAnsi="Verdana"/>
          <w:b/>
        </w:rPr>
      </w:pPr>
      <w:r>
        <w:rPr>
          <w:rFonts w:ascii="Verdana" w:hAnsi="Verdana"/>
          <w:b/>
        </w:rPr>
        <w:t>Normative  Content</w:t>
      </w:r>
    </w:p>
    <w:p w14:paraId="589EC4E3" w14:textId="77777777" w:rsidR="00171DAB" w:rsidRDefault="00171DAB" w:rsidP="00171DAB">
      <w:pPr>
        <w:jc w:val="both"/>
        <w:rPr>
          <w:rFonts w:ascii="Verdana" w:hAnsi="Verdana"/>
          <w:b/>
        </w:rPr>
      </w:pPr>
      <w:r>
        <w:rPr>
          <w:rFonts w:ascii="Verdana" w:hAnsi="Verdana"/>
          <w:b/>
        </w:rPr>
        <w:t>Para. 19 (also section VIII. Implementation at national level)</w:t>
      </w:r>
    </w:p>
    <w:p w14:paraId="5DF42C74" w14:textId="77777777" w:rsidR="00171DAB" w:rsidRDefault="00171DAB" w:rsidP="00171DAB">
      <w:pPr>
        <w:jc w:val="both"/>
        <w:rPr>
          <w:rFonts w:ascii="Verdana" w:hAnsi="Verdana"/>
        </w:rPr>
      </w:pPr>
      <w:r>
        <w:rPr>
          <w:rFonts w:ascii="Verdana" w:hAnsi="Verdana"/>
        </w:rPr>
        <w:t xml:space="preserve">Evidence suggests that mental health problems are not automatically considered as disabilities in some legislation. FRA suggests that the General Comment includes reference to the issue of the scope of non-discrimination and reasonable accommodation provisions, including whether they apply equally to all persons with disabilities. </w:t>
      </w:r>
    </w:p>
    <w:p w14:paraId="7B5A3EDF" w14:textId="77777777" w:rsidR="00171DAB" w:rsidRDefault="00171DAB" w:rsidP="00171DAB">
      <w:pPr>
        <w:jc w:val="both"/>
        <w:rPr>
          <w:rFonts w:ascii="Verdana" w:hAnsi="Verdana"/>
        </w:rPr>
      </w:pPr>
      <w:r>
        <w:rPr>
          <w:rFonts w:ascii="Verdana" w:hAnsi="Verdana"/>
        </w:rPr>
        <w:t xml:space="preserve">The Committee could draw on FRA’s </w:t>
      </w:r>
      <w:hyperlink r:id="rId33" w:history="1">
        <w:r w:rsidRPr="00B94BA6">
          <w:rPr>
            <w:rStyle w:val="Hyperlink"/>
            <w:rFonts w:ascii="Verdana" w:hAnsi="Verdana"/>
          </w:rPr>
          <w:t>report on the legal protection of persons with mental health problems under non-discrimination law</w:t>
        </w:r>
      </w:hyperlink>
      <w:r>
        <w:rPr>
          <w:rFonts w:ascii="Verdana" w:hAnsi="Verdana"/>
        </w:rPr>
        <w:t xml:space="preserve">, which discusses whether persons with mental health problems (psychosocial disabilities) are protected against discrimination on the grounds of disability. It also highlights that the duty of reasonable accommodation sometimes applies to a different group of persons </w:t>
      </w:r>
      <w:r>
        <w:rPr>
          <w:rFonts w:ascii="Verdana" w:hAnsi="Verdana"/>
        </w:rPr>
        <w:lastRenderedPageBreak/>
        <w:t xml:space="preserve">than the prohibition of discrimination on the grounds of disability, potentially excluding persons with mental health problems. </w:t>
      </w:r>
    </w:p>
    <w:p w14:paraId="667C0D15" w14:textId="77777777" w:rsidR="00ED7F22" w:rsidRDefault="00ED7F22" w:rsidP="00ED7F22">
      <w:pPr>
        <w:jc w:val="both"/>
        <w:rPr>
          <w:rFonts w:ascii="Verdana" w:hAnsi="Verdana"/>
          <w:b/>
        </w:rPr>
      </w:pPr>
      <w:r w:rsidRPr="00ED7F22">
        <w:rPr>
          <w:rFonts w:ascii="Verdana" w:hAnsi="Verdana"/>
          <w:b/>
        </w:rPr>
        <w:t>Para</w:t>
      </w:r>
      <w:r>
        <w:rPr>
          <w:rFonts w:ascii="Verdana" w:hAnsi="Verdana"/>
          <w:b/>
        </w:rPr>
        <w:t>s.</w:t>
      </w:r>
      <w:r w:rsidRPr="00ED7F22">
        <w:rPr>
          <w:rFonts w:ascii="Verdana" w:hAnsi="Verdana"/>
          <w:b/>
        </w:rPr>
        <w:t xml:space="preserve"> 20 (e)</w:t>
      </w:r>
      <w:r w:rsidR="000F005F">
        <w:rPr>
          <w:rFonts w:ascii="Verdana" w:hAnsi="Verdana"/>
          <w:b/>
        </w:rPr>
        <w:t>,</w:t>
      </w:r>
      <w:r>
        <w:rPr>
          <w:rFonts w:ascii="Verdana" w:hAnsi="Verdana"/>
          <w:b/>
        </w:rPr>
        <w:t xml:space="preserve"> 22</w:t>
      </w:r>
      <w:r w:rsidR="000F005F">
        <w:rPr>
          <w:rFonts w:ascii="Verdana" w:hAnsi="Verdana"/>
          <w:b/>
        </w:rPr>
        <w:t xml:space="preserve"> and 41</w:t>
      </w:r>
    </w:p>
    <w:p w14:paraId="39664BE2" w14:textId="4F1EDB04" w:rsidR="009B3287" w:rsidRDefault="0094499E" w:rsidP="00ED7F22">
      <w:pPr>
        <w:jc w:val="both"/>
        <w:rPr>
          <w:rFonts w:ascii="Verdana" w:hAnsi="Verdana"/>
        </w:rPr>
      </w:pPr>
      <w:r>
        <w:rPr>
          <w:rFonts w:ascii="Verdana" w:hAnsi="Verdana"/>
        </w:rPr>
        <w:t xml:space="preserve">FRA very much welcomes the prominent inclusion of the notion of ‘multiple discrimination’ in </w:t>
      </w:r>
      <w:r w:rsidR="00C00E43">
        <w:rPr>
          <w:rFonts w:ascii="Verdana" w:hAnsi="Verdana"/>
        </w:rPr>
        <w:t xml:space="preserve">the Preamble and </w:t>
      </w:r>
      <w:r>
        <w:rPr>
          <w:rFonts w:ascii="Verdana" w:hAnsi="Verdana"/>
        </w:rPr>
        <w:t xml:space="preserve">Article 6 of the Convention. </w:t>
      </w:r>
      <w:r w:rsidR="009B3287">
        <w:rPr>
          <w:rFonts w:ascii="Verdana" w:hAnsi="Verdana"/>
        </w:rPr>
        <w:t>Nevertheless, i</w:t>
      </w:r>
      <w:r w:rsidRPr="0094499E">
        <w:rPr>
          <w:rFonts w:ascii="Verdana" w:hAnsi="Verdana"/>
        </w:rPr>
        <w:t xml:space="preserve">t would be useful to </w:t>
      </w:r>
      <w:r w:rsidR="000F005F">
        <w:rPr>
          <w:rFonts w:ascii="Verdana" w:hAnsi="Verdana"/>
        </w:rPr>
        <w:t xml:space="preserve">further clarify the distinction between ‘multiple discrimination’ and ‘intersectional discrimination’ as the draft currently speaks at various points of those two notions separately </w:t>
      </w:r>
      <w:r w:rsidR="009B3287">
        <w:rPr>
          <w:rFonts w:ascii="Verdana" w:hAnsi="Verdana"/>
        </w:rPr>
        <w:t>and in combination</w:t>
      </w:r>
      <w:r w:rsidR="000F005F">
        <w:rPr>
          <w:rFonts w:ascii="Verdana" w:hAnsi="Verdana"/>
        </w:rPr>
        <w:t xml:space="preserve"> as ‘multiple and intersectional discrimination’</w:t>
      </w:r>
      <w:r w:rsidR="009B3287">
        <w:rPr>
          <w:rFonts w:ascii="Verdana" w:hAnsi="Verdana"/>
        </w:rPr>
        <w:t>. FRA suggests that the Committee use the term ‘multiple and intersection</w:t>
      </w:r>
      <w:r w:rsidR="00D61F16">
        <w:rPr>
          <w:rFonts w:ascii="Verdana" w:hAnsi="Verdana"/>
        </w:rPr>
        <w:t>al’</w:t>
      </w:r>
      <w:r w:rsidR="009B3287">
        <w:rPr>
          <w:rFonts w:ascii="Verdana" w:hAnsi="Verdana"/>
        </w:rPr>
        <w:t xml:space="preserve"> discrimination throughout.</w:t>
      </w:r>
    </w:p>
    <w:p w14:paraId="667C0D16" w14:textId="4071EFB8" w:rsidR="00ED7F22" w:rsidRDefault="009B3287" w:rsidP="00ED7F22">
      <w:pPr>
        <w:jc w:val="both"/>
        <w:rPr>
          <w:rFonts w:ascii="Verdana" w:hAnsi="Verdana"/>
        </w:rPr>
      </w:pPr>
      <w:r>
        <w:rPr>
          <w:rFonts w:ascii="Verdana" w:hAnsi="Verdana"/>
        </w:rPr>
        <w:t xml:space="preserve">It would be useful to clarify the meaning of the term </w:t>
      </w:r>
      <w:r w:rsidR="000F005F">
        <w:rPr>
          <w:rFonts w:ascii="Verdana" w:hAnsi="Verdana"/>
        </w:rPr>
        <w:t>‘multi-dimensional discrimination’</w:t>
      </w:r>
      <w:r>
        <w:rPr>
          <w:rFonts w:ascii="Verdana" w:hAnsi="Verdana"/>
        </w:rPr>
        <w:t xml:space="preserve"> (para. 41). If this is equivalent to multiple and intersectional discrimination, FRA suggests using this more widely known terminology</w:t>
      </w:r>
      <w:r w:rsidR="000F005F">
        <w:rPr>
          <w:rFonts w:ascii="Verdana" w:hAnsi="Verdana"/>
        </w:rPr>
        <w:t>.</w:t>
      </w:r>
    </w:p>
    <w:p w14:paraId="442D2688" w14:textId="485D102B" w:rsidR="00405724" w:rsidRDefault="00405724" w:rsidP="00ED7F22">
      <w:pPr>
        <w:jc w:val="both"/>
        <w:rPr>
          <w:rFonts w:ascii="Verdana" w:hAnsi="Verdana"/>
        </w:rPr>
      </w:pPr>
      <w:r>
        <w:rPr>
          <w:rFonts w:ascii="Verdana" w:hAnsi="Verdana"/>
        </w:rPr>
        <w:t>The Committee could consider moving the description of ‘multiple discrimination’ in para. 22 and inserting it as a a new point under para. 20.</w:t>
      </w:r>
      <w:r w:rsidR="009B3287">
        <w:rPr>
          <w:rFonts w:ascii="Verdana" w:hAnsi="Verdana"/>
        </w:rPr>
        <w:t xml:space="preserve"> Similarly, the Committee could combine the two descriptions of ‘intersectional discrimination’ under para. 20 (e) and para. 22 under para 20 (e).</w:t>
      </w:r>
    </w:p>
    <w:p w14:paraId="667C0D1A" w14:textId="77846B64" w:rsidR="0080178A" w:rsidRDefault="009F7FD7" w:rsidP="00ED7F22">
      <w:pPr>
        <w:jc w:val="both"/>
        <w:rPr>
          <w:rFonts w:ascii="Verdana" w:hAnsi="Verdana"/>
          <w:b/>
        </w:rPr>
      </w:pPr>
      <w:r>
        <w:rPr>
          <w:rFonts w:ascii="Verdana" w:hAnsi="Verdana"/>
          <w:b/>
        </w:rPr>
        <w:t>Para</w:t>
      </w:r>
      <w:r w:rsidR="00413A6C">
        <w:rPr>
          <w:rFonts w:ascii="Verdana" w:hAnsi="Verdana"/>
          <w:b/>
        </w:rPr>
        <w:t>s</w:t>
      </w:r>
      <w:r>
        <w:rPr>
          <w:rFonts w:ascii="Verdana" w:hAnsi="Verdana"/>
          <w:b/>
        </w:rPr>
        <w:t>. 26</w:t>
      </w:r>
      <w:r w:rsidR="00413A6C">
        <w:rPr>
          <w:rFonts w:ascii="Verdana" w:hAnsi="Verdana"/>
          <w:b/>
        </w:rPr>
        <w:t xml:space="preserve"> and 27 (e)</w:t>
      </w:r>
    </w:p>
    <w:p w14:paraId="667C0D1D" w14:textId="6C018FC4" w:rsidR="00C12C64" w:rsidRDefault="009779AD">
      <w:pPr>
        <w:jc w:val="both"/>
        <w:rPr>
          <w:rFonts w:ascii="Verdana" w:hAnsi="Verdana"/>
        </w:rPr>
      </w:pPr>
      <w:r w:rsidRPr="009779AD">
        <w:rPr>
          <w:rFonts w:ascii="Verdana" w:hAnsi="Verdana"/>
        </w:rPr>
        <w:t>The draft General Comment</w:t>
      </w:r>
      <w:r w:rsidR="00413A6C">
        <w:rPr>
          <w:rFonts w:ascii="Verdana" w:hAnsi="Verdana"/>
        </w:rPr>
        <w:t xml:space="preserve"> highlights that  ‘disproportianate and undue burden’ should be interpreted as a </w:t>
      </w:r>
      <w:r w:rsidR="00AA5A06">
        <w:rPr>
          <w:rFonts w:ascii="Verdana" w:hAnsi="Verdana"/>
        </w:rPr>
        <w:t>“</w:t>
      </w:r>
      <w:r w:rsidR="00413A6C">
        <w:rPr>
          <w:rFonts w:ascii="Verdana" w:hAnsi="Verdana"/>
        </w:rPr>
        <w:t xml:space="preserve">single </w:t>
      </w:r>
      <w:r w:rsidR="00AA5A06">
        <w:rPr>
          <w:rFonts w:ascii="Verdana" w:hAnsi="Verdana"/>
        </w:rPr>
        <w:t>term”</w:t>
      </w:r>
      <w:r w:rsidR="00413A6C">
        <w:rPr>
          <w:rFonts w:ascii="Verdana" w:hAnsi="Verdana"/>
        </w:rPr>
        <w:t xml:space="preserve">. </w:t>
      </w:r>
      <w:r w:rsidR="00AA5A06">
        <w:rPr>
          <w:rFonts w:ascii="Verdana" w:hAnsi="Verdana"/>
        </w:rPr>
        <w:t>However, subsequent paragraphs do not always use this term as such e.g. para. 27. (b).</w:t>
      </w:r>
    </w:p>
    <w:p w14:paraId="667C0D1F" w14:textId="77777777" w:rsidR="00604ACD" w:rsidRPr="00604ACD" w:rsidRDefault="00604ACD" w:rsidP="00604ACD">
      <w:pPr>
        <w:pStyle w:val="ListParagraph"/>
        <w:numPr>
          <w:ilvl w:val="0"/>
          <w:numId w:val="10"/>
        </w:numPr>
        <w:jc w:val="both"/>
        <w:rPr>
          <w:rFonts w:ascii="Verdana" w:hAnsi="Verdana"/>
          <w:b/>
        </w:rPr>
      </w:pPr>
      <w:r w:rsidRPr="00604ACD">
        <w:rPr>
          <w:rFonts w:ascii="Verdana" w:hAnsi="Verdana"/>
          <w:b/>
        </w:rPr>
        <w:t>General obligations of States parties under the Convention relating to non-discrimination and equality</w:t>
      </w:r>
    </w:p>
    <w:p w14:paraId="667C0D20" w14:textId="77777777" w:rsidR="004B47DA" w:rsidRDefault="004B47DA" w:rsidP="009779AD">
      <w:pPr>
        <w:jc w:val="both"/>
        <w:rPr>
          <w:rFonts w:ascii="Verdana" w:hAnsi="Verdana"/>
        </w:rPr>
      </w:pPr>
      <w:r>
        <w:rPr>
          <w:rFonts w:ascii="Verdana" w:hAnsi="Verdana"/>
          <w:b/>
        </w:rPr>
        <w:t>Para. 38</w:t>
      </w:r>
    </w:p>
    <w:p w14:paraId="6A06FB51" w14:textId="096E8AF6" w:rsidR="002B1DE3" w:rsidRDefault="006E7294" w:rsidP="009841F9">
      <w:pPr>
        <w:jc w:val="both"/>
        <w:rPr>
          <w:rFonts w:ascii="Verdana" w:hAnsi="Verdana"/>
          <w:b/>
        </w:rPr>
      </w:pPr>
      <w:r>
        <w:rPr>
          <w:rFonts w:ascii="Verdana" w:eastAsia="Malgun Gothic" w:hAnsi="Verdana"/>
          <w:lang w:val="en-US"/>
        </w:rPr>
        <w:t xml:space="preserve">To reflect </w:t>
      </w:r>
      <w:r w:rsidR="007C2C60">
        <w:rPr>
          <w:rFonts w:ascii="Verdana" w:eastAsia="Malgun Gothic" w:hAnsi="Verdana"/>
          <w:lang w:val="en-US"/>
        </w:rPr>
        <w:t>the diversity in society</w:t>
      </w:r>
      <w:r>
        <w:rPr>
          <w:rFonts w:ascii="Verdana" w:eastAsia="Malgun Gothic" w:hAnsi="Verdana"/>
          <w:lang w:val="en-US"/>
        </w:rPr>
        <w:t xml:space="preserve"> and avoid the impression of giving preference to certain groups</w:t>
      </w:r>
      <w:r w:rsidR="007C2C60">
        <w:rPr>
          <w:rFonts w:ascii="Verdana" w:eastAsia="Malgun Gothic" w:hAnsi="Verdana"/>
          <w:lang w:val="en-US"/>
        </w:rPr>
        <w:t xml:space="preserve">, the </w:t>
      </w:r>
      <w:r>
        <w:rPr>
          <w:rFonts w:ascii="Verdana" w:eastAsia="Malgun Gothic" w:hAnsi="Verdana"/>
          <w:lang w:val="en-US"/>
        </w:rPr>
        <w:t>sentence “</w:t>
      </w:r>
      <w:r w:rsidRPr="006E7294">
        <w:rPr>
          <w:rFonts w:ascii="Verdana" w:eastAsia="Malgun Gothic" w:hAnsi="Verdana"/>
          <w:lang w:val="en-US"/>
        </w:rPr>
        <w:t>States parties must ensure that they closely consult and actively involve DPOs who represent the vast diversity in society, including children, the LGBTI community, and indigenous and rural communities</w:t>
      </w:r>
      <w:r>
        <w:rPr>
          <w:rFonts w:ascii="Verdana" w:eastAsia="Malgun Gothic" w:hAnsi="Verdana"/>
          <w:lang w:val="en-US"/>
        </w:rPr>
        <w:t>” could be extended to include other groups, including: older persons, women persons with an ethnic minority or migrant background, etc</w:t>
      </w:r>
      <w:r w:rsidR="000A52CB">
        <w:rPr>
          <w:rFonts w:ascii="Verdana" w:eastAsia="Malgun Gothic" w:hAnsi="Verdana"/>
          <w:lang w:val="en-US"/>
        </w:rPr>
        <w:t>.</w:t>
      </w:r>
      <w:r w:rsidR="00AB3CDE">
        <w:rPr>
          <w:rFonts w:ascii="Verdana" w:eastAsia="Malgun Gothic" w:hAnsi="Verdana"/>
          <w:lang w:val="en-US"/>
        </w:rPr>
        <w:t xml:space="preserve"> In this respect, it could make reference to the extensive list of grounds set out in para. 22.</w:t>
      </w:r>
    </w:p>
    <w:p w14:paraId="667C0D22" w14:textId="28E442D2" w:rsidR="009841F9" w:rsidRPr="000C7AFB" w:rsidRDefault="009841F9" w:rsidP="009841F9">
      <w:pPr>
        <w:jc w:val="both"/>
        <w:rPr>
          <w:rFonts w:ascii="Verdana" w:hAnsi="Verdana"/>
        </w:rPr>
      </w:pPr>
      <w:r w:rsidRPr="000C7AFB">
        <w:rPr>
          <w:rFonts w:ascii="Verdana" w:hAnsi="Verdana"/>
          <w:b/>
        </w:rPr>
        <w:t>Para</w:t>
      </w:r>
      <w:r w:rsidR="00FB7BF5">
        <w:rPr>
          <w:rFonts w:ascii="Verdana" w:hAnsi="Verdana"/>
          <w:b/>
        </w:rPr>
        <w:t>s</w:t>
      </w:r>
      <w:r w:rsidRPr="000C7AFB">
        <w:rPr>
          <w:rFonts w:ascii="Verdana" w:hAnsi="Verdana"/>
          <w:b/>
        </w:rPr>
        <w:t>. 39</w:t>
      </w:r>
      <w:r w:rsidR="00F01827">
        <w:rPr>
          <w:rFonts w:ascii="Verdana" w:hAnsi="Verdana"/>
          <w:b/>
        </w:rPr>
        <w:t>, 40</w:t>
      </w:r>
      <w:r w:rsidR="00FB7BF5">
        <w:rPr>
          <w:rFonts w:ascii="Verdana" w:hAnsi="Verdana"/>
          <w:b/>
        </w:rPr>
        <w:t xml:space="preserve"> and 75</w:t>
      </w:r>
    </w:p>
    <w:p w14:paraId="667C0D23" w14:textId="1A20D44F" w:rsidR="000C760C" w:rsidRDefault="009841F9" w:rsidP="009841F9">
      <w:pPr>
        <w:jc w:val="both"/>
        <w:rPr>
          <w:rFonts w:ascii="Verdana" w:hAnsi="Verdana"/>
        </w:rPr>
      </w:pPr>
      <w:r>
        <w:rPr>
          <w:rFonts w:ascii="Verdana" w:hAnsi="Verdana"/>
        </w:rPr>
        <w:t xml:space="preserve">FRA very much welcomes the importance attached to </w:t>
      </w:r>
      <w:r w:rsidR="00C57723" w:rsidRPr="00C57723">
        <w:rPr>
          <w:rFonts w:ascii="Verdana" w:hAnsi="Verdana"/>
        </w:rPr>
        <w:t>collect</w:t>
      </w:r>
      <w:r w:rsidR="00C57723">
        <w:rPr>
          <w:rFonts w:ascii="Verdana" w:hAnsi="Verdana"/>
        </w:rPr>
        <w:t>ing and analysing</w:t>
      </w:r>
      <w:r w:rsidR="00C57723" w:rsidRPr="00C57723">
        <w:rPr>
          <w:rFonts w:ascii="Verdana" w:hAnsi="Verdana"/>
        </w:rPr>
        <w:t xml:space="preserve"> data </w:t>
      </w:r>
      <w:r w:rsidR="00F01827">
        <w:rPr>
          <w:rFonts w:ascii="Verdana" w:hAnsi="Verdana"/>
        </w:rPr>
        <w:t>as a tool to promote and assess implementation of Article 5</w:t>
      </w:r>
      <w:r w:rsidR="00CD3C0F">
        <w:rPr>
          <w:rFonts w:ascii="Verdana" w:hAnsi="Verdana"/>
        </w:rPr>
        <w:t>.</w:t>
      </w:r>
      <w:r w:rsidR="00F01827">
        <w:rPr>
          <w:rFonts w:ascii="Verdana" w:hAnsi="Verdana"/>
        </w:rPr>
        <w:t xml:space="preserve"> This could be further strengthened by adding specific reference in paras. 29 and 75 to the development of human rights indicators to assess implementation of the right to equality and non-discrimination.</w:t>
      </w:r>
    </w:p>
    <w:p w14:paraId="667C0D24" w14:textId="77777777" w:rsidR="009841F9" w:rsidRDefault="009841F9" w:rsidP="009841F9">
      <w:pPr>
        <w:jc w:val="both"/>
        <w:rPr>
          <w:rFonts w:ascii="Verdana" w:hAnsi="Verdana"/>
        </w:rPr>
      </w:pPr>
      <w:r w:rsidRPr="00C57723">
        <w:rPr>
          <w:rFonts w:ascii="Verdana" w:hAnsi="Verdana"/>
        </w:rPr>
        <w:t xml:space="preserve">FRA has developed </w:t>
      </w:r>
      <w:hyperlink r:id="rId34" w:history="1">
        <w:r w:rsidRPr="00C57723">
          <w:rPr>
            <w:rStyle w:val="Hyperlink"/>
            <w:rFonts w:ascii="Verdana" w:hAnsi="Verdana"/>
          </w:rPr>
          <w:t>human rights indicators on Article</w:t>
        </w:r>
        <w:r w:rsidR="00C57723">
          <w:rPr>
            <w:rStyle w:val="Hyperlink"/>
            <w:rFonts w:ascii="Verdana" w:hAnsi="Verdana"/>
          </w:rPr>
          <w:t>s</w:t>
        </w:r>
        <w:r w:rsidRPr="00C57723">
          <w:rPr>
            <w:rStyle w:val="Hyperlink"/>
            <w:rFonts w:ascii="Verdana" w:hAnsi="Verdana"/>
          </w:rPr>
          <w:t xml:space="preserve"> 19</w:t>
        </w:r>
      </w:hyperlink>
      <w:r w:rsidR="00C57723">
        <w:rPr>
          <w:rStyle w:val="Hyperlink"/>
          <w:rFonts w:ascii="Verdana" w:hAnsi="Verdana"/>
        </w:rPr>
        <w:t xml:space="preserve"> and 29</w:t>
      </w:r>
      <w:r>
        <w:rPr>
          <w:rFonts w:ascii="Verdana" w:hAnsi="Verdana"/>
        </w:rPr>
        <w:t>. The structure, process and outcome indicators were</w:t>
      </w:r>
      <w:r w:rsidRPr="002C3357">
        <w:rPr>
          <w:rFonts w:ascii="Verdana" w:hAnsi="Verdana"/>
        </w:rPr>
        <w:t xml:space="preserve"> refined on the basis of input gathered during extensive consultation with stakeholders</w:t>
      </w:r>
      <w:r>
        <w:rPr>
          <w:rFonts w:ascii="Verdana" w:hAnsi="Verdana"/>
        </w:rPr>
        <w:t xml:space="preserve"> and with the active involvement of disabled persons’ organisations (DPOs)</w:t>
      </w:r>
      <w:r w:rsidRPr="002C3357">
        <w:rPr>
          <w:rFonts w:ascii="Verdana" w:hAnsi="Verdana"/>
        </w:rPr>
        <w:t xml:space="preserve">. </w:t>
      </w:r>
      <w:r>
        <w:rPr>
          <w:rFonts w:ascii="Verdana" w:hAnsi="Verdana"/>
        </w:rPr>
        <w:t>While designed with EU Member States in mind, FRA believes these indicators could be applied more widely.</w:t>
      </w:r>
    </w:p>
    <w:p w14:paraId="667C0D26" w14:textId="77777777" w:rsidR="00ED7F22" w:rsidRDefault="00194657" w:rsidP="00604ACD">
      <w:pPr>
        <w:pStyle w:val="ListParagraph"/>
        <w:numPr>
          <w:ilvl w:val="0"/>
          <w:numId w:val="10"/>
        </w:numPr>
        <w:jc w:val="both"/>
        <w:rPr>
          <w:rFonts w:ascii="Verdana" w:hAnsi="Verdana"/>
          <w:b/>
        </w:rPr>
      </w:pPr>
      <w:r>
        <w:rPr>
          <w:rFonts w:ascii="Verdana" w:hAnsi="Verdana"/>
          <w:b/>
        </w:rPr>
        <w:t>Relationship with other specific articles of the Convention</w:t>
      </w:r>
    </w:p>
    <w:p w14:paraId="667C0D27" w14:textId="77777777" w:rsidR="00024CB7" w:rsidRPr="00024CB7" w:rsidRDefault="00024CB7" w:rsidP="00024CB7">
      <w:pPr>
        <w:jc w:val="both"/>
        <w:rPr>
          <w:rFonts w:ascii="Verdana" w:hAnsi="Verdana"/>
        </w:rPr>
      </w:pPr>
      <w:r w:rsidRPr="00024CB7">
        <w:rPr>
          <w:rFonts w:ascii="Verdana" w:hAnsi="Verdana"/>
        </w:rPr>
        <w:t>As a general principle of the convention, non-discrimination is relevant to all articles of the CRPD. Reflecting this focus, specific references to ‘discriminatory denial’ and ‘on an equal basis with others’ are found throughout the convention.</w:t>
      </w:r>
    </w:p>
    <w:p w14:paraId="667C0D29" w14:textId="59DB9516" w:rsidR="00073ED0" w:rsidRDefault="00073ED0" w:rsidP="00073ED0">
      <w:pPr>
        <w:jc w:val="both"/>
        <w:rPr>
          <w:rFonts w:ascii="Verdana" w:hAnsi="Verdana"/>
          <w:b/>
        </w:rPr>
      </w:pPr>
      <w:r>
        <w:rPr>
          <w:rFonts w:ascii="Verdana" w:hAnsi="Verdana"/>
        </w:rPr>
        <w:t xml:space="preserve">FRA suggests </w:t>
      </w:r>
      <w:r w:rsidR="00F01827">
        <w:rPr>
          <w:rFonts w:ascii="Verdana" w:hAnsi="Verdana"/>
        </w:rPr>
        <w:t xml:space="preserve">that </w:t>
      </w:r>
      <w:r>
        <w:rPr>
          <w:rFonts w:ascii="Verdana" w:hAnsi="Verdana"/>
        </w:rPr>
        <w:t xml:space="preserve">Article 25 </w:t>
      </w:r>
      <w:r w:rsidR="00F01827">
        <w:rPr>
          <w:rFonts w:ascii="Verdana" w:hAnsi="Verdana"/>
        </w:rPr>
        <w:t xml:space="preserve">on health be included in this section, as evidence suggests persons with disabilities face discrimination in access to and use of healthcare services. </w:t>
      </w:r>
      <w:hyperlink r:id="rId35" w:history="1">
        <w:r w:rsidRPr="00B74681">
          <w:rPr>
            <w:rStyle w:val="Hyperlink"/>
            <w:rFonts w:ascii="Verdana" w:hAnsi="Verdana"/>
          </w:rPr>
          <w:t>FRA’s report on inequalities and multiple discrimination in access to and quality of healthcare</w:t>
        </w:r>
      </w:hyperlink>
      <w:r>
        <w:rPr>
          <w:rFonts w:ascii="Verdana" w:hAnsi="Verdana"/>
        </w:rPr>
        <w:t xml:space="preserve"> looked at specific barriers experienced by young people with intellectual disabilities and a migrant background. The evidence points to communication and language barriers, leading to indirect discrimination of people with disabilities while also affecting health practitioners’ ability to assess effectively and diagnose correctly patients with disabilities.</w:t>
      </w:r>
    </w:p>
    <w:p w14:paraId="667C0D2A" w14:textId="77777777" w:rsidR="009841F9" w:rsidRDefault="009841F9" w:rsidP="009841F9">
      <w:pPr>
        <w:jc w:val="both"/>
        <w:rPr>
          <w:rFonts w:ascii="Verdana" w:hAnsi="Verdana"/>
          <w:b/>
        </w:rPr>
      </w:pPr>
      <w:r>
        <w:rPr>
          <w:rFonts w:ascii="Verdana" w:hAnsi="Verdana"/>
          <w:b/>
        </w:rPr>
        <w:t>Para. 56</w:t>
      </w:r>
      <w:r w:rsidR="00B53833">
        <w:rPr>
          <w:rFonts w:ascii="Verdana" w:hAnsi="Verdana"/>
          <w:b/>
        </w:rPr>
        <w:t xml:space="preserve"> (a)</w:t>
      </w:r>
    </w:p>
    <w:p w14:paraId="667C0D2C" w14:textId="58BC676C" w:rsidR="00764A43" w:rsidRPr="00E27586" w:rsidRDefault="00CD322C" w:rsidP="00F62F71">
      <w:pPr>
        <w:spacing w:after="0" w:line="240" w:lineRule="auto"/>
        <w:jc w:val="both"/>
        <w:rPr>
          <w:rFonts w:ascii="Verdana" w:hAnsi="Verdana"/>
          <w:b/>
        </w:rPr>
      </w:pPr>
      <w:r w:rsidRPr="00E27586">
        <w:rPr>
          <w:rFonts w:ascii="Verdana" w:hAnsi="Verdana"/>
        </w:rPr>
        <w:t>To ensure conceptual and operational clarity</w:t>
      </w:r>
      <w:r w:rsidR="00B53833" w:rsidRPr="00E27586">
        <w:rPr>
          <w:rFonts w:ascii="Verdana" w:hAnsi="Verdana"/>
        </w:rPr>
        <w:t xml:space="preserve">, </w:t>
      </w:r>
      <w:r w:rsidR="008D1EEC" w:rsidRPr="00E27586">
        <w:rPr>
          <w:rFonts w:ascii="Verdana" w:hAnsi="Verdana"/>
        </w:rPr>
        <w:t xml:space="preserve">with reference to </w:t>
      </w:r>
      <w:r w:rsidR="007728AA">
        <w:rPr>
          <w:rFonts w:ascii="Verdana" w:hAnsi="Verdana"/>
        </w:rPr>
        <w:t>p</w:t>
      </w:r>
      <w:r w:rsidR="008D1EEC" w:rsidRPr="00E27586">
        <w:rPr>
          <w:rFonts w:ascii="Verdana" w:hAnsi="Verdana"/>
        </w:rPr>
        <w:t>ara</w:t>
      </w:r>
      <w:r w:rsidR="007728AA">
        <w:rPr>
          <w:rFonts w:ascii="Verdana" w:hAnsi="Verdana"/>
        </w:rPr>
        <w:t>.</w:t>
      </w:r>
      <w:r w:rsidR="008D1EEC" w:rsidRPr="00E27586">
        <w:rPr>
          <w:rFonts w:ascii="Verdana" w:hAnsi="Verdana"/>
        </w:rPr>
        <w:t xml:space="preserve"> 54, </w:t>
      </w:r>
      <w:r w:rsidR="00B53833" w:rsidRPr="00E27586">
        <w:rPr>
          <w:rFonts w:ascii="Verdana" w:hAnsi="Verdana"/>
        </w:rPr>
        <w:t xml:space="preserve">FRA suggests amending </w:t>
      </w:r>
      <w:r w:rsidR="007728AA">
        <w:rPr>
          <w:rFonts w:ascii="Verdana" w:hAnsi="Verdana"/>
        </w:rPr>
        <w:t>p</w:t>
      </w:r>
      <w:r w:rsidR="00B53833" w:rsidRPr="00E27586">
        <w:rPr>
          <w:rFonts w:ascii="Verdana" w:hAnsi="Verdana"/>
        </w:rPr>
        <w:t>ara</w:t>
      </w:r>
      <w:r w:rsidR="007728AA">
        <w:rPr>
          <w:rFonts w:ascii="Verdana" w:hAnsi="Verdana"/>
        </w:rPr>
        <w:t>.</w:t>
      </w:r>
      <w:r w:rsidR="00B53833" w:rsidRPr="00E27586">
        <w:rPr>
          <w:rFonts w:ascii="Verdana" w:hAnsi="Verdana"/>
        </w:rPr>
        <w:t xml:space="preserve"> 56 (a) </w:t>
      </w:r>
      <w:r w:rsidR="00354A56" w:rsidRPr="00E27586">
        <w:rPr>
          <w:rFonts w:ascii="Verdana" w:hAnsi="Verdana"/>
        </w:rPr>
        <w:t>to read as follows</w:t>
      </w:r>
      <w:r w:rsidR="00E27586" w:rsidRPr="00E27586">
        <w:rPr>
          <w:rFonts w:ascii="Verdana" w:hAnsi="Verdana"/>
        </w:rPr>
        <w:t xml:space="preserve">: </w:t>
      </w:r>
      <w:r w:rsidR="00E27586">
        <w:rPr>
          <w:rFonts w:ascii="Verdana" w:hAnsi="Verdana"/>
        </w:rPr>
        <w:t>“</w:t>
      </w:r>
      <w:r w:rsidR="00E27586" w:rsidRPr="00E27586">
        <w:rPr>
          <w:rFonts w:ascii="Verdana" w:hAnsi="Verdana"/>
          <w:lang w:val="en-US"/>
        </w:rPr>
        <w:t xml:space="preserve">Reform existing legislation </w:t>
      </w:r>
      <w:r w:rsidR="00E27586">
        <w:rPr>
          <w:rFonts w:ascii="Verdana" w:hAnsi="Verdana"/>
          <w:lang w:val="en-US"/>
        </w:rPr>
        <w:t>to prohibit</w:t>
      </w:r>
      <w:r w:rsidR="00E35069">
        <w:rPr>
          <w:rFonts w:ascii="Verdana" w:hAnsi="Verdana"/>
          <w:lang w:val="en-US"/>
        </w:rPr>
        <w:t xml:space="preserve"> discriminat</w:t>
      </w:r>
      <w:r w:rsidR="007728AA">
        <w:rPr>
          <w:rFonts w:ascii="Verdana" w:hAnsi="Verdana"/>
          <w:lang w:val="en-US"/>
        </w:rPr>
        <w:t xml:space="preserve">ory </w:t>
      </w:r>
      <w:r w:rsidR="00E35069">
        <w:rPr>
          <w:rFonts w:ascii="Verdana" w:hAnsi="Verdana"/>
          <w:lang w:val="en-US"/>
        </w:rPr>
        <w:t>denial of legal capacity</w:t>
      </w:r>
      <w:r w:rsidR="007E015E">
        <w:rPr>
          <w:rFonts w:ascii="Verdana" w:hAnsi="Verdana"/>
          <w:lang w:val="en-US"/>
        </w:rPr>
        <w:t>,</w:t>
      </w:r>
      <w:r w:rsidR="00E35069">
        <w:rPr>
          <w:rFonts w:ascii="Verdana" w:hAnsi="Verdana"/>
          <w:lang w:val="en-US"/>
        </w:rPr>
        <w:t xml:space="preserve"> </w:t>
      </w:r>
      <w:r w:rsidR="00E27586" w:rsidRPr="00E27586">
        <w:rPr>
          <w:rFonts w:ascii="Verdana" w:hAnsi="Verdana"/>
          <w:lang w:val="en-US"/>
        </w:rPr>
        <w:t>premised on status, functional or outcome based models</w:t>
      </w:r>
      <w:r w:rsidR="00E27586">
        <w:rPr>
          <w:rFonts w:ascii="Verdana" w:hAnsi="Verdana"/>
          <w:lang w:val="en-US"/>
        </w:rPr>
        <w:t>”</w:t>
      </w:r>
      <w:r w:rsidR="00F01827">
        <w:rPr>
          <w:rFonts w:ascii="Verdana" w:hAnsi="Verdana"/>
          <w:lang w:val="en-US"/>
        </w:rPr>
        <w:t>.</w:t>
      </w:r>
    </w:p>
    <w:p w14:paraId="667C0D2D" w14:textId="22EC82BD" w:rsidR="009841F9" w:rsidRPr="009841F9" w:rsidRDefault="009841F9" w:rsidP="00F62F71">
      <w:pPr>
        <w:spacing w:before="240"/>
        <w:jc w:val="both"/>
        <w:rPr>
          <w:rFonts w:ascii="Verdana" w:hAnsi="Verdana"/>
          <w:b/>
        </w:rPr>
      </w:pPr>
      <w:r w:rsidRPr="009841F9">
        <w:rPr>
          <w:rFonts w:ascii="Verdana" w:hAnsi="Verdana"/>
          <w:b/>
        </w:rPr>
        <w:t>Para</w:t>
      </w:r>
      <w:r w:rsidR="00FC0A70">
        <w:rPr>
          <w:rFonts w:ascii="Verdana" w:hAnsi="Verdana"/>
          <w:b/>
        </w:rPr>
        <w:t>s</w:t>
      </w:r>
      <w:r w:rsidRPr="009841F9">
        <w:rPr>
          <w:rFonts w:ascii="Verdana" w:hAnsi="Verdana"/>
          <w:b/>
        </w:rPr>
        <w:t>. 63</w:t>
      </w:r>
      <w:r w:rsidR="00FC0A70">
        <w:rPr>
          <w:rFonts w:ascii="Verdana" w:hAnsi="Verdana"/>
          <w:b/>
        </w:rPr>
        <w:t xml:space="preserve"> and 64 </w:t>
      </w:r>
    </w:p>
    <w:p w14:paraId="7657C514" w14:textId="062D6561" w:rsidR="00FC0A70" w:rsidRDefault="007728AA" w:rsidP="00813E03">
      <w:pPr>
        <w:jc w:val="both"/>
        <w:rPr>
          <w:rFonts w:ascii="Verdana" w:hAnsi="Verdana"/>
        </w:rPr>
      </w:pPr>
      <w:r>
        <w:rPr>
          <w:rFonts w:ascii="Verdana" w:hAnsi="Verdana"/>
        </w:rPr>
        <w:t xml:space="preserve">FRA’s evidence shows that persons with disabilities can experience violence and torture, inhuman or degrading treatment or punishment </w:t>
      </w:r>
      <w:r w:rsidR="00FC0A70">
        <w:rPr>
          <w:rFonts w:ascii="Verdana" w:hAnsi="Verdana"/>
        </w:rPr>
        <w:t xml:space="preserve">in </w:t>
      </w:r>
      <w:r>
        <w:rPr>
          <w:rFonts w:ascii="Verdana" w:hAnsi="Verdana"/>
        </w:rPr>
        <w:t xml:space="preserve">any institutionalised setting. In addition to persons with psychosocial disabilities, persons with intellectual disabilities are particularly at risk of experiencing such abuse due to higher levels of institutionalisation. </w:t>
      </w:r>
      <w:r w:rsidR="00FC0A70">
        <w:rPr>
          <w:rFonts w:ascii="Verdana" w:hAnsi="Verdana"/>
        </w:rPr>
        <w:t xml:space="preserve">Currently the distinction between the general </w:t>
      </w:r>
      <w:r w:rsidR="00D1430E">
        <w:rPr>
          <w:rFonts w:ascii="Verdana" w:hAnsi="Verdana"/>
        </w:rPr>
        <w:t>“prohibition on the</w:t>
      </w:r>
      <w:r w:rsidR="00FC0A70">
        <w:rPr>
          <w:rFonts w:ascii="Verdana" w:hAnsi="Verdana"/>
        </w:rPr>
        <w:t xml:space="preserve"> institutionalisation</w:t>
      </w:r>
      <w:r w:rsidR="00D1430E">
        <w:rPr>
          <w:rFonts w:ascii="Verdana" w:hAnsi="Verdana"/>
        </w:rPr>
        <w:t>”</w:t>
      </w:r>
      <w:r w:rsidR="00FC0A70">
        <w:rPr>
          <w:rFonts w:ascii="Verdana" w:hAnsi="Verdana"/>
        </w:rPr>
        <w:t xml:space="preserve"> of persons with disabilities</w:t>
      </w:r>
      <w:r w:rsidR="00D1430E">
        <w:rPr>
          <w:rFonts w:ascii="Verdana" w:hAnsi="Verdana"/>
        </w:rPr>
        <w:t xml:space="preserve"> and the specific situation of persons deprived of liberty and subject to forced placement or treatment on mental health grounds is not sufficiently clear.</w:t>
      </w:r>
    </w:p>
    <w:p w14:paraId="0176A51B" w14:textId="77777777" w:rsidR="00FC0A70" w:rsidRDefault="007728AA" w:rsidP="00813E03">
      <w:pPr>
        <w:jc w:val="both"/>
        <w:rPr>
          <w:rFonts w:ascii="Verdana" w:hAnsi="Verdana"/>
        </w:rPr>
      </w:pPr>
      <w:r>
        <w:rPr>
          <w:rFonts w:ascii="Verdana" w:hAnsi="Verdana"/>
        </w:rPr>
        <w:t>The text of para. 63 could therefore be expanded as follows: “in and outside institutionalised settings, including mental health facilities”.</w:t>
      </w:r>
      <w:r w:rsidR="00FC0A70">
        <w:rPr>
          <w:rFonts w:ascii="Verdana" w:hAnsi="Verdana"/>
        </w:rPr>
        <w:t xml:space="preserve"> Similarly, the text of para. 64 can be amended to read “The institutionalisation of persons with disabilities contravenes multiple articles of the Convention”. </w:t>
      </w:r>
    </w:p>
    <w:p w14:paraId="66606453" w14:textId="5885ADCF" w:rsidR="00FC0A70" w:rsidRDefault="00FC0A70" w:rsidP="00813E03">
      <w:pPr>
        <w:jc w:val="both"/>
        <w:rPr>
          <w:rFonts w:ascii="Verdana" w:hAnsi="Verdana"/>
        </w:rPr>
      </w:pPr>
      <w:r>
        <w:rPr>
          <w:rFonts w:ascii="Verdana" w:hAnsi="Verdana"/>
        </w:rPr>
        <w:t>The specific risks faced by</w:t>
      </w:r>
      <w:r w:rsidR="00D1430E">
        <w:rPr>
          <w:rFonts w:ascii="Verdana" w:hAnsi="Verdana"/>
        </w:rPr>
        <w:t xml:space="preserve"> </w:t>
      </w:r>
      <w:r>
        <w:rPr>
          <w:rFonts w:ascii="Verdana" w:hAnsi="Verdana"/>
        </w:rPr>
        <w:t>persons deprived of liberty on mental health grounds can then be expanded as a separate point.</w:t>
      </w:r>
    </w:p>
    <w:p w14:paraId="667C0D2F" w14:textId="77777777" w:rsidR="00194657" w:rsidRDefault="00AA12A1" w:rsidP="00813E03">
      <w:pPr>
        <w:pStyle w:val="ListParagraph"/>
        <w:numPr>
          <w:ilvl w:val="0"/>
          <w:numId w:val="10"/>
        </w:numPr>
        <w:jc w:val="both"/>
        <w:rPr>
          <w:rFonts w:ascii="Verdana" w:hAnsi="Verdana"/>
          <w:b/>
        </w:rPr>
      </w:pPr>
      <w:r>
        <w:rPr>
          <w:rFonts w:ascii="Verdana" w:hAnsi="Verdana"/>
          <w:b/>
        </w:rPr>
        <w:t>Implementation at the national level</w:t>
      </w:r>
    </w:p>
    <w:p w14:paraId="667C0D30" w14:textId="2BD99493" w:rsidR="00CA36FD" w:rsidRPr="00194657" w:rsidRDefault="00CA36FD" w:rsidP="00CA36FD">
      <w:pPr>
        <w:jc w:val="both"/>
        <w:rPr>
          <w:rFonts w:ascii="Verdana" w:hAnsi="Verdana"/>
          <w:b/>
        </w:rPr>
      </w:pPr>
      <w:r>
        <w:rPr>
          <w:rFonts w:ascii="Verdana" w:hAnsi="Verdana"/>
          <w:b/>
        </w:rPr>
        <w:t>Para</w:t>
      </w:r>
      <w:r w:rsidR="00042748">
        <w:rPr>
          <w:rFonts w:ascii="Verdana" w:hAnsi="Verdana"/>
          <w:b/>
        </w:rPr>
        <w:t>s</w:t>
      </w:r>
      <w:r>
        <w:rPr>
          <w:rFonts w:ascii="Verdana" w:hAnsi="Verdana"/>
          <w:b/>
        </w:rPr>
        <w:t>. 76</w:t>
      </w:r>
      <w:r w:rsidR="00042748">
        <w:rPr>
          <w:rFonts w:ascii="Verdana" w:hAnsi="Verdana"/>
          <w:b/>
        </w:rPr>
        <w:t xml:space="preserve"> (c)</w:t>
      </w:r>
      <w:r w:rsidR="00055E80">
        <w:rPr>
          <w:rFonts w:ascii="Verdana" w:hAnsi="Verdana"/>
          <w:b/>
        </w:rPr>
        <w:t xml:space="preserve"> and (m)</w:t>
      </w:r>
    </w:p>
    <w:p w14:paraId="667C0D31" w14:textId="4CDDD9A3" w:rsidR="00E91A77" w:rsidRPr="002D466F" w:rsidRDefault="00D1430E" w:rsidP="00813E03">
      <w:pPr>
        <w:jc w:val="both"/>
        <w:rPr>
          <w:rFonts w:ascii="Verdana" w:hAnsi="Verdana"/>
        </w:rPr>
      </w:pPr>
      <w:r>
        <w:rPr>
          <w:rFonts w:ascii="Verdana" w:hAnsi="Verdana"/>
        </w:rPr>
        <w:t>Reflecting the horizontal relevance of Article 5, the list of areas to be covered by non-discrimination legislation specified in para. 76 (c) could be kept open: “Non-discrimination legislation should be broad in scope, extend to private and public speheres and cover areas including, but not limited to: …”.</w:t>
      </w:r>
    </w:p>
    <w:p w14:paraId="667C0D33" w14:textId="0B49411A" w:rsidR="00E91A77" w:rsidRPr="00055E80" w:rsidRDefault="002B0D69" w:rsidP="00055E80">
      <w:pPr>
        <w:jc w:val="both"/>
        <w:rPr>
          <w:rFonts w:ascii="Verdana" w:hAnsi="Verdana"/>
        </w:rPr>
      </w:pPr>
      <w:r>
        <w:rPr>
          <w:rFonts w:ascii="Verdana" w:hAnsi="Verdana"/>
        </w:rPr>
        <w:t>The l</w:t>
      </w:r>
      <w:r w:rsidR="00055E80">
        <w:rPr>
          <w:rFonts w:ascii="Verdana" w:hAnsi="Verdana"/>
        </w:rPr>
        <w:t xml:space="preserve">ist of persons with disabilities </w:t>
      </w:r>
      <w:r w:rsidR="00AB3CDE">
        <w:rPr>
          <w:rFonts w:ascii="Verdana" w:hAnsi="Verdana"/>
        </w:rPr>
        <w:t xml:space="preserve"> who experience multiple and intersectional discrimination set out in para. 76 (m) could be extended to incorporate other groups, such as older persons with disabilities, or persons with disabilities with an ethnic mintority or migration background. To insure inclusivity, reference could be made to the extensive list of grounds provided in para. 22</w:t>
      </w:r>
      <w:r w:rsidR="00AF5F81">
        <w:rPr>
          <w:rFonts w:ascii="Verdana" w:hAnsi="Verdana"/>
        </w:rPr>
        <w:t>.</w:t>
      </w:r>
    </w:p>
    <w:p w14:paraId="667C0D35" w14:textId="0838119F" w:rsidR="00162E5B" w:rsidRPr="007D24C9" w:rsidRDefault="00162E5B" w:rsidP="00162E5B">
      <w:pPr>
        <w:jc w:val="both"/>
        <w:rPr>
          <w:rFonts w:ascii="Verdana" w:hAnsi="Verdana"/>
        </w:rPr>
      </w:pPr>
      <w:r>
        <w:rPr>
          <w:rFonts w:ascii="Verdana" w:hAnsi="Verdana"/>
        </w:rPr>
        <w:t xml:space="preserve">I hope the information provided is useful for the </w:t>
      </w:r>
      <w:r w:rsidR="00FE1F2F">
        <w:rPr>
          <w:rFonts w:ascii="Verdana" w:hAnsi="Verdana"/>
        </w:rPr>
        <w:t xml:space="preserve">preparation of </w:t>
      </w:r>
      <w:r w:rsidR="002E23D2">
        <w:rPr>
          <w:rFonts w:ascii="Verdana" w:hAnsi="Verdana"/>
        </w:rPr>
        <w:t xml:space="preserve">the draft </w:t>
      </w:r>
      <w:r w:rsidR="00F231DE">
        <w:rPr>
          <w:rFonts w:ascii="Verdana" w:hAnsi="Verdana"/>
        </w:rPr>
        <w:t>G</w:t>
      </w:r>
      <w:r w:rsidR="002E23D2">
        <w:rPr>
          <w:rFonts w:ascii="Verdana" w:hAnsi="Verdana"/>
        </w:rPr>
        <w:t xml:space="preserve">eneral </w:t>
      </w:r>
      <w:r w:rsidR="00F231DE">
        <w:rPr>
          <w:rFonts w:ascii="Verdana" w:hAnsi="Verdana"/>
        </w:rPr>
        <w:t>C</w:t>
      </w:r>
      <w:r w:rsidR="002E23D2">
        <w:rPr>
          <w:rFonts w:ascii="Verdana" w:hAnsi="Verdana"/>
        </w:rPr>
        <w:t>omment</w:t>
      </w:r>
      <w:r w:rsidR="00FE1F2F">
        <w:rPr>
          <w:rFonts w:ascii="Verdana" w:hAnsi="Verdana"/>
        </w:rPr>
        <w:t xml:space="preserve"> on Article 5 of the CRPD</w:t>
      </w:r>
      <w:r>
        <w:rPr>
          <w:rFonts w:ascii="Verdana" w:hAnsi="Verdana"/>
        </w:rPr>
        <w:t xml:space="preserve">. </w:t>
      </w:r>
      <w:r w:rsidR="002E11C4">
        <w:rPr>
          <w:rFonts w:ascii="Verdana" w:hAnsi="Verdana"/>
        </w:rPr>
        <w:t>FRA remains at your disposal to provide further information if necessary</w:t>
      </w:r>
      <w:r w:rsidR="00D628D2">
        <w:rPr>
          <w:rFonts w:ascii="Verdana" w:hAnsi="Verdana"/>
        </w:rPr>
        <w:t xml:space="preserve"> under </w:t>
      </w:r>
      <w:hyperlink r:id="rId36" w:history="1">
        <w:r w:rsidR="002E11C4" w:rsidRPr="007F26B2">
          <w:rPr>
            <w:rStyle w:val="Hyperlink"/>
            <w:rFonts w:ascii="Verdana" w:hAnsi="Verdana"/>
          </w:rPr>
          <w:t>disability@fra.europa.eu</w:t>
        </w:r>
      </w:hyperlink>
      <w:r w:rsidR="002E11C4">
        <w:rPr>
          <w:rFonts w:ascii="Verdana" w:hAnsi="Verdana"/>
        </w:rPr>
        <w:t>.</w:t>
      </w:r>
    </w:p>
    <w:p w14:paraId="667C0D36" w14:textId="7EC12867" w:rsidR="00162E5B" w:rsidRPr="00217229" w:rsidRDefault="00162E5B" w:rsidP="00162E5B">
      <w:pPr>
        <w:spacing w:after="240"/>
        <w:jc w:val="both"/>
        <w:rPr>
          <w:rFonts w:ascii="Verdana" w:hAnsi="Verdana"/>
        </w:rPr>
      </w:pPr>
      <w:r w:rsidRPr="00217229">
        <w:rPr>
          <w:rFonts w:ascii="Verdana" w:hAnsi="Verdana"/>
        </w:rPr>
        <w:t>Yours</w:t>
      </w:r>
      <w:r w:rsidR="00781814">
        <w:rPr>
          <w:rFonts w:ascii="Verdana" w:hAnsi="Verdana"/>
        </w:rPr>
        <w:t xml:space="preserve"> </w:t>
      </w:r>
      <w:r w:rsidR="00B263BF">
        <w:rPr>
          <w:rFonts w:ascii="Verdana" w:hAnsi="Verdana"/>
        </w:rPr>
        <w:t>sincerely</w:t>
      </w:r>
      <w:r w:rsidRPr="00217229">
        <w:rPr>
          <w:rFonts w:ascii="Verdana" w:hAnsi="Verdana"/>
        </w:rPr>
        <w:t>,</w:t>
      </w:r>
    </w:p>
    <w:p w14:paraId="667C0D37" w14:textId="11FA85EF" w:rsidR="004040CA" w:rsidRPr="00CF39D7" w:rsidRDefault="004040CA" w:rsidP="004040CA">
      <w:pPr>
        <w:spacing w:after="240"/>
        <w:jc w:val="both"/>
        <w:rPr>
          <w:rFonts w:ascii="Verdana" w:hAnsi="Verdana"/>
        </w:rPr>
      </w:pPr>
      <w:r w:rsidRPr="00CF39D7">
        <w:rPr>
          <w:rFonts w:ascii="Verdana" w:hAnsi="Verdana"/>
        </w:rPr>
        <w:t>Ioannis</w:t>
      </w:r>
      <w:r w:rsidR="007728AA">
        <w:rPr>
          <w:rFonts w:ascii="Verdana" w:hAnsi="Verdana"/>
        </w:rPr>
        <w:t xml:space="preserve"> </w:t>
      </w:r>
      <w:r w:rsidRPr="00CF39D7">
        <w:rPr>
          <w:rFonts w:ascii="Verdana" w:hAnsi="Verdana"/>
        </w:rPr>
        <w:t>Dimitrakopoulos</w:t>
      </w:r>
    </w:p>
    <w:p w14:paraId="667C0D38" w14:textId="77777777" w:rsidR="004040CA" w:rsidRPr="00217229" w:rsidRDefault="004040CA" w:rsidP="004040CA">
      <w:pPr>
        <w:spacing w:after="240"/>
        <w:jc w:val="both"/>
        <w:rPr>
          <w:rFonts w:ascii="Verdana" w:hAnsi="Verdana"/>
        </w:rPr>
      </w:pPr>
      <w:r w:rsidRPr="00CF39D7">
        <w:rPr>
          <w:rFonts w:ascii="Verdana" w:hAnsi="Verdana"/>
        </w:rPr>
        <w:t>Head of Equality and Citizens’ Rights Department</w:t>
      </w:r>
    </w:p>
    <w:p w14:paraId="667C0D39" w14:textId="77777777" w:rsidR="004040CA" w:rsidRDefault="004040CA" w:rsidP="004040CA">
      <w:pPr>
        <w:jc w:val="both"/>
        <w:rPr>
          <w:rFonts w:ascii="Verdana" w:hAnsi="Verdana"/>
        </w:rPr>
      </w:pPr>
      <w:r w:rsidRPr="00DB57CF">
        <w:rPr>
          <w:rFonts w:ascii="Verdana" w:hAnsi="Verdana"/>
        </w:rPr>
        <w:t>cc: OHCHR Regional Office for Europe</w:t>
      </w:r>
    </w:p>
    <w:p w14:paraId="667C0DDC" w14:textId="77777777" w:rsidR="00162E5B" w:rsidRDefault="00162E5B" w:rsidP="00E01AFD">
      <w:pPr>
        <w:spacing w:after="120" w:line="240" w:lineRule="auto"/>
      </w:pPr>
    </w:p>
    <w:sectPr w:rsidR="00162E5B" w:rsidSect="008079BB">
      <w:headerReference w:type="default" r:id="rId3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0E00" w14:textId="77777777" w:rsidR="006E7294" w:rsidRDefault="006E7294" w:rsidP="00162E5B">
      <w:pPr>
        <w:spacing w:after="0" w:line="240" w:lineRule="auto"/>
      </w:pPr>
      <w:r>
        <w:separator/>
      </w:r>
    </w:p>
  </w:endnote>
  <w:endnote w:type="continuationSeparator" w:id="0">
    <w:p w14:paraId="667C0E01" w14:textId="77777777" w:rsidR="006E7294" w:rsidRDefault="006E7294" w:rsidP="0016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C0DFE" w14:textId="77777777" w:rsidR="006E7294" w:rsidRDefault="006E7294" w:rsidP="00162E5B">
      <w:pPr>
        <w:spacing w:after="0" w:line="240" w:lineRule="auto"/>
      </w:pPr>
      <w:r>
        <w:separator/>
      </w:r>
    </w:p>
  </w:footnote>
  <w:footnote w:type="continuationSeparator" w:id="0">
    <w:p w14:paraId="667C0DFF" w14:textId="77777777" w:rsidR="006E7294" w:rsidRDefault="006E7294" w:rsidP="0016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0E02" w14:textId="77777777" w:rsidR="006E7294" w:rsidRDefault="006E7294">
    <w:pPr>
      <w:pStyle w:val="Header"/>
    </w:pPr>
    <w:r>
      <w:rPr>
        <w:noProof/>
        <w:lang w:eastAsia="en-GB"/>
      </w:rPr>
      <w:drawing>
        <wp:inline distT="0" distB="0" distL="0" distR="0" wp14:anchorId="667C0E03" wp14:editId="667C0E04">
          <wp:extent cx="5731510" cy="260985"/>
          <wp:effectExtent l="0" t="0" r="2540" b="5715"/>
          <wp:docPr id="18" name="Picture 18" descr="FR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60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075BF"/>
    <w:multiLevelType w:val="hybridMultilevel"/>
    <w:tmpl w:val="09DA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12F3A"/>
    <w:multiLevelType w:val="hybridMultilevel"/>
    <w:tmpl w:val="A31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271C"/>
    <w:multiLevelType w:val="hybridMultilevel"/>
    <w:tmpl w:val="4C385E84"/>
    <w:lvl w:ilvl="0" w:tplc="224AC2A2">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1176D61"/>
    <w:multiLevelType w:val="hybridMultilevel"/>
    <w:tmpl w:val="D9C630E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0B81F51"/>
    <w:multiLevelType w:val="hybridMultilevel"/>
    <w:tmpl w:val="98768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65389"/>
    <w:multiLevelType w:val="hybridMultilevel"/>
    <w:tmpl w:val="D1F68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331E75"/>
    <w:multiLevelType w:val="hybridMultilevel"/>
    <w:tmpl w:val="48E04C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657E6649"/>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F3B8B"/>
    <w:multiLevelType w:val="hybridMultilevel"/>
    <w:tmpl w:val="43707DB8"/>
    <w:lvl w:ilvl="0" w:tplc="A600D9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D072A"/>
    <w:multiLevelType w:val="hybridMultilevel"/>
    <w:tmpl w:val="19E4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C13BD"/>
    <w:multiLevelType w:val="hybridMultilevel"/>
    <w:tmpl w:val="C5D2BF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45179B"/>
    <w:multiLevelType w:val="hybridMultilevel"/>
    <w:tmpl w:val="7CCA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2"/>
  </w:num>
  <w:num w:numId="5">
    <w:abstractNumId w:val="6"/>
  </w:num>
  <w:num w:numId="6">
    <w:abstractNumId w:val="4"/>
  </w:num>
  <w:num w:numId="7">
    <w:abstractNumId w:val="7"/>
  </w:num>
  <w:num w:numId="8">
    <w:abstractNumId w:val="9"/>
  </w:num>
  <w:num w:numId="9">
    <w:abstractNumId w:val="12"/>
  </w:num>
  <w:num w:numId="10">
    <w:abstractNumId w:val="3"/>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7C"/>
    <w:rsid w:val="00005C6A"/>
    <w:rsid w:val="0002399F"/>
    <w:rsid w:val="00024CB7"/>
    <w:rsid w:val="00035813"/>
    <w:rsid w:val="00035B3A"/>
    <w:rsid w:val="00037629"/>
    <w:rsid w:val="00042748"/>
    <w:rsid w:val="00042E3B"/>
    <w:rsid w:val="00043172"/>
    <w:rsid w:val="00055E80"/>
    <w:rsid w:val="00065612"/>
    <w:rsid w:val="00065E18"/>
    <w:rsid w:val="00066875"/>
    <w:rsid w:val="00073ED0"/>
    <w:rsid w:val="00075B7D"/>
    <w:rsid w:val="000A4BC1"/>
    <w:rsid w:val="000A52CB"/>
    <w:rsid w:val="000B46AA"/>
    <w:rsid w:val="000C760C"/>
    <w:rsid w:val="000C7AFB"/>
    <w:rsid w:val="000F005F"/>
    <w:rsid w:val="000F32F9"/>
    <w:rsid w:val="000F54EA"/>
    <w:rsid w:val="00105EB0"/>
    <w:rsid w:val="00110E35"/>
    <w:rsid w:val="00130E6A"/>
    <w:rsid w:val="0013302D"/>
    <w:rsid w:val="001365A2"/>
    <w:rsid w:val="00143133"/>
    <w:rsid w:val="00145946"/>
    <w:rsid w:val="00160481"/>
    <w:rsid w:val="00162E5B"/>
    <w:rsid w:val="00163BA8"/>
    <w:rsid w:val="00171DAB"/>
    <w:rsid w:val="00173FAF"/>
    <w:rsid w:val="00184552"/>
    <w:rsid w:val="00194657"/>
    <w:rsid w:val="00197B97"/>
    <w:rsid w:val="001A7E34"/>
    <w:rsid w:val="001B0E88"/>
    <w:rsid w:val="001B79F5"/>
    <w:rsid w:val="001C5BB0"/>
    <w:rsid w:val="001D5C87"/>
    <w:rsid w:val="001D705E"/>
    <w:rsid w:val="001E1C0D"/>
    <w:rsid w:val="001F2F70"/>
    <w:rsid w:val="001F690F"/>
    <w:rsid w:val="00217CB4"/>
    <w:rsid w:val="0022465D"/>
    <w:rsid w:val="002434F5"/>
    <w:rsid w:val="0026320B"/>
    <w:rsid w:val="00271D02"/>
    <w:rsid w:val="0027487C"/>
    <w:rsid w:val="002907C9"/>
    <w:rsid w:val="002921FE"/>
    <w:rsid w:val="002B0D69"/>
    <w:rsid w:val="002B1DE3"/>
    <w:rsid w:val="002B214A"/>
    <w:rsid w:val="002C4040"/>
    <w:rsid w:val="002C6A6F"/>
    <w:rsid w:val="002D466F"/>
    <w:rsid w:val="002E11C4"/>
    <w:rsid w:val="002E23D2"/>
    <w:rsid w:val="002F577A"/>
    <w:rsid w:val="00303A68"/>
    <w:rsid w:val="00305BDE"/>
    <w:rsid w:val="003129EB"/>
    <w:rsid w:val="0032578D"/>
    <w:rsid w:val="00334E9A"/>
    <w:rsid w:val="003458EE"/>
    <w:rsid w:val="00354A56"/>
    <w:rsid w:val="00375DC1"/>
    <w:rsid w:val="00376871"/>
    <w:rsid w:val="00390136"/>
    <w:rsid w:val="00392882"/>
    <w:rsid w:val="003975E2"/>
    <w:rsid w:val="003A2568"/>
    <w:rsid w:val="003C019C"/>
    <w:rsid w:val="003C57DF"/>
    <w:rsid w:val="003D5EFE"/>
    <w:rsid w:val="003F068E"/>
    <w:rsid w:val="003F63B1"/>
    <w:rsid w:val="004019C3"/>
    <w:rsid w:val="004040CA"/>
    <w:rsid w:val="00405724"/>
    <w:rsid w:val="004115E1"/>
    <w:rsid w:val="00413A6C"/>
    <w:rsid w:val="004203E5"/>
    <w:rsid w:val="004208F0"/>
    <w:rsid w:val="00425B78"/>
    <w:rsid w:val="00443230"/>
    <w:rsid w:val="004443A4"/>
    <w:rsid w:val="00483BCC"/>
    <w:rsid w:val="00485D95"/>
    <w:rsid w:val="00496D8A"/>
    <w:rsid w:val="004A6E86"/>
    <w:rsid w:val="004B47DA"/>
    <w:rsid w:val="004C653B"/>
    <w:rsid w:val="004D09A0"/>
    <w:rsid w:val="004E1C42"/>
    <w:rsid w:val="004E2DCC"/>
    <w:rsid w:val="004E48E6"/>
    <w:rsid w:val="00504AFD"/>
    <w:rsid w:val="0051457D"/>
    <w:rsid w:val="00514B8C"/>
    <w:rsid w:val="00533317"/>
    <w:rsid w:val="00565BD3"/>
    <w:rsid w:val="0059003D"/>
    <w:rsid w:val="005950FD"/>
    <w:rsid w:val="005B0F5A"/>
    <w:rsid w:val="005D5343"/>
    <w:rsid w:val="005F3D78"/>
    <w:rsid w:val="006006FE"/>
    <w:rsid w:val="00604ACD"/>
    <w:rsid w:val="00607330"/>
    <w:rsid w:val="00613586"/>
    <w:rsid w:val="00614506"/>
    <w:rsid w:val="00621E00"/>
    <w:rsid w:val="00622A81"/>
    <w:rsid w:val="006353EE"/>
    <w:rsid w:val="00636B1E"/>
    <w:rsid w:val="00636F70"/>
    <w:rsid w:val="006410B6"/>
    <w:rsid w:val="00654541"/>
    <w:rsid w:val="00654A76"/>
    <w:rsid w:val="0065666A"/>
    <w:rsid w:val="006619C8"/>
    <w:rsid w:val="00677B65"/>
    <w:rsid w:val="006A761D"/>
    <w:rsid w:val="006B2EE1"/>
    <w:rsid w:val="006B5A5C"/>
    <w:rsid w:val="006D6843"/>
    <w:rsid w:val="006E1E70"/>
    <w:rsid w:val="006E7294"/>
    <w:rsid w:val="00700A98"/>
    <w:rsid w:val="00712666"/>
    <w:rsid w:val="00716D19"/>
    <w:rsid w:val="00731017"/>
    <w:rsid w:val="00736C94"/>
    <w:rsid w:val="0076040D"/>
    <w:rsid w:val="00764A43"/>
    <w:rsid w:val="0077096A"/>
    <w:rsid w:val="007728AA"/>
    <w:rsid w:val="00772E4D"/>
    <w:rsid w:val="00781814"/>
    <w:rsid w:val="007862CD"/>
    <w:rsid w:val="007878FA"/>
    <w:rsid w:val="007B688C"/>
    <w:rsid w:val="007C2C60"/>
    <w:rsid w:val="007D0713"/>
    <w:rsid w:val="007E015E"/>
    <w:rsid w:val="007E24BA"/>
    <w:rsid w:val="007F0B89"/>
    <w:rsid w:val="00800BE5"/>
    <w:rsid w:val="0080178A"/>
    <w:rsid w:val="008079BB"/>
    <w:rsid w:val="00813E03"/>
    <w:rsid w:val="008145A3"/>
    <w:rsid w:val="0084491E"/>
    <w:rsid w:val="00844EA1"/>
    <w:rsid w:val="008511C9"/>
    <w:rsid w:val="008979C5"/>
    <w:rsid w:val="008B1B23"/>
    <w:rsid w:val="008C0D87"/>
    <w:rsid w:val="008C6A6C"/>
    <w:rsid w:val="008C7E42"/>
    <w:rsid w:val="008D1EEC"/>
    <w:rsid w:val="008D5C6C"/>
    <w:rsid w:val="008F1D82"/>
    <w:rsid w:val="00914E94"/>
    <w:rsid w:val="0094499E"/>
    <w:rsid w:val="00966BC2"/>
    <w:rsid w:val="009768CE"/>
    <w:rsid w:val="009779AD"/>
    <w:rsid w:val="009841F9"/>
    <w:rsid w:val="009A12BE"/>
    <w:rsid w:val="009A2611"/>
    <w:rsid w:val="009A39C6"/>
    <w:rsid w:val="009A5988"/>
    <w:rsid w:val="009A67D8"/>
    <w:rsid w:val="009B3287"/>
    <w:rsid w:val="009B6971"/>
    <w:rsid w:val="009C0556"/>
    <w:rsid w:val="009C5353"/>
    <w:rsid w:val="009C548C"/>
    <w:rsid w:val="009D64C9"/>
    <w:rsid w:val="009D72AB"/>
    <w:rsid w:val="009D7EBC"/>
    <w:rsid w:val="009E1A8E"/>
    <w:rsid w:val="009F2444"/>
    <w:rsid w:val="009F7FD7"/>
    <w:rsid w:val="00A02B7C"/>
    <w:rsid w:val="00A209CC"/>
    <w:rsid w:val="00A23FA7"/>
    <w:rsid w:val="00A27914"/>
    <w:rsid w:val="00A4175C"/>
    <w:rsid w:val="00A5425B"/>
    <w:rsid w:val="00A64DEB"/>
    <w:rsid w:val="00A7440A"/>
    <w:rsid w:val="00A83203"/>
    <w:rsid w:val="00A84084"/>
    <w:rsid w:val="00A9123A"/>
    <w:rsid w:val="00AA12A1"/>
    <w:rsid w:val="00AA5A06"/>
    <w:rsid w:val="00AA618F"/>
    <w:rsid w:val="00AA7535"/>
    <w:rsid w:val="00AB3CDE"/>
    <w:rsid w:val="00AE01EB"/>
    <w:rsid w:val="00AF5071"/>
    <w:rsid w:val="00AF5F81"/>
    <w:rsid w:val="00B04DE2"/>
    <w:rsid w:val="00B14C85"/>
    <w:rsid w:val="00B158DC"/>
    <w:rsid w:val="00B263BF"/>
    <w:rsid w:val="00B2663D"/>
    <w:rsid w:val="00B27022"/>
    <w:rsid w:val="00B350FC"/>
    <w:rsid w:val="00B3612E"/>
    <w:rsid w:val="00B53833"/>
    <w:rsid w:val="00B65341"/>
    <w:rsid w:val="00B76738"/>
    <w:rsid w:val="00B82853"/>
    <w:rsid w:val="00B85BA3"/>
    <w:rsid w:val="00B87519"/>
    <w:rsid w:val="00B94BA6"/>
    <w:rsid w:val="00B963BE"/>
    <w:rsid w:val="00BA5D7C"/>
    <w:rsid w:val="00BB19C8"/>
    <w:rsid w:val="00BB7336"/>
    <w:rsid w:val="00BE0D27"/>
    <w:rsid w:val="00BF288C"/>
    <w:rsid w:val="00BF54DF"/>
    <w:rsid w:val="00C00E43"/>
    <w:rsid w:val="00C12C64"/>
    <w:rsid w:val="00C1422B"/>
    <w:rsid w:val="00C176A0"/>
    <w:rsid w:val="00C32BDC"/>
    <w:rsid w:val="00C451B9"/>
    <w:rsid w:val="00C4757F"/>
    <w:rsid w:val="00C4793A"/>
    <w:rsid w:val="00C52E57"/>
    <w:rsid w:val="00C57723"/>
    <w:rsid w:val="00C916A6"/>
    <w:rsid w:val="00CA3418"/>
    <w:rsid w:val="00CA36FD"/>
    <w:rsid w:val="00CA6DD0"/>
    <w:rsid w:val="00CB3A1D"/>
    <w:rsid w:val="00CC69BA"/>
    <w:rsid w:val="00CD322C"/>
    <w:rsid w:val="00CD3C0F"/>
    <w:rsid w:val="00CD4420"/>
    <w:rsid w:val="00CE547E"/>
    <w:rsid w:val="00CF39D7"/>
    <w:rsid w:val="00D05910"/>
    <w:rsid w:val="00D1430E"/>
    <w:rsid w:val="00D30D10"/>
    <w:rsid w:val="00D32161"/>
    <w:rsid w:val="00D439BC"/>
    <w:rsid w:val="00D441D9"/>
    <w:rsid w:val="00D578F5"/>
    <w:rsid w:val="00D61F16"/>
    <w:rsid w:val="00D628D2"/>
    <w:rsid w:val="00D647FB"/>
    <w:rsid w:val="00D70FE3"/>
    <w:rsid w:val="00D82265"/>
    <w:rsid w:val="00D93A49"/>
    <w:rsid w:val="00DA088D"/>
    <w:rsid w:val="00DA3759"/>
    <w:rsid w:val="00DB10AE"/>
    <w:rsid w:val="00DC4781"/>
    <w:rsid w:val="00DF6F43"/>
    <w:rsid w:val="00E00D2B"/>
    <w:rsid w:val="00E01AFD"/>
    <w:rsid w:val="00E1792E"/>
    <w:rsid w:val="00E20755"/>
    <w:rsid w:val="00E22CC6"/>
    <w:rsid w:val="00E27586"/>
    <w:rsid w:val="00E35069"/>
    <w:rsid w:val="00E362E1"/>
    <w:rsid w:val="00E410C4"/>
    <w:rsid w:val="00E52E45"/>
    <w:rsid w:val="00E538CE"/>
    <w:rsid w:val="00E82228"/>
    <w:rsid w:val="00E91A77"/>
    <w:rsid w:val="00E93B14"/>
    <w:rsid w:val="00E942D3"/>
    <w:rsid w:val="00E9735C"/>
    <w:rsid w:val="00EA13D0"/>
    <w:rsid w:val="00EA69A7"/>
    <w:rsid w:val="00EC37EC"/>
    <w:rsid w:val="00EC6154"/>
    <w:rsid w:val="00ED767C"/>
    <w:rsid w:val="00ED7F22"/>
    <w:rsid w:val="00EE08AB"/>
    <w:rsid w:val="00EE169C"/>
    <w:rsid w:val="00F0172F"/>
    <w:rsid w:val="00F01827"/>
    <w:rsid w:val="00F13C2A"/>
    <w:rsid w:val="00F231DE"/>
    <w:rsid w:val="00F355FC"/>
    <w:rsid w:val="00F43970"/>
    <w:rsid w:val="00F43F46"/>
    <w:rsid w:val="00F57ECE"/>
    <w:rsid w:val="00F615B5"/>
    <w:rsid w:val="00F62F71"/>
    <w:rsid w:val="00F66302"/>
    <w:rsid w:val="00F8239F"/>
    <w:rsid w:val="00FA3932"/>
    <w:rsid w:val="00FA4212"/>
    <w:rsid w:val="00FB7BF5"/>
    <w:rsid w:val="00FC0A70"/>
    <w:rsid w:val="00FC7800"/>
    <w:rsid w:val="00FE1F2F"/>
    <w:rsid w:val="00FF6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0CE2"/>
  <w15:docId w15:val="{5F2638AB-D3CE-4C5C-B706-B17C76CC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F39D7"/>
    <w:pPr>
      <w:keepNext/>
      <w:keepLines/>
      <w:tabs>
        <w:tab w:val="left" w:pos="851"/>
      </w:tabs>
      <w:autoSpaceDE w:val="0"/>
      <w:autoSpaceDN w:val="0"/>
      <w:adjustRightInd w:val="0"/>
      <w:spacing w:before="360" w:after="240" w:line="240" w:lineRule="auto"/>
      <w:jc w:val="both"/>
      <w:outlineLvl w:val="0"/>
    </w:pPr>
    <w:rPr>
      <w:rFonts w:ascii="Verdana" w:eastAsia="Times New Roman" w:hAnsi="Verdana" w:cs="Times New Roman"/>
      <w:b/>
      <w:bCs/>
      <w:sz w:val="32"/>
      <w:szCs w:val="32"/>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767C"/>
    <w:pPr>
      <w:ind w:left="720"/>
      <w:contextualSpacing/>
    </w:pPr>
  </w:style>
  <w:style w:type="table" w:styleId="TableGrid">
    <w:name w:val="Table Grid"/>
    <w:basedOn w:val="TableNormal"/>
    <w:uiPriority w:val="39"/>
    <w:rsid w:val="00162E5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E5B"/>
  </w:style>
  <w:style w:type="paragraph" w:styleId="Footer">
    <w:name w:val="footer"/>
    <w:basedOn w:val="Normal"/>
    <w:link w:val="FooterChar"/>
    <w:uiPriority w:val="99"/>
    <w:unhideWhenUsed/>
    <w:rsid w:val="00162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E5B"/>
  </w:style>
  <w:style w:type="character" w:styleId="Hyperlink">
    <w:name w:val="Hyperlink"/>
    <w:basedOn w:val="DefaultParagraphFont"/>
    <w:uiPriority w:val="99"/>
    <w:unhideWhenUsed/>
    <w:rsid w:val="00160481"/>
    <w:rPr>
      <w:color w:val="0563C1" w:themeColor="hyperlink"/>
      <w:u w:val="single"/>
    </w:rPr>
  </w:style>
  <w:style w:type="paragraph" w:styleId="FootnoteText">
    <w:name w:val="footnote text"/>
    <w:basedOn w:val="Normal"/>
    <w:link w:val="FootnoteTextChar"/>
    <w:unhideWhenUsed/>
    <w:qFormat/>
    <w:rsid w:val="00F43F46"/>
    <w:pPr>
      <w:spacing w:after="0" w:line="240" w:lineRule="auto"/>
    </w:pPr>
    <w:rPr>
      <w:sz w:val="20"/>
      <w:szCs w:val="20"/>
    </w:rPr>
  </w:style>
  <w:style w:type="character" w:customStyle="1" w:styleId="FootnoteTextChar">
    <w:name w:val="Footnote Text Char"/>
    <w:basedOn w:val="DefaultParagraphFont"/>
    <w:link w:val="FootnoteText"/>
    <w:qFormat/>
    <w:rsid w:val="00F43F46"/>
    <w:rPr>
      <w:sz w:val="20"/>
      <w:szCs w:val="20"/>
    </w:rPr>
  </w:style>
  <w:style w:type="character" w:styleId="FootnoteReference">
    <w:name w:val="footnote reference"/>
    <w:basedOn w:val="DefaultParagraphFont"/>
    <w:uiPriority w:val="99"/>
    <w:semiHidden/>
    <w:unhideWhenUsed/>
    <w:rsid w:val="00F43F46"/>
    <w:rPr>
      <w:vertAlign w:val="superscript"/>
    </w:rPr>
  </w:style>
  <w:style w:type="character" w:styleId="FollowedHyperlink">
    <w:name w:val="FollowedHyperlink"/>
    <w:basedOn w:val="DefaultParagraphFont"/>
    <w:uiPriority w:val="99"/>
    <w:semiHidden/>
    <w:unhideWhenUsed/>
    <w:rsid w:val="00622A81"/>
    <w:rPr>
      <w:color w:val="954F72" w:themeColor="followedHyperlink"/>
      <w:u w:val="single"/>
    </w:rPr>
  </w:style>
  <w:style w:type="character" w:styleId="CommentReference">
    <w:name w:val="annotation reference"/>
    <w:basedOn w:val="DefaultParagraphFont"/>
    <w:uiPriority w:val="99"/>
    <w:semiHidden/>
    <w:unhideWhenUsed/>
    <w:rsid w:val="008B1B23"/>
    <w:rPr>
      <w:sz w:val="16"/>
      <w:szCs w:val="16"/>
    </w:rPr>
  </w:style>
  <w:style w:type="paragraph" w:styleId="CommentText">
    <w:name w:val="annotation text"/>
    <w:basedOn w:val="Normal"/>
    <w:link w:val="CommentTextChar"/>
    <w:uiPriority w:val="99"/>
    <w:semiHidden/>
    <w:unhideWhenUsed/>
    <w:rsid w:val="008B1B23"/>
    <w:pPr>
      <w:spacing w:line="240" w:lineRule="auto"/>
    </w:pPr>
    <w:rPr>
      <w:sz w:val="20"/>
      <w:szCs w:val="20"/>
    </w:rPr>
  </w:style>
  <w:style w:type="character" w:customStyle="1" w:styleId="CommentTextChar">
    <w:name w:val="Comment Text Char"/>
    <w:basedOn w:val="DefaultParagraphFont"/>
    <w:link w:val="CommentText"/>
    <w:uiPriority w:val="99"/>
    <w:semiHidden/>
    <w:rsid w:val="008B1B23"/>
    <w:rPr>
      <w:sz w:val="20"/>
      <w:szCs w:val="20"/>
    </w:rPr>
  </w:style>
  <w:style w:type="paragraph" w:styleId="CommentSubject">
    <w:name w:val="annotation subject"/>
    <w:basedOn w:val="CommentText"/>
    <w:next w:val="CommentText"/>
    <w:link w:val="CommentSubjectChar"/>
    <w:uiPriority w:val="99"/>
    <w:semiHidden/>
    <w:unhideWhenUsed/>
    <w:rsid w:val="008B1B23"/>
    <w:rPr>
      <w:b/>
      <w:bCs/>
    </w:rPr>
  </w:style>
  <w:style w:type="character" w:customStyle="1" w:styleId="CommentSubjectChar">
    <w:name w:val="Comment Subject Char"/>
    <w:basedOn w:val="CommentTextChar"/>
    <w:link w:val="CommentSubject"/>
    <w:uiPriority w:val="99"/>
    <w:semiHidden/>
    <w:rsid w:val="008B1B23"/>
    <w:rPr>
      <w:b/>
      <w:bCs/>
      <w:sz w:val="20"/>
      <w:szCs w:val="20"/>
    </w:rPr>
  </w:style>
  <w:style w:type="paragraph" w:styleId="BalloonText">
    <w:name w:val="Balloon Text"/>
    <w:basedOn w:val="Normal"/>
    <w:link w:val="BalloonTextChar"/>
    <w:uiPriority w:val="99"/>
    <w:semiHidden/>
    <w:unhideWhenUsed/>
    <w:rsid w:val="008B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B23"/>
    <w:rPr>
      <w:rFonts w:ascii="Segoe UI" w:hAnsi="Segoe UI" w:cs="Segoe UI"/>
      <w:sz w:val="18"/>
      <w:szCs w:val="18"/>
    </w:rPr>
  </w:style>
  <w:style w:type="character" w:customStyle="1" w:styleId="Heading1Char">
    <w:name w:val="Heading 1 Char"/>
    <w:basedOn w:val="DefaultParagraphFont"/>
    <w:link w:val="Heading1"/>
    <w:uiPriority w:val="99"/>
    <w:rsid w:val="00CF39D7"/>
    <w:rPr>
      <w:rFonts w:ascii="Verdana" w:eastAsia="Times New Roman" w:hAnsi="Verdana" w:cs="Times New Roman"/>
      <w:b/>
      <w:bCs/>
      <w:sz w:val="32"/>
      <w:szCs w:val="32"/>
      <w:lang w:val="en-IE" w:eastAsia="en-GB"/>
    </w:rPr>
  </w:style>
  <w:style w:type="paragraph" w:styleId="NormalWeb">
    <w:name w:val="Normal (Web)"/>
    <w:basedOn w:val="Normal"/>
    <w:uiPriority w:val="99"/>
    <w:rsid w:val="00CF39D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sid w:val="00BF288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en/theme/people-disabilities/publications" TargetMode="External"/><Relationship Id="rId18" Type="http://schemas.openxmlformats.org/officeDocument/2006/relationships/hyperlink" Target="http://fra.europa.eu/en/publication/2014/indicators-right-political-participation-people-disabilities" TargetMode="External"/><Relationship Id="rId26" Type="http://schemas.openxmlformats.org/officeDocument/2006/relationships/hyperlink" Target="http://www.ombudsman.europa.eu/home.faces" TargetMode="External"/><Relationship Id="rId39" Type="http://schemas.openxmlformats.org/officeDocument/2006/relationships/theme" Target="theme/theme1.xml"/><Relationship Id="rId21" Type="http://schemas.openxmlformats.org/officeDocument/2006/relationships/hyperlink" Target="http://fra.europa.eu/en/publication/2013/legal-capacity-persons-intellectual-disabilities-and-persons-mental-health-problems" TargetMode="External"/><Relationship Id="rId34" Type="http://schemas.openxmlformats.org/officeDocument/2006/relationships/hyperlink" Target="http://fra.europa.eu/en/project/2014/rights-persons-disabilities-right-independent-living/indicato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fra.europa.eu/en/project/2014/rights-persons-disabilities-right-independent-living/indicators" TargetMode="External"/><Relationship Id="rId25" Type="http://schemas.openxmlformats.org/officeDocument/2006/relationships/hyperlink" Target="http://www.europarl.europa.eu/portal/en" TargetMode="External"/><Relationship Id="rId33" Type="http://schemas.openxmlformats.org/officeDocument/2006/relationships/hyperlink" Target="http://fra.europa.eu/sites/default/files/fra_uploads/1797-FRA-2011-Legal-protection-persons-mental-health-problems-report_EN.pdfhttp:/fra.europa.eu/sites/default/files/fra_uploads/1797-FRA-2011-Legal-protection-persons-mental-health-problems-report_E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a.europa.eu/sites/default/files/fra-2013-opinion-eu-equality-directives_en.pdf" TargetMode="External"/><Relationship Id="rId20" Type="http://schemas.openxmlformats.org/officeDocument/2006/relationships/hyperlink" Target="http://fra.europa.eu/en/publication/2012/involuntary-placement-and-involuntary-treatment-persons-mental-health-problems" TargetMode="External"/><Relationship Id="rId29" Type="http://schemas.openxmlformats.org/officeDocument/2006/relationships/hyperlink" Target="http://fra.europa.eu/en/theme/people-disabilities/eu-crpd-frame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fra.europa.eu/en/publications-and-resources/data-and-maps/int-obligations/crpd" TargetMode="External"/><Relationship Id="rId32" Type="http://schemas.openxmlformats.org/officeDocument/2006/relationships/hyperlink" Target="http://fra.europa.eu/en/publication/2012/involuntary-placement-and-involuntary-treatment-persons-mental-health-problems" TargetMode="External"/><Relationship Id="rId37" Type="http://schemas.openxmlformats.org/officeDocument/2006/relationships/header" Target="header1.xml"/><Relationship Id="rId40" Type="http://schemas.openxmlformats.org/officeDocument/2006/relationships/customXml" Target="../customXml/item7.xml"/><Relationship Id="rId36" Type="http://schemas.openxmlformats.org/officeDocument/2006/relationships/hyperlink" Target="mailto:disability@fra.europa.eu" TargetMode="External"/><Relationship Id="rId15" Type="http://schemas.openxmlformats.org/officeDocument/2006/relationships/hyperlink" Target="http://fra.europa.eu/en/publication/2015/implementing-un-crpd-overview-legal-reforms-eu-member-states" TargetMode="External"/><Relationship Id="rId23" Type="http://schemas.openxmlformats.org/officeDocument/2006/relationships/hyperlink" Target="http://fra.europa.eu/en/publication/2015/children-disabilities-violence" TargetMode="External"/><Relationship Id="rId28" Type="http://schemas.openxmlformats.org/officeDocument/2006/relationships/hyperlink" Target="http://www.edf-feph.org/" TargetMode="External"/><Relationship Id="rId10" Type="http://schemas.openxmlformats.org/officeDocument/2006/relationships/webSettings" Target="webSettings.xml"/><Relationship Id="rId19" Type="http://schemas.openxmlformats.org/officeDocument/2006/relationships/hyperlink" Target="http://fra.europa.eu/en/publication/2011/legal-protection-persons-mental-health-problems-under-non-discrimination-law" TargetMode="External"/><Relationship Id="rId31" Type="http://schemas.openxmlformats.org/officeDocument/2006/relationships/hyperlink" Target="http://fra.europa.eu/en/publication/2013/legal-capacity-persons-intellectual-disabilities-and-persons-mental-health-problems" TargetMode="External"/><Relationship Id="rId35" Type="http://schemas.openxmlformats.org/officeDocument/2006/relationships/hyperlink" Target="http://fra.europa.eu/en/publication/2012/choice-and-control-right-independent-living" TargetMode="External"/><Relationship Id="rId9" Type="http://schemas.openxmlformats.org/officeDocument/2006/relationships/settings" Target="settings.xml"/><Relationship Id="rId14" Type="http://schemas.openxmlformats.org/officeDocument/2006/relationships/hyperlink" Target="http://fra.europa.eu/en/publications-and-resources/publications?title=&amp;year%5Bmin%5D%5Byear%5D=&amp;year%5Bmax%5D%5Byear%5D=&amp;related_content=&amp;field_fra_publication_type_tid_i18n%5B%5D=82&amp;language=All&amp;countries_eu=All&amp;publisher=81&amp;=Apply" TargetMode="External"/><Relationship Id="rId22" Type="http://schemas.openxmlformats.org/officeDocument/2006/relationships/hyperlink" Target="http://fra.europa.eu/en/publication/2013/inequalities-discrimination-healthcare" TargetMode="External"/><Relationship Id="rId27" Type="http://schemas.openxmlformats.org/officeDocument/2006/relationships/hyperlink" Target="http://fra.europa.eu/en/theme/people-disabilities" TargetMode="External"/><Relationship Id="rId30" Type="http://schemas.openxmlformats.org/officeDocument/2006/relationships/hyperlink" Target="http://fra.europa.eu/en/opinion/2013/fra-opinion-situation-equality-european-union-10-years-initial-implementation-equality" TargetMode="Externa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ontentTypeConfiguration xmlns:i="http://www.w3.org/2001/XMLSchema-instance" xmlns="http://schemas.com/sharepoint/v4/contenttype/eworx">
  <VirtualGroup>Basic Documents</VirtualGroup>
</ContentTypeConfiguration>
</file>

<file path=customXml/item4.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E522BBD1893A6C4696D4247365C92F2E" ma:contentTypeVersion="23" ma:contentTypeDescription="" ma:contentTypeScope="" ma:versionID="5d22c61b3d752d554d39d7fe0db0d3a0">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d5a2382f8d289cbbc959f0faf19785fe"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OriginalUrl" minOccurs="0"/>
                <xsd:element ref="ns3:fraRemovalBan" minOccurs="0"/>
                <xsd:element ref="ns2:fraRegist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RegistrationId" ma:index="28" nillable="true" ma:displayName="Registration ID" ma:description="" ma:internalName="fraRegistr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OriginalUrl" ma:index="26" nillable="true" ma:displayName="Original Url" ma:internalName="OriginalUrl" ma:readOnly="true">
      <xsd:simpleType>
        <xsd:restriction base="dms:Note">
          <xsd:maxLength value="255"/>
        </xsd:restriction>
      </xsd:simpleType>
    </xsd:element>
    <xsd:element name="fraRemovalBan" ma:index="27" nillable="true" ma:displayName="Removal Ban" ma:hidden="true" ma:internalName="fraRemovalBa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D11A67-FADC-4040-B06F-52417ECE5819}">
  <ds:schemaRefs>
    <ds:schemaRef ds:uri="http://schemas.microsoft.com/sharepoint/v3/contenttype/forms"/>
  </ds:schemaRefs>
</ds:datastoreItem>
</file>

<file path=customXml/itemProps2.xml><?xml version="1.0" encoding="utf-8"?>
<ds:datastoreItem xmlns:ds="http://schemas.openxmlformats.org/officeDocument/2006/customXml" ds:itemID="{EF852AFF-1DB3-43FA-90B3-B33CFBB4AE1A}"/>
</file>

<file path=customXml/itemProps3.xml><?xml version="1.0" encoding="utf-8"?>
<ds:datastoreItem xmlns:ds="http://schemas.openxmlformats.org/officeDocument/2006/customXml" ds:itemID="{A7A5CD99-22B4-4E7A-9986-7DB05FE3575F}">
  <ds:schemaRefs>
    <ds:schemaRef ds:uri="http://schemas.com/sharepoint/v4/contenttype/eworx"/>
  </ds:schemaRefs>
</ds:datastoreItem>
</file>

<file path=customXml/itemProps4.xml><?xml version="1.0" encoding="utf-8"?>
<ds:datastoreItem xmlns:ds="http://schemas.openxmlformats.org/officeDocument/2006/customXml" ds:itemID="{D8239821-D20B-4A33-B0B3-BA4E4CC3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FACB06-53DB-4EC6-BD4E-E2B127B7274C}">
  <ds:schemaRefs>
    <ds:schemaRef ds:uri="http://schemas.microsoft.com/sharepoint/events"/>
  </ds:schemaRefs>
</ds:datastoreItem>
</file>

<file path=customXml/itemProps6.xml><?xml version="1.0" encoding="utf-8"?>
<ds:datastoreItem xmlns:ds="http://schemas.openxmlformats.org/officeDocument/2006/customXml" ds:itemID="{14BE6424-F132-4A2D-B2F8-16BD4E623D81}">
  <ds:schemaRefs>
    <ds:schemaRef ds:uri="http://schemas.openxmlformats.org/officeDocument/2006/bibliography"/>
  </ds:schemaRefs>
</ds:datastoreItem>
</file>

<file path=customXml/itemProps7.xml><?xml version="1.0" encoding="utf-8"?>
<ds:datastoreItem xmlns:ds="http://schemas.openxmlformats.org/officeDocument/2006/customXml" ds:itemID="{474DEACF-9DC7-4894-BDC9-E281C6B4FE78}"/>
</file>

<file path=docProps/app.xml><?xml version="1.0" encoding="utf-8"?>
<Properties xmlns="http://schemas.openxmlformats.org/officeDocument/2006/extended-properties" xmlns:vt="http://schemas.openxmlformats.org/officeDocument/2006/docPropsVTypes">
  <Template>Normal</Template>
  <TotalTime>50</TotalTime>
  <Pages>4</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STICKINGS Martha (FRA)</dc:creator>
  <cp:lastModifiedBy>FRA</cp:lastModifiedBy>
  <cp:revision>7</cp:revision>
  <dcterms:created xsi:type="dcterms:W3CDTF">2017-11-15T09:37:00Z</dcterms:created>
  <dcterms:modified xsi:type="dcterms:W3CDTF">2017-11-24T12:57:00Z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