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CC" w:rsidRDefault="00D232CC" w:rsidP="00BD6F35"/>
    <w:p w:rsidR="00BD6F35" w:rsidRPr="00BD6F35" w:rsidRDefault="00BD6F35" w:rsidP="00BD6F35">
      <w:r w:rsidRPr="00BD6F35">
        <w:t>De : Fondation Jérôme Lejeune</w:t>
      </w:r>
    </w:p>
    <w:p w:rsidR="00BD6F35" w:rsidRDefault="00BD6F35" w:rsidP="00BD6F35">
      <w:r w:rsidRPr="00BD6F35">
        <w:t>A : Comité des droits de</w:t>
      </w:r>
      <w:r>
        <w:t xml:space="preserve">s personnes handicapées </w:t>
      </w:r>
    </w:p>
    <w:p w:rsidR="00BD6F35" w:rsidRPr="00BD6F35" w:rsidRDefault="00BD6F35" w:rsidP="00BD6F35">
      <w:r w:rsidRPr="00BD6F35">
        <w:t xml:space="preserve">Date : </w:t>
      </w:r>
      <w:r w:rsidR="008B2961">
        <w:t>30</w:t>
      </w:r>
      <w:bookmarkStart w:id="0" w:name="_GoBack"/>
      <w:bookmarkEnd w:id="0"/>
      <w:r w:rsidR="00D232CC">
        <w:t xml:space="preserve"> novembre</w:t>
      </w:r>
      <w:r w:rsidRPr="00BD6F35">
        <w:t xml:space="preserve"> 2017</w:t>
      </w:r>
    </w:p>
    <w:p w:rsidR="00BD6F35" w:rsidRPr="00BD6F35" w:rsidRDefault="00BD6F35" w:rsidP="00725339">
      <w:pPr>
        <w:pBdr>
          <w:bottom w:val="single" w:sz="4" w:space="1" w:color="auto"/>
        </w:pBdr>
        <w:jc w:val="both"/>
        <w:rPr>
          <w:b/>
        </w:rPr>
      </w:pPr>
      <w:r w:rsidRPr="00BD6F35">
        <w:rPr>
          <w:b/>
        </w:rPr>
        <w:t xml:space="preserve">Commentaires </w:t>
      </w:r>
      <w:r>
        <w:rPr>
          <w:b/>
        </w:rPr>
        <w:t xml:space="preserve">de la Fondation Jérôme Lejeune </w:t>
      </w:r>
      <w:r w:rsidRPr="00BD6F35">
        <w:rPr>
          <w:b/>
        </w:rPr>
        <w:t>à propos du projet d’Observation générale n° 6 sur l’article 5 de la convention relative aux droits des personnes handicapées, relatif à l’égalité et à la non-discrimination</w:t>
      </w:r>
    </w:p>
    <w:p w:rsidR="00BD6F35" w:rsidRPr="00F70BAF" w:rsidRDefault="00BD6F35" w:rsidP="00BD6F35">
      <w:pPr>
        <w:numPr>
          <w:ilvl w:val="0"/>
          <w:numId w:val="2"/>
        </w:numPr>
        <w:rPr>
          <w:b/>
          <w:bCs/>
          <w:u w:val="single"/>
        </w:rPr>
      </w:pPr>
      <w:r w:rsidRPr="00F70BAF">
        <w:rPr>
          <w:b/>
          <w:bCs/>
          <w:u w:val="single"/>
        </w:rPr>
        <w:t>Introduction</w:t>
      </w:r>
    </w:p>
    <w:p w:rsidR="00BD6F35" w:rsidRDefault="00BD6F35" w:rsidP="005D641F">
      <w:pPr>
        <w:jc w:val="both"/>
      </w:pPr>
      <w:r w:rsidRPr="00BD6F35">
        <w:t>La Fondation Jérôme Lejeune</w:t>
      </w:r>
      <w:r w:rsidR="00A86660">
        <w:t xml:space="preserve"> (ci-après la « Fondation »)</w:t>
      </w:r>
      <w:r w:rsidRPr="00BD6F35">
        <w:t xml:space="preserve"> est une fondation située en France reconnue d’utilité publique depuis 1996. La Fondation a trois missions : chercher, soigner, défendre. Chercher des traitements à visée thérapeutique pour la trisomie 21 et les autres déficiences intellectuelles d’origine génétique, soigner les patients porteurs de trisomie 21 ou d’autres maladies génétiques de l’intelligence grâce à un centre de consultations spécialisées, défendre la vie et la dignité de toute personne de sa conception à sa fin naturelle.</w:t>
      </w:r>
    </w:p>
    <w:p w:rsidR="00BD6F35" w:rsidRPr="00BD6F35" w:rsidRDefault="00BD6F35" w:rsidP="005D641F">
      <w:pPr>
        <w:jc w:val="both"/>
      </w:pPr>
      <w:r w:rsidRPr="00BD6F35">
        <w:t>A la suite de la transmission du projet d’Observation générale n° 6 sur l’article 5 de la Convention relative aux droits des personnes handicapées (ci-après la « Convention »), adopté le 31 août 2017 à la suite de la 17</w:t>
      </w:r>
      <w:r w:rsidRPr="00BD6F35">
        <w:rPr>
          <w:vertAlign w:val="superscript"/>
        </w:rPr>
        <w:t>ème</w:t>
      </w:r>
      <w:r w:rsidRPr="00BD6F35">
        <w:t xml:space="preserve"> session du Comité des droits des personnes handicapées (ci-après le « Comité »)</w:t>
      </w:r>
      <w:r>
        <w:t xml:space="preserve">, la Fondation Jérôme Lejeune </w:t>
      </w:r>
      <w:r w:rsidRPr="00BD6F35">
        <w:t>a l’honneur de présenter à celui-ci les observations qui suivent.</w:t>
      </w:r>
    </w:p>
    <w:p w:rsidR="00BD6F35" w:rsidRPr="00F70BAF" w:rsidRDefault="00647CAE" w:rsidP="00F823B7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F70BAF">
        <w:rPr>
          <w:b/>
          <w:u w:val="single"/>
        </w:rPr>
        <w:t xml:space="preserve">Sur le champ d’application </w:t>
      </w:r>
      <w:r w:rsidR="00F823B7" w:rsidRPr="00F70BAF">
        <w:rPr>
          <w:b/>
          <w:u w:val="single"/>
        </w:rPr>
        <w:t>de la discrimination des personnes handicapées</w:t>
      </w:r>
    </w:p>
    <w:p w:rsidR="00B56563" w:rsidRDefault="00091E76" w:rsidP="005D641F">
      <w:pPr>
        <w:jc w:val="both"/>
      </w:pPr>
      <w:r w:rsidRPr="00B56563">
        <w:t xml:space="preserve">Le Comité </w:t>
      </w:r>
      <w:r w:rsidR="00B56563" w:rsidRPr="00B56563">
        <w:t xml:space="preserve">demande </w:t>
      </w:r>
      <w:r w:rsidR="00B56563">
        <w:t xml:space="preserve">aux Etats parties à la Convention </w:t>
      </w:r>
      <w:r w:rsidR="00B56563" w:rsidRPr="00B56563">
        <w:t xml:space="preserve">de veiller à ce que toutes les personnes handicapées soient protégées contre </w:t>
      </w:r>
      <w:r w:rsidR="00B56563" w:rsidRPr="00BD4597">
        <w:rPr>
          <w:b/>
        </w:rPr>
        <w:t>les discriminations et bénéficient de l’égalité des chances</w:t>
      </w:r>
      <w:r w:rsidR="00B56563" w:rsidRPr="00B56563">
        <w:t>, indépenda</w:t>
      </w:r>
      <w:r w:rsidR="00B56563">
        <w:t>mment de leur degré de handicap, conformément à l’article 5 de la Convention.</w:t>
      </w:r>
    </w:p>
    <w:p w:rsidR="00493931" w:rsidRDefault="00BD4597" w:rsidP="00493931">
      <w:pPr>
        <w:jc w:val="both"/>
      </w:pPr>
      <w:r>
        <w:t>Le Comité souligne</w:t>
      </w:r>
      <w:r w:rsidR="00DB05E9">
        <w:t xml:space="preserve"> à juste titre</w:t>
      </w:r>
      <w:r w:rsidR="00493931">
        <w:t>, dans son paragraphe 1,</w:t>
      </w:r>
      <w:r>
        <w:t xml:space="preserve"> que </w:t>
      </w:r>
      <w:r w:rsidR="00493931">
        <w:t>les discriminations concernent également les représentations négatives de personnes handicapées dans les médias ainsi que la persistance de stéréotypes blessants</w:t>
      </w:r>
      <w:r w:rsidR="00DB05E9">
        <w:t xml:space="preserve"> à leur </w:t>
      </w:r>
      <w:r w:rsidR="00647CAE">
        <w:t>encontre</w:t>
      </w:r>
      <w:r w:rsidR="00493931">
        <w:t>. Le Comité encourage les médias à montrer les personnes handicapées sous un jour conforme à l’objet de la Convention</w:t>
      </w:r>
      <w:r w:rsidR="00493931">
        <w:rPr>
          <w:rStyle w:val="Appelnotedebasdep"/>
        </w:rPr>
        <w:footnoteReference w:id="1"/>
      </w:r>
      <w:r w:rsidR="00493931">
        <w:t>.</w:t>
      </w:r>
    </w:p>
    <w:p w:rsidR="002F77B4" w:rsidRDefault="00493931" w:rsidP="00DB05E9">
      <w:pPr>
        <w:jc w:val="both"/>
      </w:pPr>
      <w:r w:rsidRPr="000B1890">
        <w:rPr>
          <w:b/>
        </w:rPr>
        <w:t xml:space="preserve">La Fondation </w:t>
      </w:r>
      <w:r w:rsidR="00E77A9A" w:rsidRPr="000B1890">
        <w:rPr>
          <w:b/>
        </w:rPr>
        <w:t>encourage le Comité à interpeller les Etats parties à la Convention sur leur devoir</w:t>
      </w:r>
      <w:r w:rsidR="000B1890">
        <w:rPr>
          <w:b/>
        </w:rPr>
        <w:t xml:space="preserve"> de recommandation </w:t>
      </w:r>
      <w:r w:rsidR="00647CAE">
        <w:rPr>
          <w:b/>
        </w:rPr>
        <w:t xml:space="preserve">et de réglementation </w:t>
      </w:r>
      <w:r w:rsidR="000B1890">
        <w:rPr>
          <w:b/>
        </w:rPr>
        <w:t xml:space="preserve">vis-à-vis des médias de </w:t>
      </w:r>
      <w:r w:rsidR="00E77A9A" w:rsidRPr="000B1890">
        <w:rPr>
          <w:b/>
        </w:rPr>
        <w:t xml:space="preserve">présenter les personnes handicapées sous un jour </w:t>
      </w:r>
      <w:r w:rsidR="00295920">
        <w:rPr>
          <w:b/>
        </w:rPr>
        <w:t>juste et objectif</w:t>
      </w:r>
      <w:r w:rsidR="00E77A9A">
        <w:t xml:space="preserve">. </w:t>
      </w:r>
      <w:r w:rsidR="00647CAE" w:rsidRPr="00427298">
        <w:rPr>
          <w:b/>
        </w:rPr>
        <w:t>Ce travail d’interpellation est important</w:t>
      </w:r>
      <w:r w:rsidR="00647CAE">
        <w:t xml:space="preserve">. Certains Etats ne tiennent pas suffisamment compte de </w:t>
      </w:r>
      <w:r w:rsidR="00427298">
        <w:t>l’importance</w:t>
      </w:r>
      <w:r w:rsidR="00647CAE">
        <w:t xml:space="preserve"> de promouvoir une image valorisante des personnes handicapées. A ce sujet, un exemple frappant a marqué la France récemment. </w:t>
      </w:r>
      <w:r w:rsidR="00D232CC">
        <w:t>La</w:t>
      </w:r>
      <w:r w:rsidR="00E77A9A">
        <w:t xml:space="preserve"> vidéo</w:t>
      </w:r>
      <w:r w:rsidR="00D232CC">
        <w:t xml:space="preserve"> « </w:t>
      </w:r>
      <w:proofErr w:type="spellStart"/>
      <w:r w:rsidR="00D232CC" w:rsidRPr="00D232CC">
        <w:rPr>
          <w:i/>
        </w:rPr>
        <w:t>Dear</w:t>
      </w:r>
      <w:proofErr w:type="spellEnd"/>
      <w:r w:rsidR="00D232CC" w:rsidRPr="00D232CC">
        <w:rPr>
          <w:i/>
        </w:rPr>
        <w:t xml:space="preserve"> Future </w:t>
      </w:r>
      <w:proofErr w:type="spellStart"/>
      <w:r w:rsidR="00D232CC" w:rsidRPr="00D232CC">
        <w:rPr>
          <w:i/>
        </w:rPr>
        <w:t>Mum</w:t>
      </w:r>
      <w:proofErr w:type="spellEnd"/>
      <w:r w:rsidR="00532FEC" w:rsidRPr="00532FEC">
        <w:t> »</w:t>
      </w:r>
      <w:r w:rsidR="00D232CC">
        <w:rPr>
          <w:rStyle w:val="Appelnotedebasdep"/>
          <w:i/>
        </w:rPr>
        <w:footnoteReference w:id="2"/>
      </w:r>
      <w:r w:rsidR="00E77A9A">
        <w:t xml:space="preserve"> diffusée</w:t>
      </w:r>
      <w:r w:rsidR="00647CAE">
        <w:t xml:space="preserve"> sur plusieurs chaînes de télévisions françaises</w:t>
      </w:r>
      <w:r w:rsidR="00E77A9A">
        <w:t xml:space="preserve"> et montrant des </w:t>
      </w:r>
    </w:p>
    <w:p w:rsidR="002F77B4" w:rsidRDefault="002F77B4" w:rsidP="00DB05E9">
      <w:pPr>
        <w:jc w:val="both"/>
      </w:pPr>
    </w:p>
    <w:p w:rsidR="0021759C" w:rsidRPr="00D232CC" w:rsidRDefault="00E77A9A" w:rsidP="00DB05E9">
      <w:pPr>
        <w:jc w:val="both"/>
      </w:pPr>
      <w:proofErr w:type="gramStart"/>
      <w:r>
        <w:t>enfants</w:t>
      </w:r>
      <w:proofErr w:type="gramEnd"/>
      <w:r>
        <w:t xml:space="preserve"> trisomiques </w:t>
      </w:r>
      <w:r w:rsidR="00295920">
        <w:t xml:space="preserve">exprimant leur bonheur de vivre </w:t>
      </w:r>
      <w:r>
        <w:t>a été interdite de diffusion</w:t>
      </w:r>
      <w:r w:rsidR="00A23771">
        <w:rPr>
          <w:rStyle w:val="Appelnotedebasdep"/>
        </w:rPr>
        <w:footnoteReference w:id="3"/>
      </w:r>
      <w:r w:rsidR="00374641">
        <w:t>. Le Conseil Supérieur de l’A</w:t>
      </w:r>
      <w:r>
        <w:t>udiovisuel français</w:t>
      </w:r>
      <w:r w:rsidR="000B1890">
        <w:t xml:space="preserve"> (le CSA)</w:t>
      </w:r>
      <w:r>
        <w:t xml:space="preserve"> avait considéré qu’une telle vidéo « </w:t>
      </w:r>
      <w:r w:rsidRPr="00647CAE">
        <w:rPr>
          <w:i/>
        </w:rPr>
        <w:t>pouvait générer un trouble chez les femmes qui pourraient décider de ne pas garder le fœtus porteur de trisomie 21</w:t>
      </w:r>
      <w:r w:rsidRPr="00E77A9A">
        <w:t xml:space="preserve"> </w:t>
      </w:r>
      <w:r w:rsidR="00A23771">
        <w:rPr>
          <w:rStyle w:val="Appelnotedebasdep"/>
        </w:rPr>
        <w:footnoteReference w:id="4"/>
      </w:r>
      <w:r w:rsidRPr="00E77A9A">
        <w:t>»</w:t>
      </w:r>
      <w:r>
        <w:t>.</w:t>
      </w:r>
      <w:r w:rsidR="00DB05E9">
        <w:t xml:space="preserve"> </w:t>
      </w:r>
      <w:r w:rsidR="0021759C">
        <w:t xml:space="preserve">Le droit des personnes handicapées </w:t>
      </w:r>
      <w:r w:rsidR="003F4E2E" w:rsidRPr="00E26397">
        <w:t xml:space="preserve">de s’exprimer dans les médias et </w:t>
      </w:r>
      <w:r w:rsidR="00295920">
        <w:t xml:space="preserve">d’envoyer un message positif sur leur condition à la société </w:t>
      </w:r>
      <w:r w:rsidR="0021759C">
        <w:t>s’est opposé à celui des femmes de pouvoir mettre fin à une grossesse présentant un risque de handicap pour le fœtus. La discrimination à l’encontre des personnes handicapées est ici manifeste.</w:t>
      </w:r>
    </w:p>
    <w:p w:rsidR="00427298" w:rsidRPr="00E26397" w:rsidRDefault="00DB05E9" w:rsidP="00DB05E9">
      <w:pPr>
        <w:jc w:val="both"/>
      </w:pPr>
      <w:r w:rsidRPr="00E26397">
        <w:t xml:space="preserve">De gros progrès sont </w:t>
      </w:r>
      <w:r w:rsidR="00295920">
        <w:t xml:space="preserve">à accomplir </w:t>
      </w:r>
      <w:r w:rsidR="0021759C" w:rsidRPr="00E26397">
        <w:t>en matière de lutte contre les discriminations des personnes handicapées</w:t>
      </w:r>
      <w:r w:rsidRPr="00E26397">
        <w:t xml:space="preserve"> pour que </w:t>
      </w:r>
      <w:r w:rsidR="0021759C" w:rsidRPr="00E26397">
        <w:t xml:space="preserve">ces dernières </w:t>
      </w:r>
      <w:r w:rsidRPr="00E26397">
        <w:t xml:space="preserve">ne soient plus vues comme un fardeau </w:t>
      </w:r>
      <w:r w:rsidR="003F4E2E" w:rsidRPr="00E26397">
        <w:t xml:space="preserve">à éviter </w:t>
      </w:r>
      <w:r w:rsidRPr="00E26397">
        <w:t>mais comme des personnes à part entière.</w:t>
      </w:r>
    </w:p>
    <w:p w:rsidR="004D5815" w:rsidRPr="00F70BAF" w:rsidRDefault="00DB05E9" w:rsidP="00877498">
      <w:pPr>
        <w:pStyle w:val="Paragraphedeliste"/>
        <w:numPr>
          <w:ilvl w:val="0"/>
          <w:numId w:val="2"/>
        </w:numPr>
        <w:jc w:val="both"/>
        <w:rPr>
          <w:b/>
          <w:u w:val="single"/>
        </w:rPr>
      </w:pPr>
      <w:r w:rsidRPr="00F70BAF">
        <w:rPr>
          <w:b/>
          <w:u w:val="single"/>
        </w:rPr>
        <w:t xml:space="preserve"> Non-discrimination et égalité </w:t>
      </w:r>
      <w:r w:rsidR="00212605" w:rsidRPr="00F70BAF">
        <w:rPr>
          <w:b/>
          <w:u w:val="single"/>
        </w:rPr>
        <w:t>substantielle</w:t>
      </w:r>
    </w:p>
    <w:p w:rsidR="004D5815" w:rsidRDefault="004D5815" w:rsidP="00DB05E9">
      <w:pPr>
        <w:jc w:val="both"/>
      </w:pPr>
      <w:r>
        <w:t>L</w:t>
      </w:r>
      <w:r w:rsidR="00212605">
        <w:t>e Comité reconnait et promeut</w:t>
      </w:r>
      <w:r>
        <w:t xml:space="preserve"> le </w:t>
      </w:r>
      <w:r w:rsidR="008431C8" w:rsidRPr="00E26397">
        <w:t>principe</w:t>
      </w:r>
      <w:r w:rsidRPr="00E26397">
        <w:t xml:space="preserve"> d’égalité </w:t>
      </w:r>
      <w:r w:rsidR="00212605" w:rsidRPr="00E26397">
        <w:t>substantielle</w:t>
      </w:r>
      <w:r w:rsidR="004B7C92" w:rsidRPr="00E26397">
        <w:t xml:space="preserve"> – aussi appelée égalité inclusive</w:t>
      </w:r>
      <w:r w:rsidR="00212605" w:rsidRPr="00E26397">
        <w:t xml:space="preserve">. Ce </w:t>
      </w:r>
      <w:r w:rsidR="008431C8" w:rsidRPr="00E26397">
        <w:t>principe</w:t>
      </w:r>
      <w:r w:rsidR="00212605" w:rsidRPr="00E26397">
        <w:t xml:space="preserve"> </w:t>
      </w:r>
      <w:r w:rsidR="00427298" w:rsidRPr="00E26397">
        <w:t>va plus loin que l’</w:t>
      </w:r>
      <w:r w:rsidR="0021759C" w:rsidRPr="00E26397">
        <w:t>égalité</w:t>
      </w:r>
      <w:r w:rsidR="0021759C">
        <w:t xml:space="preserve"> formelle qui correspond à une </w:t>
      </w:r>
      <w:r w:rsidR="00427298">
        <w:t>simple</w:t>
      </w:r>
      <w:r w:rsidR="0021759C">
        <w:t xml:space="preserve"> égalité </w:t>
      </w:r>
      <w:r w:rsidR="00427298">
        <w:t>devant la loi,</w:t>
      </w:r>
      <w:r w:rsidR="0021759C">
        <w:t xml:space="preserve"> peu importe </w:t>
      </w:r>
      <w:r w:rsidR="00427298">
        <w:t>les</w:t>
      </w:r>
      <w:r w:rsidR="0021759C">
        <w:t xml:space="preserve"> différences réelles</w:t>
      </w:r>
      <w:r w:rsidR="00427298">
        <w:t xml:space="preserve"> existant</w:t>
      </w:r>
      <w:r w:rsidR="00295920">
        <w:t>e</w:t>
      </w:r>
      <w:r w:rsidR="00427298">
        <w:t>s entre les personnes handicapées et les autres</w:t>
      </w:r>
      <w:r w:rsidR="0021759C">
        <w:t>. L’égalité substantielle se propose de</w:t>
      </w:r>
      <w:r w:rsidR="00212605">
        <w:t xml:space="preserve"> reconnaitre </w:t>
      </w:r>
      <w:r w:rsidR="0021759C">
        <w:t xml:space="preserve">et prendre en compte les inégalités et différences réelles entre les individus </w:t>
      </w:r>
      <w:r w:rsidR="00212605">
        <w:t>afin d’arriver à une égalité réelle.</w:t>
      </w:r>
    </w:p>
    <w:p w:rsidR="004D5815" w:rsidRDefault="00877498" w:rsidP="00DB05E9">
      <w:pPr>
        <w:jc w:val="both"/>
      </w:pPr>
      <w:r>
        <w:t>Par c</w:t>
      </w:r>
      <w:r w:rsidR="00212605">
        <w:t xml:space="preserve">e </w:t>
      </w:r>
      <w:r w:rsidR="007D441D">
        <w:t>principe</w:t>
      </w:r>
      <w:r>
        <w:t xml:space="preserve">, le Comité entend que les Etats parties s’attaquent directement aux causes structurelles qui </w:t>
      </w:r>
      <w:r w:rsidR="003F4E2E" w:rsidRPr="00E26397">
        <w:t>créées</w:t>
      </w:r>
      <w:r w:rsidRPr="00E26397">
        <w:t xml:space="preserve"> des situations de discrimination et d</w:t>
      </w:r>
      <w:r w:rsidR="003F4E2E" w:rsidRPr="00E26397">
        <w:t>’in</w:t>
      </w:r>
      <w:r w:rsidRPr="00E26397">
        <w:t xml:space="preserve">égalité </w:t>
      </w:r>
      <w:r>
        <w:t>en</w:t>
      </w:r>
      <w:r w:rsidR="003F4E2E">
        <w:t>vers les personnes handicapées.</w:t>
      </w:r>
      <w:r w:rsidR="00212605">
        <w:t xml:space="preserve"> </w:t>
      </w:r>
      <w:r>
        <w:t xml:space="preserve">Ce travail doit </w:t>
      </w:r>
      <w:r w:rsidR="00212605">
        <w:t>permet</w:t>
      </w:r>
      <w:r>
        <w:t>tre</w:t>
      </w:r>
      <w:r w:rsidR="00212605">
        <w:t xml:space="preserve"> une meilleure inclusion des personnes handicapées dans la société. Pour se conformer à cette égalité substantielle, </w:t>
      </w:r>
      <w:r w:rsidR="00212605" w:rsidRPr="00B263C8">
        <w:t>le Comité recommande aux gouvernements de faire plus pour combattre les modèles structurants discriminatoires</w:t>
      </w:r>
      <w:r>
        <w:t>, notamment par la mise en œuvre d’actions positives</w:t>
      </w:r>
      <w:r w:rsidR="00212605" w:rsidRPr="00B263C8">
        <w:t>.</w:t>
      </w:r>
    </w:p>
    <w:p w:rsidR="002F77B4" w:rsidRPr="00E26397" w:rsidRDefault="00212605" w:rsidP="00DB05E9">
      <w:pPr>
        <w:jc w:val="both"/>
        <w:rPr>
          <w:b/>
        </w:rPr>
      </w:pPr>
      <w:r w:rsidRPr="00B263C8">
        <w:rPr>
          <w:b/>
        </w:rPr>
        <w:t>Pourtant</w:t>
      </w:r>
      <w:r w:rsidR="000B1890" w:rsidRPr="00B263C8">
        <w:rPr>
          <w:b/>
        </w:rPr>
        <w:t>, la Fondatio</w:t>
      </w:r>
      <w:r w:rsidR="00295920">
        <w:rPr>
          <w:b/>
        </w:rPr>
        <w:t>n s’inquiète que certains pays</w:t>
      </w:r>
      <w:r w:rsidR="000B1890" w:rsidRPr="00B263C8">
        <w:rPr>
          <w:b/>
        </w:rPr>
        <w:t xml:space="preserve"> </w:t>
      </w:r>
      <w:r w:rsidR="0021759C" w:rsidRPr="00B263C8">
        <w:rPr>
          <w:b/>
        </w:rPr>
        <w:t xml:space="preserve">ne privilégient pas suffisamment l’inclusion des personnes handicapées dans la société. </w:t>
      </w:r>
      <w:r w:rsidR="00295920">
        <w:rPr>
          <w:b/>
        </w:rPr>
        <w:t xml:space="preserve">La première des inclusions est d’aider les familles à les accueillir. </w:t>
      </w:r>
      <w:r w:rsidR="00DC5034">
        <w:rPr>
          <w:b/>
        </w:rPr>
        <w:t xml:space="preserve">Au contraire, beaucoup d’énergie et de moyens sont investis dans le seul dépistage prénatal de maladies génétiques, </w:t>
      </w:r>
      <w:r w:rsidR="003F4E2E" w:rsidRPr="00E26397">
        <w:rPr>
          <w:b/>
        </w:rPr>
        <w:t>en tout premier lieu</w:t>
      </w:r>
      <w:r w:rsidR="00DC5034" w:rsidRPr="00E26397">
        <w:rPr>
          <w:b/>
        </w:rPr>
        <w:t xml:space="preserve"> la trisomie 21.</w:t>
      </w:r>
    </w:p>
    <w:p w:rsidR="00877498" w:rsidRPr="00F70BAF" w:rsidRDefault="00877498" w:rsidP="00DB05E9">
      <w:pPr>
        <w:pStyle w:val="Paragraphedeliste"/>
        <w:numPr>
          <w:ilvl w:val="0"/>
          <w:numId w:val="2"/>
        </w:numPr>
        <w:jc w:val="both"/>
        <w:rPr>
          <w:b/>
          <w:u w:val="single"/>
        </w:rPr>
      </w:pPr>
      <w:r w:rsidRPr="00F70BAF">
        <w:rPr>
          <w:b/>
          <w:u w:val="single"/>
        </w:rPr>
        <w:t>Le handicap comme construction sociale</w:t>
      </w:r>
    </w:p>
    <w:p w:rsidR="009075EC" w:rsidRDefault="009075EC" w:rsidP="00DB05E9">
      <w:pPr>
        <w:jc w:val="both"/>
      </w:pPr>
      <w:r>
        <w:t xml:space="preserve">Le Comité indique, dans son paragraphe </w:t>
      </w:r>
      <w:r w:rsidR="007D441D">
        <w:t>11, que l’égalité substantielle</w:t>
      </w:r>
      <w:r w:rsidR="002D18BC">
        <w:t xml:space="preserve"> ainsi promu</w:t>
      </w:r>
      <w:r w:rsidR="004B7C92">
        <w:t>e</w:t>
      </w:r>
      <w:r w:rsidR="002D18BC">
        <w:t xml:space="preserve"> </w:t>
      </w:r>
      <w:r>
        <w:t xml:space="preserve">doit </w:t>
      </w:r>
      <w:r w:rsidR="002D18BC">
        <w:t>aborder le handicap</w:t>
      </w:r>
      <w:r>
        <w:t xml:space="preserve"> </w:t>
      </w:r>
      <w:r w:rsidR="00DB2C52">
        <w:t xml:space="preserve">d’abord </w:t>
      </w:r>
      <w:r>
        <w:t>comme relevant d’une constructio</w:t>
      </w:r>
      <w:r w:rsidR="00295920">
        <w:t>n sociale, et qu’il n’est qu’un des nombreux</w:t>
      </w:r>
      <w:r>
        <w:t xml:space="preserve"> </w:t>
      </w:r>
      <w:r w:rsidR="00295920">
        <w:t xml:space="preserve">plans </w:t>
      </w:r>
      <w:r>
        <w:t>qui définissent l’identité d’une personne.</w:t>
      </w:r>
      <w:r w:rsidR="00DC5034">
        <w:t xml:space="preserve"> Il ajoute que l’approche médicale du handicap doit être mise </w:t>
      </w:r>
      <w:r w:rsidR="00295920">
        <w:t>en</w:t>
      </w:r>
      <w:r w:rsidR="00DC5034">
        <w:t xml:space="preserve"> second</w:t>
      </w:r>
      <w:r w:rsidR="00295920">
        <w:t xml:space="preserve"> </w:t>
      </w:r>
      <w:r w:rsidR="00DC5034">
        <w:t>– « </w:t>
      </w:r>
      <w:proofErr w:type="spellStart"/>
      <w:r w:rsidR="00DC5034" w:rsidRPr="00DC5034">
        <w:rPr>
          <w:i/>
        </w:rPr>
        <w:t>disability</w:t>
      </w:r>
      <w:proofErr w:type="spellEnd"/>
      <w:r w:rsidR="00DC5034" w:rsidRPr="00DC5034">
        <w:rPr>
          <w:i/>
        </w:rPr>
        <w:t xml:space="preserve"> </w:t>
      </w:r>
      <w:proofErr w:type="spellStart"/>
      <w:r w:rsidR="00DC5034" w:rsidRPr="00DC5034">
        <w:rPr>
          <w:i/>
        </w:rPr>
        <w:t>is</w:t>
      </w:r>
      <w:proofErr w:type="spellEnd"/>
      <w:r w:rsidR="00DC5034" w:rsidRPr="00DC5034">
        <w:rPr>
          <w:i/>
        </w:rPr>
        <w:t xml:space="preserve"> not </w:t>
      </w:r>
      <w:proofErr w:type="spellStart"/>
      <w:r w:rsidR="00DC5034" w:rsidRPr="00DC5034">
        <w:rPr>
          <w:i/>
        </w:rPr>
        <w:t>primarily</w:t>
      </w:r>
      <w:proofErr w:type="spellEnd"/>
      <w:r w:rsidR="00DC5034" w:rsidRPr="00DC5034">
        <w:rPr>
          <w:i/>
        </w:rPr>
        <w:t xml:space="preserve"> </w:t>
      </w:r>
      <w:proofErr w:type="gramStart"/>
      <w:r w:rsidR="00DC5034" w:rsidRPr="00DC5034">
        <w:rPr>
          <w:i/>
        </w:rPr>
        <w:t>a</w:t>
      </w:r>
      <w:proofErr w:type="gramEnd"/>
      <w:r w:rsidR="00DC5034" w:rsidRPr="00DC5034">
        <w:rPr>
          <w:i/>
        </w:rPr>
        <w:t xml:space="preserve"> </w:t>
      </w:r>
      <w:proofErr w:type="spellStart"/>
      <w:r w:rsidR="00DC5034" w:rsidRPr="00DC5034">
        <w:rPr>
          <w:i/>
        </w:rPr>
        <w:t>medical</w:t>
      </w:r>
      <w:proofErr w:type="spellEnd"/>
      <w:r w:rsidR="00DC5034" w:rsidRPr="00DC5034">
        <w:rPr>
          <w:i/>
        </w:rPr>
        <w:t xml:space="preserve"> issue</w:t>
      </w:r>
      <w:r w:rsidR="00DC5034">
        <w:t> </w:t>
      </w:r>
      <w:r w:rsidR="002F77B4">
        <w:rPr>
          <w:rStyle w:val="Appelnotedebasdep"/>
        </w:rPr>
        <w:footnoteReference w:id="5"/>
      </w:r>
      <w:r w:rsidR="00DC5034">
        <w:t>».</w:t>
      </w:r>
    </w:p>
    <w:p w:rsidR="00572139" w:rsidRDefault="00572139" w:rsidP="00DB05E9">
      <w:pPr>
        <w:jc w:val="both"/>
        <w:rPr>
          <w:b/>
        </w:rPr>
      </w:pPr>
    </w:p>
    <w:p w:rsidR="00572139" w:rsidRDefault="00572139" w:rsidP="00DB05E9">
      <w:pPr>
        <w:jc w:val="both"/>
        <w:rPr>
          <w:b/>
        </w:rPr>
      </w:pPr>
    </w:p>
    <w:p w:rsidR="00D232CC" w:rsidRDefault="009075EC" w:rsidP="00DB05E9">
      <w:pPr>
        <w:jc w:val="both"/>
      </w:pPr>
      <w:r w:rsidRPr="00D000DB">
        <w:rPr>
          <w:b/>
        </w:rPr>
        <w:t xml:space="preserve">La Fondation </w:t>
      </w:r>
      <w:r w:rsidR="00DC5034">
        <w:rPr>
          <w:b/>
        </w:rPr>
        <w:t xml:space="preserve">Jérôme Lejeune </w:t>
      </w:r>
      <w:r w:rsidRPr="00D000DB">
        <w:rPr>
          <w:b/>
        </w:rPr>
        <w:t xml:space="preserve">souhaite </w:t>
      </w:r>
      <w:r w:rsidRPr="00E26397">
        <w:rPr>
          <w:b/>
        </w:rPr>
        <w:t xml:space="preserve">rappeler </w:t>
      </w:r>
      <w:r w:rsidR="003C3AD2" w:rsidRPr="00E26397">
        <w:rPr>
          <w:b/>
        </w:rPr>
        <w:t xml:space="preserve">que la lutte contre les discriminations doit également passer par </w:t>
      </w:r>
      <w:r w:rsidR="00DB2C52" w:rsidRPr="00E26397">
        <w:rPr>
          <w:b/>
        </w:rPr>
        <w:t>un engagement médical massif</w:t>
      </w:r>
      <w:r w:rsidR="00DB2C52" w:rsidRPr="00E26397">
        <w:t>.</w:t>
      </w:r>
      <w:r w:rsidRPr="00E26397">
        <w:t xml:space="preserve"> </w:t>
      </w:r>
      <w:r w:rsidR="003C3AD2" w:rsidRPr="00E26397">
        <w:t>La recherche médicale, par exemple dans le domaine de la trisomie 21, a</w:t>
      </w:r>
      <w:r w:rsidR="00796921">
        <w:t xml:space="preserve"> fait progresser de manière considérable le bien-être et l’intégration des personnes faisant passer l’espérance de vie de 20 ans à 65 ans en 50 ans. D’autres progrès sont à venir : progrès dans l’apprentissage du langage, des mathématiques, mémorisation, gains d’autonomie</w:t>
      </w:r>
      <w:r w:rsidR="003C3AD2" w:rsidRPr="00E26397">
        <w:t>. Des budgets publics</w:t>
      </w:r>
      <w:r w:rsidR="006E5E57" w:rsidRPr="00E26397">
        <w:t xml:space="preserve"> pour la recherche</w:t>
      </w:r>
      <w:r w:rsidR="003C3AD2" w:rsidRPr="00E26397">
        <w:t xml:space="preserve"> faibles ou inexistants constituent une discrimination envers les personnes handicapées qui ont également droit à l’intérêt de la recherche (encouragée par les Etats) </w:t>
      </w:r>
      <w:r w:rsidR="006E5E57" w:rsidRPr="00E26397">
        <w:t xml:space="preserve">afin d’améliorer leur santé et leur vie quotidienne. </w:t>
      </w:r>
      <w:r w:rsidRPr="00E26397">
        <w:t>Aucune avancée ne pourra se faire s</w:t>
      </w:r>
      <w:r w:rsidR="001333E6" w:rsidRPr="00E26397">
        <w:t xml:space="preserve">ans une plus grande implication des </w:t>
      </w:r>
      <w:r w:rsidR="006E5E57" w:rsidRPr="00E26397">
        <w:t>Etats</w:t>
      </w:r>
      <w:r w:rsidR="001333E6" w:rsidRPr="00E26397">
        <w:t xml:space="preserve"> </w:t>
      </w:r>
      <w:r w:rsidR="00DB2C52" w:rsidRPr="00E26397">
        <w:t>dans</w:t>
      </w:r>
      <w:r w:rsidR="001333E6" w:rsidRPr="00E26397">
        <w:t xml:space="preserve"> l’allocation de budgets de recherches</w:t>
      </w:r>
      <w:r w:rsidR="00DC5034" w:rsidRPr="00E26397">
        <w:t>, à la hauteur de l’enjeu</w:t>
      </w:r>
      <w:r w:rsidR="001333E6" w:rsidRPr="00E26397">
        <w:t>.</w:t>
      </w:r>
      <w:r w:rsidR="00DC5034" w:rsidRPr="00E26397">
        <w:t xml:space="preserve"> La question médicale reste au cœur du sujet du handicap.</w:t>
      </w:r>
    </w:p>
    <w:p w:rsidR="00F90BB1" w:rsidRPr="003C16DC" w:rsidRDefault="003C16DC" w:rsidP="00F90BB1">
      <w:pPr>
        <w:pStyle w:val="Paragraphedeliste"/>
        <w:numPr>
          <w:ilvl w:val="0"/>
          <w:numId w:val="2"/>
        </w:numPr>
        <w:jc w:val="both"/>
        <w:rPr>
          <w:b/>
          <w:u w:val="single"/>
        </w:rPr>
      </w:pPr>
      <w:r w:rsidRPr="003C16DC">
        <w:rPr>
          <w:b/>
          <w:u w:val="single"/>
        </w:rPr>
        <w:t>Sur l’application du</w:t>
      </w:r>
      <w:r w:rsidR="00F90BB1" w:rsidRPr="003C16DC">
        <w:rPr>
          <w:b/>
          <w:u w:val="single"/>
        </w:rPr>
        <w:t xml:space="preserve"> principe de l’égale protection </w:t>
      </w:r>
      <w:r>
        <w:rPr>
          <w:b/>
          <w:u w:val="single"/>
        </w:rPr>
        <w:t xml:space="preserve">de la loi à l’égard </w:t>
      </w:r>
      <w:r w:rsidR="00F90BB1" w:rsidRPr="003C16DC">
        <w:rPr>
          <w:b/>
          <w:u w:val="single"/>
        </w:rPr>
        <w:t xml:space="preserve">de </w:t>
      </w:r>
      <w:r>
        <w:rPr>
          <w:b/>
          <w:u w:val="single"/>
        </w:rPr>
        <w:t>toutes personnes</w:t>
      </w:r>
    </w:p>
    <w:p w:rsidR="00A86660" w:rsidRDefault="00A86660" w:rsidP="00A86660">
      <w:pPr>
        <w:jc w:val="both"/>
      </w:pPr>
      <w:r>
        <w:t xml:space="preserve">L’article 5 de la Convention prévoit que toutes personnes ont droit à l’égale protection de la loi. Le Comité rappelle, au paragraphe 18, que cette « égale protection de la loi » </w:t>
      </w:r>
      <w:r w:rsidR="001C56A7">
        <w:t>engage les Etats parties à ne pas promulguer de lois et règlements qui constitueraient une discrimination à l’encontre des personnes handicapées.</w:t>
      </w:r>
    </w:p>
    <w:p w:rsidR="001C56A7" w:rsidRPr="003C16DC" w:rsidRDefault="001C56A7" w:rsidP="00A86660">
      <w:pPr>
        <w:jc w:val="both"/>
      </w:pPr>
      <w:r w:rsidRPr="003C16DC">
        <w:t>La Fondation interpelle le Comité sur le décret français</w:t>
      </w:r>
      <w:r w:rsidR="003C16DC">
        <w:t>, en date du 3 mai 2016</w:t>
      </w:r>
      <w:r w:rsidR="003C16DC">
        <w:rPr>
          <w:rStyle w:val="Appelnotedebasdep"/>
        </w:rPr>
        <w:footnoteReference w:id="6"/>
      </w:r>
      <w:r w:rsidR="003C16DC">
        <w:t>,</w:t>
      </w:r>
      <w:r w:rsidRPr="003C16DC">
        <w:t xml:space="preserve"> qui impose le fichage des femmes enceintes et des bébés porteurs de trisomie 21. Ce fichage</w:t>
      </w:r>
      <w:r w:rsidR="00796921">
        <w:t>, qui n’a pas d’objet thérapeutique,</w:t>
      </w:r>
      <w:r w:rsidRPr="003C16DC">
        <w:t xml:space="preserve"> va manifestement à l’encontre de l’égale prote</w:t>
      </w:r>
      <w:r w:rsidR="003C16DC">
        <w:t xml:space="preserve">ction de la loi à l’égard de toutes </w:t>
      </w:r>
      <w:r w:rsidR="00866CE6">
        <w:t xml:space="preserve">les </w:t>
      </w:r>
      <w:r w:rsidR="003C16DC">
        <w:t xml:space="preserve">personnes </w:t>
      </w:r>
      <w:r w:rsidRPr="003C16DC">
        <w:t>puisque seuls ces groupes de personnes sont concernés.</w:t>
      </w:r>
    </w:p>
    <w:p w:rsidR="00F90BB1" w:rsidRPr="003C16DC" w:rsidRDefault="003C16DC" w:rsidP="003C16DC">
      <w:pPr>
        <w:jc w:val="both"/>
        <w:rPr>
          <w:b/>
        </w:rPr>
      </w:pPr>
      <w:r>
        <w:rPr>
          <w:b/>
        </w:rPr>
        <w:t>La Fondation encourage le Comité à utili</w:t>
      </w:r>
      <w:r w:rsidR="00866CE6">
        <w:rPr>
          <w:b/>
        </w:rPr>
        <w:t>ser l’Article 5 pour rappeler aux Etats</w:t>
      </w:r>
      <w:r>
        <w:rPr>
          <w:b/>
        </w:rPr>
        <w:t xml:space="preserve"> la nécessité de conformer leurs lois et règlements au principe de l’égale protection de la loi</w:t>
      </w:r>
      <w:r w:rsidR="00455200">
        <w:rPr>
          <w:b/>
        </w:rPr>
        <w:t>, sans discrimination</w:t>
      </w:r>
      <w:r>
        <w:rPr>
          <w:b/>
        </w:rPr>
        <w:t>.</w:t>
      </w:r>
    </w:p>
    <w:p w:rsidR="00D232CC" w:rsidRPr="00F70BAF" w:rsidRDefault="004D5815" w:rsidP="00FC58F6">
      <w:pPr>
        <w:pStyle w:val="Paragraphedeliste"/>
        <w:numPr>
          <w:ilvl w:val="0"/>
          <w:numId w:val="2"/>
        </w:numPr>
        <w:jc w:val="both"/>
        <w:rPr>
          <w:b/>
          <w:u w:val="single"/>
        </w:rPr>
      </w:pPr>
      <w:r w:rsidRPr="00F70BAF">
        <w:rPr>
          <w:b/>
          <w:u w:val="single"/>
        </w:rPr>
        <w:t xml:space="preserve">Le principe de </w:t>
      </w:r>
      <w:r w:rsidR="004D7568" w:rsidRPr="00F70BAF">
        <w:rPr>
          <w:b/>
          <w:u w:val="single"/>
        </w:rPr>
        <w:t>non-</w:t>
      </w:r>
      <w:r w:rsidRPr="00F70BAF">
        <w:rPr>
          <w:b/>
          <w:u w:val="single"/>
        </w:rPr>
        <w:t xml:space="preserve">discrimination </w:t>
      </w:r>
      <w:r w:rsidR="00796921">
        <w:rPr>
          <w:b/>
          <w:u w:val="single"/>
        </w:rPr>
        <w:t>s’applique également</w:t>
      </w:r>
      <w:r w:rsidR="004D7568" w:rsidRPr="00F70BAF">
        <w:rPr>
          <w:b/>
          <w:u w:val="single"/>
        </w:rPr>
        <w:t xml:space="preserve"> </w:t>
      </w:r>
      <w:r w:rsidR="00C94A5F" w:rsidRPr="00F70BAF">
        <w:rPr>
          <w:b/>
          <w:u w:val="single"/>
        </w:rPr>
        <w:t>aux politiques de dépistage</w:t>
      </w:r>
      <w:r w:rsidRPr="00F70BAF">
        <w:rPr>
          <w:b/>
          <w:u w:val="single"/>
        </w:rPr>
        <w:t xml:space="preserve"> prénatal</w:t>
      </w:r>
    </w:p>
    <w:p w:rsidR="00FC58F6" w:rsidRDefault="00FC58F6" w:rsidP="00FC58F6">
      <w:pPr>
        <w:jc w:val="both"/>
      </w:pPr>
      <w:r w:rsidRPr="00FC58F6">
        <w:t xml:space="preserve">Une politique de dépistage prénatal de fœtus handicapés qui a pour objectif d’éviter la naissance d’une personne possédant un patrimoine génétique </w:t>
      </w:r>
      <w:r w:rsidR="00A45DD1">
        <w:t xml:space="preserve">particulier </w:t>
      </w:r>
      <w:r w:rsidR="006E5E57" w:rsidRPr="00E26397">
        <w:t>est</w:t>
      </w:r>
      <w:r w:rsidRPr="00E26397">
        <w:t xml:space="preserve"> </w:t>
      </w:r>
      <w:r w:rsidRPr="00FC58F6">
        <w:t>une discrimination.</w:t>
      </w:r>
    </w:p>
    <w:p w:rsidR="00A45DD1" w:rsidRPr="00885741" w:rsidRDefault="00A45DD1" w:rsidP="00FC58F6">
      <w:pPr>
        <w:jc w:val="both"/>
        <w:rPr>
          <w:b/>
        </w:rPr>
      </w:pPr>
      <w:r w:rsidRPr="00885741">
        <w:rPr>
          <w:b/>
        </w:rPr>
        <w:t xml:space="preserve">Le </w:t>
      </w:r>
      <w:r w:rsidRPr="00E26397">
        <w:rPr>
          <w:b/>
        </w:rPr>
        <w:t xml:space="preserve">Comité l’a </w:t>
      </w:r>
      <w:r w:rsidR="006E5E57" w:rsidRPr="00E26397">
        <w:rPr>
          <w:b/>
        </w:rPr>
        <w:t>relevé</w:t>
      </w:r>
      <w:r w:rsidRPr="00E26397">
        <w:rPr>
          <w:b/>
        </w:rPr>
        <w:t xml:space="preserve"> en </w:t>
      </w:r>
      <w:r w:rsidR="006E5E57" w:rsidRPr="00E26397">
        <w:rPr>
          <w:b/>
        </w:rPr>
        <w:t>rappelant</w:t>
      </w:r>
      <w:r w:rsidRPr="00885741">
        <w:rPr>
          <w:b/>
        </w:rPr>
        <w:t xml:space="preserve">, en son paragraphe 44, </w:t>
      </w:r>
      <w:r w:rsidR="00DC5034">
        <w:rPr>
          <w:b/>
        </w:rPr>
        <w:t xml:space="preserve">que </w:t>
      </w:r>
      <w:r w:rsidRPr="00885741">
        <w:rPr>
          <w:b/>
        </w:rPr>
        <w:t>les politiques</w:t>
      </w:r>
      <w:r w:rsidR="00D02E4A">
        <w:rPr>
          <w:b/>
        </w:rPr>
        <w:t xml:space="preserve"> publiques</w:t>
      </w:r>
      <w:r w:rsidRPr="00885741">
        <w:rPr>
          <w:b/>
        </w:rPr>
        <w:t xml:space="preserve"> de dépistage prénatal d’un handicap </w:t>
      </w:r>
      <w:r w:rsidR="00D02E4A">
        <w:rPr>
          <w:b/>
        </w:rPr>
        <w:t xml:space="preserve">constituent </w:t>
      </w:r>
      <w:r w:rsidRPr="00885741">
        <w:rPr>
          <w:b/>
        </w:rPr>
        <w:t xml:space="preserve">une discrimination allant à l’encontre </w:t>
      </w:r>
      <w:r w:rsidR="007B4FF8">
        <w:rPr>
          <w:b/>
        </w:rPr>
        <w:t>du</w:t>
      </w:r>
      <w:r w:rsidRPr="00885741">
        <w:rPr>
          <w:b/>
        </w:rPr>
        <w:t xml:space="preserve"> principe de </w:t>
      </w:r>
      <w:r w:rsidR="004D7568">
        <w:rPr>
          <w:b/>
        </w:rPr>
        <w:t>l’égale</w:t>
      </w:r>
      <w:r w:rsidRPr="00885741">
        <w:rPr>
          <w:b/>
        </w:rPr>
        <w:t xml:space="preserve"> valeur de chaque être humain.</w:t>
      </w:r>
    </w:p>
    <w:p w:rsidR="00D02E4A" w:rsidRPr="00D950C9" w:rsidRDefault="00D02E4A" w:rsidP="00FC58F6">
      <w:pPr>
        <w:jc w:val="both"/>
      </w:pPr>
      <w:r w:rsidRPr="00D950C9">
        <w:t>Or, en matière de trisomie 21</w:t>
      </w:r>
      <w:r w:rsidR="007B4FF8" w:rsidRPr="00D950C9">
        <w:t>, par exemple,</w:t>
      </w:r>
      <w:r w:rsidRPr="00D950C9">
        <w:t xml:space="preserve"> la discrimination s’amplifie. Le</w:t>
      </w:r>
      <w:r w:rsidR="00FC58F6" w:rsidRPr="00D950C9">
        <w:t xml:space="preserve"> dépistage prénatal</w:t>
      </w:r>
      <w:r w:rsidRPr="00D950C9">
        <w:t xml:space="preserve"> de la trisomie 21 se généralise</w:t>
      </w:r>
      <w:r w:rsidR="00445833" w:rsidRPr="00D950C9">
        <w:t xml:space="preserve"> et se systématise</w:t>
      </w:r>
      <w:r w:rsidRPr="00D950C9">
        <w:t xml:space="preserve"> dans de nombreux Etats. Cela constitue une</w:t>
      </w:r>
      <w:r w:rsidR="00A45DD1" w:rsidRPr="00D950C9">
        <w:t xml:space="preserve"> dis</w:t>
      </w:r>
      <w:r w:rsidRPr="00D950C9">
        <w:t xml:space="preserve">crimination majeure à l’encontre de </w:t>
      </w:r>
      <w:r w:rsidR="00445833" w:rsidRPr="00D950C9">
        <w:t>la</w:t>
      </w:r>
      <w:r w:rsidRPr="00D950C9">
        <w:t xml:space="preserve"> communauté</w:t>
      </w:r>
      <w:r w:rsidR="00445833" w:rsidRPr="00D950C9">
        <w:t xml:space="preserve"> trisomique</w:t>
      </w:r>
      <w:r w:rsidRPr="00D950C9">
        <w:t xml:space="preserve">, </w:t>
      </w:r>
      <w:r w:rsidR="00445833" w:rsidRPr="00D950C9">
        <w:t>aujourd’hui menacée d’extinction</w:t>
      </w:r>
      <w:r w:rsidR="00D50B26" w:rsidRPr="00D950C9">
        <w:t xml:space="preserve"> dans de nombreux pays à cause de son chromosome 21 supplémentaire</w:t>
      </w:r>
      <w:r w:rsidR="00A45DD1" w:rsidRPr="00D950C9">
        <w:t xml:space="preserve">. </w:t>
      </w:r>
    </w:p>
    <w:p w:rsidR="00796921" w:rsidRDefault="00796921" w:rsidP="00FC58F6">
      <w:pPr>
        <w:jc w:val="both"/>
      </w:pPr>
    </w:p>
    <w:p w:rsidR="00796921" w:rsidRDefault="00796921" w:rsidP="00FC58F6">
      <w:pPr>
        <w:jc w:val="both"/>
      </w:pPr>
    </w:p>
    <w:p w:rsidR="007B4FF8" w:rsidRPr="00D950C9" w:rsidRDefault="004B7C92" w:rsidP="00FC58F6">
      <w:pPr>
        <w:jc w:val="both"/>
      </w:pPr>
      <w:r w:rsidRPr="00D950C9">
        <w:t>Outre</w:t>
      </w:r>
      <w:r w:rsidR="00D02E4A" w:rsidRPr="00D950C9">
        <w:t xml:space="preserve"> </w:t>
      </w:r>
      <w:r w:rsidRPr="00D950C9">
        <w:t>les personnes porteuses de trisomie 21</w:t>
      </w:r>
      <w:r w:rsidR="00D02E4A" w:rsidRPr="00D950C9">
        <w:t>, t</w:t>
      </w:r>
      <w:r w:rsidR="00FC58F6" w:rsidRPr="00D950C9">
        <w:t>oute</w:t>
      </w:r>
      <w:r w:rsidRPr="00D950C9">
        <w:t>s</w:t>
      </w:r>
      <w:r w:rsidR="00FC58F6" w:rsidRPr="00D950C9">
        <w:t xml:space="preserve"> </w:t>
      </w:r>
      <w:r w:rsidRPr="00D950C9">
        <w:t>l</w:t>
      </w:r>
      <w:r w:rsidR="00FC58F6" w:rsidRPr="00D950C9">
        <w:t>e</w:t>
      </w:r>
      <w:r w:rsidR="00885741" w:rsidRPr="00D950C9">
        <w:t>s</w:t>
      </w:r>
      <w:r w:rsidR="00FC58F6" w:rsidRPr="00D950C9">
        <w:t xml:space="preserve"> personnes </w:t>
      </w:r>
      <w:r w:rsidRPr="00D950C9">
        <w:t>porteuses de handicap</w:t>
      </w:r>
      <w:r w:rsidR="00885741" w:rsidRPr="00D950C9">
        <w:t xml:space="preserve"> </w:t>
      </w:r>
      <w:r w:rsidRPr="00D950C9">
        <w:t>son</w:t>
      </w:r>
      <w:r w:rsidR="00885741" w:rsidRPr="00D950C9">
        <w:t>t concernée</w:t>
      </w:r>
      <w:r w:rsidRPr="00D950C9">
        <w:t>s</w:t>
      </w:r>
      <w:r w:rsidR="00885741" w:rsidRPr="00D950C9">
        <w:t xml:space="preserve"> par </w:t>
      </w:r>
      <w:r w:rsidR="00D02E4A" w:rsidRPr="00D950C9">
        <w:t>le sujet du</w:t>
      </w:r>
      <w:r w:rsidR="00885741" w:rsidRPr="00D950C9">
        <w:t xml:space="preserve"> dépistage</w:t>
      </w:r>
      <w:r w:rsidR="00D02E4A" w:rsidRPr="00D950C9">
        <w:t>. Ce processus, qui a commencé avec la trisomie va</w:t>
      </w:r>
      <w:r w:rsidR="00796921">
        <w:t xml:space="preserve"> en effet</w:t>
      </w:r>
      <w:r w:rsidR="00D02E4A" w:rsidRPr="00D950C9">
        <w:t xml:space="preserve"> se poursuivre et, si rien n’est fait, l’ensemble des </w:t>
      </w:r>
      <w:r w:rsidR="007B4FF8" w:rsidRPr="00D950C9">
        <w:t>pathologies</w:t>
      </w:r>
      <w:r w:rsidR="00D02E4A" w:rsidRPr="00D950C9">
        <w:t xml:space="preserve"> génétiques seront dépisté</w:t>
      </w:r>
      <w:r w:rsidR="00936B22" w:rsidRPr="00D950C9">
        <w:t>e</w:t>
      </w:r>
      <w:r w:rsidR="00D02E4A" w:rsidRPr="00D950C9">
        <w:t xml:space="preserve">s </w:t>
      </w:r>
      <w:r w:rsidR="00D02E4A" w:rsidRPr="00D950C9">
        <w:rPr>
          <w:i/>
        </w:rPr>
        <w:t>in utero</w:t>
      </w:r>
      <w:r w:rsidR="00D02E4A" w:rsidRPr="00D950C9">
        <w:t>. La généralisation du dépistage, s</w:t>
      </w:r>
      <w:r w:rsidR="00936B22" w:rsidRPr="00D950C9">
        <w:t>i elle</w:t>
      </w:r>
      <w:r w:rsidR="00D02E4A" w:rsidRPr="00D950C9">
        <w:t xml:space="preserve"> n’est pas </w:t>
      </w:r>
      <w:r w:rsidR="00936B22" w:rsidRPr="00D950C9">
        <w:t>adossée</w:t>
      </w:r>
      <w:r w:rsidR="00D02E4A" w:rsidRPr="00D950C9">
        <w:t xml:space="preserve"> à une politique de recherche thérapeutique, </w:t>
      </w:r>
      <w:r w:rsidR="00203998" w:rsidRPr="00D950C9">
        <w:t xml:space="preserve">entraine </w:t>
      </w:r>
      <w:r w:rsidR="00936B22" w:rsidRPr="00D950C9">
        <w:t xml:space="preserve">une </w:t>
      </w:r>
      <w:r w:rsidR="00FC58F6" w:rsidRPr="00D950C9">
        <w:t>dépréciation de la valeur de la vie des personnes handicapées</w:t>
      </w:r>
      <w:r w:rsidR="004D7568" w:rsidRPr="00D950C9">
        <w:t xml:space="preserve">, et les </w:t>
      </w:r>
      <w:r w:rsidR="00203998" w:rsidRPr="00D950C9">
        <w:t>stigmatise davantage en ce qu’elle</w:t>
      </w:r>
      <w:r w:rsidR="004D7568" w:rsidRPr="00D950C9">
        <w:t xml:space="preserve"> implique que le handicap est une expérience forcément négative alors que ce n’est que l’une des facettes de la diversité humaine.</w:t>
      </w:r>
    </w:p>
    <w:p w:rsidR="00FC58F6" w:rsidRDefault="007B4FF8" w:rsidP="00FC58F6">
      <w:pPr>
        <w:jc w:val="both"/>
      </w:pPr>
      <w:r w:rsidRPr="007B4FF8">
        <w:t xml:space="preserve">Suivant les termes de l’Organisation Mondiale de la Santé, le dépistage de pathologies ne doit être envisagé que lorsque la pathologie dépistée doit « </w:t>
      </w:r>
      <w:r w:rsidRPr="007B4FF8">
        <w:rPr>
          <w:i/>
        </w:rPr>
        <w:t>pouvoir faire l’objet d’un traitement acceptable pour le patient atteint</w:t>
      </w:r>
      <w:r w:rsidRPr="007B4FF8">
        <w:t>.</w:t>
      </w:r>
      <w:r w:rsidR="00D950C9">
        <w:rPr>
          <w:rStyle w:val="Appelnotedebasdep"/>
        </w:rPr>
        <w:footnoteReference w:id="7"/>
      </w:r>
      <w:r w:rsidRPr="007B4FF8">
        <w:t xml:space="preserve"> ». Autrement dit, tout dépistage prénatal d’un handicap qui condui</w:t>
      </w:r>
      <w:r>
        <w:t>rait inévitablement à l’arrêt d’une grossesse devrait être écarté.</w:t>
      </w:r>
    </w:p>
    <w:p w:rsidR="00595463" w:rsidRPr="00455200" w:rsidRDefault="00FC58F6" w:rsidP="004D7568">
      <w:pPr>
        <w:jc w:val="both"/>
        <w:rPr>
          <w:b/>
        </w:rPr>
      </w:pPr>
      <w:r w:rsidRPr="00D000DB">
        <w:rPr>
          <w:b/>
        </w:rPr>
        <w:t xml:space="preserve">La Fondation encourage le Comité à utiliser l’Article 5 comme une opportunité </w:t>
      </w:r>
      <w:r w:rsidR="00D000DB">
        <w:rPr>
          <w:b/>
        </w:rPr>
        <w:t>de souligner</w:t>
      </w:r>
      <w:r w:rsidR="008063C9" w:rsidRPr="00D000DB">
        <w:rPr>
          <w:b/>
        </w:rPr>
        <w:t xml:space="preserve"> le lien entre la discrimination </w:t>
      </w:r>
      <w:r w:rsidR="002D18BC" w:rsidRPr="00D000DB">
        <w:rPr>
          <w:b/>
        </w:rPr>
        <w:t>de personnes handicapées</w:t>
      </w:r>
      <w:r w:rsidR="008063C9" w:rsidRPr="00D000DB">
        <w:rPr>
          <w:b/>
        </w:rPr>
        <w:t xml:space="preserve"> et le dépistage</w:t>
      </w:r>
      <w:r w:rsidR="002D18BC" w:rsidRPr="00D000DB">
        <w:rPr>
          <w:b/>
        </w:rPr>
        <w:t xml:space="preserve"> </w:t>
      </w:r>
      <w:r w:rsidR="008063C9" w:rsidRPr="00D000DB">
        <w:rPr>
          <w:b/>
        </w:rPr>
        <w:t>prénatal</w:t>
      </w:r>
      <w:r w:rsidR="004D7568">
        <w:rPr>
          <w:b/>
        </w:rPr>
        <w:t xml:space="preserve">. Le dépistage prénatal devrait être encadré </w:t>
      </w:r>
      <w:r w:rsidR="00DC2323" w:rsidRPr="00D950C9">
        <w:rPr>
          <w:b/>
        </w:rPr>
        <w:t>pour</w:t>
      </w:r>
      <w:r w:rsidR="004D7568" w:rsidRPr="00D950C9">
        <w:rPr>
          <w:b/>
        </w:rPr>
        <w:t xml:space="preserve"> </w:t>
      </w:r>
      <w:r w:rsidR="004D7568">
        <w:rPr>
          <w:b/>
        </w:rPr>
        <w:t>n’être utilisé que lorsque la pathologie dépistée peut faire l’objet d’un traitement acceptable pour le patient atteint.</w:t>
      </w:r>
      <w:r w:rsidR="00D000DB">
        <w:rPr>
          <w:b/>
        </w:rPr>
        <w:t xml:space="preserve"> </w:t>
      </w:r>
    </w:p>
    <w:p w:rsidR="0019476C" w:rsidRPr="00F70BAF" w:rsidRDefault="0019476C" w:rsidP="004D7568">
      <w:pPr>
        <w:jc w:val="both"/>
        <w:rPr>
          <w:b/>
          <w:u w:val="single"/>
        </w:rPr>
      </w:pPr>
      <w:r w:rsidRPr="00F70BAF">
        <w:rPr>
          <w:b/>
          <w:u w:val="single"/>
        </w:rPr>
        <w:t>Conclusion :</w:t>
      </w:r>
    </w:p>
    <w:p w:rsidR="00572139" w:rsidRPr="00DC2323" w:rsidRDefault="0019476C" w:rsidP="00DC2323">
      <w:pPr>
        <w:jc w:val="both"/>
      </w:pPr>
      <w:r w:rsidRPr="00DC2323">
        <w:t>La Fondation Jérôme Lejeune encourage le Comité des droits des personnes handicapées à </w:t>
      </w:r>
      <w:r w:rsidR="0069047D" w:rsidRPr="00DC2323">
        <w:t>rappeler,</w:t>
      </w:r>
      <w:r w:rsidRPr="00DC2323">
        <w:t xml:space="preserve"> dans ses observations générales</w:t>
      </w:r>
      <w:r w:rsidR="0069047D" w:rsidRPr="00DC2323">
        <w:t xml:space="preserve"> relatives à l’Article 5 </w:t>
      </w:r>
      <w:r w:rsidR="0069047D" w:rsidRPr="00D950C9">
        <w:t xml:space="preserve">sur </w:t>
      </w:r>
      <w:r w:rsidR="007F778C" w:rsidRPr="00D950C9">
        <w:t xml:space="preserve">l’égalité et </w:t>
      </w:r>
      <w:r w:rsidR="0069047D" w:rsidRPr="00D950C9">
        <w:t xml:space="preserve">la </w:t>
      </w:r>
      <w:r w:rsidR="007F778C" w:rsidRPr="00D950C9">
        <w:t>non-</w:t>
      </w:r>
      <w:r w:rsidR="0069047D" w:rsidRPr="00D950C9">
        <w:t>discrimination</w:t>
      </w:r>
      <w:r w:rsidRPr="00DC2323">
        <w:t>, les points suivants :</w:t>
      </w:r>
    </w:p>
    <w:p w:rsidR="0019476C" w:rsidRDefault="0069047D" w:rsidP="00DC2323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Le lien qui existe entre la discrimination des personnes trisomiques et le dépistage prénatal. </w:t>
      </w:r>
    </w:p>
    <w:p w:rsidR="0069047D" w:rsidRDefault="0069047D" w:rsidP="0019476C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Mettre en garde les Etats parties contre le risque eugénique </w:t>
      </w:r>
      <w:r w:rsidRPr="007F778C">
        <w:t xml:space="preserve">que la généralisation du dépistage prénatal </w:t>
      </w:r>
      <w:r w:rsidR="007F778C" w:rsidRPr="00D950C9">
        <w:t>a</w:t>
      </w:r>
      <w:r w:rsidRPr="00D950C9">
        <w:t xml:space="preserve"> </w:t>
      </w:r>
      <w:r w:rsidRPr="007F778C">
        <w:t>sur les populations handicapées</w:t>
      </w:r>
      <w:r>
        <w:rPr>
          <w:b/>
        </w:rPr>
        <w:t>.</w:t>
      </w:r>
    </w:p>
    <w:p w:rsidR="0069047D" w:rsidRDefault="0069047D" w:rsidP="0019476C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Encourager les Etats parties à réglementer l’introduction du dépistage prénatal </w:t>
      </w:r>
      <w:r w:rsidRPr="007F778C">
        <w:t xml:space="preserve">dans le seul </w:t>
      </w:r>
      <w:r w:rsidR="007F778C" w:rsidRPr="00595463">
        <w:t>but</w:t>
      </w:r>
      <w:r w:rsidRPr="00595463">
        <w:t xml:space="preserve"> </w:t>
      </w:r>
      <w:r w:rsidR="007F778C" w:rsidRPr="00595463">
        <w:t xml:space="preserve">d’améliorer les soins, la santé et </w:t>
      </w:r>
      <w:r w:rsidR="007F778C" w:rsidRPr="007F778C">
        <w:t xml:space="preserve">le </w:t>
      </w:r>
      <w:r w:rsidRPr="007F778C">
        <w:t>bien-être des personnes handicapées</w:t>
      </w:r>
      <w:r>
        <w:rPr>
          <w:b/>
        </w:rPr>
        <w:t>.</w:t>
      </w:r>
    </w:p>
    <w:p w:rsidR="0069047D" w:rsidRDefault="00572139" w:rsidP="0019476C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>Encourager les Etats parties à m</w:t>
      </w:r>
      <w:r w:rsidR="0069047D">
        <w:rPr>
          <w:b/>
        </w:rPr>
        <w:t>ettre en v</w:t>
      </w:r>
      <w:r>
        <w:rPr>
          <w:b/>
        </w:rPr>
        <w:t>aleur les personnes handicapées, à travers des campagnes publiques d’information</w:t>
      </w:r>
      <w:r w:rsidR="007F778C">
        <w:rPr>
          <w:b/>
        </w:rPr>
        <w:t xml:space="preserve"> </w:t>
      </w:r>
      <w:r w:rsidR="007F778C" w:rsidRPr="007F778C">
        <w:t>mettant en avant tout ce qu’elles offrent à leur entourage et à la société et dont la valeur est inestimable</w:t>
      </w:r>
      <w:r>
        <w:rPr>
          <w:b/>
        </w:rPr>
        <w:t>.</w:t>
      </w:r>
    </w:p>
    <w:p w:rsidR="00572139" w:rsidRPr="00595463" w:rsidRDefault="00572139" w:rsidP="0019476C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Encourager les Etats parties </w:t>
      </w:r>
      <w:r w:rsidRPr="00595463">
        <w:rPr>
          <w:b/>
        </w:rPr>
        <w:t xml:space="preserve">à </w:t>
      </w:r>
      <w:r w:rsidR="00DC2323" w:rsidRPr="00595463">
        <w:rPr>
          <w:b/>
        </w:rPr>
        <w:t>intensifier</w:t>
      </w:r>
      <w:r w:rsidRPr="00595463">
        <w:rPr>
          <w:b/>
        </w:rPr>
        <w:t xml:space="preserve"> leur effort en matière de recherche </w:t>
      </w:r>
      <w:r w:rsidR="00DC2323" w:rsidRPr="00595463">
        <w:t>afin d’améliorer le bien-être, la santé et l’autonomie des personnes porteuses de handicap</w:t>
      </w:r>
      <w:r w:rsidRPr="00595463">
        <w:rPr>
          <w:b/>
        </w:rPr>
        <w:t>.</w:t>
      </w:r>
    </w:p>
    <w:p w:rsidR="0019476C" w:rsidRDefault="0019476C" w:rsidP="0019476C">
      <w:pPr>
        <w:jc w:val="both"/>
        <w:rPr>
          <w:b/>
        </w:rPr>
      </w:pPr>
    </w:p>
    <w:sectPr w:rsidR="0019476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1D" w:rsidRDefault="00B71F1D" w:rsidP="00493931">
      <w:pPr>
        <w:spacing w:after="0" w:line="240" w:lineRule="auto"/>
      </w:pPr>
      <w:r>
        <w:separator/>
      </w:r>
    </w:p>
  </w:endnote>
  <w:endnote w:type="continuationSeparator" w:id="0">
    <w:p w:rsidR="00B71F1D" w:rsidRDefault="00B71F1D" w:rsidP="0049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161694"/>
      <w:docPartObj>
        <w:docPartGallery w:val="Page Numbers (Bottom of Page)"/>
        <w:docPartUnique/>
      </w:docPartObj>
    </w:sdtPr>
    <w:sdtEndPr/>
    <w:sdtContent>
      <w:p w:rsidR="00D232CC" w:rsidRDefault="00D232C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961">
          <w:rPr>
            <w:noProof/>
          </w:rPr>
          <w:t>1</w:t>
        </w:r>
        <w:r>
          <w:fldChar w:fldCharType="end"/>
        </w:r>
      </w:p>
    </w:sdtContent>
  </w:sdt>
  <w:p w:rsidR="00D232CC" w:rsidRPr="00C00A27" w:rsidRDefault="00D232CC" w:rsidP="00D232CC">
    <w:pPr>
      <w:pStyle w:val="Pieddepage"/>
      <w:jc w:val="center"/>
    </w:pPr>
    <w:r w:rsidRPr="00936BF3">
      <w:rPr>
        <w:rFonts w:cs="Arial"/>
        <w:color w:val="CC0000"/>
        <w:sz w:val="20"/>
        <w:szCs w:val="20"/>
      </w:rPr>
      <w:t xml:space="preserve">Fondation Jérôme Lejeune, reconnue d’utilité publique </w:t>
    </w:r>
  </w:p>
  <w:p w:rsidR="00D232CC" w:rsidRPr="00936BF3" w:rsidRDefault="00D232CC" w:rsidP="00D232CC">
    <w:pPr>
      <w:pStyle w:val="Pieddepage"/>
      <w:jc w:val="center"/>
      <w:rPr>
        <w:color w:val="CC0000"/>
        <w:sz w:val="20"/>
        <w:szCs w:val="20"/>
      </w:rPr>
    </w:pPr>
    <w:r w:rsidRPr="00936BF3">
      <w:rPr>
        <w:rFonts w:cs="Arial"/>
        <w:color w:val="CC0000"/>
        <w:sz w:val="20"/>
        <w:szCs w:val="20"/>
      </w:rPr>
      <w:t>37, rue des Volontaires 75725 Paris Cedex 15 - Tél : +33 (0)1 44 49 73 30 - Fax : +33 (0)1 43 06 20 77</w:t>
    </w:r>
  </w:p>
  <w:p w:rsidR="00D232CC" w:rsidRDefault="00D232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1D" w:rsidRDefault="00B71F1D" w:rsidP="00493931">
      <w:pPr>
        <w:spacing w:after="0" w:line="240" w:lineRule="auto"/>
      </w:pPr>
      <w:r>
        <w:separator/>
      </w:r>
    </w:p>
  </w:footnote>
  <w:footnote w:type="continuationSeparator" w:id="0">
    <w:p w:rsidR="00B71F1D" w:rsidRDefault="00B71F1D" w:rsidP="00493931">
      <w:pPr>
        <w:spacing w:after="0" w:line="240" w:lineRule="auto"/>
      </w:pPr>
      <w:r>
        <w:continuationSeparator/>
      </w:r>
    </w:p>
  </w:footnote>
  <w:footnote w:id="1">
    <w:p w:rsidR="00493931" w:rsidRPr="00866CE6" w:rsidRDefault="0049393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2F77B4" w:rsidRPr="00866CE6">
        <w:t xml:space="preserve">Convention </w:t>
      </w:r>
      <w:r w:rsidR="00532FEC" w:rsidRPr="00866CE6">
        <w:t>relative aux</w:t>
      </w:r>
      <w:r w:rsidR="002F77B4" w:rsidRPr="00866CE6">
        <w:t xml:space="preserve"> droits des personnes handicapées, </w:t>
      </w:r>
      <w:r w:rsidRPr="00866CE6">
        <w:t xml:space="preserve">Article 8 </w:t>
      </w:r>
    </w:p>
  </w:footnote>
  <w:footnote w:id="2">
    <w:p w:rsidR="00A23771" w:rsidRDefault="00D232CC">
      <w:pPr>
        <w:pStyle w:val="Notedebasdepage"/>
      </w:pPr>
      <w:r w:rsidRPr="00866CE6">
        <w:rPr>
          <w:rStyle w:val="Appelnotedebasdep"/>
        </w:rPr>
        <w:footnoteRef/>
      </w:r>
      <w:r w:rsidRPr="00866CE6">
        <w:t xml:space="preserve"> Au sujet de l’affaire « </w:t>
      </w:r>
      <w:proofErr w:type="spellStart"/>
      <w:r w:rsidRPr="00866CE6">
        <w:rPr>
          <w:i/>
        </w:rPr>
        <w:t>Dear</w:t>
      </w:r>
      <w:proofErr w:type="spellEnd"/>
      <w:r w:rsidRPr="00866CE6">
        <w:rPr>
          <w:i/>
        </w:rPr>
        <w:t xml:space="preserve"> </w:t>
      </w:r>
      <w:r w:rsidRPr="00532FEC">
        <w:rPr>
          <w:i/>
        </w:rPr>
        <w:t xml:space="preserve">Future </w:t>
      </w:r>
      <w:proofErr w:type="spellStart"/>
      <w:r w:rsidRPr="00532FEC">
        <w:rPr>
          <w:i/>
        </w:rPr>
        <w:t>Mum</w:t>
      </w:r>
      <w:proofErr w:type="spellEnd"/>
      <w:r>
        <w:t> »</w:t>
      </w:r>
      <w:r w:rsidR="00A23771">
        <w:t xml:space="preserve">, voir par exemple l’article suivant du journal La Croix, en date du 11 mai 2017 : </w:t>
      </w:r>
      <w:hyperlink r:id="rId1" w:history="1">
        <w:r w:rsidR="00B003CC" w:rsidRPr="00D44AFA">
          <w:rPr>
            <w:rStyle w:val="Lienhypertexte"/>
          </w:rPr>
          <w:t>https://www.la-croix.com/France/Exclusion/Trisomie-video-Dear-Future-Mom-devant-CEDH-2017-05-11-1200846362</w:t>
        </w:r>
      </w:hyperlink>
      <w:r w:rsidR="00B003CC">
        <w:t xml:space="preserve"> </w:t>
      </w:r>
    </w:p>
  </w:footnote>
  <w:footnote w:id="3">
    <w:p w:rsidR="00A23771" w:rsidRDefault="00A23771">
      <w:pPr>
        <w:pStyle w:val="Notedebasdepage"/>
      </w:pPr>
      <w:r>
        <w:rPr>
          <w:rStyle w:val="Appelnotedebasdep"/>
        </w:rPr>
        <w:footnoteRef/>
      </w:r>
      <w:r w:rsidR="00532FEC">
        <w:t xml:space="preserve"> Visionner la v</w:t>
      </w:r>
      <w:r>
        <w:t>idéo « </w:t>
      </w:r>
      <w:proofErr w:type="spellStart"/>
      <w:r w:rsidRPr="00532FEC">
        <w:rPr>
          <w:i/>
        </w:rPr>
        <w:t>Dear</w:t>
      </w:r>
      <w:proofErr w:type="spellEnd"/>
      <w:r w:rsidRPr="00532FEC">
        <w:rPr>
          <w:i/>
        </w:rPr>
        <w:t xml:space="preserve"> Futur </w:t>
      </w:r>
      <w:proofErr w:type="spellStart"/>
      <w:r w:rsidRPr="00532FEC">
        <w:rPr>
          <w:i/>
        </w:rPr>
        <w:t>Mum</w:t>
      </w:r>
      <w:proofErr w:type="spellEnd"/>
      <w:r>
        <w:t> » :</w:t>
      </w:r>
      <w:r w:rsidRPr="00A23771">
        <w:t xml:space="preserve"> </w:t>
      </w:r>
      <w:hyperlink r:id="rId2" w:history="1">
        <w:r w:rsidRPr="00DC36F9">
          <w:rPr>
            <w:rStyle w:val="Lienhypertexte"/>
          </w:rPr>
          <w:t>https://www.youtube.com/watch?v=Ju-q4OnBtNU</w:t>
        </w:r>
      </w:hyperlink>
      <w:r>
        <w:t xml:space="preserve"> </w:t>
      </w:r>
    </w:p>
  </w:footnote>
  <w:footnote w:id="4">
    <w:p w:rsidR="00A23771" w:rsidRDefault="00A2377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374641">
        <w:t>Décision</w:t>
      </w:r>
      <w:r w:rsidR="002F77B4">
        <w:t xml:space="preserve"> du CSA, en date du 25 juillet 2014 : </w:t>
      </w:r>
      <w:hyperlink r:id="rId3" w:history="1">
        <w:r w:rsidR="002F77B4" w:rsidRPr="00DC36F9">
          <w:rPr>
            <w:rStyle w:val="Lienhypertexte"/>
          </w:rPr>
          <w:t>http://www.csa.fr/Espace-juridique/Decisions-du-CSA/Message-de-sensibilisation-sur-la-trisomie-21-intervention-aupres-de-M6-et-de-Canal</w:t>
        </w:r>
      </w:hyperlink>
      <w:r w:rsidR="002F77B4">
        <w:t xml:space="preserve"> </w:t>
      </w:r>
    </w:p>
  </w:footnote>
  <w:footnote w:id="5">
    <w:p w:rsidR="002F77B4" w:rsidRDefault="002F77B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F77B4">
        <w:t xml:space="preserve">Projet d’Observation générale n° 6 sur l’article 5 de la </w:t>
      </w:r>
      <w:r w:rsidR="00532FEC">
        <w:t>C</w:t>
      </w:r>
      <w:r w:rsidRPr="002F77B4">
        <w:t>onvention relative aux droits des personnes handicapées, relatif à l’égalité et à la non-discrimination</w:t>
      </w:r>
      <w:r>
        <w:t>,</w:t>
      </w:r>
      <w:r w:rsidRPr="002F77B4">
        <w:rPr>
          <w:sz w:val="22"/>
          <w:szCs w:val="22"/>
        </w:rPr>
        <w:t xml:space="preserve"> </w:t>
      </w:r>
      <w:r>
        <w:t xml:space="preserve">Paragraphe 11. </w:t>
      </w:r>
    </w:p>
  </w:footnote>
  <w:footnote w:id="6">
    <w:p w:rsidR="003C16DC" w:rsidRPr="003C16DC" w:rsidRDefault="003C16DC">
      <w:pPr>
        <w:pStyle w:val="Notedebasdepage"/>
      </w:pPr>
      <w:r>
        <w:rPr>
          <w:rStyle w:val="Appelnotedebasdep"/>
        </w:rPr>
        <w:footnoteRef/>
      </w:r>
      <w:r w:rsidRPr="003C16DC">
        <w:t xml:space="preserve"> </w:t>
      </w:r>
      <w:r>
        <w:t>Décret en date du 3 mai 2016</w:t>
      </w:r>
      <w:r w:rsidRPr="003C16DC">
        <w:t xml:space="preserve">no 2016-545 du 3 mai 2016 relatif à l’évaluation et au contrôle de qualité des examens de diagnostic prénatal mentionnés au II de l’article R. 2131-2-1 du code de la santé </w:t>
      </w:r>
      <w:r>
        <w:t xml:space="preserve">publique, </w:t>
      </w:r>
      <w:hyperlink r:id="rId4" w:history="1">
        <w:r w:rsidRPr="006E642D">
          <w:rPr>
            <w:rStyle w:val="Lienhypertexte"/>
          </w:rPr>
          <w:t>https://www.legifrance.gouv.fr/jo_pdf.do?id=JORFTEXT000032490386</w:t>
        </w:r>
      </w:hyperlink>
      <w:r>
        <w:t xml:space="preserve"> </w:t>
      </w:r>
    </w:p>
  </w:footnote>
  <w:footnote w:id="7">
    <w:p w:rsidR="00D950C9" w:rsidRPr="00D950C9" w:rsidRDefault="00D950C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D950C9">
        <w:rPr>
          <w:lang w:val="en-US"/>
        </w:rPr>
        <w:t xml:space="preserve"> World Health Organization, </w:t>
      </w:r>
      <w:r w:rsidR="00B71F1D">
        <w:fldChar w:fldCharType="begin"/>
      </w:r>
      <w:r w:rsidR="00B71F1D" w:rsidRPr="008B2961">
        <w:rPr>
          <w:lang w:val="en-US"/>
        </w:rPr>
        <w:instrText xml:space="preserve"> HYPERLINK "http://apps.who.int/iris/bitstream/10665/37650/17/WHO_PHP_3</w:instrText>
      </w:r>
      <w:r w:rsidR="00B71F1D" w:rsidRPr="008B2961">
        <w:rPr>
          <w:lang w:val="en-US"/>
        </w:rPr>
        <w:instrText xml:space="preserve">4.pdf" </w:instrText>
      </w:r>
      <w:r w:rsidR="00B71F1D">
        <w:fldChar w:fldCharType="separate"/>
      </w:r>
      <w:r w:rsidRPr="00D950C9">
        <w:rPr>
          <w:rStyle w:val="Lienhypertexte"/>
          <w:lang w:val="en-US"/>
        </w:rPr>
        <w:t>Principles and practice of screening for disease</w:t>
      </w:r>
      <w:r w:rsidR="00B71F1D">
        <w:rPr>
          <w:rStyle w:val="Lienhypertexte"/>
          <w:lang w:val="en-US"/>
        </w:rPr>
        <w:fldChar w:fldCharType="end"/>
      </w:r>
      <w:r w:rsidRPr="00D950C9">
        <w:rPr>
          <w:lang w:val="en-US"/>
        </w:rPr>
        <w:t xml:space="preserve">, Wilson JMG, </w:t>
      </w:r>
      <w:proofErr w:type="spellStart"/>
      <w:r w:rsidRPr="00D950C9">
        <w:rPr>
          <w:lang w:val="en-US"/>
        </w:rPr>
        <w:t>Jungner</w:t>
      </w:r>
      <w:proofErr w:type="spellEnd"/>
      <w:r w:rsidRPr="00D950C9">
        <w:rPr>
          <w:lang w:val="en-US"/>
        </w:rPr>
        <w:t xml:space="preserve"> G, Public Health Papers, n° 34, 1968, pages 26-27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CC" w:rsidRDefault="00D232CC" w:rsidP="00D232CC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E4BBF26" wp14:editId="3AF108F2">
          <wp:extent cx="2070022" cy="494950"/>
          <wp:effectExtent l="19050" t="0" r="6428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841" cy="4949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B42"/>
    <w:multiLevelType w:val="hybridMultilevel"/>
    <w:tmpl w:val="056A27A6"/>
    <w:lvl w:ilvl="0" w:tplc="683C3DE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27C4F"/>
    <w:multiLevelType w:val="hybridMultilevel"/>
    <w:tmpl w:val="0E9E2F3A"/>
    <w:lvl w:ilvl="0" w:tplc="4224DDF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E6214"/>
    <w:multiLevelType w:val="hybridMultilevel"/>
    <w:tmpl w:val="BCCA122C"/>
    <w:lvl w:ilvl="0" w:tplc="89CE2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47D51"/>
    <w:multiLevelType w:val="multilevel"/>
    <w:tmpl w:val="D97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6768E"/>
    <w:multiLevelType w:val="hybridMultilevel"/>
    <w:tmpl w:val="0B622940"/>
    <w:lvl w:ilvl="0" w:tplc="A20C20D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36A14"/>
    <w:multiLevelType w:val="hybridMultilevel"/>
    <w:tmpl w:val="5F247D6E"/>
    <w:lvl w:ilvl="0" w:tplc="7F0C8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35"/>
    <w:rsid w:val="00091E76"/>
    <w:rsid w:val="000A476E"/>
    <w:rsid w:val="000B1890"/>
    <w:rsid w:val="001333E6"/>
    <w:rsid w:val="001677C7"/>
    <w:rsid w:val="0019476C"/>
    <w:rsid w:val="001C56A7"/>
    <w:rsid w:val="00203998"/>
    <w:rsid w:val="00212605"/>
    <w:rsid w:val="0021759C"/>
    <w:rsid w:val="00295920"/>
    <w:rsid w:val="002D18BC"/>
    <w:rsid w:val="002F77B4"/>
    <w:rsid w:val="00374641"/>
    <w:rsid w:val="00393CC0"/>
    <w:rsid w:val="003C16DC"/>
    <w:rsid w:val="003C3AD2"/>
    <w:rsid w:val="003F4E2E"/>
    <w:rsid w:val="00424160"/>
    <w:rsid w:val="00427298"/>
    <w:rsid w:val="00445833"/>
    <w:rsid w:val="00455200"/>
    <w:rsid w:val="00493931"/>
    <w:rsid w:val="004B7C92"/>
    <w:rsid w:val="004D5815"/>
    <w:rsid w:val="004D7568"/>
    <w:rsid w:val="00532FEC"/>
    <w:rsid w:val="00572139"/>
    <w:rsid w:val="00595463"/>
    <w:rsid w:val="005D641F"/>
    <w:rsid w:val="00647CAE"/>
    <w:rsid w:val="0069047D"/>
    <w:rsid w:val="006E5E57"/>
    <w:rsid w:val="00725339"/>
    <w:rsid w:val="0078481E"/>
    <w:rsid w:val="00796921"/>
    <w:rsid w:val="007B4FF8"/>
    <w:rsid w:val="007D441D"/>
    <w:rsid w:val="007F778C"/>
    <w:rsid w:val="008063C9"/>
    <w:rsid w:val="008431C8"/>
    <w:rsid w:val="00860A45"/>
    <w:rsid w:val="00866CE6"/>
    <w:rsid w:val="00877498"/>
    <w:rsid w:val="00885741"/>
    <w:rsid w:val="008B2961"/>
    <w:rsid w:val="009075EC"/>
    <w:rsid w:val="00936B22"/>
    <w:rsid w:val="00940590"/>
    <w:rsid w:val="00A23771"/>
    <w:rsid w:val="00A45DD1"/>
    <w:rsid w:val="00A5568A"/>
    <w:rsid w:val="00A86660"/>
    <w:rsid w:val="00B003CC"/>
    <w:rsid w:val="00B263C8"/>
    <w:rsid w:val="00B302A0"/>
    <w:rsid w:val="00B56563"/>
    <w:rsid w:val="00B71F1D"/>
    <w:rsid w:val="00BD4597"/>
    <w:rsid w:val="00BD6F35"/>
    <w:rsid w:val="00C130BC"/>
    <w:rsid w:val="00C94A5F"/>
    <w:rsid w:val="00CB443F"/>
    <w:rsid w:val="00CE0096"/>
    <w:rsid w:val="00CF705D"/>
    <w:rsid w:val="00D000DB"/>
    <w:rsid w:val="00D02E4A"/>
    <w:rsid w:val="00D232CC"/>
    <w:rsid w:val="00D50B26"/>
    <w:rsid w:val="00D950C9"/>
    <w:rsid w:val="00DB05E9"/>
    <w:rsid w:val="00DB2C52"/>
    <w:rsid w:val="00DC2323"/>
    <w:rsid w:val="00DC5034"/>
    <w:rsid w:val="00E26397"/>
    <w:rsid w:val="00E77A9A"/>
    <w:rsid w:val="00E91C79"/>
    <w:rsid w:val="00EB68C6"/>
    <w:rsid w:val="00F70BAF"/>
    <w:rsid w:val="00F823B7"/>
    <w:rsid w:val="00F90BB1"/>
    <w:rsid w:val="00FC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23B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9393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9393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9393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D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5815"/>
  </w:style>
  <w:style w:type="paragraph" w:styleId="Pieddepage">
    <w:name w:val="footer"/>
    <w:basedOn w:val="Normal"/>
    <w:link w:val="PieddepageCar"/>
    <w:uiPriority w:val="99"/>
    <w:unhideWhenUsed/>
    <w:rsid w:val="004D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5815"/>
  </w:style>
  <w:style w:type="paragraph" w:styleId="Textedebulles">
    <w:name w:val="Balloon Text"/>
    <w:basedOn w:val="Normal"/>
    <w:link w:val="TextedebullesCar"/>
    <w:uiPriority w:val="99"/>
    <w:semiHidden/>
    <w:unhideWhenUsed/>
    <w:rsid w:val="00D2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2C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2377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237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23B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9393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9393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9393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D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5815"/>
  </w:style>
  <w:style w:type="paragraph" w:styleId="Pieddepage">
    <w:name w:val="footer"/>
    <w:basedOn w:val="Normal"/>
    <w:link w:val="PieddepageCar"/>
    <w:uiPriority w:val="99"/>
    <w:unhideWhenUsed/>
    <w:rsid w:val="004D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5815"/>
  </w:style>
  <w:style w:type="paragraph" w:styleId="Textedebulles">
    <w:name w:val="Balloon Text"/>
    <w:basedOn w:val="Normal"/>
    <w:link w:val="TextedebullesCar"/>
    <w:uiPriority w:val="99"/>
    <w:semiHidden/>
    <w:unhideWhenUsed/>
    <w:rsid w:val="00D2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2C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2377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23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a.fr/Espace-juridique/Decisions-du-CSA/Message-de-sensibilisation-sur-la-trisomie-21-intervention-aupres-de-M6-et-de-Canal" TargetMode="External"/><Relationship Id="rId2" Type="http://schemas.openxmlformats.org/officeDocument/2006/relationships/hyperlink" Target="https://www.youtube.com/watch?v=Ju-q4OnBtNU" TargetMode="External"/><Relationship Id="rId1" Type="http://schemas.openxmlformats.org/officeDocument/2006/relationships/hyperlink" Target="https://www.la-croix.com/France/Exclusion/Trisomie-video-Dear-Future-Mom-devant-CEDH-2017-05-11-1200846362" TargetMode="External"/><Relationship Id="rId4" Type="http://schemas.openxmlformats.org/officeDocument/2006/relationships/hyperlink" Target="https://www.legifrance.gouv.fr/jo_pdf.do?id=JORFTEXT0000324903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E8CE04-7D93-46ED-A1D0-1C424D5BAC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93A16-A196-4028-BDC6-0EC45378EBE0}"/>
</file>

<file path=customXml/itemProps3.xml><?xml version="1.0" encoding="utf-8"?>
<ds:datastoreItem xmlns:ds="http://schemas.openxmlformats.org/officeDocument/2006/customXml" ds:itemID="{5715478B-62CE-4041-98DD-09D951A7F880}"/>
</file>

<file path=customXml/itemProps4.xml><?xml version="1.0" encoding="utf-8"?>
<ds:datastoreItem xmlns:ds="http://schemas.openxmlformats.org/officeDocument/2006/customXml" ds:itemID="{126F71C6-5F33-44FD-9080-D17DFB24BC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1591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Alphonse ISLE DE BEAUCHAINE</dc:creator>
  <cp:lastModifiedBy>Alphonse ISLE DE BEAUCHAINE</cp:lastModifiedBy>
  <cp:revision>6</cp:revision>
  <dcterms:created xsi:type="dcterms:W3CDTF">2017-11-29T15:50:00Z</dcterms:created>
  <dcterms:modified xsi:type="dcterms:W3CDTF">2017-11-30T14:52:00Z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