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2F2A569" w14:textId="7DBEB6A3" w:rsidR="00DA3C61" w:rsidRPr="001348D2" w:rsidRDefault="00E3426B" w:rsidP="001348D2">
      <w:pPr>
        <w:pStyle w:val="Heading2"/>
        <w:numPr>
          <w:ilvl w:val="0"/>
          <w:numId w:val="0"/>
        </w:numPr>
        <w:ind w:left="431"/>
        <w:jc w:val="both"/>
        <w:rPr>
          <w:rFonts w:ascii="Avenir Book" w:hAnsi="Avenir Book"/>
          <w:sz w:val="22"/>
          <w:szCs w:val="22"/>
        </w:rPr>
        <w:sectPr w:rsidR="00DA3C61" w:rsidRPr="001348D2" w:rsidSect="00034881">
          <w:footerReference w:type="default" r:id="rId13"/>
          <w:pgSz w:w="12240" w:h="15840"/>
          <w:pgMar w:top="1440" w:right="1325" w:bottom="1440" w:left="1440" w:header="720" w:footer="720" w:gutter="0"/>
          <w:cols w:space="720"/>
          <w:docGrid w:linePitch="360"/>
        </w:sectPr>
      </w:pPr>
      <w:bookmarkStart w:id="0" w:name="_Toc496250073"/>
      <w:bookmarkStart w:id="1" w:name="_Toc496250149"/>
      <w:bookmarkStart w:id="2" w:name="_Toc496250311"/>
      <w:bookmarkStart w:id="3" w:name="_Toc496250812"/>
      <w:bookmarkStart w:id="4" w:name="_Toc496252719"/>
      <w:bookmarkStart w:id="5" w:name="_Toc496513637"/>
      <w:bookmarkStart w:id="6" w:name="_Toc501561462"/>
      <w:r w:rsidRPr="001348D2">
        <w:rPr>
          <w:rFonts w:ascii="Avenir Book" w:hAnsi="Avenir Book"/>
          <w:noProof/>
          <w:sz w:val="22"/>
          <w:szCs w:val="22"/>
          <w:lang w:val="fr-FR" w:eastAsia="fr-FR"/>
        </w:rPr>
        <w:pict w14:anchorId="63D1CCF1">
          <v:shapetype id="_x0000_t202" coordsize="21600,21600" o:spt="202" path="m0,0l0,21600,21600,21600,21600,0xe">
            <v:stroke joinstyle="miter"/>
            <v:path gradientshapeok="t" o:connecttype="rect"/>
          </v:shapetype>
          <v:shape id="_x0000_s1033" type="#_x0000_t202" style="position:absolute;left:0;text-align:left;margin-left:22.05pt;margin-top:162.2pt;width:468pt;height:108pt;z-index:251667456;mso-width-relative:margin;mso-height-relative:margin" stroked="f" strokecolor="white" strokeweight="0">
            <v:fill opacity="0"/>
            <v:textbox style="mso-next-textbox:#_x0000_s1033">
              <w:txbxContent>
                <w:p w14:paraId="3CCFBC5B" w14:textId="77777777" w:rsidR="00AE3D24" w:rsidRPr="00985969" w:rsidRDefault="00AE3D24" w:rsidP="005343D6">
                  <w:pPr>
                    <w:spacing w:after="0" w:line="240" w:lineRule="auto"/>
                    <w:jc w:val="center"/>
                    <w:rPr>
                      <w:rFonts w:ascii="Avenir Book" w:hAnsi="Avenir Book" w:cs="Arial"/>
                      <w:b/>
                      <w:sz w:val="52"/>
                      <w:szCs w:val="52"/>
                    </w:rPr>
                  </w:pPr>
                  <w:r w:rsidRPr="00985969">
                    <w:rPr>
                      <w:rFonts w:ascii="Avenir Book" w:hAnsi="Avenir Book" w:cs="Arial"/>
                      <w:b/>
                      <w:smallCaps/>
                      <w:sz w:val="52"/>
                      <w:szCs w:val="52"/>
                    </w:rPr>
                    <w:t xml:space="preserve">The Global Alliance of National Human Rights Institutions </w:t>
                  </w:r>
                </w:p>
              </w:txbxContent>
            </v:textbox>
          </v:shape>
        </w:pict>
      </w:r>
      <w:r w:rsidRPr="001348D2">
        <w:rPr>
          <w:rFonts w:ascii="Avenir Book" w:hAnsi="Avenir Book"/>
          <w:noProof/>
          <w:sz w:val="22"/>
          <w:szCs w:val="22"/>
          <w:lang w:val="fr-FR" w:eastAsia="fr-FR"/>
        </w:rPr>
        <w:pict w14:anchorId="02B03436">
          <v:shape id="_x0000_s1032" type="#_x0000_t202" style="position:absolute;left:0;text-align:left;margin-left:4.05pt;margin-top:378.2pt;width:473.15pt;height:254.9pt;z-index:251666432;mso-width-relative:margin;mso-height-relative:margin" stroked="f" strokecolor="white" strokeweight="0">
            <v:fill opacity="0"/>
            <v:textbox style="mso-next-textbox:#_x0000_s1032">
              <w:txbxContent>
                <w:p w14:paraId="03045342" w14:textId="77777777" w:rsidR="00AE3D24" w:rsidRPr="00985969" w:rsidRDefault="00AE3D24" w:rsidP="007C3359">
                  <w:pPr>
                    <w:spacing w:after="0" w:line="240" w:lineRule="auto"/>
                    <w:jc w:val="center"/>
                    <w:rPr>
                      <w:rFonts w:ascii="Avenir Book" w:hAnsi="Avenir Book" w:cs="Arial"/>
                      <w:b/>
                      <w:smallCaps/>
                      <w:sz w:val="32"/>
                      <w:szCs w:val="32"/>
                    </w:rPr>
                  </w:pPr>
                </w:p>
                <w:p w14:paraId="57FACE09" w14:textId="77777777" w:rsidR="00AE3D24" w:rsidRPr="00985969" w:rsidRDefault="00AE3D24" w:rsidP="007C3359">
                  <w:pPr>
                    <w:spacing w:after="0" w:line="240" w:lineRule="auto"/>
                    <w:jc w:val="center"/>
                    <w:rPr>
                      <w:rFonts w:ascii="Avenir Book" w:hAnsi="Avenir Book" w:cs="Arial"/>
                      <w:b/>
                      <w:smallCaps/>
                      <w:sz w:val="32"/>
                      <w:szCs w:val="32"/>
                    </w:rPr>
                  </w:pPr>
                  <w:r w:rsidRPr="00985969">
                    <w:rPr>
                      <w:rFonts w:ascii="Avenir Book" w:hAnsi="Avenir Book" w:cs="Arial"/>
                      <w:b/>
                      <w:smallCaps/>
                      <w:sz w:val="32"/>
                      <w:szCs w:val="32"/>
                    </w:rPr>
                    <w:t xml:space="preserve">Submission to the </w:t>
                  </w:r>
                </w:p>
                <w:p w14:paraId="4BBF1EEA" w14:textId="77777777" w:rsidR="00AE3D24" w:rsidRPr="00985969" w:rsidRDefault="00AE3D24" w:rsidP="00B04BB8">
                  <w:pPr>
                    <w:jc w:val="center"/>
                    <w:rPr>
                      <w:rFonts w:ascii="Avenir Book" w:hAnsi="Avenir Book" w:cs="Arial"/>
                      <w:b/>
                      <w:smallCaps/>
                      <w:sz w:val="32"/>
                      <w:szCs w:val="32"/>
                    </w:rPr>
                  </w:pPr>
                  <w:r w:rsidRPr="00985969">
                    <w:rPr>
                      <w:rFonts w:ascii="Avenir Book" w:hAnsi="Avenir Book" w:cs="Arial"/>
                      <w:b/>
                      <w:smallCaps/>
                      <w:sz w:val="32"/>
                      <w:szCs w:val="32"/>
                    </w:rPr>
                    <w:t>Committee on the Rights of Persons with Disabilities</w:t>
                  </w:r>
                  <w:r w:rsidRPr="00985969">
                    <w:rPr>
                      <w:rFonts w:ascii="Avenir Book" w:hAnsi="Avenir Book"/>
                      <w:sz w:val="32"/>
                      <w:szCs w:val="32"/>
                    </w:rPr>
                    <w:t xml:space="preserve"> </w:t>
                  </w:r>
                  <w:r w:rsidRPr="00985969">
                    <w:rPr>
                      <w:rFonts w:ascii="Avenir Book" w:hAnsi="Avenir Book" w:cs="Arial"/>
                      <w:b/>
                      <w:smallCaps/>
                      <w:sz w:val="32"/>
                      <w:szCs w:val="32"/>
                    </w:rPr>
                    <w:t xml:space="preserve">on the </w:t>
                  </w:r>
                </w:p>
                <w:p w14:paraId="7E11DA36" w14:textId="77777777" w:rsidR="00AE3D24" w:rsidRPr="00985969" w:rsidRDefault="00AE3D24" w:rsidP="00B04BB8">
                  <w:pPr>
                    <w:jc w:val="center"/>
                    <w:rPr>
                      <w:rFonts w:ascii="Avenir Book" w:hAnsi="Avenir Book"/>
                      <w:b/>
                      <w:sz w:val="32"/>
                      <w:szCs w:val="32"/>
                    </w:rPr>
                  </w:pPr>
                  <w:r w:rsidRPr="00985969">
                    <w:rPr>
                      <w:rFonts w:ascii="Avenir Book" w:hAnsi="Avenir Book" w:cs="Arial"/>
                      <w:b/>
                      <w:smallCaps/>
                      <w:sz w:val="32"/>
                      <w:szCs w:val="32"/>
                    </w:rPr>
                    <w:t xml:space="preserve">Draft </w:t>
                  </w:r>
                  <w:r w:rsidRPr="00985969">
                    <w:rPr>
                      <w:rFonts w:ascii="Avenir Book" w:hAnsi="Avenir Book"/>
                      <w:b/>
                      <w:sz w:val="32"/>
                      <w:szCs w:val="32"/>
                    </w:rPr>
                    <w:t xml:space="preserve">General Comment on Equality </w:t>
                  </w:r>
                </w:p>
                <w:p w14:paraId="0DED3657" w14:textId="77777777" w:rsidR="00AE3D24" w:rsidRPr="00985969" w:rsidRDefault="00AE3D24" w:rsidP="00B04BB8">
                  <w:pPr>
                    <w:jc w:val="center"/>
                    <w:rPr>
                      <w:rFonts w:ascii="Avenir Book" w:hAnsi="Avenir Book"/>
                      <w:b/>
                      <w:sz w:val="32"/>
                      <w:szCs w:val="32"/>
                    </w:rPr>
                  </w:pPr>
                  <w:r w:rsidRPr="00985969">
                    <w:rPr>
                      <w:rFonts w:ascii="Avenir Book" w:hAnsi="Avenir Book"/>
                      <w:b/>
                      <w:sz w:val="32"/>
                      <w:szCs w:val="32"/>
                    </w:rPr>
                    <w:t>and Non- discrimination (Article 5)</w:t>
                  </w:r>
                </w:p>
                <w:p w14:paraId="604A70A9" w14:textId="77777777" w:rsidR="00AE3D24" w:rsidRPr="00985969" w:rsidRDefault="00AE3D24" w:rsidP="007C3359">
                  <w:pPr>
                    <w:spacing w:after="0" w:line="240" w:lineRule="auto"/>
                    <w:jc w:val="center"/>
                    <w:rPr>
                      <w:rFonts w:ascii="Avenir Book" w:hAnsi="Avenir Book" w:cs="Arial"/>
                      <w:b/>
                      <w:smallCaps/>
                      <w:sz w:val="32"/>
                      <w:szCs w:val="32"/>
                    </w:rPr>
                  </w:pPr>
                </w:p>
                <w:p w14:paraId="22D0E10F" w14:textId="2D0DDEAE" w:rsidR="00AE3D24" w:rsidRPr="00985969" w:rsidRDefault="00E3426B" w:rsidP="007C3359">
                  <w:pPr>
                    <w:jc w:val="center"/>
                    <w:rPr>
                      <w:rFonts w:ascii="Avenir Book" w:hAnsi="Avenir Book" w:cs="Arial"/>
                      <w:b/>
                      <w:smallCaps/>
                      <w:sz w:val="32"/>
                      <w:szCs w:val="32"/>
                    </w:rPr>
                  </w:pPr>
                  <w:r>
                    <w:rPr>
                      <w:rFonts w:ascii="Avenir Book" w:hAnsi="Avenir Book" w:cs="Arial"/>
                      <w:b/>
                      <w:smallCaps/>
                      <w:sz w:val="32"/>
                      <w:szCs w:val="32"/>
                    </w:rPr>
                    <w:t>December</w:t>
                  </w:r>
                  <w:r w:rsidR="00AE3D24" w:rsidRPr="00985969">
                    <w:rPr>
                      <w:rFonts w:ascii="Avenir Book" w:hAnsi="Avenir Book" w:cs="Arial"/>
                      <w:b/>
                      <w:smallCaps/>
                      <w:sz w:val="32"/>
                      <w:szCs w:val="32"/>
                    </w:rPr>
                    <w:t xml:space="preserve">  2017</w:t>
                  </w:r>
                </w:p>
              </w:txbxContent>
            </v:textbox>
          </v:shape>
        </w:pict>
      </w:r>
      <w:r>
        <w:rPr>
          <w:rFonts w:ascii="Avenir Book" w:hAnsi="Avenir Book"/>
          <w:sz w:val="22"/>
          <w:szCs w:val="22"/>
        </w:rPr>
        <w:object w:dxaOrig="9540" w:dyaOrig="2180" w14:anchorId="3C7DC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7pt;height:109.25pt" o:ole="">
            <v:imagedata r:id="rId14" o:title=""/>
          </v:shape>
          <o:OLEObject Type="Embed" ProgID="Word.Document.12" ShapeID="_x0000_i1025" DrawAspect="Content" ObjectID="_1575307351" r:id="rId15">
            <o:FieldCodes>\s</o:FieldCodes>
          </o:OLEObject>
        </w:object>
      </w:r>
      <w:bookmarkEnd w:id="6"/>
    </w:p>
    <w:bookmarkEnd w:id="0"/>
    <w:bookmarkEnd w:id="1"/>
    <w:bookmarkEnd w:id="2"/>
    <w:bookmarkEnd w:id="3"/>
    <w:bookmarkEnd w:id="4"/>
    <w:bookmarkEnd w:id="5"/>
    <w:p w14:paraId="6B56582E" w14:textId="77777777" w:rsidR="00042B3E" w:rsidRPr="001348D2" w:rsidRDefault="00042B3E" w:rsidP="00B14D37">
      <w:pPr>
        <w:jc w:val="both"/>
        <w:rPr>
          <w:rFonts w:ascii="Avenir Book" w:hAnsi="Avenir Book"/>
          <w:b/>
        </w:rPr>
      </w:pPr>
    </w:p>
    <w:p w14:paraId="0389CF42" w14:textId="3EE8DC01" w:rsidR="0088597C" w:rsidRPr="001348D2" w:rsidRDefault="0088597C" w:rsidP="00B14D37">
      <w:pPr>
        <w:jc w:val="both"/>
        <w:rPr>
          <w:rFonts w:ascii="Avenir Book" w:hAnsi="Avenir Book"/>
          <w:b/>
          <w:u w:val="single"/>
        </w:rPr>
      </w:pPr>
      <w:r w:rsidRPr="001348D2">
        <w:rPr>
          <w:rFonts w:ascii="Avenir Book" w:hAnsi="Avenir Book"/>
          <w:b/>
          <w:u w:val="single"/>
        </w:rPr>
        <w:t>Table of Contents</w:t>
      </w:r>
    </w:p>
    <w:p w14:paraId="37148488" w14:textId="1B3C3A7C"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r w:rsidRPr="001348D2">
        <w:rPr>
          <w:rFonts w:ascii="Avenir Book" w:hAnsi="Avenir Book" w:cs="Arial"/>
          <w:b w:val="0"/>
          <w:noProof/>
          <w:sz w:val="22"/>
          <w:szCs w:val="22"/>
        </w:rPr>
        <w:fldChar w:fldCharType="begin"/>
      </w:r>
      <w:r w:rsidRPr="001348D2">
        <w:rPr>
          <w:rFonts w:ascii="Avenir Book" w:hAnsi="Avenir Book" w:cs="Arial"/>
          <w:b w:val="0"/>
          <w:noProof/>
          <w:sz w:val="22"/>
          <w:szCs w:val="22"/>
        </w:rPr>
        <w:instrText xml:space="preserve"> TOC \o "1-3" \h \z </w:instrText>
      </w:r>
      <w:r w:rsidRPr="001348D2">
        <w:rPr>
          <w:rFonts w:ascii="Avenir Book" w:hAnsi="Avenir Book" w:cs="Arial"/>
          <w:b w:val="0"/>
          <w:noProof/>
          <w:sz w:val="22"/>
          <w:szCs w:val="22"/>
        </w:rPr>
        <w:fldChar w:fldCharType="separate"/>
      </w:r>
      <w:hyperlink w:anchor="_Toc501561463" w:history="1">
        <w:r w:rsidRPr="001348D2">
          <w:rPr>
            <w:rStyle w:val="Hyperlink"/>
            <w:rFonts w:ascii="Avenir Book" w:hAnsi="Avenir Book"/>
            <w:noProof/>
            <w:sz w:val="22"/>
            <w:szCs w:val="22"/>
            <w:u w:val="none"/>
            <w:lang w:val="en-GB"/>
          </w:rPr>
          <w:t>1.</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Introduction</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_Toc501561463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2</w:t>
        </w:r>
        <w:r w:rsidRPr="001348D2">
          <w:rPr>
            <w:rFonts w:ascii="Avenir Book" w:hAnsi="Avenir Book"/>
            <w:noProof/>
            <w:webHidden/>
            <w:sz w:val="22"/>
            <w:szCs w:val="22"/>
          </w:rPr>
          <w:fldChar w:fldCharType="end"/>
        </w:r>
      </w:hyperlink>
    </w:p>
    <w:p w14:paraId="292D31A5" w14:textId="6ED6ECD2"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4" w:history="1">
        <w:r w:rsidRPr="001348D2">
          <w:rPr>
            <w:rStyle w:val="Hyperlink"/>
            <w:rFonts w:ascii="Avenir Book" w:hAnsi="Avenir Book"/>
            <w:noProof/>
            <w:sz w:val="22"/>
            <w:szCs w:val="22"/>
            <w:u w:val="none"/>
            <w:lang w:val="en-GB"/>
          </w:rPr>
          <w:t>2.</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The Global Alliance of N</w:t>
        </w:r>
        <w:r w:rsidR="00DA58CC" w:rsidRPr="001348D2">
          <w:rPr>
            <w:rStyle w:val="Hyperlink"/>
            <w:rFonts w:ascii="Avenir Book" w:hAnsi="Avenir Book"/>
            <w:noProof/>
            <w:sz w:val="22"/>
            <w:szCs w:val="22"/>
            <w:u w:val="none"/>
          </w:rPr>
          <w:t xml:space="preserve">ational </w:t>
        </w:r>
        <w:r w:rsidRPr="001348D2">
          <w:rPr>
            <w:rStyle w:val="Hyperlink"/>
            <w:rFonts w:ascii="Avenir Book" w:hAnsi="Avenir Book"/>
            <w:noProof/>
            <w:sz w:val="22"/>
            <w:szCs w:val="22"/>
            <w:u w:val="none"/>
          </w:rPr>
          <w:t>H</w:t>
        </w:r>
        <w:r w:rsidR="00DA58CC" w:rsidRPr="001348D2">
          <w:rPr>
            <w:rStyle w:val="Hyperlink"/>
            <w:rFonts w:ascii="Avenir Book" w:hAnsi="Avenir Book"/>
            <w:noProof/>
            <w:sz w:val="22"/>
            <w:szCs w:val="22"/>
            <w:u w:val="none"/>
          </w:rPr>
          <w:t xml:space="preserve">uman </w:t>
        </w:r>
        <w:r w:rsidRPr="001348D2">
          <w:rPr>
            <w:rStyle w:val="Hyperlink"/>
            <w:rFonts w:ascii="Avenir Book" w:hAnsi="Avenir Book"/>
            <w:noProof/>
            <w:sz w:val="22"/>
            <w:szCs w:val="22"/>
            <w:u w:val="none"/>
          </w:rPr>
          <w:t>R</w:t>
        </w:r>
        <w:r w:rsidR="00DA58CC" w:rsidRPr="001348D2">
          <w:rPr>
            <w:rStyle w:val="Hyperlink"/>
            <w:rFonts w:ascii="Avenir Book" w:hAnsi="Avenir Book"/>
            <w:noProof/>
            <w:sz w:val="22"/>
            <w:szCs w:val="22"/>
            <w:u w:val="none"/>
          </w:rPr>
          <w:t xml:space="preserve">ights </w:t>
        </w:r>
        <w:r w:rsidRPr="001348D2">
          <w:rPr>
            <w:rStyle w:val="Hyperlink"/>
            <w:rFonts w:ascii="Avenir Book" w:hAnsi="Avenir Book"/>
            <w:noProof/>
            <w:sz w:val="22"/>
            <w:szCs w:val="22"/>
            <w:u w:val="none"/>
          </w:rPr>
          <w:t>I</w:t>
        </w:r>
        <w:r w:rsidR="00DA58CC" w:rsidRPr="001348D2">
          <w:rPr>
            <w:rStyle w:val="Hyperlink"/>
            <w:rFonts w:ascii="Avenir Book" w:hAnsi="Avenir Book"/>
            <w:noProof/>
            <w:sz w:val="22"/>
            <w:szCs w:val="22"/>
            <w:u w:val="none"/>
          </w:rPr>
          <w:t>nstitution</w:t>
        </w:r>
        <w:r w:rsidRPr="001348D2">
          <w:rPr>
            <w:rStyle w:val="Hyperlink"/>
            <w:rFonts w:ascii="Avenir Book" w:hAnsi="Avenir Book"/>
            <w:noProof/>
            <w:sz w:val="22"/>
            <w:szCs w:val="22"/>
            <w:u w:val="none"/>
          </w:rPr>
          <w:t>s</w:t>
        </w:r>
        <w:r w:rsidR="00D2497B" w:rsidRPr="001348D2">
          <w:rPr>
            <w:rStyle w:val="Hyperlink"/>
            <w:rFonts w:ascii="Avenir Book" w:hAnsi="Avenir Book"/>
            <w:noProof/>
            <w:sz w:val="22"/>
            <w:szCs w:val="22"/>
            <w:u w:val="none"/>
          </w:rPr>
          <w:t xml:space="preserve"> </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_Toc501561464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2</w:t>
        </w:r>
        <w:r w:rsidRPr="001348D2">
          <w:rPr>
            <w:rFonts w:ascii="Avenir Book" w:hAnsi="Avenir Book"/>
            <w:noProof/>
            <w:webHidden/>
            <w:sz w:val="22"/>
            <w:szCs w:val="22"/>
          </w:rPr>
          <w:fldChar w:fldCharType="end"/>
        </w:r>
      </w:hyperlink>
    </w:p>
    <w:p w14:paraId="45D6516C" w14:textId="5BFDDB90"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5" w:history="1">
        <w:r w:rsidRPr="001348D2">
          <w:rPr>
            <w:rStyle w:val="Hyperlink"/>
            <w:rFonts w:ascii="Avenir Book" w:hAnsi="Avenir Book"/>
            <w:noProof/>
            <w:sz w:val="22"/>
            <w:szCs w:val="22"/>
            <w:u w:val="none"/>
            <w:lang w:val="en-GB"/>
          </w:rPr>
          <w:t>3.</w:t>
        </w:r>
        <w:r w:rsidRPr="001348D2">
          <w:rPr>
            <w:rFonts w:ascii="Avenir Book" w:eastAsiaTheme="minorEastAsia" w:hAnsi="Avenir Book" w:cstheme="minorBidi"/>
            <w:b w:val="0"/>
            <w:noProof/>
            <w:sz w:val="22"/>
            <w:szCs w:val="22"/>
            <w:lang w:val="en-GB" w:eastAsia="en-GB"/>
          </w:rPr>
          <w:tab/>
        </w:r>
        <w:r w:rsidR="00D2497B" w:rsidRPr="001348D2">
          <w:rPr>
            <w:rStyle w:val="Hyperlink"/>
            <w:rFonts w:ascii="Avenir Book" w:hAnsi="Avenir Book"/>
            <w:noProof/>
            <w:sz w:val="22"/>
            <w:szCs w:val="22"/>
            <w:u w:val="none"/>
            <w:lang w:val="en-GB"/>
          </w:rPr>
          <w:t>General recommendations</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_Toc501561465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4</w:t>
        </w:r>
        <w:r w:rsidRPr="001348D2">
          <w:rPr>
            <w:rFonts w:ascii="Avenir Book" w:hAnsi="Avenir Book"/>
            <w:noProof/>
            <w:webHidden/>
            <w:sz w:val="22"/>
            <w:szCs w:val="22"/>
          </w:rPr>
          <w:fldChar w:fldCharType="end"/>
        </w:r>
      </w:hyperlink>
    </w:p>
    <w:p w14:paraId="49FE64D7"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6" w:history="1">
        <w:r w:rsidRPr="001348D2">
          <w:rPr>
            <w:rStyle w:val="Hyperlink"/>
            <w:rFonts w:ascii="Avenir Book" w:hAnsi="Avenir Book"/>
            <w:noProof/>
            <w:sz w:val="22"/>
            <w:szCs w:val="22"/>
            <w:u w:val="none"/>
            <w:lang w:val="en-GB"/>
          </w:rPr>
          <w:t>4.</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lang w:val="en-GB"/>
          </w:rPr>
          <w:t>Art. 5 (1) - Being equal before and under the law (Paragraphs 15-17)</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_Toc501561466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4</w:t>
        </w:r>
        <w:r w:rsidRPr="001348D2">
          <w:rPr>
            <w:rFonts w:ascii="Avenir Book" w:hAnsi="Avenir Book"/>
            <w:noProof/>
            <w:webHidden/>
            <w:sz w:val="22"/>
            <w:szCs w:val="22"/>
          </w:rPr>
          <w:fldChar w:fldCharType="end"/>
        </w:r>
      </w:hyperlink>
    </w:p>
    <w:p w14:paraId="3F6F6652"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7" w:history="1">
        <w:r w:rsidRPr="001348D2">
          <w:rPr>
            <w:rStyle w:val="Hyperlink"/>
            <w:rFonts w:ascii="Avenir Book" w:hAnsi="Avenir Book"/>
            <w:noProof/>
            <w:sz w:val="22"/>
            <w:szCs w:val="22"/>
            <w:u w:val="none"/>
            <w:lang w:val="en-GB"/>
          </w:rPr>
          <w:t>5.</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lang w:val="en-GB"/>
          </w:rPr>
          <w:t>Art. 5 (2) - Prohibition of discrimination and equal and effective legal protection (Paragraphs 19-23)</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_Toc501561467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6</w:t>
        </w:r>
        <w:r w:rsidRPr="001348D2">
          <w:rPr>
            <w:rFonts w:ascii="Avenir Book" w:hAnsi="Avenir Book"/>
            <w:noProof/>
            <w:webHidden/>
            <w:sz w:val="22"/>
            <w:szCs w:val="22"/>
          </w:rPr>
          <w:fldChar w:fldCharType="end"/>
        </w:r>
      </w:hyperlink>
    </w:p>
    <w:p w14:paraId="2FB525F1" w14:textId="6B9DBAA6"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8" w:history="1">
        <w:r w:rsidRPr="001348D2">
          <w:rPr>
            <w:rStyle w:val="Hyperlink"/>
            <w:rFonts w:ascii="Avenir Book" w:hAnsi="Avenir Book"/>
            <w:noProof/>
            <w:sz w:val="22"/>
            <w:szCs w:val="22"/>
            <w:u w:val="none"/>
            <w:lang w:val="en-GB"/>
          </w:rPr>
          <w:t>6.</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Art. 5 (3) - Reasonable Accommodation (Paragraphs 24-28)</w:t>
        </w:r>
        <w:r w:rsidR="00D2497B" w:rsidRPr="001348D2">
          <w:rPr>
            <w:rStyle w:val="Hyperlink"/>
            <w:rFonts w:ascii="Avenir Book" w:hAnsi="Avenir Book"/>
            <w:noProof/>
            <w:sz w:val="22"/>
            <w:szCs w:val="22"/>
            <w:u w:val="none"/>
          </w:rPr>
          <w:t xml:space="preserve"> </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_Toc501561468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9</w:t>
        </w:r>
        <w:r w:rsidRPr="001348D2">
          <w:rPr>
            <w:rFonts w:ascii="Avenir Book" w:hAnsi="Avenir Book"/>
            <w:noProof/>
            <w:webHidden/>
            <w:sz w:val="22"/>
            <w:szCs w:val="22"/>
          </w:rPr>
          <w:fldChar w:fldCharType="end"/>
        </w:r>
      </w:hyperlink>
    </w:p>
    <w:p w14:paraId="537D5356"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69" w:history="1">
        <w:r w:rsidRPr="001348D2">
          <w:rPr>
            <w:rStyle w:val="Hyperlink"/>
            <w:rFonts w:ascii="Avenir Book" w:hAnsi="Avenir Book"/>
            <w:noProof/>
            <w:sz w:val="22"/>
            <w:szCs w:val="22"/>
            <w:u w:val="none"/>
            <w:lang w:val="en-GB"/>
          </w:rPr>
          <w:t>7.</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lang w:val="en-GB"/>
          </w:rPr>
          <w:t>General obligations of States parties to non-discrimination and equality (Paragraphs 34 and 36)</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_Toc501561469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11</w:t>
        </w:r>
        <w:r w:rsidRPr="001348D2">
          <w:rPr>
            <w:rFonts w:ascii="Avenir Book" w:hAnsi="Avenir Book"/>
            <w:noProof/>
            <w:webHidden/>
            <w:sz w:val="22"/>
            <w:szCs w:val="22"/>
          </w:rPr>
          <w:fldChar w:fldCharType="end"/>
        </w:r>
      </w:hyperlink>
    </w:p>
    <w:p w14:paraId="09F2DA58"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0" w:history="1">
        <w:r w:rsidRPr="001348D2">
          <w:rPr>
            <w:rStyle w:val="Hyperlink"/>
            <w:rFonts w:ascii="Avenir Book" w:hAnsi="Avenir Book"/>
            <w:noProof/>
            <w:sz w:val="22"/>
            <w:szCs w:val="22"/>
            <w:u w:val="none"/>
            <w:lang w:val="en-GB"/>
          </w:rPr>
          <w:t>8.</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Article 9 – Accessibility (Paragraph 47)</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_Toc501561470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14</w:t>
        </w:r>
        <w:r w:rsidRPr="001348D2">
          <w:rPr>
            <w:rFonts w:ascii="Avenir Book" w:hAnsi="Avenir Book"/>
            <w:noProof/>
            <w:webHidden/>
            <w:sz w:val="22"/>
            <w:szCs w:val="22"/>
          </w:rPr>
          <w:fldChar w:fldCharType="end"/>
        </w:r>
      </w:hyperlink>
    </w:p>
    <w:p w14:paraId="44AF1C1D"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1" w:history="1">
        <w:r w:rsidRPr="001348D2">
          <w:rPr>
            <w:rStyle w:val="Hyperlink"/>
            <w:rFonts w:ascii="Avenir Book" w:hAnsi="Avenir Book"/>
            <w:noProof/>
            <w:sz w:val="22"/>
            <w:szCs w:val="22"/>
            <w:u w:val="none"/>
            <w:lang w:val="en-GB"/>
          </w:rPr>
          <w:t>9.</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Articles 14, 15, 16, and 17 - Liberty and security; freedom from torture, exploitation, violence and abuse; integrity of the person</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_Toc501561471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14</w:t>
        </w:r>
        <w:r w:rsidRPr="001348D2">
          <w:rPr>
            <w:rFonts w:ascii="Avenir Book" w:hAnsi="Avenir Book"/>
            <w:noProof/>
            <w:webHidden/>
            <w:sz w:val="22"/>
            <w:szCs w:val="22"/>
          </w:rPr>
          <w:fldChar w:fldCharType="end"/>
        </w:r>
      </w:hyperlink>
    </w:p>
    <w:p w14:paraId="0CD65C94" w14:textId="77777777"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2" w:history="1">
        <w:r w:rsidRPr="001348D2">
          <w:rPr>
            <w:rStyle w:val="Hyperlink"/>
            <w:rFonts w:ascii="Avenir Book" w:hAnsi="Avenir Book"/>
            <w:noProof/>
            <w:sz w:val="22"/>
            <w:szCs w:val="22"/>
            <w:u w:val="none"/>
            <w:lang w:val="en-GB"/>
          </w:rPr>
          <w:t>10.</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Article 29 - Participation in political and public life (paragraph 74)</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_Toc501561472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15</w:t>
        </w:r>
        <w:r w:rsidRPr="001348D2">
          <w:rPr>
            <w:rFonts w:ascii="Avenir Book" w:hAnsi="Avenir Book"/>
            <w:noProof/>
            <w:webHidden/>
            <w:sz w:val="22"/>
            <w:szCs w:val="22"/>
          </w:rPr>
          <w:fldChar w:fldCharType="end"/>
        </w:r>
      </w:hyperlink>
    </w:p>
    <w:p w14:paraId="16AA5DA7" w14:textId="0DB8D314"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3" w:history="1">
        <w:r w:rsidRPr="001348D2">
          <w:rPr>
            <w:rStyle w:val="Hyperlink"/>
            <w:rFonts w:ascii="Avenir Book" w:hAnsi="Avenir Book"/>
            <w:noProof/>
            <w:sz w:val="22"/>
            <w:szCs w:val="22"/>
            <w:u w:val="none"/>
            <w:lang w:val="en-GB"/>
          </w:rPr>
          <w:t>11.</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I</w:t>
        </w:r>
        <w:r w:rsidR="00D2497B" w:rsidRPr="001348D2">
          <w:rPr>
            <w:rStyle w:val="Hyperlink"/>
            <w:rFonts w:ascii="Avenir Book" w:hAnsi="Avenir Book"/>
            <w:noProof/>
            <w:sz w:val="22"/>
            <w:szCs w:val="22"/>
            <w:u w:val="none"/>
          </w:rPr>
          <w:t xml:space="preserve">mplementation at the national level </w:t>
        </w:r>
        <w:r w:rsidRPr="001348D2">
          <w:rPr>
            <w:rStyle w:val="Hyperlink"/>
            <w:rFonts w:ascii="Avenir Book" w:hAnsi="Avenir Book"/>
            <w:noProof/>
            <w:sz w:val="22"/>
            <w:szCs w:val="22"/>
            <w:u w:val="none"/>
          </w:rPr>
          <w:t>(paragraph 76)</w:t>
        </w:r>
        <w:r w:rsidR="00D2497B" w:rsidRPr="001348D2">
          <w:rPr>
            <w:rStyle w:val="Hyperlink"/>
            <w:rFonts w:ascii="Avenir Book" w:hAnsi="Avenir Book"/>
            <w:noProof/>
            <w:sz w:val="22"/>
            <w:szCs w:val="22"/>
            <w:u w:val="none"/>
          </w:rPr>
          <w:t xml:space="preserve"> </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_Toc501561473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16</w:t>
        </w:r>
        <w:r w:rsidRPr="001348D2">
          <w:rPr>
            <w:rFonts w:ascii="Avenir Book" w:hAnsi="Avenir Book"/>
            <w:noProof/>
            <w:webHidden/>
            <w:sz w:val="22"/>
            <w:szCs w:val="22"/>
          </w:rPr>
          <w:fldChar w:fldCharType="end"/>
        </w:r>
      </w:hyperlink>
    </w:p>
    <w:p w14:paraId="20D798E0" w14:textId="06865CAB"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4" w:history="1">
        <w:r w:rsidRPr="001348D2">
          <w:rPr>
            <w:rStyle w:val="Hyperlink"/>
            <w:rFonts w:ascii="Avenir Book" w:hAnsi="Avenir Book"/>
            <w:noProof/>
            <w:sz w:val="22"/>
            <w:szCs w:val="22"/>
            <w:u w:val="none"/>
            <w:lang w:val="en-GB"/>
          </w:rPr>
          <w:t>12.</w:t>
        </w:r>
        <w:r w:rsidRPr="001348D2">
          <w:rPr>
            <w:rFonts w:ascii="Avenir Book" w:eastAsiaTheme="minorEastAsia" w:hAnsi="Avenir Book" w:cstheme="minorBidi"/>
            <w:b w:val="0"/>
            <w:noProof/>
            <w:sz w:val="22"/>
            <w:szCs w:val="22"/>
            <w:lang w:val="en-GB" w:eastAsia="en-GB"/>
          </w:rPr>
          <w:tab/>
        </w:r>
        <w:r w:rsidRPr="001348D2">
          <w:rPr>
            <w:rStyle w:val="Hyperlink"/>
            <w:rFonts w:ascii="Avenir Book" w:hAnsi="Avenir Book"/>
            <w:noProof/>
            <w:sz w:val="22"/>
            <w:szCs w:val="22"/>
            <w:u w:val="none"/>
          </w:rPr>
          <w:t>Indigenous Peoples</w:t>
        </w:r>
        <w:r w:rsidR="00D2497B" w:rsidRPr="001348D2">
          <w:rPr>
            <w:rStyle w:val="Hyperlink"/>
            <w:rFonts w:ascii="Avenir Book" w:hAnsi="Avenir Book"/>
            <w:noProof/>
            <w:sz w:val="22"/>
            <w:szCs w:val="22"/>
            <w:u w:val="none"/>
          </w:rPr>
          <w:t xml:space="preserve"> </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_Toc501561474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16</w:t>
        </w:r>
        <w:r w:rsidRPr="001348D2">
          <w:rPr>
            <w:rFonts w:ascii="Avenir Book" w:hAnsi="Avenir Book"/>
            <w:noProof/>
            <w:webHidden/>
            <w:sz w:val="22"/>
            <w:szCs w:val="22"/>
          </w:rPr>
          <w:fldChar w:fldCharType="end"/>
        </w:r>
      </w:hyperlink>
    </w:p>
    <w:p w14:paraId="0A108E9D" w14:textId="1DC30903" w:rsidR="004A0580" w:rsidRPr="001348D2" w:rsidRDefault="004A0580" w:rsidP="001348D2">
      <w:pPr>
        <w:pStyle w:val="TOC1"/>
        <w:jc w:val="both"/>
        <w:rPr>
          <w:rFonts w:ascii="Avenir Book" w:eastAsiaTheme="minorEastAsia" w:hAnsi="Avenir Book" w:cstheme="minorBidi"/>
          <w:b w:val="0"/>
          <w:noProof/>
          <w:sz w:val="22"/>
          <w:szCs w:val="22"/>
          <w:lang w:val="en-GB" w:eastAsia="en-GB"/>
        </w:rPr>
      </w:pPr>
      <w:hyperlink w:anchor="_Toc501561475" w:history="1">
        <w:r w:rsidRPr="001348D2">
          <w:rPr>
            <w:rStyle w:val="Hyperlink"/>
            <w:rFonts w:ascii="Avenir Book" w:hAnsi="Avenir Book"/>
            <w:noProof/>
            <w:sz w:val="22"/>
            <w:szCs w:val="22"/>
            <w:u w:val="none"/>
            <w:lang w:val="en-GB"/>
          </w:rPr>
          <w:t>13.</w:t>
        </w:r>
        <w:r w:rsidRPr="001348D2">
          <w:rPr>
            <w:rFonts w:ascii="Avenir Book" w:eastAsiaTheme="minorEastAsia" w:hAnsi="Avenir Book" w:cstheme="minorBidi"/>
            <w:b w:val="0"/>
            <w:noProof/>
            <w:sz w:val="22"/>
            <w:szCs w:val="22"/>
            <w:lang w:val="en-GB" w:eastAsia="en-GB"/>
          </w:rPr>
          <w:tab/>
        </w:r>
        <w:r w:rsidR="00D2497B" w:rsidRPr="001348D2">
          <w:rPr>
            <w:rStyle w:val="Hyperlink"/>
            <w:rFonts w:ascii="Avenir Book" w:hAnsi="Avenir Book"/>
            <w:noProof/>
            <w:sz w:val="22"/>
            <w:szCs w:val="22"/>
            <w:u w:val="none"/>
          </w:rPr>
          <w:t>P</w:t>
        </w:r>
        <w:r w:rsidRPr="001348D2">
          <w:rPr>
            <w:rStyle w:val="Hyperlink"/>
            <w:rFonts w:ascii="Avenir Book" w:hAnsi="Avenir Book"/>
            <w:noProof/>
            <w:sz w:val="22"/>
            <w:szCs w:val="22"/>
            <w:u w:val="none"/>
          </w:rPr>
          <w:t>ublic procurement services</w:t>
        </w:r>
        <w:r w:rsidRPr="001348D2">
          <w:rPr>
            <w:rFonts w:ascii="Avenir Book" w:hAnsi="Avenir Book"/>
            <w:noProof/>
            <w:webHidden/>
            <w:sz w:val="22"/>
            <w:szCs w:val="22"/>
          </w:rPr>
          <w:tab/>
        </w:r>
        <w:r w:rsidRPr="001348D2">
          <w:rPr>
            <w:rFonts w:ascii="Avenir Book" w:hAnsi="Avenir Book"/>
            <w:noProof/>
            <w:webHidden/>
            <w:sz w:val="22"/>
            <w:szCs w:val="22"/>
          </w:rPr>
          <w:fldChar w:fldCharType="begin"/>
        </w:r>
        <w:r w:rsidRPr="001348D2">
          <w:rPr>
            <w:rFonts w:ascii="Avenir Book" w:hAnsi="Avenir Book"/>
            <w:noProof/>
            <w:webHidden/>
            <w:sz w:val="22"/>
            <w:szCs w:val="22"/>
          </w:rPr>
          <w:instrText xml:space="preserve"> PAGEREF _Toc501561475 \h </w:instrText>
        </w:r>
        <w:r w:rsidRPr="001348D2">
          <w:rPr>
            <w:rFonts w:ascii="Avenir Book" w:hAnsi="Avenir Book"/>
            <w:webHidden/>
            <w:sz w:val="22"/>
            <w:szCs w:val="22"/>
          </w:rPr>
        </w:r>
        <w:r w:rsidRPr="001348D2">
          <w:rPr>
            <w:rFonts w:ascii="Avenir Book" w:hAnsi="Avenir Book"/>
            <w:webHidden/>
            <w:sz w:val="22"/>
            <w:szCs w:val="22"/>
          </w:rPr>
          <w:fldChar w:fldCharType="separate"/>
        </w:r>
        <w:r w:rsidRPr="001348D2">
          <w:rPr>
            <w:rFonts w:ascii="Avenir Book" w:hAnsi="Avenir Book"/>
            <w:noProof/>
            <w:webHidden/>
            <w:sz w:val="22"/>
            <w:szCs w:val="22"/>
          </w:rPr>
          <w:t>18</w:t>
        </w:r>
        <w:r w:rsidRPr="001348D2">
          <w:rPr>
            <w:rFonts w:ascii="Avenir Book" w:hAnsi="Avenir Book"/>
            <w:noProof/>
            <w:webHidden/>
            <w:sz w:val="22"/>
            <w:szCs w:val="22"/>
          </w:rPr>
          <w:fldChar w:fldCharType="end"/>
        </w:r>
      </w:hyperlink>
    </w:p>
    <w:p w14:paraId="7DBC7541" w14:textId="7BB08F32" w:rsidR="0088597C" w:rsidRPr="001348D2" w:rsidRDefault="004A0580" w:rsidP="00B14D37">
      <w:pPr>
        <w:jc w:val="both"/>
        <w:rPr>
          <w:rFonts w:ascii="Avenir Book" w:hAnsi="Avenir Book"/>
          <w:b/>
        </w:rPr>
      </w:pPr>
      <w:r w:rsidRPr="001348D2">
        <w:rPr>
          <w:rFonts w:ascii="Avenir Book" w:hAnsi="Avenir Book" w:cs="Arial"/>
          <w:b/>
          <w:noProof/>
        </w:rPr>
        <w:fldChar w:fldCharType="end"/>
      </w:r>
    </w:p>
    <w:p w14:paraId="41EB2BDC" w14:textId="77777777" w:rsidR="009C401D" w:rsidRPr="001348D2" w:rsidRDefault="009C401D" w:rsidP="00DA58CC">
      <w:pPr>
        <w:jc w:val="both"/>
        <w:rPr>
          <w:rFonts w:ascii="Avenir Book" w:hAnsi="Avenir Book"/>
          <w:b/>
        </w:rPr>
      </w:pPr>
    </w:p>
    <w:p w14:paraId="75FE6A77" w14:textId="77777777" w:rsidR="009C401D" w:rsidRPr="001348D2" w:rsidRDefault="009C401D" w:rsidP="001348D2">
      <w:pPr>
        <w:jc w:val="both"/>
        <w:rPr>
          <w:rFonts w:ascii="Avenir Book" w:hAnsi="Avenir Book"/>
          <w:b/>
        </w:rPr>
      </w:pPr>
    </w:p>
    <w:p w14:paraId="3C474560" w14:textId="77777777" w:rsidR="009C401D" w:rsidRPr="001348D2" w:rsidRDefault="009C401D" w:rsidP="001348D2">
      <w:pPr>
        <w:jc w:val="both"/>
        <w:rPr>
          <w:rFonts w:ascii="Avenir Book" w:hAnsi="Avenir Book"/>
          <w:b/>
        </w:rPr>
      </w:pPr>
    </w:p>
    <w:p w14:paraId="153D4E51" w14:textId="32A0FA03" w:rsidR="009C401D" w:rsidRPr="001348D2" w:rsidRDefault="00EE7520" w:rsidP="001348D2">
      <w:pPr>
        <w:tabs>
          <w:tab w:val="left" w:pos="3867"/>
        </w:tabs>
        <w:jc w:val="both"/>
        <w:rPr>
          <w:rFonts w:ascii="Avenir Book" w:hAnsi="Avenir Book"/>
          <w:b/>
        </w:rPr>
      </w:pPr>
      <w:r w:rsidRPr="001348D2">
        <w:rPr>
          <w:rFonts w:ascii="Avenir Book" w:hAnsi="Avenir Book" w:cs="Arial"/>
          <w:b/>
          <w:bCs/>
          <w:noProof/>
        </w:rPr>
        <w:tab/>
      </w:r>
    </w:p>
    <w:p w14:paraId="6BF2361E" w14:textId="77777777" w:rsidR="00B462C0" w:rsidRPr="001348D2" w:rsidRDefault="00B462C0" w:rsidP="001348D2">
      <w:pPr>
        <w:jc w:val="both"/>
        <w:rPr>
          <w:rFonts w:ascii="Avenir Book" w:hAnsi="Avenir Book"/>
          <w:b/>
        </w:rPr>
      </w:pPr>
    </w:p>
    <w:p w14:paraId="4612FBAF" w14:textId="77777777" w:rsidR="00B462C0" w:rsidRPr="001348D2" w:rsidRDefault="00B462C0" w:rsidP="001348D2">
      <w:pPr>
        <w:jc w:val="both"/>
        <w:rPr>
          <w:rFonts w:ascii="Avenir Book" w:hAnsi="Avenir Book"/>
          <w:b/>
        </w:rPr>
      </w:pPr>
    </w:p>
    <w:p w14:paraId="614E39DF" w14:textId="77777777" w:rsidR="00B462C0" w:rsidRPr="001348D2" w:rsidRDefault="00B462C0" w:rsidP="001348D2">
      <w:pPr>
        <w:jc w:val="both"/>
        <w:rPr>
          <w:rFonts w:ascii="Avenir Book" w:hAnsi="Avenir Book"/>
          <w:b/>
        </w:rPr>
      </w:pPr>
    </w:p>
    <w:p w14:paraId="0C91452D" w14:textId="77777777" w:rsidR="00325862" w:rsidRPr="001348D2" w:rsidRDefault="00325862" w:rsidP="001348D2">
      <w:pPr>
        <w:jc w:val="both"/>
        <w:rPr>
          <w:rFonts w:ascii="Avenir Book" w:hAnsi="Avenir Book"/>
          <w:b/>
        </w:rPr>
      </w:pPr>
    </w:p>
    <w:p w14:paraId="3C177DCE" w14:textId="77777777" w:rsidR="008143E7" w:rsidRPr="001348D2" w:rsidRDefault="00325862" w:rsidP="001348D2">
      <w:pPr>
        <w:pStyle w:val="Heading1"/>
        <w:jc w:val="both"/>
        <w:rPr>
          <w:rFonts w:ascii="Avenir Book" w:hAnsi="Avenir Book"/>
          <w:sz w:val="22"/>
          <w:szCs w:val="22"/>
        </w:rPr>
      </w:pPr>
      <w:bookmarkStart w:id="7" w:name="_Toc501561463"/>
      <w:r w:rsidRPr="001348D2">
        <w:rPr>
          <w:rFonts w:ascii="Avenir Book" w:hAnsi="Avenir Book"/>
          <w:sz w:val="22"/>
          <w:szCs w:val="22"/>
        </w:rPr>
        <w:t>I</w:t>
      </w:r>
      <w:r w:rsidR="009C401D" w:rsidRPr="001348D2">
        <w:rPr>
          <w:rFonts w:ascii="Avenir Book" w:hAnsi="Avenir Book"/>
          <w:sz w:val="22"/>
          <w:szCs w:val="22"/>
        </w:rPr>
        <w:t>ntroduction</w:t>
      </w:r>
      <w:bookmarkEnd w:id="7"/>
    </w:p>
    <w:p w14:paraId="6C4212FD" w14:textId="77777777" w:rsidR="008143E7" w:rsidRPr="001348D2" w:rsidRDefault="008143E7" w:rsidP="001348D2">
      <w:pPr>
        <w:jc w:val="both"/>
        <w:rPr>
          <w:rFonts w:ascii="Avenir Book" w:hAnsi="Avenir Book"/>
          <w:b/>
          <w:u w:val="single"/>
        </w:rPr>
      </w:pPr>
    </w:p>
    <w:p w14:paraId="3BC7A449" w14:textId="3165AD71" w:rsidR="00362803" w:rsidRPr="001348D2" w:rsidRDefault="009C401D" w:rsidP="001348D2">
      <w:pPr>
        <w:jc w:val="both"/>
        <w:rPr>
          <w:rFonts w:ascii="Avenir Book" w:hAnsi="Avenir Book"/>
        </w:rPr>
      </w:pPr>
      <w:r w:rsidRPr="001348D2">
        <w:rPr>
          <w:rFonts w:ascii="Avenir Book" w:hAnsi="Avenir Book"/>
        </w:rPr>
        <w:t xml:space="preserve">The </w:t>
      </w:r>
      <w:r w:rsidR="00B462C0" w:rsidRPr="001348D2">
        <w:rPr>
          <w:rFonts w:ascii="Avenir Book" w:hAnsi="Avenir Book"/>
        </w:rPr>
        <w:t>Global Alliance of National Human Rights Institutions (GANHRI)</w:t>
      </w:r>
      <w:r w:rsidRPr="001348D2">
        <w:rPr>
          <w:rFonts w:ascii="Avenir Book" w:hAnsi="Avenir Book"/>
        </w:rPr>
        <w:t xml:space="preserve"> commends the Committee on the Rights of Persons with Disabilities (the Committee) on </w:t>
      </w:r>
      <w:r w:rsidR="00B462C0" w:rsidRPr="001348D2">
        <w:rPr>
          <w:rFonts w:ascii="Avenir Book" w:hAnsi="Avenir Book"/>
        </w:rPr>
        <w:t>its</w:t>
      </w:r>
      <w:r w:rsidRPr="001348D2">
        <w:rPr>
          <w:rFonts w:ascii="Avenir Book" w:hAnsi="Avenir Book"/>
        </w:rPr>
        <w:t xml:space="preserve"> Draft </w:t>
      </w:r>
      <w:r w:rsidR="00411868" w:rsidRPr="001348D2">
        <w:rPr>
          <w:rFonts w:ascii="Avenir Book" w:hAnsi="Avenir Book"/>
        </w:rPr>
        <w:t>General Comment</w:t>
      </w:r>
      <w:r w:rsidRPr="001348D2">
        <w:rPr>
          <w:rFonts w:ascii="Avenir Book" w:hAnsi="Avenir Book"/>
        </w:rPr>
        <w:t xml:space="preserve"> on Equality and Non-Discrimination under Article 5 of the </w:t>
      </w:r>
      <w:r w:rsidRPr="001348D2">
        <w:rPr>
          <w:rFonts w:ascii="Avenir Book" w:hAnsi="Avenir Book"/>
          <w:i/>
        </w:rPr>
        <w:t>Convention on the Rights of Persons with Disabilities</w:t>
      </w:r>
      <w:r w:rsidRPr="001348D2">
        <w:rPr>
          <w:rFonts w:ascii="Avenir Book" w:hAnsi="Avenir Book"/>
        </w:rPr>
        <w:t xml:space="preserve"> (</w:t>
      </w:r>
      <w:r w:rsidR="00B462C0" w:rsidRPr="001348D2">
        <w:rPr>
          <w:rFonts w:ascii="Avenir Book" w:hAnsi="Avenir Book"/>
        </w:rPr>
        <w:t>CRPD</w:t>
      </w:r>
      <w:r w:rsidRPr="001348D2">
        <w:rPr>
          <w:rFonts w:ascii="Avenir Book" w:hAnsi="Avenir Book"/>
        </w:rPr>
        <w:t>).</w:t>
      </w:r>
    </w:p>
    <w:p w14:paraId="2B665765" w14:textId="24BBA351" w:rsidR="00362803" w:rsidRPr="001348D2" w:rsidRDefault="00362803" w:rsidP="001348D2">
      <w:pPr>
        <w:jc w:val="both"/>
        <w:rPr>
          <w:rFonts w:ascii="Avenir Book" w:hAnsi="Avenir Book"/>
        </w:rPr>
      </w:pPr>
      <w:r w:rsidRPr="001348D2">
        <w:rPr>
          <w:rFonts w:ascii="Avenir Book" w:hAnsi="Avenir Book"/>
        </w:rPr>
        <w:t xml:space="preserve">The rights in Article 5 are instrumental. Respect for equality and </w:t>
      </w:r>
      <w:r w:rsidR="00B462C0" w:rsidRPr="001348D2">
        <w:rPr>
          <w:rFonts w:ascii="Avenir Book" w:hAnsi="Avenir Book"/>
        </w:rPr>
        <w:t>freedom from discrimination is essential</w:t>
      </w:r>
      <w:r w:rsidRPr="001348D2">
        <w:rPr>
          <w:rFonts w:ascii="Avenir Book" w:hAnsi="Avenir Book"/>
        </w:rPr>
        <w:t xml:space="preserve"> to safeguard all the other rights </w:t>
      </w:r>
      <w:r w:rsidR="00B462C0" w:rsidRPr="001348D2">
        <w:rPr>
          <w:rFonts w:ascii="Avenir Book" w:hAnsi="Avenir Book"/>
        </w:rPr>
        <w:t xml:space="preserve">enshrined </w:t>
      </w:r>
      <w:r w:rsidRPr="001348D2">
        <w:rPr>
          <w:rFonts w:ascii="Avenir Book" w:hAnsi="Avenir Book"/>
        </w:rPr>
        <w:t xml:space="preserve">in the </w:t>
      </w:r>
      <w:r w:rsidR="00B462C0" w:rsidRPr="001348D2">
        <w:rPr>
          <w:rFonts w:ascii="Avenir Book" w:hAnsi="Avenir Book"/>
        </w:rPr>
        <w:t>CRPD</w:t>
      </w:r>
      <w:r w:rsidRPr="001348D2">
        <w:rPr>
          <w:rFonts w:ascii="Avenir Book" w:hAnsi="Avenir Book"/>
        </w:rPr>
        <w:t>.  It is, as a result, appropriate that the Committee has chosen to provide detailed advice to State Parties on their obligations under Article 5.</w:t>
      </w:r>
    </w:p>
    <w:p w14:paraId="25E7527A" w14:textId="5D16AB32" w:rsidR="009C401D" w:rsidRPr="001348D2" w:rsidRDefault="00B462C0" w:rsidP="001348D2">
      <w:pPr>
        <w:jc w:val="both"/>
        <w:rPr>
          <w:rFonts w:ascii="Avenir Book" w:hAnsi="Avenir Book"/>
        </w:rPr>
      </w:pPr>
      <w:r w:rsidRPr="001348D2">
        <w:rPr>
          <w:rFonts w:ascii="Avenir Book" w:hAnsi="Avenir Book"/>
        </w:rPr>
        <w:t>GANHRI</w:t>
      </w:r>
      <w:r w:rsidR="00362803" w:rsidRPr="001348D2">
        <w:rPr>
          <w:rFonts w:ascii="Avenir Book" w:hAnsi="Avenir Book"/>
        </w:rPr>
        <w:t xml:space="preserve"> </w:t>
      </w:r>
      <w:r w:rsidR="0039001C" w:rsidRPr="001348D2">
        <w:rPr>
          <w:rFonts w:ascii="Avenir Book" w:hAnsi="Avenir Book"/>
        </w:rPr>
        <w:t>notes</w:t>
      </w:r>
      <w:r w:rsidR="00362803" w:rsidRPr="001348D2">
        <w:rPr>
          <w:rFonts w:ascii="Avenir Book" w:hAnsi="Avenir Book"/>
        </w:rPr>
        <w:t xml:space="preserve"> </w:t>
      </w:r>
      <w:r w:rsidRPr="001348D2">
        <w:rPr>
          <w:rFonts w:ascii="Avenir Book" w:hAnsi="Avenir Book"/>
        </w:rPr>
        <w:t xml:space="preserve">with appreciation </w:t>
      </w:r>
      <w:r w:rsidR="00362803" w:rsidRPr="001348D2">
        <w:rPr>
          <w:rFonts w:ascii="Avenir Book" w:hAnsi="Avenir Book"/>
        </w:rPr>
        <w:t>the efforts the Committee has made to involve all interested parties, including National Human Rights Institutions</w:t>
      </w:r>
      <w:r w:rsidRPr="001348D2">
        <w:rPr>
          <w:rFonts w:ascii="Avenir Book" w:hAnsi="Avenir Book"/>
        </w:rPr>
        <w:t xml:space="preserve"> (NHRIs),</w:t>
      </w:r>
      <w:r w:rsidR="00362803" w:rsidRPr="001348D2">
        <w:rPr>
          <w:rFonts w:ascii="Avenir Book" w:hAnsi="Avenir Book"/>
        </w:rPr>
        <w:t xml:space="preserve"> in all its activities.  This constructive enga</w:t>
      </w:r>
      <w:r w:rsidRPr="001348D2">
        <w:rPr>
          <w:rFonts w:ascii="Avenir Book" w:hAnsi="Avenir Book"/>
        </w:rPr>
        <w:t>gement follows on the precedent-</w:t>
      </w:r>
      <w:r w:rsidR="00362803" w:rsidRPr="001348D2">
        <w:rPr>
          <w:rFonts w:ascii="Avenir Book" w:hAnsi="Avenir Book"/>
        </w:rPr>
        <w:t>setting collaboration between Disabled Persons Organization, NHRIs, State Parties, and other in the drafting of the Convention.</w:t>
      </w:r>
    </w:p>
    <w:p w14:paraId="300E222F" w14:textId="2584A7E3" w:rsidR="00AC0CFD" w:rsidRPr="001348D2" w:rsidRDefault="009C401D" w:rsidP="001348D2">
      <w:pPr>
        <w:jc w:val="both"/>
        <w:rPr>
          <w:rFonts w:ascii="Avenir Book" w:hAnsi="Avenir Book"/>
        </w:rPr>
      </w:pPr>
      <w:r w:rsidRPr="001348D2">
        <w:rPr>
          <w:rFonts w:ascii="Avenir Book" w:hAnsi="Avenir Book"/>
        </w:rPr>
        <w:t>It is i</w:t>
      </w:r>
      <w:r w:rsidR="004C2AA9" w:rsidRPr="001348D2">
        <w:rPr>
          <w:rFonts w:ascii="Avenir Book" w:hAnsi="Avenir Book"/>
        </w:rPr>
        <w:t>n this</w:t>
      </w:r>
      <w:r w:rsidRPr="001348D2">
        <w:rPr>
          <w:rFonts w:ascii="Avenir Book" w:hAnsi="Avenir Book"/>
        </w:rPr>
        <w:t xml:space="preserve"> </w:t>
      </w:r>
      <w:r w:rsidR="00362803" w:rsidRPr="001348D2">
        <w:rPr>
          <w:rFonts w:ascii="Avenir Book" w:hAnsi="Avenir Book"/>
        </w:rPr>
        <w:t xml:space="preserve">spirit of collaboration </w:t>
      </w:r>
      <w:r w:rsidRPr="001348D2">
        <w:rPr>
          <w:rFonts w:ascii="Avenir Book" w:hAnsi="Avenir Book"/>
        </w:rPr>
        <w:t xml:space="preserve">that </w:t>
      </w:r>
      <w:r w:rsidR="00B462C0" w:rsidRPr="001348D2">
        <w:rPr>
          <w:rFonts w:ascii="Avenir Book" w:hAnsi="Avenir Book"/>
        </w:rPr>
        <w:t>GANHRI</w:t>
      </w:r>
      <w:r w:rsidRPr="001348D2">
        <w:rPr>
          <w:rFonts w:ascii="Avenir Book" w:hAnsi="Avenir Book"/>
        </w:rPr>
        <w:t xml:space="preserve"> submits </w:t>
      </w:r>
      <w:r w:rsidR="00362803" w:rsidRPr="001348D2">
        <w:rPr>
          <w:rFonts w:ascii="Avenir Book" w:hAnsi="Avenir Book"/>
        </w:rPr>
        <w:t xml:space="preserve">these comments and recommendations on the Draft </w:t>
      </w:r>
      <w:r w:rsidR="00411868" w:rsidRPr="001348D2">
        <w:rPr>
          <w:rFonts w:ascii="Avenir Book" w:hAnsi="Avenir Book"/>
        </w:rPr>
        <w:t>General Comment</w:t>
      </w:r>
      <w:r w:rsidR="00362803" w:rsidRPr="001348D2">
        <w:rPr>
          <w:rFonts w:ascii="Avenir Book" w:hAnsi="Avenir Book"/>
        </w:rPr>
        <w:t>.</w:t>
      </w:r>
      <w:r w:rsidRPr="001348D2">
        <w:rPr>
          <w:rFonts w:ascii="Avenir Book" w:hAnsi="Avenir Book"/>
        </w:rPr>
        <w:t xml:space="preserve"> </w:t>
      </w:r>
    </w:p>
    <w:p w14:paraId="29423B18" w14:textId="36383C52" w:rsidR="00560E5E" w:rsidRPr="001348D2" w:rsidRDefault="00325862" w:rsidP="001348D2">
      <w:pPr>
        <w:pStyle w:val="Heading1"/>
        <w:jc w:val="both"/>
        <w:rPr>
          <w:rFonts w:ascii="Avenir Book" w:hAnsi="Avenir Book"/>
          <w:sz w:val="22"/>
          <w:szCs w:val="22"/>
        </w:rPr>
      </w:pPr>
      <w:bookmarkStart w:id="8" w:name="_Toc501561464"/>
      <w:r w:rsidRPr="001348D2">
        <w:rPr>
          <w:rFonts w:ascii="Avenir Book" w:hAnsi="Avenir Book"/>
          <w:sz w:val="22"/>
          <w:szCs w:val="22"/>
        </w:rPr>
        <w:t>The G</w:t>
      </w:r>
      <w:r w:rsidR="00B462C0" w:rsidRPr="001348D2">
        <w:rPr>
          <w:rFonts w:ascii="Avenir Book" w:hAnsi="Avenir Book"/>
          <w:sz w:val="22"/>
          <w:szCs w:val="22"/>
        </w:rPr>
        <w:t>lobal Alliance of N</w:t>
      </w:r>
      <w:r w:rsidR="00DA58CC">
        <w:rPr>
          <w:rFonts w:ascii="Avenir Book" w:hAnsi="Avenir Book"/>
          <w:sz w:val="22"/>
          <w:szCs w:val="22"/>
        </w:rPr>
        <w:t xml:space="preserve">ational </w:t>
      </w:r>
      <w:r w:rsidR="00B462C0" w:rsidRPr="001348D2">
        <w:rPr>
          <w:rFonts w:ascii="Avenir Book" w:hAnsi="Avenir Book"/>
          <w:sz w:val="22"/>
          <w:szCs w:val="22"/>
        </w:rPr>
        <w:t>H</w:t>
      </w:r>
      <w:r w:rsidR="00DA58CC">
        <w:rPr>
          <w:rFonts w:ascii="Avenir Book" w:hAnsi="Avenir Book"/>
          <w:sz w:val="22"/>
          <w:szCs w:val="22"/>
        </w:rPr>
        <w:t xml:space="preserve">uman </w:t>
      </w:r>
      <w:r w:rsidR="00B462C0" w:rsidRPr="001348D2">
        <w:rPr>
          <w:rFonts w:ascii="Avenir Book" w:hAnsi="Avenir Book"/>
          <w:sz w:val="22"/>
          <w:szCs w:val="22"/>
        </w:rPr>
        <w:t>R</w:t>
      </w:r>
      <w:r w:rsidR="00DA58CC">
        <w:rPr>
          <w:rFonts w:ascii="Avenir Book" w:hAnsi="Avenir Book"/>
          <w:sz w:val="22"/>
          <w:szCs w:val="22"/>
        </w:rPr>
        <w:t xml:space="preserve">ights </w:t>
      </w:r>
      <w:r w:rsidR="00B462C0" w:rsidRPr="001348D2">
        <w:rPr>
          <w:rFonts w:ascii="Avenir Book" w:hAnsi="Avenir Book"/>
          <w:sz w:val="22"/>
          <w:szCs w:val="22"/>
        </w:rPr>
        <w:t>I</w:t>
      </w:r>
      <w:r w:rsidR="00DA58CC">
        <w:rPr>
          <w:rFonts w:ascii="Avenir Book" w:hAnsi="Avenir Book"/>
          <w:sz w:val="22"/>
          <w:szCs w:val="22"/>
        </w:rPr>
        <w:t>nstitution</w:t>
      </w:r>
      <w:r w:rsidR="00B462C0" w:rsidRPr="001348D2">
        <w:rPr>
          <w:rFonts w:ascii="Avenir Book" w:hAnsi="Avenir Book"/>
          <w:sz w:val="22"/>
          <w:szCs w:val="22"/>
        </w:rPr>
        <w:t>s</w:t>
      </w:r>
      <w:bookmarkEnd w:id="8"/>
      <w:r w:rsidR="00042B3E">
        <w:rPr>
          <w:rFonts w:ascii="Avenir Book" w:hAnsi="Avenir Book"/>
          <w:sz w:val="22"/>
          <w:szCs w:val="22"/>
        </w:rPr>
        <w:t xml:space="preserve"> </w:t>
      </w:r>
    </w:p>
    <w:p w14:paraId="6CE1CF46" w14:textId="77777777" w:rsidR="00560E5E" w:rsidRPr="001348D2" w:rsidRDefault="00560E5E" w:rsidP="001348D2">
      <w:pPr>
        <w:jc w:val="both"/>
        <w:rPr>
          <w:rFonts w:ascii="Avenir Book" w:hAnsi="Avenir Book"/>
          <w:lang w:val="en-GB"/>
        </w:rPr>
      </w:pPr>
    </w:p>
    <w:p w14:paraId="2DD99C2E" w14:textId="6C138A9E" w:rsidR="004E5656" w:rsidRPr="001348D2" w:rsidRDefault="004E5656" w:rsidP="001348D2">
      <w:pPr>
        <w:jc w:val="both"/>
        <w:rPr>
          <w:rFonts w:ascii="Avenir Book" w:hAnsi="Avenir Book"/>
        </w:rPr>
      </w:pPr>
      <w:r w:rsidRPr="001348D2">
        <w:rPr>
          <w:rFonts w:ascii="Avenir Book" w:hAnsi="Avenir Book"/>
        </w:rPr>
        <w:t xml:space="preserve">The </w:t>
      </w:r>
      <w:r w:rsidRPr="001348D2">
        <w:rPr>
          <w:rFonts w:ascii="Avenir Book" w:hAnsi="Avenir Book"/>
          <w:b/>
        </w:rPr>
        <w:t>Global Alliance of National Human Rights Institutions (GANHRI</w:t>
      </w:r>
      <w:r w:rsidRPr="001348D2">
        <w:rPr>
          <w:rFonts w:ascii="Avenir Book" w:hAnsi="Avenir Book"/>
        </w:rPr>
        <w:t>)</w:t>
      </w:r>
      <w:r w:rsidR="0039001C" w:rsidRPr="001348D2">
        <w:rPr>
          <w:rFonts w:ascii="Avenir Book" w:hAnsi="Avenir Book"/>
        </w:rPr>
        <w:t xml:space="preserve"> </w:t>
      </w:r>
      <w:r w:rsidRPr="001348D2">
        <w:rPr>
          <w:rFonts w:ascii="Avenir Book" w:hAnsi="Avenir Book"/>
        </w:rPr>
        <w:t xml:space="preserve">is the international association for national human rights institutions from all parts of the globe. Established in 1993 as </w:t>
      </w:r>
      <w:r w:rsidR="0039001C" w:rsidRPr="001348D2">
        <w:rPr>
          <w:rFonts w:ascii="Avenir Book" w:hAnsi="Avenir Book"/>
        </w:rPr>
        <w:t>International Coordinating Committee of National Human Rights Institutions (ICC)</w:t>
      </w:r>
      <w:r w:rsidRPr="001348D2">
        <w:rPr>
          <w:rFonts w:ascii="Avenir Book" w:hAnsi="Avenir Book"/>
        </w:rPr>
        <w:t xml:space="preserve">, GANHRI promotes and strengthens national human rights institutions (NHRIs) to be in accordance with the Paris Principles, and provides leadership in the promotion and protection of human rights. </w:t>
      </w:r>
    </w:p>
    <w:p w14:paraId="10494BFC" w14:textId="1FEB5613" w:rsidR="004E5656" w:rsidRPr="001348D2" w:rsidRDefault="004E5656" w:rsidP="001348D2">
      <w:pPr>
        <w:jc w:val="both"/>
        <w:rPr>
          <w:rFonts w:ascii="Avenir Book" w:hAnsi="Avenir Book"/>
        </w:rPr>
      </w:pPr>
      <w:r w:rsidRPr="001348D2">
        <w:rPr>
          <w:rFonts w:ascii="Avenir Book" w:hAnsi="Avenir Book"/>
        </w:rPr>
        <w:t xml:space="preserve">GANHRI coordinates at an international level the activities of NHRIs established in conformity with the Paris Principles and promotes the establishment and strengthening of NHRIs in conformity with the Paris Principles in order to strengthen human rights domestically. It undertakes accreditation of NHRIs under the auspices of the Office of the United Nations High Commissioner for Human Rights, and holds an annual meeting and international conferences to strengthen cooperation and share good practice between NHRIs. </w:t>
      </w:r>
      <w:r w:rsidR="00702FD9" w:rsidRPr="001348D2">
        <w:rPr>
          <w:rFonts w:ascii="Avenir Book" w:hAnsi="Avenir Book" w:cs="Arial"/>
        </w:rPr>
        <w:t>A number of GANHRI members have been designated national monitoring mechanisms pursuant to Article 33</w:t>
      </w:r>
      <w:r w:rsidR="0039001C" w:rsidRPr="001348D2">
        <w:rPr>
          <w:rFonts w:ascii="Avenir Book" w:hAnsi="Avenir Book" w:cs="Arial"/>
        </w:rPr>
        <w:t xml:space="preserve"> </w:t>
      </w:r>
      <w:r w:rsidR="00702FD9" w:rsidRPr="001348D2">
        <w:rPr>
          <w:rFonts w:ascii="Avenir Book" w:hAnsi="Avenir Book" w:cs="Arial"/>
        </w:rPr>
        <w:t>(2) CRPD or form part of such monitoring mechanisms.</w:t>
      </w:r>
    </w:p>
    <w:p w14:paraId="161EC97C" w14:textId="44B9C077" w:rsidR="00076652" w:rsidRPr="001348D2" w:rsidRDefault="004E5656" w:rsidP="001348D2">
      <w:pPr>
        <w:jc w:val="both"/>
        <w:rPr>
          <w:rFonts w:ascii="Avenir Book" w:hAnsi="Avenir Book"/>
          <w:lang w:val="es-ES"/>
        </w:rPr>
      </w:pPr>
      <w:r w:rsidRPr="001348D2">
        <w:rPr>
          <w:rFonts w:ascii="Avenir Book" w:hAnsi="Avenir Book"/>
        </w:rPr>
        <w:lastRenderedPageBreak/>
        <w:t xml:space="preserve">The current GANHRI Chairperson is </w:t>
      </w:r>
      <w:r w:rsidRPr="001348D2">
        <w:rPr>
          <w:rFonts w:ascii="Avenir Book" w:hAnsi="Avenir Book" w:cs="Arial"/>
        </w:rPr>
        <w:t>Prof</w:t>
      </w:r>
      <w:r w:rsidR="00702FD9" w:rsidRPr="001348D2">
        <w:rPr>
          <w:rFonts w:ascii="Avenir Book" w:hAnsi="Avenir Book" w:cs="Arial"/>
        </w:rPr>
        <w:t>essor</w:t>
      </w:r>
      <w:r w:rsidR="004F679A" w:rsidRPr="001348D2">
        <w:rPr>
          <w:rFonts w:ascii="Avenir Book" w:hAnsi="Avenir Book" w:cs="Arial"/>
        </w:rPr>
        <w:t xml:space="preserve"> </w:t>
      </w:r>
      <w:proofErr w:type="spellStart"/>
      <w:r w:rsidR="004F679A" w:rsidRPr="001348D2">
        <w:rPr>
          <w:rFonts w:ascii="Avenir Book" w:hAnsi="Avenir Book" w:cs="Arial"/>
        </w:rPr>
        <w:t>Dr</w:t>
      </w:r>
      <w:proofErr w:type="spellEnd"/>
      <w:r w:rsidRPr="001348D2">
        <w:rPr>
          <w:rFonts w:ascii="Avenir Book" w:hAnsi="Avenir Book"/>
        </w:rPr>
        <w:t xml:space="preserve"> </w:t>
      </w:r>
      <w:proofErr w:type="spellStart"/>
      <w:r w:rsidRPr="001348D2">
        <w:rPr>
          <w:rFonts w:ascii="Avenir Book" w:hAnsi="Avenir Book"/>
        </w:rPr>
        <w:t>Beate</w:t>
      </w:r>
      <w:proofErr w:type="spellEnd"/>
      <w:r w:rsidRPr="001348D2">
        <w:rPr>
          <w:rFonts w:ascii="Avenir Book" w:hAnsi="Avenir Book"/>
        </w:rPr>
        <w:t xml:space="preserve"> Rudolf, Director of the German Institute for Human Rights. </w:t>
      </w:r>
      <w:proofErr w:type="spellStart"/>
      <w:r w:rsidRPr="001348D2">
        <w:rPr>
          <w:rFonts w:ascii="Avenir Book" w:hAnsi="Avenir Book"/>
          <w:lang w:val="es-ES"/>
        </w:rPr>
        <w:t>The</w:t>
      </w:r>
      <w:proofErr w:type="spellEnd"/>
      <w:r w:rsidRPr="001348D2">
        <w:rPr>
          <w:rFonts w:ascii="Avenir Book" w:hAnsi="Avenir Book"/>
          <w:lang w:val="es-ES"/>
        </w:rPr>
        <w:t xml:space="preserve"> </w:t>
      </w:r>
      <w:proofErr w:type="spellStart"/>
      <w:r w:rsidRPr="001348D2">
        <w:rPr>
          <w:rFonts w:ascii="Avenir Book" w:hAnsi="Avenir Book"/>
          <w:lang w:val="es-ES"/>
        </w:rPr>
        <w:t>current</w:t>
      </w:r>
      <w:proofErr w:type="spellEnd"/>
      <w:r w:rsidRPr="001348D2">
        <w:rPr>
          <w:rFonts w:ascii="Avenir Book" w:hAnsi="Avenir Book"/>
          <w:lang w:val="es-ES"/>
        </w:rPr>
        <w:t xml:space="preserve"> GANHRI </w:t>
      </w:r>
      <w:proofErr w:type="spellStart"/>
      <w:r w:rsidRPr="001348D2">
        <w:rPr>
          <w:rFonts w:ascii="Avenir Book" w:hAnsi="Avenir Book"/>
          <w:lang w:val="es-ES"/>
        </w:rPr>
        <w:t>Secretary</w:t>
      </w:r>
      <w:proofErr w:type="spellEnd"/>
      <w:r w:rsidRPr="001348D2">
        <w:rPr>
          <w:rFonts w:ascii="Avenir Book" w:hAnsi="Avenir Book"/>
          <w:lang w:val="es-ES"/>
        </w:rPr>
        <w:t xml:space="preserve"> </w:t>
      </w:r>
      <w:proofErr w:type="spellStart"/>
      <w:r w:rsidRPr="001348D2">
        <w:rPr>
          <w:rFonts w:ascii="Avenir Book" w:hAnsi="Avenir Book"/>
          <w:lang w:val="es-ES"/>
        </w:rPr>
        <w:t>is</w:t>
      </w:r>
      <w:proofErr w:type="spellEnd"/>
      <w:r w:rsidRPr="001348D2">
        <w:rPr>
          <w:rFonts w:ascii="Avenir Book" w:hAnsi="Avenir Book"/>
          <w:lang w:val="es-ES"/>
        </w:rPr>
        <w:t xml:space="preserve"> Montserrat </w:t>
      </w:r>
      <w:proofErr w:type="spellStart"/>
      <w:r w:rsidRPr="001348D2">
        <w:rPr>
          <w:rFonts w:ascii="Avenir Book" w:hAnsi="Avenir Book"/>
          <w:lang w:val="es-ES"/>
        </w:rPr>
        <w:t>Solani</w:t>
      </w:r>
      <w:proofErr w:type="spellEnd"/>
      <w:r w:rsidRPr="001348D2">
        <w:rPr>
          <w:rFonts w:ascii="Avenir Book" w:hAnsi="Avenir Book"/>
          <w:lang w:val="es-ES"/>
        </w:rPr>
        <w:t xml:space="preserve"> </w:t>
      </w:r>
      <w:proofErr w:type="spellStart"/>
      <w:r w:rsidRPr="001348D2">
        <w:rPr>
          <w:rFonts w:ascii="Avenir Book" w:hAnsi="Avenir Book"/>
          <w:lang w:val="es-ES"/>
        </w:rPr>
        <w:t>Carboni</w:t>
      </w:r>
      <w:proofErr w:type="spellEnd"/>
      <w:r w:rsidRPr="001348D2">
        <w:rPr>
          <w:rFonts w:ascii="Avenir Book" w:hAnsi="Avenir Book"/>
          <w:lang w:val="es-ES"/>
        </w:rPr>
        <w:t xml:space="preserve">, Defensora, </w:t>
      </w:r>
      <w:proofErr w:type="spellStart"/>
      <w:r w:rsidRPr="001348D2">
        <w:rPr>
          <w:rFonts w:ascii="Avenir Book" w:hAnsi="Avenir Book"/>
          <w:lang w:val="es-ES"/>
        </w:rPr>
        <w:t>Defensoria</w:t>
      </w:r>
      <w:proofErr w:type="spellEnd"/>
      <w:r w:rsidRPr="001348D2">
        <w:rPr>
          <w:rFonts w:ascii="Avenir Book" w:hAnsi="Avenir Book"/>
          <w:lang w:val="es-ES"/>
        </w:rPr>
        <w:t xml:space="preserve"> de los Habitantes de Costa Rica. </w:t>
      </w:r>
    </w:p>
    <w:p w14:paraId="5C7012A3" w14:textId="68086AD4" w:rsidR="00985969" w:rsidRPr="001348D2" w:rsidRDefault="00985969" w:rsidP="001348D2">
      <w:pPr>
        <w:spacing w:line="260" w:lineRule="atLeast"/>
        <w:jc w:val="both"/>
        <w:rPr>
          <w:rFonts w:ascii="Avenir Book" w:eastAsia="Malgun Gothic" w:hAnsi="Avenir Book" w:cs="Arial"/>
          <w:b/>
          <w:lang w:val="en-GB"/>
        </w:rPr>
      </w:pPr>
      <w:r w:rsidRPr="001348D2">
        <w:rPr>
          <w:rFonts w:ascii="Avenir Book" w:eastAsia="Malgun Gothic" w:hAnsi="Avenir Book" w:cs="Arial"/>
          <w:lang w:val="en-GB"/>
        </w:rPr>
        <w:t>This submission also includes the input from</w:t>
      </w:r>
      <w:r w:rsidRPr="001348D2">
        <w:rPr>
          <w:rFonts w:ascii="Avenir Book" w:eastAsia="Malgun Gothic" w:hAnsi="Avenir Book" w:cs="Arial"/>
          <w:b/>
          <w:lang w:val="en-GB"/>
        </w:rPr>
        <w:t xml:space="preserve"> the European Network of NHRIs’ (ENNHRI) CRPD Working Group.</w:t>
      </w:r>
    </w:p>
    <w:p w14:paraId="5D99FE9D" w14:textId="18FB71F6" w:rsidR="00985969" w:rsidRPr="001348D2" w:rsidRDefault="00985969" w:rsidP="001348D2">
      <w:pPr>
        <w:spacing w:line="260" w:lineRule="atLeast"/>
        <w:jc w:val="both"/>
        <w:rPr>
          <w:rFonts w:ascii="Avenir Book" w:eastAsia="Malgun Gothic" w:hAnsi="Avenir Book" w:cs="Arial"/>
          <w:lang w:val="en-GB"/>
        </w:rPr>
      </w:pPr>
      <w:r w:rsidRPr="001348D2">
        <w:rPr>
          <w:rFonts w:ascii="Avenir Book" w:eastAsia="Malgun Gothic" w:hAnsi="Avenir Book" w:cs="Arial"/>
          <w:lang w:val="en-GB"/>
        </w:rPr>
        <w:t>ENNHRI has convened a Working Group on the UNCRPD, chaired by the Great British NHRI, the Equality and Human Rights Commission.</w:t>
      </w:r>
    </w:p>
    <w:p w14:paraId="42198D86" w14:textId="6D29718D" w:rsidR="004A0580" w:rsidRPr="001348D2" w:rsidRDefault="00985969" w:rsidP="001348D2">
      <w:pPr>
        <w:jc w:val="both"/>
        <w:rPr>
          <w:rFonts w:ascii="Avenir Book" w:hAnsi="Avenir Book"/>
          <w:lang w:val="en-GB"/>
        </w:rPr>
      </w:pPr>
      <w:r w:rsidRPr="001348D2">
        <w:rPr>
          <w:rFonts w:ascii="Avenir Book" w:eastAsia="Malgun Gothic" w:hAnsi="Avenir Book" w:cs="Arial"/>
          <w:lang w:val="en-GB"/>
        </w:rPr>
        <w:t xml:space="preserve">Given that not all article 33.2 CRPD national monitoring mechanisms (NMM) are NHRIs, the ENNHRI CRPD Working Group has granted observer status to and works collaboratively with a number of partners including from the EU Agency for Fundamental Rights (FRA), </w:t>
      </w:r>
      <w:proofErr w:type="spellStart"/>
      <w:r w:rsidRPr="001348D2">
        <w:rPr>
          <w:rFonts w:ascii="Avenir Book" w:eastAsia="Malgun Gothic" w:hAnsi="Avenir Book" w:cs="Arial"/>
          <w:lang w:val="en-GB"/>
        </w:rPr>
        <w:t>Equinet</w:t>
      </w:r>
      <w:proofErr w:type="spellEnd"/>
      <w:r w:rsidRPr="001348D2">
        <w:rPr>
          <w:rFonts w:ascii="Avenir Book" w:eastAsia="Malgun Gothic" w:hAnsi="Avenir Book" w:cs="Arial"/>
          <w:lang w:val="en-GB"/>
        </w:rPr>
        <w:t xml:space="preserve"> – the European Network of National Equality Bodies, the European Ombudsman, the European Disability Forum and also the European Regional Office of the UN Office of the High Commissioner for Human Rights.  </w:t>
      </w:r>
    </w:p>
    <w:p w14:paraId="064FEE9D" w14:textId="4F57834C" w:rsidR="00CA2C5E" w:rsidRDefault="00F67D22" w:rsidP="001348D2">
      <w:pPr>
        <w:pStyle w:val="Heading1"/>
        <w:jc w:val="both"/>
        <w:rPr>
          <w:rFonts w:ascii="Calibri" w:hAnsi="Calibri"/>
          <w:sz w:val="22"/>
          <w:szCs w:val="22"/>
        </w:rPr>
      </w:pPr>
      <w:r w:rsidRPr="001348D2">
        <w:rPr>
          <w:rFonts w:ascii="Avenir Book" w:hAnsi="Avenir Book"/>
          <w:sz w:val="22"/>
          <w:szCs w:val="22"/>
        </w:rPr>
        <w:t>General recommendations</w:t>
      </w:r>
    </w:p>
    <w:p w14:paraId="4DC95E37" w14:textId="77777777" w:rsidR="00CA2C5E" w:rsidRPr="001348D2" w:rsidRDefault="00CA2C5E" w:rsidP="001348D2">
      <w:pPr>
        <w:jc w:val="both"/>
        <w:rPr>
          <w:lang w:val="en-GB"/>
        </w:rPr>
      </w:pPr>
    </w:p>
    <w:p w14:paraId="373AF7FF" w14:textId="77777777" w:rsidR="0039001C" w:rsidRPr="001348D2" w:rsidRDefault="00136103" w:rsidP="00B14D37">
      <w:pPr>
        <w:spacing w:line="260" w:lineRule="atLeast"/>
        <w:jc w:val="both"/>
        <w:rPr>
          <w:rFonts w:ascii="Avenir Book" w:hAnsi="Avenir Book" w:cs="Arial"/>
          <w:lang w:val="en-GB"/>
        </w:rPr>
      </w:pPr>
      <w:r w:rsidRPr="001348D2">
        <w:rPr>
          <w:rFonts w:ascii="Avenir Book" w:hAnsi="Avenir Book" w:cs="Arial"/>
          <w:lang w:val="en-GB"/>
        </w:rPr>
        <w:t xml:space="preserve">GANHRI highlights a concern raised by some Disabled People’s Organisations (DPO) that States Parties may view the contents of the draft GC as providing an exhaustive interpretation of article 5. </w:t>
      </w:r>
    </w:p>
    <w:p w14:paraId="3F28DF33" w14:textId="77777777" w:rsidR="0039001C" w:rsidRPr="001348D2" w:rsidRDefault="00136103" w:rsidP="001348D2">
      <w:pPr>
        <w:spacing w:line="260" w:lineRule="atLeast"/>
        <w:jc w:val="both"/>
        <w:rPr>
          <w:rFonts w:ascii="Avenir Book" w:hAnsi="Avenir Book" w:cs="Arial"/>
          <w:lang w:val="en-GB"/>
        </w:rPr>
      </w:pPr>
      <w:r w:rsidRPr="001348D2">
        <w:rPr>
          <w:rFonts w:ascii="Avenir Book" w:hAnsi="Avenir Book" w:cs="Arial"/>
          <w:lang w:val="en-GB"/>
        </w:rPr>
        <w:t xml:space="preserve">This could allow the State Party, for example, to seek to argue that some instances of discrimination fall outside the material scope of article 5, if such instance is not explicitly mentioned in the GC. </w:t>
      </w:r>
    </w:p>
    <w:p w14:paraId="5F89AB60" w14:textId="1E078710" w:rsidR="00136103" w:rsidRPr="001348D2" w:rsidRDefault="00136103" w:rsidP="001348D2">
      <w:pPr>
        <w:spacing w:line="260" w:lineRule="atLeast"/>
        <w:jc w:val="both"/>
        <w:rPr>
          <w:rFonts w:ascii="Avenir Book" w:hAnsi="Avenir Book" w:cs="Arial"/>
          <w:lang w:val="en-GB"/>
        </w:rPr>
      </w:pPr>
      <w:r w:rsidRPr="001348D2">
        <w:rPr>
          <w:rFonts w:ascii="Avenir Book" w:hAnsi="Avenir Book" w:cs="Arial"/>
          <w:lang w:val="en-GB"/>
        </w:rPr>
        <w:t>To counteract such a strategy, it is recommended that the GC includes an explicit statement that its normative content is ‘open- ended’ and that non-discrimination is an evolving concept.</w:t>
      </w:r>
    </w:p>
    <w:p w14:paraId="6ECF210E" w14:textId="77777777" w:rsidR="00136103" w:rsidRPr="001348D2" w:rsidRDefault="00136103" w:rsidP="001348D2">
      <w:pPr>
        <w:autoSpaceDE w:val="0"/>
        <w:autoSpaceDN w:val="0"/>
        <w:adjustRightInd w:val="0"/>
        <w:spacing w:after="0" w:line="240" w:lineRule="auto"/>
        <w:jc w:val="both"/>
        <w:rPr>
          <w:rFonts w:ascii="Avenir Book" w:hAnsi="Avenir Book"/>
          <w:color w:val="000000"/>
          <w:lang w:val="en-PH"/>
        </w:rPr>
      </w:pPr>
    </w:p>
    <w:p w14:paraId="371A1449" w14:textId="77302116" w:rsidR="00136103" w:rsidRPr="001348D2" w:rsidRDefault="00136103" w:rsidP="001348D2">
      <w:pPr>
        <w:pStyle w:val="Recommendation"/>
        <w:rPr>
          <w:lang w:val="en-GB"/>
        </w:rPr>
      </w:pPr>
      <w:r w:rsidRPr="001348D2">
        <w:rPr>
          <w:lang w:val="en-GB"/>
        </w:rPr>
        <w:t>GENERAL RECOMMENDATION: The draft General Comment (and General Comments in general) should make direct reference to the Committee’s concluding observations and its decisions under the communication and inquiry procedure of the Optional Protocol. The Committee’s concluding observations and its jurisprudence under the Optional Protocol should more consistently feed into and ther</w:t>
      </w:r>
      <w:r w:rsidR="00796058" w:rsidRPr="001348D2">
        <w:rPr>
          <w:lang w:val="en-GB"/>
        </w:rPr>
        <w:t>e</w:t>
      </w:r>
      <w:r w:rsidRPr="001348D2">
        <w:rPr>
          <w:lang w:val="en-GB"/>
        </w:rPr>
        <w:t xml:space="preserve">by reinforce the substantive content of General Comments. </w:t>
      </w:r>
    </w:p>
    <w:p w14:paraId="35EBC843" w14:textId="131D8D6C" w:rsidR="00AC0CFD" w:rsidRDefault="004E5656" w:rsidP="001348D2">
      <w:pPr>
        <w:jc w:val="both"/>
        <w:rPr>
          <w:rFonts w:ascii="Avenir Book" w:hAnsi="Avenir Book" w:cs="Arial"/>
          <w:lang w:val="en-GB"/>
        </w:rPr>
      </w:pPr>
      <w:r w:rsidRPr="001348D2" w:rsidDel="004E5656">
        <w:rPr>
          <w:rFonts w:ascii="Avenir Book" w:hAnsi="Avenir Book" w:cs="Arial"/>
          <w:highlight w:val="yellow"/>
          <w:lang w:val="en-GB"/>
        </w:rPr>
        <w:t xml:space="preserve"> </w:t>
      </w:r>
    </w:p>
    <w:p w14:paraId="4E22ED24" w14:textId="77777777" w:rsidR="00042B3E" w:rsidRDefault="00042B3E" w:rsidP="001348D2">
      <w:pPr>
        <w:jc w:val="both"/>
        <w:rPr>
          <w:rFonts w:ascii="Avenir Book" w:hAnsi="Avenir Book" w:cs="Arial"/>
          <w:lang w:val="en-GB"/>
        </w:rPr>
      </w:pPr>
    </w:p>
    <w:p w14:paraId="13EE5D05" w14:textId="77777777" w:rsidR="00042B3E" w:rsidRPr="001348D2" w:rsidRDefault="00042B3E" w:rsidP="001348D2">
      <w:pPr>
        <w:jc w:val="both"/>
        <w:rPr>
          <w:rFonts w:ascii="Avenir Book" w:hAnsi="Avenir Book"/>
          <w:lang w:val="en-GB"/>
        </w:rPr>
      </w:pPr>
    </w:p>
    <w:p w14:paraId="316E83B7" w14:textId="77777777" w:rsidR="00B04BB8" w:rsidRPr="001348D2" w:rsidRDefault="00BE0F10" w:rsidP="001348D2">
      <w:pPr>
        <w:pStyle w:val="Heading1"/>
        <w:jc w:val="both"/>
        <w:rPr>
          <w:rFonts w:ascii="Avenir Book" w:hAnsi="Avenir Book"/>
          <w:color w:val="000000"/>
          <w:sz w:val="22"/>
          <w:szCs w:val="22"/>
        </w:rPr>
      </w:pPr>
      <w:bookmarkStart w:id="9" w:name="_Toc496250076"/>
      <w:bookmarkStart w:id="10" w:name="_Toc496250152"/>
      <w:bookmarkStart w:id="11" w:name="_Toc501561466"/>
      <w:r w:rsidRPr="001348D2">
        <w:rPr>
          <w:rFonts w:ascii="Avenir Book" w:hAnsi="Avenir Book"/>
          <w:sz w:val="22"/>
          <w:szCs w:val="22"/>
        </w:rPr>
        <w:lastRenderedPageBreak/>
        <w:t xml:space="preserve">Art. 5 (1) </w:t>
      </w:r>
      <w:r w:rsidR="00BF19DF" w:rsidRPr="001348D2">
        <w:rPr>
          <w:rFonts w:ascii="Avenir Book" w:hAnsi="Avenir Book"/>
          <w:sz w:val="22"/>
          <w:szCs w:val="22"/>
        </w:rPr>
        <w:t xml:space="preserve">- </w:t>
      </w:r>
      <w:r w:rsidRPr="001348D2">
        <w:rPr>
          <w:rFonts w:ascii="Avenir Book" w:hAnsi="Avenir Book"/>
          <w:sz w:val="22"/>
          <w:szCs w:val="22"/>
        </w:rPr>
        <w:t>Being e</w:t>
      </w:r>
      <w:r w:rsidR="00325862" w:rsidRPr="001348D2">
        <w:rPr>
          <w:rFonts w:ascii="Avenir Book" w:hAnsi="Avenir Book"/>
          <w:sz w:val="22"/>
          <w:szCs w:val="22"/>
        </w:rPr>
        <w:t>qual before and under the law (P</w:t>
      </w:r>
      <w:r w:rsidRPr="001348D2">
        <w:rPr>
          <w:rFonts w:ascii="Avenir Book" w:hAnsi="Avenir Book"/>
          <w:sz w:val="22"/>
          <w:szCs w:val="22"/>
        </w:rPr>
        <w:t>ara</w:t>
      </w:r>
      <w:r w:rsidR="00742C83" w:rsidRPr="001348D2">
        <w:rPr>
          <w:rFonts w:ascii="Avenir Book" w:hAnsi="Avenir Book"/>
          <w:sz w:val="22"/>
          <w:szCs w:val="22"/>
        </w:rPr>
        <w:t>graphs</w:t>
      </w:r>
      <w:r w:rsidRPr="001348D2">
        <w:rPr>
          <w:rFonts w:ascii="Avenir Book" w:hAnsi="Avenir Book"/>
          <w:sz w:val="22"/>
          <w:szCs w:val="22"/>
        </w:rPr>
        <w:t xml:space="preserve"> 15-17)</w:t>
      </w:r>
      <w:bookmarkEnd w:id="9"/>
      <w:bookmarkEnd w:id="10"/>
      <w:bookmarkEnd w:id="11"/>
    </w:p>
    <w:p w14:paraId="77BFC0FE" w14:textId="77777777" w:rsidR="00B04BB8" w:rsidRPr="001348D2" w:rsidRDefault="00B04BB8" w:rsidP="001348D2">
      <w:pPr>
        <w:spacing w:after="0" w:line="240" w:lineRule="auto"/>
        <w:jc w:val="both"/>
        <w:rPr>
          <w:rFonts w:ascii="Avenir Book" w:hAnsi="Avenir Book"/>
          <w:b/>
          <w:color w:val="000000"/>
          <w:lang w:val="en-GB"/>
        </w:rPr>
      </w:pPr>
    </w:p>
    <w:p w14:paraId="125BD559" w14:textId="77777777" w:rsidR="00682D8A" w:rsidRPr="001348D2" w:rsidRDefault="00682D8A" w:rsidP="001348D2">
      <w:pPr>
        <w:spacing w:after="0" w:line="240" w:lineRule="auto"/>
        <w:jc w:val="both"/>
        <w:rPr>
          <w:rFonts w:ascii="Avenir Book" w:hAnsi="Avenir Book"/>
          <w:color w:val="000000"/>
          <w:lang w:val="en-GB"/>
        </w:rPr>
      </w:pPr>
      <w:r w:rsidRPr="001348D2">
        <w:rPr>
          <w:rFonts w:ascii="Avenir Book" w:hAnsi="Avenir Book"/>
          <w:color w:val="000000"/>
          <w:lang w:val="en-GB"/>
        </w:rPr>
        <w:t xml:space="preserve">Many States Parties to the CRPD have significant domestic legal protections in place to protect the rights of persons with disabilities.  </w:t>
      </w:r>
    </w:p>
    <w:p w14:paraId="68148195" w14:textId="77777777" w:rsidR="00682D8A" w:rsidRPr="001348D2" w:rsidRDefault="00682D8A" w:rsidP="001348D2">
      <w:pPr>
        <w:spacing w:after="0" w:line="240" w:lineRule="auto"/>
        <w:jc w:val="both"/>
        <w:rPr>
          <w:rFonts w:ascii="Avenir Book" w:hAnsi="Avenir Book"/>
          <w:color w:val="000000"/>
          <w:lang w:val="en-GB"/>
        </w:rPr>
      </w:pPr>
    </w:p>
    <w:p w14:paraId="75BC318E" w14:textId="15E70628" w:rsidR="00B04BB8" w:rsidRPr="001348D2" w:rsidRDefault="00682D8A" w:rsidP="001348D2">
      <w:pPr>
        <w:spacing w:after="0" w:line="240" w:lineRule="auto"/>
        <w:jc w:val="both"/>
        <w:rPr>
          <w:rFonts w:ascii="Avenir Book" w:hAnsi="Avenir Book"/>
          <w:i/>
          <w:color w:val="000000"/>
        </w:rPr>
      </w:pPr>
      <w:r w:rsidRPr="001348D2">
        <w:rPr>
          <w:rFonts w:ascii="Avenir Book" w:hAnsi="Avenir Book"/>
          <w:color w:val="000000"/>
          <w:lang w:val="en-GB"/>
        </w:rPr>
        <w:t xml:space="preserve">In Canada, for example, section 15(1) of </w:t>
      </w:r>
      <w:r w:rsidR="00B04BB8" w:rsidRPr="001348D2">
        <w:rPr>
          <w:rFonts w:ascii="Avenir Book" w:hAnsi="Avenir Book"/>
          <w:color w:val="000000"/>
          <w:lang w:val="en-GB"/>
        </w:rPr>
        <w:t xml:space="preserve">the </w:t>
      </w:r>
      <w:r w:rsidR="00B04BB8" w:rsidRPr="001348D2">
        <w:rPr>
          <w:rFonts w:ascii="Avenir Book" w:hAnsi="Avenir Book"/>
          <w:i/>
          <w:color w:val="000000"/>
          <w:lang w:val="en-GB"/>
        </w:rPr>
        <w:t>Canadian Charter of Rights and Freedoms</w:t>
      </w:r>
      <w:r w:rsidR="00BE0F10" w:rsidRPr="001348D2">
        <w:rPr>
          <w:rFonts w:ascii="Avenir Book" w:hAnsi="Avenir Book"/>
          <w:color w:val="000000"/>
          <w:lang w:val="en-GB"/>
        </w:rPr>
        <w:t xml:space="preserve"> </w:t>
      </w:r>
      <w:r w:rsidRPr="001348D2">
        <w:rPr>
          <w:rFonts w:ascii="Avenir Book" w:hAnsi="Avenir Book"/>
          <w:color w:val="000000"/>
          <w:lang w:val="en-GB"/>
        </w:rPr>
        <w:t>provides for equality before and under the law, as well as the right to equal protection and equal benefit of the law without discrimination based on a mental or physical disability</w:t>
      </w:r>
      <w:r w:rsidR="00B04BB8" w:rsidRPr="001348D2">
        <w:rPr>
          <w:rFonts w:ascii="Avenir Book" w:hAnsi="Avenir Book"/>
          <w:color w:val="000000"/>
          <w:lang w:val="en-GB"/>
        </w:rPr>
        <w:t>.</w:t>
      </w:r>
      <w:r w:rsidRPr="001348D2">
        <w:rPr>
          <w:rFonts w:ascii="Avenir Book" w:hAnsi="Avenir Book"/>
          <w:color w:val="000000"/>
          <w:lang w:val="en-GB"/>
        </w:rPr>
        <w:t xml:space="preserve">  There also exists quasi-constitutional human rights legislation at both the federal and provincial level.</w:t>
      </w:r>
      <w:r w:rsidR="00B04BB8" w:rsidRPr="001348D2">
        <w:rPr>
          <w:rFonts w:ascii="Avenir Book" w:hAnsi="Avenir Book"/>
          <w:color w:val="000000"/>
          <w:lang w:val="en-GB"/>
        </w:rPr>
        <w:t xml:space="preserve">  However, </w:t>
      </w:r>
      <w:r w:rsidRPr="001348D2">
        <w:rPr>
          <w:rFonts w:ascii="Avenir Book" w:hAnsi="Avenir Book"/>
          <w:color w:val="000000"/>
          <w:lang w:val="en-GB"/>
        </w:rPr>
        <w:t xml:space="preserve">during its review of Canada, </w:t>
      </w:r>
      <w:r w:rsidR="00B04BB8" w:rsidRPr="001348D2">
        <w:rPr>
          <w:rFonts w:ascii="Avenir Book" w:hAnsi="Avenir Book"/>
          <w:color w:val="000000"/>
          <w:lang w:val="en-GB"/>
        </w:rPr>
        <w:t xml:space="preserve">the Committee noted in its </w:t>
      </w:r>
      <w:hyperlink r:id="rId16" w:history="1">
        <w:r w:rsidR="00B04BB8" w:rsidRPr="001348D2">
          <w:rPr>
            <w:rStyle w:val="Hyperlink"/>
            <w:rFonts w:ascii="Avenir Book" w:hAnsi="Avenir Book"/>
            <w:i/>
            <w:color w:val="000000"/>
            <w:u w:val="none"/>
            <w:lang w:val="en-GB"/>
          </w:rPr>
          <w:t>Concluding Observations</w:t>
        </w:r>
        <w:r w:rsidR="00742C83" w:rsidRPr="001348D2">
          <w:rPr>
            <w:rStyle w:val="FootnoteReference"/>
            <w:rFonts w:ascii="Avenir Book" w:hAnsi="Avenir Book"/>
            <w:color w:val="000000"/>
            <w:lang w:val="en-GB"/>
          </w:rPr>
          <w:footnoteReference w:id="2"/>
        </w:r>
        <w:r w:rsidRPr="001348D2">
          <w:rPr>
            <w:rStyle w:val="Hyperlink"/>
            <w:rFonts w:ascii="Avenir Book" w:hAnsi="Avenir Book"/>
            <w:color w:val="000000"/>
            <w:u w:val="none"/>
            <w:lang w:val="en-GB"/>
          </w:rPr>
          <w:t xml:space="preserve"> that</w:t>
        </w:r>
        <w:r w:rsidR="00B04BB8" w:rsidRPr="001348D2">
          <w:rPr>
            <w:rStyle w:val="Hyperlink"/>
            <w:rFonts w:ascii="Avenir Book" w:hAnsi="Avenir Book"/>
            <w:color w:val="000000"/>
            <w:u w:val="none"/>
            <w:lang w:val="en-GB"/>
          </w:rPr>
          <w:t>,</w:t>
        </w:r>
      </w:hyperlink>
      <w:r w:rsidR="00B04BB8" w:rsidRPr="001348D2">
        <w:rPr>
          <w:rFonts w:ascii="Avenir Book" w:hAnsi="Avenir Book"/>
          <w:i/>
          <w:color w:val="000000"/>
          <w:lang w:val="en-GB"/>
        </w:rPr>
        <w:t xml:space="preserve"> </w:t>
      </w:r>
      <w:r w:rsidR="00B04BB8" w:rsidRPr="001348D2">
        <w:rPr>
          <w:rFonts w:ascii="Avenir Book" w:hAnsi="Avenir Book"/>
          <w:color w:val="000000"/>
          <w:lang w:val="en-GB"/>
        </w:rPr>
        <w:t xml:space="preserve">despite the existence of strong legal protections </w:t>
      </w:r>
      <w:r w:rsidR="00B04BB8" w:rsidRPr="001348D2">
        <w:rPr>
          <w:rFonts w:ascii="Avenir Book" w:hAnsi="Avenir Book"/>
          <w:color w:val="000000"/>
        </w:rPr>
        <w:t>there continue to be “persisting gaps in the exercise and enjoyment of rights by persons with disabilities</w:t>
      </w:r>
      <w:r w:rsidR="004C2AA9" w:rsidRPr="001348D2">
        <w:rPr>
          <w:rFonts w:ascii="Avenir Book" w:hAnsi="Avenir Book"/>
          <w:color w:val="000000"/>
        </w:rPr>
        <w:t>”</w:t>
      </w:r>
      <w:r w:rsidR="00B04BB8" w:rsidRPr="001348D2">
        <w:rPr>
          <w:rFonts w:ascii="Avenir Book" w:hAnsi="Avenir Book"/>
          <w:i/>
          <w:color w:val="000000"/>
        </w:rPr>
        <w:t xml:space="preserve">. </w:t>
      </w:r>
    </w:p>
    <w:p w14:paraId="38CCC014" w14:textId="77777777" w:rsidR="00D419DC" w:rsidRPr="001348D2" w:rsidRDefault="00D419DC" w:rsidP="001348D2">
      <w:pPr>
        <w:spacing w:after="0" w:line="240" w:lineRule="auto"/>
        <w:jc w:val="both"/>
        <w:rPr>
          <w:rFonts w:ascii="Avenir Book" w:hAnsi="Avenir Book" w:cs="Arial"/>
          <w:i/>
          <w:color w:val="000000"/>
        </w:rPr>
      </w:pPr>
    </w:p>
    <w:p w14:paraId="4FC5FB2A" w14:textId="5AE3EA32" w:rsidR="00B04BB8" w:rsidRPr="001348D2" w:rsidRDefault="00682D8A" w:rsidP="001348D2">
      <w:pPr>
        <w:spacing w:after="0" w:line="240" w:lineRule="auto"/>
        <w:jc w:val="both"/>
        <w:rPr>
          <w:rFonts w:ascii="Avenir Book" w:hAnsi="Avenir Book"/>
          <w:color w:val="000000"/>
        </w:rPr>
      </w:pPr>
      <w:r w:rsidRPr="001348D2">
        <w:rPr>
          <w:rFonts w:ascii="Avenir Book" w:hAnsi="Avenir Book"/>
          <w:color w:val="000000"/>
        </w:rPr>
        <w:t>T</w:t>
      </w:r>
      <w:r w:rsidR="00B04BB8" w:rsidRPr="001348D2">
        <w:rPr>
          <w:rFonts w:ascii="Avenir Book" w:hAnsi="Avenir Book"/>
          <w:color w:val="000000"/>
        </w:rPr>
        <w:t>his points to the need to have a comprehensive system to coordinate and monitor implementation of th</w:t>
      </w:r>
      <w:r w:rsidR="004C2AA9" w:rsidRPr="001348D2">
        <w:rPr>
          <w:rFonts w:ascii="Avenir Book" w:hAnsi="Avenir Book"/>
          <w:color w:val="000000"/>
        </w:rPr>
        <w:t>e CRPD pursuant to, and consistent with, Article 4.1 (general obligations) and Article 33 (national implementation and monitoring).</w:t>
      </w:r>
      <w:r w:rsidR="00D40CF2" w:rsidRPr="001348D2">
        <w:rPr>
          <w:rStyle w:val="FootnoteReference"/>
          <w:rFonts w:ascii="Avenir Book" w:hAnsi="Avenir Book" w:cs="Arial"/>
          <w:color w:val="000000"/>
        </w:rPr>
        <w:footnoteReference w:id="3"/>
      </w:r>
    </w:p>
    <w:p w14:paraId="21F1918A" w14:textId="77777777" w:rsidR="00D419DC" w:rsidRPr="001348D2" w:rsidRDefault="00D419DC" w:rsidP="001348D2">
      <w:pPr>
        <w:spacing w:after="0" w:line="240" w:lineRule="auto"/>
        <w:jc w:val="both"/>
        <w:rPr>
          <w:rFonts w:ascii="Avenir Book" w:hAnsi="Avenir Book" w:cs="Arial"/>
          <w:i/>
          <w:color w:val="000000"/>
        </w:rPr>
      </w:pPr>
    </w:p>
    <w:p w14:paraId="4B691F8B" w14:textId="1DD2C74B" w:rsidR="001404AB" w:rsidRPr="001348D2" w:rsidRDefault="001404AB" w:rsidP="001348D2">
      <w:pPr>
        <w:pStyle w:val="Default"/>
        <w:jc w:val="both"/>
        <w:rPr>
          <w:rFonts w:ascii="Avenir Book" w:hAnsi="Avenir Book"/>
          <w:sz w:val="22"/>
          <w:szCs w:val="22"/>
        </w:rPr>
      </w:pPr>
      <w:r w:rsidRPr="001348D2">
        <w:rPr>
          <w:rFonts w:ascii="Avenir Book" w:hAnsi="Avenir Book" w:cs="Arial"/>
          <w:sz w:val="22"/>
          <w:szCs w:val="22"/>
        </w:rPr>
        <w:t xml:space="preserve">In the Philippines, </w:t>
      </w:r>
      <w:r w:rsidRPr="001348D2">
        <w:rPr>
          <w:rFonts w:ascii="Avenir Book" w:hAnsi="Avenir Book"/>
          <w:sz w:val="22"/>
          <w:szCs w:val="22"/>
        </w:rPr>
        <w:t>Sec. 1, Art. III of the Constitution provides that “</w:t>
      </w:r>
      <w:r w:rsidR="0039001C" w:rsidRPr="001348D2">
        <w:rPr>
          <w:rFonts w:ascii="Avenir Book" w:hAnsi="Avenir Book"/>
          <w:sz w:val="22"/>
          <w:szCs w:val="22"/>
        </w:rPr>
        <w:t>n</w:t>
      </w:r>
      <w:r w:rsidRPr="001348D2">
        <w:rPr>
          <w:rFonts w:ascii="Avenir Book" w:hAnsi="Avenir Book"/>
          <w:sz w:val="22"/>
          <w:szCs w:val="22"/>
        </w:rPr>
        <w:t xml:space="preserve">o person shall be deprived of life, liberty, or property without due process of law, nor shall any person be denied the equal protection of the laws.” It also acknowledges that all human rights instruments ratified by the country benefit </w:t>
      </w:r>
      <w:r w:rsidR="0039001C" w:rsidRPr="001348D2">
        <w:rPr>
          <w:rFonts w:ascii="Avenir Book" w:hAnsi="Avenir Book"/>
          <w:sz w:val="22"/>
          <w:szCs w:val="22"/>
        </w:rPr>
        <w:t>persons</w:t>
      </w:r>
      <w:r w:rsidRPr="001348D2">
        <w:rPr>
          <w:rFonts w:ascii="Avenir Book" w:hAnsi="Avenir Book"/>
          <w:sz w:val="22"/>
          <w:szCs w:val="22"/>
        </w:rPr>
        <w:t xml:space="preserve"> with disabilities. It is understood that unless a clearly expressed limitation is stated, all rights in the Constitution apply to everyone, including </w:t>
      </w:r>
      <w:r w:rsidR="0039001C" w:rsidRPr="001348D2">
        <w:rPr>
          <w:rFonts w:ascii="Avenir Book" w:hAnsi="Avenir Book"/>
          <w:sz w:val="22"/>
          <w:szCs w:val="22"/>
        </w:rPr>
        <w:t>persons</w:t>
      </w:r>
      <w:r w:rsidRPr="001348D2">
        <w:rPr>
          <w:rFonts w:ascii="Avenir Book" w:hAnsi="Avenir Book"/>
          <w:sz w:val="22"/>
          <w:szCs w:val="22"/>
        </w:rPr>
        <w:t xml:space="preserve"> with disabilities </w:t>
      </w:r>
    </w:p>
    <w:p w14:paraId="1AEBEB1E" w14:textId="77777777" w:rsidR="001404AB" w:rsidRPr="001348D2" w:rsidRDefault="001404AB" w:rsidP="001348D2">
      <w:pPr>
        <w:pStyle w:val="Default"/>
        <w:jc w:val="both"/>
        <w:rPr>
          <w:rFonts w:ascii="Avenir Book" w:hAnsi="Avenir Book"/>
          <w:sz w:val="22"/>
          <w:szCs w:val="22"/>
        </w:rPr>
      </w:pPr>
    </w:p>
    <w:p w14:paraId="67A7ACA5" w14:textId="3A344863" w:rsidR="001404AB" w:rsidRPr="001348D2" w:rsidRDefault="001404AB" w:rsidP="001348D2">
      <w:pPr>
        <w:pStyle w:val="Default"/>
        <w:jc w:val="both"/>
        <w:rPr>
          <w:rFonts w:ascii="Avenir Book" w:hAnsi="Avenir Book"/>
          <w:sz w:val="22"/>
          <w:szCs w:val="22"/>
        </w:rPr>
      </w:pPr>
      <w:r w:rsidRPr="001348D2">
        <w:rPr>
          <w:rFonts w:ascii="Avenir Book" w:hAnsi="Avenir Book"/>
          <w:sz w:val="22"/>
          <w:szCs w:val="22"/>
        </w:rPr>
        <w:t xml:space="preserve">Further, the </w:t>
      </w:r>
      <w:proofErr w:type="spellStart"/>
      <w:r w:rsidRPr="001348D2">
        <w:rPr>
          <w:rFonts w:ascii="Avenir Book" w:hAnsi="Avenir Book"/>
          <w:sz w:val="22"/>
          <w:szCs w:val="22"/>
        </w:rPr>
        <w:t>Contitution</w:t>
      </w:r>
      <w:proofErr w:type="spellEnd"/>
      <w:r w:rsidR="0039001C" w:rsidRPr="001348D2">
        <w:rPr>
          <w:rFonts w:ascii="Avenir Book" w:hAnsi="Avenir Book"/>
          <w:sz w:val="22"/>
          <w:szCs w:val="22"/>
        </w:rPr>
        <w:t xml:space="preserve"> of the Philippines</w:t>
      </w:r>
      <w:r w:rsidRPr="001348D2">
        <w:rPr>
          <w:rFonts w:ascii="Avenir Book" w:hAnsi="Avenir Book"/>
          <w:sz w:val="22"/>
          <w:szCs w:val="22"/>
        </w:rPr>
        <w:t>, by virtue of Section 1 and 2 of Article 13</w:t>
      </w:r>
      <w:r w:rsidRPr="001348D2">
        <w:rPr>
          <w:rStyle w:val="FootnoteReference"/>
          <w:rFonts w:ascii="Avenir Book" w:hAnsi="Avenir Book"/>
          <w:sz w:val="22"/>
          <w:szCs w:val="22"/>
        </w:rPr>
        <w:footnoteReference w:id="4"/>
      </w:r>
      <w:r w:rsidRPr="001348D2">
        <w:rPr>
          <w:rFonts w:ascii="Avenir Book" w:hAnsi="Avenir Book"/>
          <w:sz w:val="22"/>
          <w:szCs w:val="22"/>
        </w:rPr>
        <w:t>, forbids discrimination on the bases of belief, gender, physical conditions and others. This provision applies to persons with disabilities.</w:t>
      </w:r>
    </w:p>
    <w:p w14:paraId="48A81C48" w14:textId="77777777" w:rsidR="001404AB" w:rsidRPr="001348D2" w:rsidRDefault="001404AB" w:rsidP="001348D2">
      <w:pPr>
        <w:pStyle w:val="Default"/>
        <w:jc w:val="both"/>
        <w:rPr>
          <w:rFonts w:ascii="Avenir Book" w:hAnsi="Avenir Book"/>
          <w:sz w:val="22"/>
          <w:szCs w:val="22"/>
        </w:rPr>
      </w:pPr>
    </w:p>
    <w:p w14:paraId="7451D862" w14:textId="1171EDA7" w:rsidR="009C5F50" w:rsidRPr="001348D2" w:rsidRDefault="00D419DC" w:rsidP="001348D2">
      <w:pPr>
        <w:pStyle w:val="Default"/>
        <w:jc w:val="both"/>
        <w:rPr>
          <w:rFonts w:ascii="Avenir Book" w:hAnsi="Avenir Book"/>
          <w:sz w:val="22"/>
          <w:szCs w:val="22"/>
        </w:rPr>
      </w:pPr>
      <w:r w:rsidRPr="001348D2">
        <w:rPr>
          <w:rFonts w:ascii="Avenir Book" w:hAnsi="Avenir Book"/>
          <w:sz w:val="22"/>
          <w:szCs w:val="22"/>
        </w:rPr>
        <w:t xml:space="preserve">Aside from the </w:t>
      </w:r>
      <w:proofErr w:type="spellStart"/>
      <w:r w:rsidRPr="001348D2">
        <w:rPr>
          <w:rFonts w:ascii="Avenir Book" w:hAnsi="Avenir Book"/>
          <w:sz w:val="22"/>
          <w:szCs w:val="22"/>
        </w:rPr>
        <w:t>C</w:t>
      </w:r>
      <w:r w:rsidR="001404AB" w:rsidRPr="001348D2">
        <w:rPr>
          <w:rFonts w:ascii="Avenir Book" w:hAnsi="Avenir Book"/>
          <w:sz w:val="22"/>
          <w:szCs w:val="22"/>
        </w:rPr>
        <w:t>onsititution</w:t>
      </w:r>
      <w:proofErr w:type="spellEnd"/>
      <w:r w:rsidR="0039001C" w:rsidRPr="001348D2">
        <w:rPr>
          <w:rFonts w:ascii="Avenir Book" w:hAnsi="Avenir Book"/>
          <w:sz w:val="22"/>
          <w:szCs w:val="22"/>
        </w:rPr>
        <w:t xml:space="preserve"> of the Philippines</w:t>
      </w:r>
      <w:r w:rsidR="001404AB" w:rsidRPr="001348D2">
        <w:rPr>
          <w:rFonts w:ascii="Avenir Book" w:hAnsi="Avenir Book"/>
          <w:sz w:val="22"/>
          <w:szCs w:val="22"/>
        </w:rPr>
        <w:t>, there are also several legislation enacted to safeguard the rights of persons with disabilities such as the Magna Carta for Disabl</w:t>
      </w:r>
      <w:r w:rsidR="009C5F50" w:rsidRPr="001348D2">
        <w:rPr>
          <w:rFonts w:ascii="Avenir Book" w:hAnsi="Avenir Book"/>
          <w:sz w:val="22"/>
          <w:szCs w:val="22"/>
        </w:rPr>
        <w:t xml:space="preserve">ed Persons </w:t>
      </w:r>
      <w:r w:rsidR="001404AB" w:rsidRPr="001348D2">
        <w:rPr>
          <w:rFonts w:ascii="Avenir Book" w:hAnsi="Avenir Book"/>
          <w:sz w:val="22"/>
          <w:szCs w:val="22"/>
        </w:rPr>
        <w:t xml:space="preserve">or </w:t>
      </w:r>
      <w:r w:rsidR="001404AB" w:rsidRPr="001348D2">
        <w:rPr>
          <w:rFonts w:ascii="Avenir Book" w:hAnsi="Avenir Book"/>
          <w:sz w:val="22"/>
          <w:szCs w:val="22"/>
        </w:rPr>
        <w:lastRenderedPageBreak/>
        <w:t>Republic Act No. 9442</w:t>
      </w:r>
      <w:r w:rsidR="009C5F50" w:rsidRPr="001348D2">
        <w:rPr>
          <w:rFonts w:ascii="Avenir Book" w:hAnsi="Avenir Book"/>
          <w:sz w:val="22"/>
          <w:szCs w:val="22"/>
        </w:rPr>
        <w:t xml:space="preserve">; </w:t>
      </w:r>
      <w:r w:rsidRPr="001348D2">
        <w:rPr>
          <w:rFonts w:ascii="Avenir Book" w:hAnsi="Avenir Book"/>
          <w:sz w:val="22"/>
          <w:szCs w:val="22"/>
        </w:rPr>
        <w:t>Republic Act No. 10070 or</w:t>
      </w:r>
      <w:r w:rsidR="009C5F50" w:rsidRPr="001348D2">
        <w:rPr>
          <w:rFonts w:ascii="Avenir Book" w:hAnsi="Avenir Book"/>
          <w:sz w:val="22"/>
          <w:szCs w:val="22"/>
        </w:rPr>
        <w:t xml:space="preserve"> ‘An Act Establishing an Institutional Mechanism to Ensure the Implementation of Program and Services for Persons with Disabilities in every Province, City and Municipality’; and </w:t>
      </w:r>
      <w:r w:rsidRPr="001348D2">
        <w:rPr>
          <w:rFonts w:ascii="Avenir Book" w:hAnsi="Avenir Book"/>
          <w:sz w:val="22"/>
          <w:szCs w:val="22"/>
        </w:rPr>
        <w:t>Republic Act No. 1179 or ‘</w:t>
      </w:r>
      <w:r w:rsidR="009C5F50" w:rsidRPr="001348D2">
        <w:rPr>
          <w:rFonts w:ascii="Avenir Book" w:hAnsi="Avenir Book"/>
          <w:sz w:val="22"/>
          <w:szCs w:val="22"/>
        </w:rPr>
        <w:t>An Act to provide the promotion of vocational rehabilitation of the blind and other handicapped persons and th</w:t>
      </w:r>
      <w:r w:rsidRPr="001348D2">
        <w:rPr>
          <w:rFonts w:ascii="Avenir Book" w:hAnsi="Avenir Book"/>
          <w:sz w:val="22"/>
          <w:szCs w:val="22"/>
        </w:rPr>
        <w:t xml:space="preserve">eir return to civil employment.’ </w:t>
      </w:r>
    </w:p>
    <w:p w14:paraId="02E72CD4" w14:textId="77777777" w:rsidR="00D419DC" w:rsidRPr="001348D2" w:rsidRDefault="00D419DC" w:rsidP="001348D2">
      <w:pPr>
        <w:pStyle w:val="Default"/>
        <w:jc w:val="both"/>
        <w:rPr>
          <w:rFonts w:ascii="Avenir Book" w:hAnsi="Avenir Book"/>
          <w:sz w:val="22"/>
          <w:szCs w:val="22"/>
        </w:rPr>
      </w:pPr>
    </w:p>
    <w:p w14:paraId="79AF72FD" w14:textId="1980B300" w:rsidR="00D419DC" w:rsidRPr="001348D2" w:rsidRDefault="00D419DC" w:rsidP="001348D2">
      <w:pPr>
        <w:pStyle w:val="Default"/>
        <w:jc w:val="both"/>
        <w:rPr>
          <w:rFonts w:ascii="Avenir Book" w:hAnsi="Avenir Book"/>
          <w:sz w:val="22"/>
          <w:szCs w:val="22"/>
        </w:rPr>
      </w:pPr>
      <w:r w:rsidRPr="001348D2">
        <w:rPr>
          <w:rFonts w:ascii="Avenir Book" w:hAnsi="Avenir Book"/>
          <w:sz w:val="22"/>
          <w:szCs w:val="22"/>
        </w:rPr>
        <w:t>Despite the above</w:t>
      </w:r>
      <w:r w:rsidR="0039001C" w:rsidRPr="001348D2">
        <w:rPr>
          <w:rFonts w:ascii="Avenir Book" w:hAnsi="Avenir Book"/>
          <w:sz w:val="22"/>
          <w:szCs w:val="22"/>
        </w:rPr>
        <w:t>-</w:t>
      </w:r>
      <w:r w:rsidRPr="001348D2">
        <w:rPr>
          <w:rFonts w:ascii="Avenir Book" w:hAnsi="Avenir Book"/>
          <w:sz w:val="22"/>
          <w:szCs w:val="22"/>
        </w:rPr>
        <w:t xml:space="preserve">mentioned legislative enactments, the challenge lies in its implementation due to several factors such as “lack of funds”, lack of government support and prioritization, lapses in data collection, and inefficient monitoring among others. </w:t>
      </w:r>
    </w:p>
    <w:p w14:paraId="7941475B" w14:textId="77777777" w:rsidR="008859E8" w:rsidRPr="001348D2" w:rsidRDefault="008859E8" w:rsidP="001348D2">
      <w:pPr>
        <w:autoSpaceDE w:val="0"/>
        <w:autoSpaceDN w:val="0"/>
        <w:adjustRightInd w:val="0"/>
        <w:spacing w:after="0" w:line="240" w:lineRule="auto"/>
        <w:jc w:val="both"/>
        <w:rPr>
          <w:rFonts w:ascii="Avenir Book" w:hAnsi="Avenir Book"/>
          <w:color w:val="000000"/>
          <w:lang w:val="en-PH"/>
        </w:rPr>
      </w:pPr>
    </w:p>
    <w:p w14:paraId="68510160" w14:textId="7D60C3FF" w:rsidR="00B077E6" w:rsidRPr="001348D2" w:rsidRDefault="0019445B" w:rsidP="001348D2">
      <w:pPr>
        <w:pStyle w:val="Recommendation"/>
      </w:pPr>
      <w:r w:rsidRPr="001348D2">
        <w:rPr>
          <w:u w:val="single"/>
        </w:rPr>
        <w:t>RECOMMENDATION</w:t>
      </w:r>
      <w:r w:rsidR="00BF19DF" w:rsidRPr="001348D2">
        <w:rPr>
          <w:u w:val="single"/>
        </w:rPr>
        <w:t xml:space="preserve"> 1</w:t>
      </w:r>
      <w:r w:rsidRPr="001348D2">
        <w:t>:</w:t>
      </w:r>
      <w:r w:rsidR="00BF19DF" w:rsidRPr="001348D2">
        <w:t xml:space="preserve"> </w:t>
      </w:r>
      <w:r w:rsidR="00325862" w:rsidRPr="001348D2">
        <w:t>T</w:t>
      </w:r>
      <w:r w:rsidR="00B04BB8" w:rsidRPr="001348D2">
        <w:t xml:space="preserve">he </w:t>
      </w:r>
      <w:r w:rsidR="00411868" w:rsidRPr="001348D2">
        <w:t>General Comment</w:t>
      </w:r>
      <w:r w:rsidR="00B04BB8" w:rsidRPr="001348D2">
        <w:t xml:space="preserve"> </w:t>
      </w:r>
      <w:r w:rsidR="00325862" w:rsidRPr="001348D2">
        <w:t xml:space="preserve">should </w:t>
      </w:r>
      <w:r w:rsidR="00B04BB8" w:rsidRPr="001348D2">
        <w:t>be strengthened by adding to paragraph 17 a recommendation that State Parties adopt national action plans for implementing the Convention in collaboration with all levels of government and pers</w:t>
      </w:r>
      <w:r w:rsidRPr="001348D2">
        <w:t>ons with disabilities</w:t>
      </w:r>
      <w:r w:rsidR="00B04BB8" w:rsidRPr="001348D2">
        <w:t>. Particular attention should be paid to involving</w:t>
      </w:r>
      <w:r w:rsidR="00F127E6" w:rsidRPr="001348D2">
        <w:t xml:space="preserve"> women, children, ethnic minorities and </w:t>
      </w:r>
      <w:r w:rsidR="00B04BB8" w:rsidRPr="001348D2">
        <w:t>Indigenous people</w:t>
      </w:r>
      <w:r w:rsidR="00F127E6" w:rsidRPr="001348D2">
        <w:t>s</w:t>
      </w:r>
      <w:r w:rsidR="00B04BB8" w:rsidRPr="001348D2">
        <w:t xml:space="preserve"> in the development of action plans. State Parties should ensure that such an action plan includes </w:t>
      </w:r>
      <w:r w:rsidR="00411868" w:rsidRPr="001348D2">
        <w:t xml:space="preserve">provisions for benchmarking, reporting, </w:t>
      </w:r>
      <w:r w:rsidR="000F7ED0" w:rsidRPr="001348D2">
        <w:t xml:space="preserve">and </w:t>
      </w:r>
      <w:r w:rsidR="00411868" w:rsidRPr="001348D2">
        <w:t>monitoring</w:t>
      </w:r>
      <w:r w:rsidR="000F7ED0" w:rsidRPr="001348D2">
        <w:t xml:space="preserve">, as well as </w:t>
      </w:r>
      <w:r w:rsidR="00B04BB8" w:rsidRPr="001348D2">
        <w:t xml:space="preserve">a time frame for implementation. </w:t>
      </w:r>
      <w:r w:rsidR="00074CFC" w:rsidRPr="001348D2">
        <w:t>Also</w:t>
      </w:r>
      <w:r w:rsidR="0039001C" w:rsidRPr="001348D2">
        <w:t>,</w:t>
      </w:r>
      <w:r w:rsidR="00074CFC" w:rsidRPr="001348D2">
        <w:t xml:space="preserve"> such provisions </w:t>
      </w:r>
      <w:r w:rsidR="009A09B5" w:rsidRPr="001348D2">
        <w:t>could also envisage</w:t>
      </w:r>
      <w:r w:rsidR="00074CFC" w:rsidRPr="001348D2">
        <w:t xml:space="preserve"> the need to review provisions/</w:t>
      </w:r>
      <w:proofErr w:type="spellStart"/>
      <w:r w:rsidR="00074CFC" w:rsidRPr="001348D2">
        <w:t>clausese</w:t>
      </w:r>
      <w:proofErr w:type="spellEnd"/>
      <w:r w:rsidR="00074CFC" w:rsidRPr="001348D2">
        <w:t xml:space="preserve"> in national legislation relating to people with disabilities in all laws and legislation belonging to </w:t>
      </w:r>
      <w:proofErr w:type="gramStart"/>
      <w:r w:rsidR="00074CFC" w:rsidRPr="001348D2">
        <w:t>States  Parties</w:t>
      </w:r>
      <w:proofErr w:type="gramEnd"/>
    </w:p>
    <w:p w14:paraId="06AEBE0F" w14:textId="77777777" w:rsidR="00E66C39" w:rsidRPr="001348D2" w:rsidRDefault="00E66C39" w:rsidP="001348D2">
      <w:pPr>
        <w:spacing w:after="0" w:line="240" w:lineRule="auto"/>
        <w:jc w:val="both"/>
        <w:rPr>
          <w:rFonts w:ascii="Avenir Book" w:hAnsi="Avenir Book"/>
          <w:color w:val="FF0000"/>
        </w:rPr>
      </w:pPr>
    </w:p>
    <w:p w14:paraId="78BDF46D" w14:textId="77777777" w:rsidR="00B04BB8" w:rsidRPr="001348D2" w:rsidRDefault="00B04BB8" w:rsidP="001348D2">
      <w:pPr>
        <w:spacing w:after="0" w:line="240" w:lineRule="auto"/>
        <w:jc w:val="both"/>
        <w:rPr>
          <w:rFonts w:ascii="Avenir Book" w:hAnsi="Avenir Book"/>
          <w:color w:val="000000"/>
        </w:rPr>
      </w:pPr>
    </w:p>
    <w:p w14:paraId="2A56F588" w14:textId="3E0480E9" w:rsidR="00E66C39" w:rsidRPr="001348D2" w:rsidRDefault="00E66C39" w:rsidP="001348D2">
      <w:pPr>
        <w:pStyle w:val="Heading1"/>
        <w:jc w:val="both"/>
        <w:rPr>
          <w:rFonts w:ascii="Avenir Book" w:hAnsi="Avenir Book"/>
          <w:sz w:val="22"/>
          <w:szCs w:val="22"/>
        </w:rPr>
      </w:pPr>
      <w:bookmarkStart w:id="12" w:name="_Toc496250077"/>
      <w:bookmarkStart w:id="13" w:name="_Toc496250153"/>
      <w:bookmarkStart w:id="14" w:name="_Hlk495899206"/>
      <w:bookmarkStart w:id="15" w:name="_Toc501561467"/>
      <w:r w:rsidRPr="001348D2">
        <w:rPr>
          <w:rFonts w:ascii="Avenir Book" w:hAnsi="Avenir Book"/>
          <w:sz w:val="22"/>
          <w:szCs w:val="22"/>
        </w:rPr>
        <w:t xml:space="preserve">Art. 5 (2) </w:t>
      </w:r>
      <w:r w:rsidR="00BF19DF" w:rsidRPr="001348D2">
        <w:rPr>
          <w:rFonts w:ascii="Avenir Book" w:hAnsi="Avenir Book"/>
          <w:sz w:val="22"/>
          <w:szCs w:val="22"/>
        </w:rPr>
        <w:t xml:space="preserve">- </w:t>
      </w:r>
      <w:r w:rsidRPr="001348D2">
        <w:rPr>
          <w:rFonts w:ascii="Avenir Book" w:hAnsi="Avenir Book"/>
          <w:sz w:val="22"/>
          <w:szCs w:val="22"/>
        </w:rPr>
        <w:t xml:space="preserve">Prohibition of discrimination and equal </w:t>
      </w:r>
      <w:r w:rsidR="00BF19DF" w:rsidRPr="001348D2">
        <w:rPr>
          <w:rFonts w:ascii="Avenir Book" w:hAnsi="Avenir Book"/>
          <w:sz w:val="22"/>
          <w:szCs w:val="22"/>
        </w:rPr>
        <w:t>and effective legal protection (</w:t>
      </w:r>
      <w:r w:rsidR="00325862" w:rsidRPr="001348D2">
        <w:rPr>
          <w:rFonts w:ascii="Avenir Book" w:hAnsi="Avenir Book"/>
          <w:sz w:val="22"/>
          <w:szCs w:val="22"/>
        </w:rPr>
        <w:t>P</w:t>
      </w:r>
      <w:r w:rsidRPr="001348D2">
        <w:rPr>
          <w:rFonts w:ascii="Avenir Book" w:hAnsi="Avenir Book"/>
          <w:sz w:val="22"/>
          <w:szCs w:val="22"/>
        </w:rPr>
        <w:t>ara</w:t>
      </w:r>
      <w:r w:rsidR="00BF19DF" w:rsidRPr="001348D2">
        <w:rPr>
          <w:rFonts w:ascii="Avenir Book" w:hAnsi="Avenir Book"/>
          <w:sz w:val="22"/>
          <w:szCs w:val="22"/>
        </w:rPr>
        <w:t>gr</w:t>
      </w:r>
      <w:r w:rsidR="00325862" w:rsidRPr="001348D2">
        <w:rPr>
          <w:rFonts w:ascii="Avenir Book" w:hAnsi="Avenir Book"/>
          <w:sz w:val="22"/>
          <w:szCs w:val="22"/>
        </w:rPr>
        <w:t>ap</w:t>
      </w:r>
      <w:r w:rsidR="00BF19DF" w:rsidRPr="001348D2">
        <w:rPr>
          <w:rFonts w:ascii="Avenir Book" w:hAnsi="Avenir Book"/>
          <w:sz w:val="22"/>
          <w:szCs w:val="22"/>
        </w:rPr>
        <w:t>hs</w:t>
      </w:r>
      <w:r w:rsidRPr="001348D2">
        <w:rPr>
          <w:rFonts w:ascii="Avenir Book" w:hAnsi="Avenir Book"/>
          <w:sz w:val="22"/>
          <w:szCs w:val="22"/>
        </w:rPr>
        <w:t xml:space="preserve"> 19-2</w:t>
      </w:r>
      <w:r w:rsidR="00572C7E" w:rsidRPr="001348D2">
        <w:rPr>
          <w:rFonts w:ascii="Avenir Book" w:hAnsi="Avenir Book"/>
          <w:sz w:val="22"/>
          <w:szCs w:val="22"/>
        </w:rPr>
        <w:t>3</w:t>
      </w:r>
      <w:bookmarkEnd w:id="12"/>
      <w:bookmarkEnd w:id="13"/>
      <w:r w:rsidR="00BF19DF" w:rsidRPr="001348D2">
        <w:rPr>
          <w:rFonts w:ascii="Avenir Book" w:hAnsi="Avenir Book"/>
          <w:sz w:val="22"/>
          <w:szCs w:val="22"/>
        </w:rPr>
        <w:t>)</w:t>
      </w:r>
      <w:bookmarkEnd w:id="15"/>
    </w:p>
    <w:p w14:paraId="651626AA" w14:textId="77777777" w:rsidR="00320741" w:rsidRPr="001348D2" w:rsidRDefault="00320741" w:rsidP="001348D2">
      <w:pPr>
        <w:pStyle w:val="Heading2"/>
        <w:numPr>
          <w:ilvl w:val="0"/>
          <w:numId w:val="0"/>
        </w:numPr>
        <w:ind w:left="1850"/>
        <w:jc w:val="both"/>
        <w:rPr>
          <w:rFonts w:ascii="Avenir Book" w:hAnsi="Avenir Book"/>
          <w:sz w:val="22"/>
          <w:szCs w:val="22"/>
        </w:rPr>
      </w:pPr>
      <w:bookmarkStart w:id="16" w:name="_Toc496250078"/>
      <w:bookmarkStart w:id="17" w:name="_Toc496250154"/>
    </w:p>
    <w:bookmarkEnd w:id="14"/>
    <w:bookmarkEnd w:id="16"/>
    <w:bookmarkEnd w:id="17"/>
    <w:p w14:paraId="1DD633CF" w14:textId="77777777" w:rsidR="00411868" w:rsidRPr="001348D2" w:rsidRDefault="0019445B" w:rsidP="001348D2">
      <w:pPr>
        <w:spacing w:after="0" w:line="240" w:lineRule="auto"/>
        <w:jc w:val="both"/>
        <w:rPr>
          <w:rFonts w:ascii="Avenir Book" w:hAnsi="Avenir Book"/>
          <w:lang w:val="en-GB"/>
        </w:rPr>
      </w:pPr>
      <w:r w:rsidRPr="001348D2">
        <w:rPr>
          <w:rFonts w:ascii="Avenir Book" w:hAnsi="Avenir Book"/>
          <w:lang w:val="en-GB"/>
        </w:rPr>
        <w:t>T</w:t>
      </w:r>
      <w:r w:rsidR="00B04BB8" w:rsidRPr="001348D2">
        <w:rPr>
          <w:rFonts w:ascii="Avenir Book" w:hAnsi="Avenir Book"/>
          <w:lang w:val="en-GB"/>
        </w:rPr>
        <w:t xml:space="preserve">his section </w:t>
      </w:r>
      <w:r w:rsidR="00411868" w:rsidRPr="001348D2">
        <w:rPr>
          <w:rFonts w:ascii="Avenir Book" w:hAnsi="Avenir Book"/>
          <w:lang w:val="en-GB"/>
        </w:rPr>
        <w:t xml:space="preserve">of the General Comment </w:t>
      </w:r>
      <w:r w:rsidR="00B04BB8" w:rsidRPr="001348D2">
        <w:rPr>
          <w:rFonts w:ascii="Avenir Book" w:hAnsi="Avenir Book"/>
          <w:lang w:val="en-GB"/>
        </w:rPr>
        <w:t>outlines the need to ensure effective measures to identify disability</w:t>
      </w:r>
      <w:r w:rsidR="00910B7A" w:rsidRPr="001348D2">
        <w:rPr>
          <w:rFonts w:ascii="Avenir Book" w:hAnsi="Avenir Book"/>
          <w:lang w:val="en-GB"/>
        </w:rPr>
        <w:t>-related</w:t>
      </w:r>
      <w:r w:rsidR="00B04BB8" w:rsidRPr="001348D2">
        <w:rPr>
          <w:rFonts w:ascii="Avenir Book" w:hAnsi="Avenir Book"/>
          <w:lang w:val="en-GB"/>
        </w:rPr>
        <w:t xml:space="preserve"> discrimination and </w:t>
      </w:r>
      <w:r w:rsidR="00910B7A" w:rsidRPr="001348D2">
        <w:rPr>
          <w:rFonts w:ascii="Avenir Book" w:hAnsi="Avenir Book"/>
          <w:lang w:val="en-GB"/>
        </w:rPr>
        <w:t>provide for appropriate redress</w:t>
      </w:r>
      <w:r w:rsidR="00B04BB8" w:rsidRPr="001348D2">
        <w:rPr>
          <w:rFonts w:ascii="Avenir Book" w:hAnsi="Avenir Book"/>
          <w:lang w:val="en-GB"/>
        </w:rPr>
        <w:t xml:space="preserve"> through legal mechanisms such as the courts and </w:t>
      </w:r>
      <w:r w:rsidR="00910B7A" w:rsidRPr="001348D2">
        <w:rPr>
          <w:rFonts w:ascii="Avenir Book" w:hAnsi="Avenir Book"/>
          <w:lang w:val="en-GB"/>
        </w:rPr>
        <w:t xml:space="preserve">quasi-judicial processes available through the </w:t>
      </w:r>
      <w:r w:rsidR="00320741" w:rsidRPr="001348D2">
        <w:rPr>
          <w:rFonts w:ascii="Avenir Book" w:hAnsi="Avenir Book"/>
          <w:lang w:val="en-GB"/>
        </w:rPr>
        <w:t>NHRI</w:t>
      </w:r>
      <w:r w:rsidR="008E5667" w:rsidRPr="001348D2">
        <w:rPr>
          <w:rFonts w:ascii="Avenir Book" w:hAnsi="Avenir Book"/>
          <w:lang w:val="en-GB"/>
        </w:rPr>
        <w:t xml:space="preserve">.  </w:t>
      </w:r>
    </w:p>
    <w:p w14:paraId="7966B7A4" w14:textId="77777777" w:rsidR="0039001C" w:rsidRPr="001348D2" w:rsidRDefault="0039001C" w:rsidP="001348D2">
      <w:pPr>
        <w:spacing w:after="0" w:line="240" w:lineRule="auto"/>
        <w:jc w:val="both"/>
        <w:rPr>
          <w:rFonts w:ascii="Avenir Book" w:hAnsi="Avenir Book"/>
          <w:lang w:val="en-GB"/>
        </w:rPr>
      </w:pPr>
    </w:p>
    <w:p w14:paraId="71488F0D" w14:textId="3E194FF8" w:rsidR="0039001C" w:rsidRPr="001348D2" w:rsidRDefault="0039001C" w:rsidP="001348D2">
      <w:pPr>
        <w:spacing w:line="260" w:lineRule="atLeast"/>
        <w:jc w:val="both"/>
        <w:rPr>
          <w:rFonts w:ascii="Avenir Book" w:hAnsi="Avenir Book" w:cs="Arial"/>
          <w:lang w:val="en-GB"/>
        </w:rPr>
      </w:pPr>
      <w:r w:rsidRPr="001348D2">
        <w:rPr>
          <w:rFonts w:ascii="Avenir Book" w:hAnsi="Avenir Book" w:cs="Arial"/>
          <w:lang w:val="en-GB"/>
        </w:rPr>
        <w:t>GANHRI proposes that each of the main forms of discrimination discussed at paras 20 – 30 of the G</w:t>
      </w:r>
      <w:r w:rsidR="00D2497B">
        <w:rPr>
          <w:rFonts w:ascii="Avenir Book" w:hAnsi="Avenir Book" w:cs="Arial"/>
          <w:lang w:val="en-GB"/>
        </w:rPr>
        <w:t xml:space="preserve">eneral </w:t>
      </w:r>
      <w:r w:rsidRPr="001348D2">
        <w:rPr>
          <w:rFonts w:ascii="Avenir Book" w:hAnsi="Avenir Book" w:cs="Arial"/>
          <w:lang w:val="en-GB"/>
        </w:rPr>
        <w:t>C</w:t>
      </w:r>
      <w:r w:rsidR="00D2497B">
        <w:rPr>
          <w:rFonts w:ascii="Avenir Book" w:hAnsi="Avenir Book" w:cs="Arial"/>
          <w:lang w:val="en-GB"/>
        </w:rPr>
        <w:t>omment</w:t>
      </w:r>
      <w:r w:rsidRPr="001348D2">
        <w:rPr>
          <w:rFonts w:ascii="Avenir Book" w:hAnsi="Avenir Book" w:cs="Arial"/>
          <w:lang w:val="en-GB"/>
        </w:rPr>
        <w:t xml:space="preserve"> are explained, and distinguished from each other, with concrete examples. </w:t>
      </w:r>
    </w:p>
    <w:p w14:paraId="220A1C70" w14:textId="07A4CF00" w:rsidR="0039001C" w:rsidRPr="001348D2" w:rsidRDefault="0039001C" w:rsidP="001348D2">
      <w:pPr>
        <w:spacing w:line="260" w:lineRule="atLeast"/>
        <w:jc w:val="both"/>
        <w:rPr>
          <w:rFonts w:ascii="Avenir Book" w:hAnsi="Avenir Book" w:cs="Arial"/>
          <w:lang w:val="en-GB"/>
        </w:rPr>
      </w:pPr>
      <w:r w:rsidRPr="001348D2">
        <w:rPr>
          <w:rFonts w:ascii="Avenir Book" w:hAnsi="Avenir Book" w:cs="Arial"/>
          <w:lang w:val="en-GB"/>
        </w:rPr>
        <w:t xml:space="preserve">GANHRI also recommends a more detailed explanation, including concrete examples, of the practical application of </w:t>
      </w:r>
      <w:proofErr w:type="spellStart"/>
      <w:r w:rsidRPr="001348D2">
        <w:rPr>
          <w:rFonts w:ascii="Avenir Book" w:hAnsi="Avenir Book" w:cs="Arial"/>
          <w:lang w:val="en-GB"/>
        </w:rPr>
        <w:t>i</w:t>
      </w:r>
      <w:proofErr w:type="spellEnd"/>
      <w:r w:rsidRPr="001348D2">
        <w:rPr>
          <w:rFonts w:ascii="Avenir Book" w:hAnsi="Avenir Book" w:cs="Arial"/>
          <w:lang w:val="en-GB"/>
        </w:rPr>
        <w:t xml:space="preserve">) reasonable accommodation in the provision of goods and services and ii) the prohibition of discrimination in the provision of goods and services in the private sector.   </w:t>
      </w:r>
    </w:p>
    <w:p w14:paraId="685F24D1" w14:textId="359FE86E" w:rsidR="0039001C" w:rsidRPr="001348D2" w:rsidRDefault="0039001C" w:rsidP="001348D2">
      <w:pPr>
        <w:spacing w:line="260" w:lineRule="atLeast"/>
        <w:jc w:val="both"/>
        <w:rPr>
          <w:rFonts w:ascii="Avenir Book" w:hAnsi="Avenir Book" w:cs="Arial"/>
          <w:lang w:val="en-GB"/>
        </w:rPr>
      </w:pPr>
      <w:r w:rsidRPr="001348D2">
        <w:rPr>
          <w:rFonts w:ascii="Avenir Book" w:hAnsi="Avenir Book" w:cs="Arial"/>
          <w:lang w:val="en-GB"/>
        </w:rPr>
        <w:t>Re</w:t>
      </w:r>
      <w:r w:rsidR="00D2497B">
        <w:rPr>
          <w:rFonts w:ascii="Avenir Book" w:hAnsi="Avenir Book" w:cs="Arial"/>
          <w:lang w:val="en-GB"/>
        </w:rPr>
        <w:t>garding</w:t>
      </w:r>
      <w:r w:rsidRPr="001348D2">
        <w:rPr>
          <w:rFonts w:ascii="Avenir Book" w:hAnsi="Avenir Book" w:cs="Arial"/>
          <w:lang w:val="en-GB"/>
        </w:rPr>
        <w:t xml:space="preserve"> paragraph 20 a), GANHRI suggests that the example of </w:t>
      </w:r>
      <w:r w:rsidRPr="001348D2">
        <w:rPr>
          <w:rFonts w:ascii="Avenir Book" w:hAnsi="Avenir Book" w:cs="Arial"/>
          <w:i/>
          <w:lang w:val="en-GB"/>
        </w:rPr>
        <w:t>‘disability-based violence in all its appearances, such as rape, abuse and exploitation, hate-crime, and beatings’</w:t>
      </w:r>
      <w:r w:rsidRPr="001348D2">
        <w:rPr>
          <w:rFonts w:ascii="Avenir Book" w:hAnsi="Avenir Book" w:cs="Arial"/>
          <w:lang w:val="en-GB"/>
        </w:rPr>
        <w:t xml:space="preserve"> is </w:t>
      </w:r>
      <w:r w:rsidR="00796058" w:rsidRPr="001348D2">
        <w:rPr>
          <w:rFonts w:ascii="Avenir Book" w:hAnsi="Avenir Book" w:cs="Arial"/>
          <w:lang w:val="en-GB"/>
        </w:rPr>
        <w:t>re-positioned,</w:t>
      </w:r>
      <w:r w:rsidRPr="001348D2">
        <w:rPr>
          <w:rFonts w:ascii="Avenir Book" w:hAnsi="Avenir Book" w:cs="Arial"/>
          <w:lang w:val="en-GB"/>
        </w:rPr>
        <w:t xml:space="preserve"> setting out that States Parties should ensure that national policy and legislative frameworks, including sentencing guidelines, recognise disability-hostility as an aggravating factor when recording, investigating, prosecuting and sentencing such crimes. </w:t>
      </w:r>
    </w:p>
    <w:p w14:paraId="05CCEF6F" w14:textId="251464EE" w:rsidR="0039001C" w:rsidRPr="001348D2" w:rsidRDefault="0039001C" w:rsidP="001348D2">
      <w:pPr>
        <w:spacing w:after="0" w:line="240" w:lineRule="auto"/>
        <w:jc w:val="both"/>
        <w:rPr>
          <w:rFonts w:ascii="Avenir Book" w:hAnsi="Avenir Book"/>
          <w:lang w:val="en-GB"/>
        </w:rPr>
      </w:pPr>
      <w:r w:rsidRPr="001348D2">
        <w:rPr>
          <w:rFonts w:ascii="Avenir Book" w:hAnsi="Avenir Book" w:cs="Arial"/>
          <w:lang w:val="en-GB"/>
        </w:rPr>
        <w:lastRenderedPageBreak/>
        <w:t>Paragraphs 20 and 76 d) should include ‘instruction to discriminate’.</w:t>
      </w:r>
    </w:p>
    <w:p w14:paraId="3D8E3CD4" w14:textId="77777777" w:rsidR="00411868" w:rsidRPr="001348D2" w:rsidRDefault="00411868" w:rsidP="001348D2">
      <w:pPr>
        <w:spacing w:after="0" w:line="240" w:lineRule="auto"/>
        <w:jc w:val="both"/>
        <w:rPr>
          <w:rFonts w:ascii="Avenir Book" w:hAnsi="Avenir Book"/>
          <w:lang w:val="en-GB"/>
        </w:rPr>
      </w:pPr>
    </w:p>
    <w:p w14:paraId="14C06670" w14:textId="371C3C94" w:rsidR="00B04BB8" w:rsidRPr="001348D2" w:rsidRDefault="008E5667" w:rsidP="001348D2">
      <w:pPr>
        <w:spacing w:after="0" w:line="240" w:lineRule="auto"/>
        <w:jc w:val="both"/>
        <w:rPr>
          <w:rFonts w:ascii="Avenir Book" w:hAnsi="Avenir Book"/>
          <w:lang w:val="en-GB"/>
        </w:rPr>
      </w:pPr>
      <w:r w:rsidRPr="001348D2">
        <w:rPr>
          <w:rFonts w:ascii="Avenir Book" w:hAnsi="Avenir Book"/>
          <w:lang w:val="en-GB"/>
        </w:rPr>
        <w:t xml:space="preserve">The section could </w:t>
      </w:r>
      <w:r w:rsidR="0039001C" w:rsidRPr="001348D2">
        <w:rPr>
          <w:rFonts w:ascii="Avenir Book" w:hAnsi="Avenir Book"/>
          <w:lang w:val="en-GB"/>
        </w:rPr>
        <w:t xml:space="preserve">further </w:t>
      </w:r>
      <w:r w:rsidRPr="001348D2">
        <w:rPr>
          <w:rFonts w:ascii="Avenir Book" w:hAnsi="Avenir Book"/>
          <w:lang w:val="en-GB"/>
        </w:rPr>
        <w:t>be st</w:t>
      </w:r>
      <w:r w:rsidR="001A2C95" w:rsidRPr="001348D2">
        <w:rPr>
          <w:rFonts w:ascii="Avenir Book" w:hAnsi="Avenir Book"/>
          <w:lang w:val="en-GB"/>
        </w:rPr>
        <w:t>rengthened by highlighting that</w:t>
      </w:r>
      <w:r w:rsidR="00910B7A" w:rsidRPr="001348D2">
        <w:rPr>
          <w:rFonts w:ascii="Avenir Book" w:hAnsi="Avenir Book"/>
          <w:lang w:val="en-GB"/>
        </w:rPr>
        <w:t>,</w:t>
      </w:r>
      <w:r w:rsidR="003E02FD" w:rsidRPr="001348D2">
        <w:rPr>
          <w:rFonts w:ascii="Avenir Book" w:hAnsi="Avenir Book"/>
          <w:lang w:val="en-GB"/>
        </w:rPr>
        <w:t xml:space="preserve"> </w:t>
      </w:r>
      <w:r w:rsidRPr="001348D2">
        <w:rPr>
          <w:rFonts w:ascii="Avenir Book" w:hAnsi="Avenir Book"/>
          <w:lang w:val="en-GB"/>
        </w:rPr>
        <w:t>in</w:t>
      </w:r>
      <w:r w:rsidR="00B04BB8" w:rsidRPr="001348D2">
        <w:rPr>
          <w:rFonts w:ascii="Avenir Book" w:hAnsi="Avenir Book"/>
          <w:lang w:val="en-GB"/>
        </w:rPr>
        <w:t xml:space="preserve"> addition to legal protections, State</w:t>
      </w:r>
      <w:r w:rsidR="00910B7A" w:rsidRPr="001348D2">
        <w:rPr>
          <w:rFonts w:ascii="Avenir Book" w:hAnsi="Avenir Book"/>
          <w:lang w:val="en-GB"/>
        </w:rPr>
        <w:t>s</w:t>
      </w:r>
      <w:r w:rsidR="00B04BB8" w:rsidRPr="001348D2">
        <w:rPr>
          <w:rFonts w:ascii="Avenir Book" w:hAnsi="Avenir Book"/>
          <w:lang w:val="en-GB"/>
        </w:rPr>
        <w:t xml:space="preserve"> Parties should take measures to prevent and remove barriers to equality before they result in discrimination.</w:t>
      </w:r>
    </w:p>
    <w:p w14:paraId="34268CDD" w14:textId="77777777" w:rsidR="00B04BB8" w:rsidRPr="001348D2" w:rsidRDefault="00B04BB8" w:rsidP="001348D2">
      <w:pPr>
        <w:spacing w:after="0" w:line="240" w:lineRule="auto"/>
        <w:jc w:val="both"/>
        <w:rPr>
          <w:rFonts w:ascii="Avenir Book" w:hAnsi="Avenir Book"/>
          <w:lang w:val="en-GB"/>
        </w:rPr>
      </w:pPr>
    </w:p>
    <w:p w14:paraId="45F6BA46" w14:textId="77777777" w:rsidR="009900D8" w:rsidRPr="001348D2" w:rsidRDefault="00B04BB8" w:rsidP="001348D2">
      <w:pPr>
        <w:spacing w:after="0" w:line="240" w:lineRule="auto"/>
        <w:jc w:val="both"/>
        <w:rPr>
          <w:rFonts w:ascii="Avenir Book" w:hAnsi="Avenir Book"/>
          <w:lang w:val="en-GB"/>
        </w:rPr>
      </w:pPr>
      <w:r w:rsidRPr="001348D2">
        <w:rPr>
          <w:rFonts w:ascii="Avenir Book" w:hAnsi="Avenir Book"/>
          <w:lang w:val="en-GB"/>
        </w:rPr>
        <w:t>The duty of accommodation short of undue hardship is a fundamental requirement in ensuring substantive equality.  However, by definition, “accommodation” refers to the need to adjust or alter something after the fact.  This type of acc</w:t>
      </w:r>
      <w:r w:rsidR="008E5667" w:rsidRPr="001348D2">
        <w:rPr>
          <w:rFonts w:ascii="Avenir Book" w:hAnsi="Avenir Book"/>
          <w:lang w:val="en-GB"/>
        </w:rPr>
        <w:t xml:space="preserve">ommodation, while </w:t>
      </w:r>
      <w:r w:rsidR="00171645" w:rsidRPr="001348D2">
        <w:rPr>
          <w:rFonts w:ascii="Avenir Book" w:hAnsi="Avenir Book"/>
          <w:lang w:val="en-GB"/>
        </w:rPr>
        <w:t>necessary to</w:t>
      </w:r>
      <w:r w:rsidRPr="001348D2">
        <w:rPr>
          <w:rFonts w:ascii="Avenir Book" w:hAnsi="Avenir Book"/>
          <w:lang w:val="en-GB"/>
        </w:rPr>
        <w:t xml:space="preserve"> address individual circumstances, </w:t>
      </w:r>
      <w:r w:rsidR="00910B7A" w:rsidRPr="001348D2">
        <w:rPr>
          <w:rFonts w:ascii="Avenir Book" w:hAnsi="Avenir Book"/>
          <w:lang w:val="en-GB"/>
        </w:rPr>
        <w:t xml:space="preserve">reinforces </w:t>
      </w:r>
      <w:r w:rsidRPr="001348D2">
        <w:rPr>
          <w:rFonts w:ascii="Avenir Book" w:hAnsi="Avenir Book"/>
          <w:lang w:val="en-GB"/>
        </w:rPr>
        <w:t xml:space="preserve">the medical-charitable model of disability in which </w:t>
      </w:r>
      <w:r w:rsidR="00411868" w:rsidRPr="001348D2">
        <w:rPr>
          <w:rFonts w:ascii="Avenir Book" w:hAnsi="Avenir Book"/>
          <w:lang w:val="en-GB"/>
        </w:rPr>
        <w:t>persons with disabilities</w:t>
      </w:r>
      <w:r w:rsidRPr="001348D2">
        <w:rPr>
          <w:rFonts w:ascii="Avenir Book" w:hAnsi="Avenir Book"/>
          <w:lang w:val="en-GB"/>
        </w:rPr>
        <w:t xml:space="preserve"> are seen as objects that need to be </w:t>
      </w:r>
      <w:r w:rsidR="00411868" w:rsidRPr="001348D2">
        <w:rPr>
          <w:rFonts w:ascii="Avenir Book" w:hAnsi="Avenir Book"/>
          <w:lang w:val="en-GB"/>
        </w:rPr>
        <w:t>fixed rather</w:t>
      </w:r>
      <w:r w:rsidR="008E5667" w:rsidRPr="001348D2">
        <w:rPr>
          <w:rFonts w:ascii="Avenir Book" w:hAnsi="Avenir Book"/>
          <w:lang w:val="en-GB"/>
        </w:rPr>
        <w:t xml:space="preserve"> than as rights holders</w:t>
      </w:r>
      <w:r w:rsidR="00411868" w:rsidRPr="001348D2">
        <w:rPr>
          <w:rFonts w:ascii="Avenir Book" w:hAnsi="Avenir Book"/>
          <w:lang w:val="en-GB"/>
        </w:rPr>
        <w:t xml:space="preserve">.  </w:t>
      </w:r>
    </w:p>
    <w:p w14:paraId="2554EDEB" w14:textId="77777777" w:rsidR="00D2368B" w:rsidRPr="001348D2" w:rsidRDefault="00D2368B" w:rsidP="001348D2">
      <w:pPr>
        <w:spacing w:after="0" w:line="240" w:lineRule="auto"/>
        <w:jc w:val="both"/>
        <w:rPr>
          <w:rFonts w:ascii="Avenir Book" w:hAnsi="Avenir Book"/>
          <w:lang w:val="en-GB"/>
        </w:rPr>
      </w:pPr>
    </w:p>
    <w:p w14:paraId="463805B8" w14:textId="514CBBED" w:rsidR="00D2368B" w:rsidRPr="001348D2" w:rsidRDefault="00B04BB8" w:rsidP="001348D2">
      <w:pPr>
        <w:spacing w:after="0" w:line="240" w:lineRule="auto"/>
        <w:jc w:val="both"/>
        <w:rPr>
          <w:rFonts w:ascii="Avenir Book" w:hAnsi="Avenir Book"/>
        </w:rPr>
      </w:pPr>
      <w:r w:rsidRPr="001348D2">
        <w:rPr>
          <w:rFonts w:ascii="Avenir Book" w:hAnsi="Avenir Book"/>
          <w:lang w:val="en-GB"/>
        </w:rPr>
        <w:t>Canadian courts</w:t>
      </w:r>
      <w:r w:rsidR="0039001C" w:rsidRPr="001348D2">
        <w:rPr>
          <w:rFonts w:ascii="Avenir Book" w:hAnsi="Avenir Book"/>
          <w:lang w:val="en-GB"/>
        </w:rPr>
        <w:t>, for example,</w:t>
      </w:r>
      <w:r w:rsidRPr="001348D2">
        <w:rPr>
          <w:rFonts w:ascii="Avenir Book" w:hAnsi="Avenir Book"/>
          <w:lang w:val="en-GB"/>
        </w:rPr>
        <w:t xml:space="preserve"> have</w:t>
      </w:r>
      <w:r w:rsidR="008E5667" w:rsidRPr="001348D2">
        <w:rPr>
          <w:rFonts w:ascii="Avenir Book" w:hAnsi="Avenir Book"/>
          <w:lang w:val="en-GB"/>
        </w:rPr>
        <w:t xml:space="preserve"> </w:t>
      </w:r>
      <w:r w:rsidRPr="001348D2">
        <w:rPr>
          <w:rFonts w:ascii="Avenir Book" w:hAnsi="Avenir Book"/>
          <w:lang w:val="en-GB"/>
        </w:rPr>
        <w:t xml:space="preserve">emphasised the need to </w:t>
      </w:r>
      <w:r w:rsidR="008E5667" w:rsidRPr="001348D2">
        <w:rPr>
          <w:rFonts w:ascii="Avenir Book" w:hAnsi="Avenir Book"/>
          <w:lang w:val="en-GB"/>
        </w:rPr>
        <w:t>reconceptualise</w:t>
      </w:r>
      <w:r w:rsidRPr="001348D2">
        <w:rPr>
          <w:rFonts w:ascii="Avenir Book" w:hAnsi="Avenir Book"/>
          <w:lang w:val="en-GB"/>
        </w:rPr>
        <w:t xml:space="preserve"> accommodation </w:t>
      </w:r>
      <w:r w:rsidR="008E5667" w:rsidRPr="001348D2">
        <w:rPr>
          <w:rFonts w:ascii="Avenir Book" w:hAnsi="Avenir Book"/>
          <w:lang w:val="en-GB"/>
        </w:rPr>
        <w:t>by, whenever possible, putting it a</w:t>
      </w:r>
      <w:r w:rsidR="00171645" w:rsidRPr="001348D2">
        <w:rPr>
          <w:rFonts w:ascii="Avenir Book" w:hAnsi="Avenir Book"/>
          <w:lang w:val="en-GB"/>
        </w:rPr>
        <w:t>t</w:t>
      </w:r>
      <w:r w:rsidR="008E5667" w:rsidRPr="001348D2">
        <w:rPr>
          <w:rFonts w:ascii="Avenir Book" w:hAnsi="Avenir Book"/>
          <w:lang w:val="en-GB"/>
        </w:rPr>
        <w:t xml:space="preserve"> the </w:t>
      </w:r>
      <w:r w:rsidRPr="001348D2">
        <w:rPr>
          <w:rFonts w:ascii="Avenir Book" w:hAnsi="Avenir Book"/>
          <w:lang w:val="en-GB"/>
        </w:rPr>
        <w:t xml:space="preserve">beginning of the process.  </w:t>
      </w:r>
      <w:r w:rsidRPr="001348D2">
        <w:rPr>
          <w:rFonts w:ascii="Avenir Book" w:hAnsi="Avenir Book"/>
        </w:rPr>
        <w:t xml:space="preserve">In the </w:t>
      </w:r>
      <w:proofErr w:type="spellStart"/>
      <w:r w:rsidRPr="001348D2">
        <w:rPr>
          <w:rFonts w:ascii="Avenir Book" w:hAnsi="Avenir Book"/>
          <w:i/>
        </w:rPr>
        <w:t>Meiorin</w:t>
      </w:r>
      <w:proofErr w:type="spellEnd"/>
      <w:r w:rsidRPr="001348D2">
        <w:rPr>
          <w:rFonts w:ascii="Avenir Book" w:hAnsi="Avenir Book"/>
        </w:rPr>
        <w:t xml:space="preserve"> and</w:t>
      </w:r>
      <w:r w:rsidRPr="001348D2">
        <w:rPr>
          <w:rFonts w:ascii="Avenir Book" w:hAnsi="Avenir Book"/>
          <w:i/>
        </w:rPr>
        <w:t xml:space="preserve"> </w:t>
      </w:r>
      <w:proofErr w:type="spellStart"/>
      <w:r w:rsidRPr="001348D2">
        <w:rPr>
          <w:rFonts w:ascii="Avenir Book" w:hAnsi="Avenir Book"/>
          <w:i/>
        </w:rPr>
        <w:t>Grismer</w:t>
      </w:r>
      <w:proofErr w:type="spellEnd"/>
      <w:r w:rsidRPr="001348D2">
        <w:rPr>
          <w:rFonts w:ascii="Avenir Book" w:hAnsi="Avenir Book"/>
        </w:rPr>
        <w:t xml:space="preserve"> cases,</w:t>
      </w:r>
      <w:r w:rsidRPr="001348D2">
        <w:rPr>
          <w:rStyle w:val="FootnoteReference"/>
          <w:rFonts w:ascii="Avenir Book" w:hAnsi="Avenir Book"/>
        </w:rPr>
        <w:footnoteReference w:id="5"/>
      </w:r>
      <w:r w:rsidRPr="001348D2">
        <w:rPr>
          <w:rFonts w:ascii="Avenir Book" w:hAnsi="Avenir Book"/>
        </w:rPr>
        <w:t xml:space="preserve"> </w:t>
      </w:r>
      <w:r w:rsidR="009900D8" w:rsidRPr="001348D2">
        <w:rPr>
          <w:rFonts w:ascii="Avenir Book" w:hAnsi="Avenir Book"/>
        </w:rPr>
        <w:t xml:space="preserve">the Supreme Court </w:t>
      </w:r>
      <w:r w:rsidR="00910B7A" w:rsidRPr="001348D2">
        <w:rPr>
          <w:rFonts w:ascii="Avenir Book" w:hAnsi="Avenir Book"/>
        </w:rPr>
        <w:t xml:space="preserve">of Canada </w:t>
      </w:r>
      <w:r w:rsidR="009900D8" w:rsidRPr="001348D2">
        <w:rPr>
          <w:rFonts w:ascii="Avenir Book" w:hAnsi="Avenir Book"/>
        </w:rPr>
        <w:t xml:space="preserve">directed </w:t>
      </w:r>
      <w:r w:rsidR="00910B7A" w:rsidRPr="001348D2">
        <w:rPr>
          <w:rFonts w:ascii="Avenir Book" w:hAnsi="Avenir Book"/>
        </w:rPr>
        <w:t>obligation-</w:t>
      </w:r>
      <w:r w:rsidR="00411868" w:rsidRPr="001348D2">
        <w:rPr>
          <w:rFonts w:ascii="Avenir Book" w:hAnsi="Avenir Book"/>
        </w:rPr>
        <w:t xml:space="preserve">holders </w:t>
      </w:r>
      <w:r w:rsidR="009900D8" w:rsidRPr="001348D2">
        <w:rPr>
          <w:rFonts w:ascii="Avenir Book" w:hAnsi="Avenir Book"/>
        </w:rPr>
        <w:t xml:space="preserve">to no longer simply rely on </w:t>
      </w:r>
      <w:r w:rsidRPr="001348D2">
        <w:rPr>
          <w:rFonts w:ascii="Avenir Book" w:hAnsi="Avenir Book"/>
        </w:rPr>
        <w:t>individualized accommodation</w:t>
      </w:r>
      <w:r w:rsidR="00411868" w:rsidRPr="001348D2">
        <w:rPr>
          <w:rFonts w:ascii="Avenir Book" w:hAnsi="Avenir Book"/>
        </w:rPr>
        <w:t xml:space="preserve"> in</w:t>
      </w:r>
      <w:r w:rsidRPr="001348D2">
        <w:rPr>
          <w:rFonts w:ascii="Avenir Book" w:hAnsi="Avenir Book"/>
        </w:rPr>
        <w:t xml:space="preserve"> response to requests from employees who face barriers in the workplace. As a result, employers and service providers must make sure that they build accommodation into their policies and practices at the design stage</w:t>
      </w:r>
      <w:r w:rsidR="009900D8" w:rsidRPr="001348D2">
        <w:rPr>
          <w:rFonts w:ascii="Avenir Book" w:hAnsi="Avenir Book"/>
        </w:rPr>
        <w:t>.</w:t>
      </w:r>
      <w:r w:rsidR="00D2368B" w:rsidRPr="001348D2">
        <w:rPr>
          <w:rFonts w:ascii="Avenir Book" w:hAnsi="Avenir Book"/>
        </w:rPr>
        <w:t xml:space="preserve">  This approach to accommodation is in line with the principles of universal design (included in Article 2) that emphasizes the need to design policies, programs, and facilities in such a way as to be usable by as broad a spectrum of people as possible.  It is also consistent with the principles of inclusion, autonomy and independence that are fundamental to the </w:t>
      </w:r>
      <w:r w:rsidR="00910B7A" w:rsidRPr="001348D2">
        <w:rPr>
          <w:rFonts w:ascii="Avenir Book" w:hAnsi="Avenir Book"/>
        </w:rPr>
        <w:t>CRPD</w:t>
      </w:r>
      <w:r w:rsidR="00D2368B" w:rsidRPr="001348D2">
        <w:rPr>
          <w:rFonts w:ascii="Avenir Book" w:hAnsi="Avenir Book"/>
        </w:rPr>
        <w:t>.</w:t>
      </w:r>
    </w:p>
    <w:p w14:paraId="6E404A45" w14:textId="77777777" w:rsidR="00D2368B" w:rsidRPr="001348D2" w:rsidRDefault="00D2368B" w:rsidP="001348D2">
      <w:pPr>
        <w:spacing w:after="0" w:line="240" w:lineRule="auto"/>
        <w:jc w:val="both"/>
        <w:rPr>
          <w:rFonts w:ascii="Avenir Book" w:hAnsi="Avenir Book"/>
        </w:rPr>
      </w:pPr>
    </w:p>
    <w:p w14:paraId="336E1E85" w14:textId="04CD3448" w:rsidR="00B04BB8" w:rsidRPr="001348D2" w:rsidRDefault="00B04BB8" w:rsidP="001348D2">
      <w:pPr>
        <w:spacing w:after="0" w:line="240" w:lineRule="auto"/>
        <w:jc w:val="both"/>
        <w:rPr>
          <w:rFonts w:ascii="Avenir Book" w:hAnsi="Avenir Book"/>
        </w:rPr>
      </w:pPr>
      <w:r w:rsidRPr="001348D2">
        <w:rPr>
          <w:rFonts w:ascii="Avenir Book" w:hAnsi="Avenir Book"/>
        </w:rPr>
        <w:t xml:space="preserve">The development and enforcement of strong </w:t>
      </w:r>
      <w:r w:rsidR="008E5667" w:rsidRPr="001348D2">
        <w:rPr>
          <w:rFonts w:ascii="Avenir Book" w:hAnsi="Avenir Book"/>
        </w:rPr>
        <w:t xml:space="preserve">accessibility </w:t>
      </w:r>
      <w:r w:rsidRPr="001348D2">
        <w:rPr>
          <w:rFonts w:ascii="Avenir Book" w:hAnsi="Avenir Book"/>
        </w:rPr>
        <w:t>standards</w:t>
      </w:r>
      <w:r w:rsidR="008E5667" w:rsidRPr="001348D2">
        <w:rPr>
          <w:rFonts w:ascii="Avenir Book" w:hAnsi="Avenir Book"/>
        </w:rPr>
        <w:t>, as referenced in Articles 6 and 9,</w:t>
      </w:r>
      <w:r w:rsidRPr="001348D2">
        <w:rPr>
          <w:rFonts w:ascii="Avenir Book" w:hAnsi="Avenir Book"/>
        </w:rPr>
        <w:t xml:space="preserve"> is also critical to preventing and removing discriminatory barriers to </w:t>
      </w:r>
      <w:r w:rsidR="00411868" w:rsidRPr="001348D2">
        <w:rPr>
          <w:rFonts w:ascii="Avenir Book" w:hAnsi="Avenir Book"/>
        </w:rPr>
        <w:t xml:space="preserve">persons with </w:t>
      </w:r>
      <w:r w:rsidR="00D2368B" w:rsidRPr="001348D2">
        <w:rPr>
          <w:rFonts w:ascii="Avenir Book" w:hAnsi="Avenir Book"/>
        </w:rPr>
        <w:t>disabilities</w:t>
      </w:r>
      <w:r w:rsidRPr="001348D2">
        <w:rPr>
          <w:rFonts w:ascii="Avenir Book" w:hAnsi="Avenir Book"/>
        </w:rPr>
        <w:t xml:space="preserve"> before they result in discrimination.</w:t>
      </w:r>
      <w:r w:rsidR="001B7A6A" w:rsidRPr="001348D2">
        <w:rPr>
          <w:rStyle w:val="FootnoteReference"/>
          <w:rFonts w:ascii="Avenir Book" w:hAnsi="Avenir Book" w:cs="Arial"/>
        </w:rPr>
        <w:footnoteReference w:id="6"/>
      </w:r>
      <w:r w:rsidRPr="001348D2">
        <w:rPr>
          <w:rFonts w:ascii="Avenir Book" w:hAnsi="Avenir Book" w:cs="Arial"/>
        </w:rPr>
        <w:t xml:space="preserve"> </w:t>
      </w:r>
      <w:r w:rsidRPr="001348D2">
        <w:rPr>
          <w:rFonts w:ascii="Avenir Book" w:hAnsi="Avenir Book"/>
        </w:rPr>
        <w:t xml:space="preserve"> Legal procedures, while important, have</w:t>
      </w:r>
      <w:r w:rsidR="008E5667" w:rsidRPr="001348D2">
        <w:rPr>
          <w:rFonts w:ascii="Avenir Book" w:hAnsi="Avenir Book"/>
        </w:rPr>
        <w:t>,</w:t>
      </w:r>
      <w:r w:rsidRPr="001348D2">
        <w:rPr>
          <w:rFonts w:ascii="Avenir Book" w:hAnsi="Avenir Book"/>
        </w:rPr>
        <w:t xml:space="preserve"> in </w:t>
      </w:r>
      <w:r w:rsidR="00103D94" w:rsidRPr="001348D2">
        <w:rPr>
          <w:rFonts w:ascii="Avenir Book" w:hAnsi="Avenir Book" w:cs="Arial"/>
        </w:rPr>
        <w:t xml:space="preserve">many </w:t>
      </w:r>
      <w:r w:rsidRPr="001348D2">
        <w:rPr>
          <w:rFonts w:ascii="Avenir Book" w:hAnsi="Avenir Book"/>
        </w:rPr>
        <w:t>jurisdictions, not resulted in the broad system</w:t>
      </w:r>
      <w:r w:rsidR="00D2368B" w:rsidRPr="001348D2">
        <w:rPr>
          <w:rFonts w:ascii="Avenir Book" w:hAnsi="Avenir Book"/>
        </w:rPr>
        <w:t>ic change that is required under the CRPD</w:t>
      </w:r>
      <w:r w:rsidRPr="001348D2">
        <w:rPr>
          <w:rFonts w:ascii="Avenir Book" w:hAnsi="Avenir Book"/>
        </w:rPr>
        <w:t>.  Achieving equality by replacing stairs with ramps, one staircase at a time, will never be effective.</w:t>
      </w:r>
    </w:p>
    <w:p w14:paraId="6592A2A7" w14:textId="77777777" w:rsidR="00144424" w:rsidRDefault="00144424" w:rsidP="001348D2">
      <w:pPr>
        <w:spacing w:after="0" w:line="240" w:lineRule="auto"/>
        <w:jc w:val="both"/>
        <w:rPr>
          <w:rFonts w:ascii="Avenir Book" w:hAnsi="Avenir Book" w:cs="Arial"/>
        </w:rPr>
      </w:pPr>
    </w:p>
    <w:p w14:paraId="2C1B35B8" w14:textId="77777777" w:rsidR="00E3426B" w:rsidRDefault="00E3426B" w:rsidP="001348D2">
      <w:pPr>
        <w:spacing w:after="0" w:line="240" w:lineRule="auto"/>
        <w:jc w:val="both"/>
        <w:rPr>
          <w:rFonts w:ascii="Avenir Book" w:hAnsi="Avenir Book" w:cs="Arial"/>
        </w:rPr>
      </w:pPr>
    </w:p>
    <w:p w14:paraId="1A235BF3" w14:textId="77777777" w:rsidR="00E3426B" w:rsidRDefault="00E3426B" w:rsidP="001348D2">
      <w:pPr>
        <w:spacing w:after="0" w:line="240" w:lineRule="auto"/>
        <w:jc w:val="both"/>
        <w:rPr>
          <w:rFonts w:ascii="Avenir Book" w:hAnsi="Avenir Book" w:cs="Arial"/>
        </w:rPr>
      </w:pPr>
    </w:p>
    <w:p w14:paraId="598B48A0" w14:textId="77777777" w:rsidR="00E3426B" w:rsidRPr="001348D2" w:rsidRDefault="00E3426B" w:rsidP="001348D2">
      <w:pPr>
        <w:spacing w:after="0" w:line="240" w:lineRule="auto"/>
        <w:jc w:val="both"/>
        <w:rPr>
          <w:rFonts w:ascii="Avenir Book" w:hAnsi="Avenir Book" w:cs="Arial"/>
        </w:rPr>
      </w:pPr>
    </w:p>
    <w:p w14:paraId="4576D807" w14:textId="77777777" w:rsidR="00C32D0C" w:rsidRPr="001348D2" w:rsidRDefault="00C32D0C" w:rsidP="001348D2">
      <w:pPr>
        <w:spacing w:after="0" w:line="240" w:lineRule="auto"/>
        <w:jc w:val="both"/>
        <w:rPr>
          <w:rFonts w:ascii="Avenir Book" w:hAnsi="Avenir Book" w:cs="Arial"/>
        </w:rPr>
      </w:pPr>
    </w:p>
    <w:p w14:paraId="57B39E0C" w14:textId="77777777" w:rsidR="001348D2" w:rsidRPr="001348D2" w:rsidRDefault="001348D2" w:rsidP="001348D2">
      <w:pPr>
        <w:pStyle w:val="Recommendation"/>
      </w:pPr>
      <w:r w:rsidRPr="001348D2">
        <w:lastRenderedPageBreak/>
        <w:t xml:space="preserve">RECOMMENDATION 2: The General Comment should include reference to: </w:t>
      </w:r>
    </w:p>
    <w:p w14:paraId="78C2CF26" w14:textId="77777777" w:rsidR="001348D2" w:rsidRPr="001348D2" w:rsidRDefault="001348D2" w:rsidP="001348D2">
      <w:pPr>
        <w:pStyle w:val="Recommendation"/>
      </w:pPr>
      <w:r w:rsidRPr="001348D2">
        <w:t xml:space="preserve">1. the requirement that achievement of equality before and under the law requires States Parties to implement positive measures to identify and remove barriers before they result in discrimination; </w:t>
      </w:r>
    </w:p>
    <w:p w14:paraId="4B56378C" w14:textId="77777777" w:rsidR="001348D2" w:rsidRPr="001348D2" w:rsidRDefault="001348D2" w:rsidP="001348D2">
      <w:pPr>
        <w:pStyle w:val="Recommendation"/>
      </w:pPr>
      <w:r w:rsidRPr="001348D2">
        <w:t xml:space="preserve">2. the need to incorporate the principles of reasonable accommodation and universal design into the development and revision of all laws, policies and procedures so as to ensure equality for all; </w:t>
      </w:r>
    </w:p>
    <w:p w14:paraId="50CE87DD" w14:textId="77777777" w:rsidR="001348D2" w:rsidRPr="001348D2" w:rsidRDefault="001348D2" w:rsidP="001348D2">
      <w:pPr>
        <w:pStyle w:val="Recommendation"/>
      </w:pPr>
      <w:r w:rsidRPr="001348D2">
        <w:t xml:space="preserve">3. the need to create, implement, and enforce strong accessibility standards, including monitoring, evaluating and planning to rectify those entities in need of renovation; </w:t>
      </w:r>
    </w:p>
    <w:p w14:paraId="74CBF8BF" w14:textId="77777777" w:rsidR="001348D2" w:rsidRDefault="001348D2" w:rsidP="001348D2">
      <w:pPr>
        <w:pStyle w:val="Recommendation"/>
      </w:pPr>
      <w:r w:rsidRPr="001348D2">
        <w:t xml:space="preserve">4. the need for reasonable accommodation in relation to information communication technology (ICT) including the need to have products in accessible formats; and 5. the need for training and capacity building of relevant authorities. </w:t>
      </w:r>
    </w:p>
    <w:p w14:paraId="62C28539" w14:textId="77777777" w:rsidR="001348D2" w:rsidRPr="001348D2" w:rsidRDefault="001348D2" w:rsidP="001348D2">
      <w:pPr>
        <w:pStyle w:val="Recommendation"/>
      </w:pPr>
    </w:p>
    <w:p w14:paraId="7D5FD8A1" w14:textId="77777777" w:rsidR="001348D2" w:rsidRDefault="001348D2" w:rsidP="001348D2">
      <w:pPr>
        <w:pStyle w:val="Recommendation"/>
      </w:pPr>
      <w:r w:rsidRPr="001348D2">
        <w:t xml:space="preserve">Each of the main forms of discrimination should be further explained, and distinguished from each other, with concrete examples. The General Comment should also give a more detailed explanation, including concrete examples, of the practical application of </w:t>
      </w:r>
      <w:proofErr w:type="spellStart"/>
      <w:r w:rsidRPr="001348D2">
        <w:t>i</w:t>
      </w:r>
      <w:proofErr w:type="spellEnd"/>
      <w:r w:rsidRPr="001348D2">
        <w:t xml:space="preserve">) reasonable accommodation in the provision of goods and services and ii) the prohibition of discrimination in the provision of goods and services in the private sector. </w:t>
      </w:r>
    </w:p>
    <w:p w14:paraId="5B7DD0BE" w14:textId="77777777" w:rsidR="001348D2" w:rsidRPr="001348D2" w:rsidRDefault="001348D2" w:rsidP="001348D2">
      <w:pPr>
        <w:pStyle w:val="Recommendation"/>
      </w:pPr>
    </w:p>
    <w:p w14:paraId="54EBB252" w14:textId="77777777" w:rsidR="001348D2" w:rsidRDefault="001348D2" w:rsidP="001348D2">
      <w:pPr>
        <w:pStyle w:val="Recommendation"/>
      </w:pPr>
      <w:r w:rsidRPr="001348D2">
        <w:t xml:space="preserve">The example of ‘disability-based violence in all its appearances, such as rape, abuse and exploitation, hate-crime, and beatings’ should be </w:t>
      </w:r>
      <w:proofErr w:type="spellStart"/>
      <w:proofErr w:type="gramStart"/>
      <w:r w:rsidRPr="001348D2">
        <w:t>be</w:t>
      </w:r>
      <w:proofErr w:type="spellEnd"/>
      <w:proofErr w:type="gramEnd"/>
      <w:r w:rsidRPr="001348D2">
        <w:t xml:space="preserve"> re-positioned setting out that States Parties should ensure that national policy and legislative frameworks, including sentencing guidelines, </w:t>
      </w:r>
      <w:proofErr w:type="spellStart"/>
      <w:r w:rsidRPr="001348D2">
        <w:t>recognise</w:t>
      </w:r>
      <w:proofErr w:type="spellEnd"/>
      <w:r w:rsidRPr="001348D2">
        <w:t xml:space="preserve"> disability-hostility as an aggravating factor when recording, investigating, prosecuting and sentencing such crimes. </w:t>
      </w:r>
    </w:p>
    <w:p w14:paraId="04BDFE97" w14:textId="77777777" w:rsidR="001348D2" w:rsidRPr="001348D2" w:rsidRDefault="001348D2" w:rsidP="001348D2">
      <w:pPr>
        <w:pStyle w:val="Recommendation"/>
      </w:pPr>
      <w:bookmarkStart w:id="18" w:name="_GoBack"/>
      <w:bookmarkEnd w:id="18"/>
    </w:p>
    <w:p w14:paraId="7204CE85" w14:textId="7124D472" w:rsidR="001348D2" w:rsidRPr="001348D2" w:rsidRDefault="001348D2" w:rsidP="001348D2">
      <w:pPr>
        <w:pStyle w:val="Recommendation"/>
      </w:pPr>
      <w:r w:rsidRPr="001348D2">
        <w:t>Paragraphs 20 and 76 d) should include ‘instruction to discriminate’.</w:t>
      </w:r>
    </w:p>
    <w:p w14:paraId="75020705" w14:textId="77777777" w:rsidR="00AC0CFD" w:rsidRDefault="00AC0CFD" w:rsidP="001348D2">
      <w:pPr>
        <w:spacing w:after="0"/>
        <w:jc w:val="both"/>
        <w:rPr>
          <w:rFonts w:ascii="Avenir Book" w:hAnsi="Avenir Book"/>
        </w:rPr>
      </w:pPr>
    </w:p>
    <w:p w14:paraId="6C1DA912" w14:textId="77777777" w:rsidR="00D2497B" w:rsidRPr="001348D2" w:rsidRDefault="00D2497B" w:rsidP="001348D2">
      <w:pPr>
        <w:spacing w:after="0"/>
        <w:jc w:val="both"/>
        <w:rPr>
          <w:rFonts w:ascii="Avenir Book" w:hAnsi="Avenir Book"/>
        </w:rPr>
      </w:pPr>
    </w:p>
    <w:p w14:paraId="69D43EA8" w14:textId="5C5AE284" w:rsidR="00B04BB8" w:rsidRPr="001348D2" w:rsidRDefault="00582255" w:rsidP="001348D2">
      <w:pPr>
        <w:pStyle w:val="Heading1"/>
        <w:jc w:val="both"/>
        <w:rPr>
          <w:rFonts w:ascii="Avenir Book" w:hAnsi="Avenir Book"/>
          <w:sz w:val="22"/>
          <w:szCs w:val="22"/>
        </w:rPr>
      </w:pPr>
      <w:bookmarkStart w:id="19" w:name="_Toc496250080"/>
      <w:bookmarkStart w:id="20" w:name="_Toc496250156"/>
      <w:bookmarkStart w:id="21" w:name="_Toc501561468"/>
      <w:r w:rsidRPr="001348D2">
        <w:rPr>
          <w:rFonts w:ascii="Avenir Book" w:hAnsi="Avenir Book"/>
          <w:sz w:val="22"/>
          <w:szCs w:val="22"/>
        </w:rPr>
        <w:t xml:space="preserve">Art. 5 (3) </w:t>
      </w:r>
      <w:r w:rsidR="00BF19DF" w:rsidRPr="001348D2">
        <w:rPr>
          <w:rFonts w:ascii="Avenir Book" w:hAnsi="Avenir Book"/>
          <w:sz w:val="22"/>
          <w:szCs w:val="22"/>
        </w:rPr>
        <w:t xml:space="preserve">- </w:t>
      </w:r>
      <w:r w:rsidRPr="001348D2">
        <w:rPr>
          <w:rFonts w:ascii="Avenir Book" w:hAnsi="Avenir Book"/>
          <w:sz w:val="22"/>
          <w:szCs w:val="22"/>
        </w:rPr>
        <w:t>Reasonable Accommodation</w:t>
      </w:r>
      <w:bookmarkEnd w:id="19"/>
      <w:bookmarkEnd w:id="20"/>
      <w:r w:rsidR="00BF19DF" w:rsidRPr="001348D2">
        <w:rPr>
          <w:rFonts w:ascii="Avenir Book" w:hAnsi="Avenir Book"/>
          <w:sz w:val="22"/>
          <w:szCs w:val="22"/>
        </w:rPr>
        <w:t xml:space="preserve"> </w:t>
      </w:r>
      <w:r w:rsidR="00325862" w:rsidRPr="001348D2">
        <w:rPr>
          <w:rFonts w:ascii="Avenir Book" w:hAnsi="Avenir Book"/>
          <w:sz w:val="22"/>
          <w:szCs w:val="22"/>
        </w:rPr>
        <w:t>(P</w:t>
      </w:r>
      <w:r w:rsidR="00BF19DF" w:rsidRPr="001348D2">
        <w:rPr>
          <w:rFonts w:ascii="Avenir Book" w:hAnsi="Avenir Book"/>
          <w:sz w:val="22"/>
          <w:szCs w:val="22"/>
        </w:rPr>
        <w:t>aragraphs 2</w:t>
      </w:r>
      <w:r w:rsidR="00572C7E" w:rsidRPr="001348D2">
        <w:rPr>
          <w:rFonts w:ascii="Avenir Book" w:hAnsi="Avenir Book"/>
          <w:sz w:val="22"/>
          <w:szCs w:val="22"/>
        </w:rPr>
        <w:t>4</w:t>
      </w:r>
      <w:r w:rsidR="00BF19DF" w:rsidRPr="001348D2">
        <w:rPr>
          <w:rFonts w:ascii="Avenir Book" w:hAnsi="Avenir Book"/>
          <w:sz w:val="22"/>
          <w:szCs w:val="22"/>
        </w:rPr>
        <w:t>-2</w:t>
      </w:r>
      <w:r w:rsidR="00572C7E" w:rsidRPr="001348D2">
        <w:rPr>
          <w:rFonts w:ascii="Avenir Book" w:hAnsi="Avenir Book"/>
          <w:sz w:val="22"/>
          <w:szCs w:val="22"/>
        </w:rPr>
        <w:t>8</w:t>
      </w:r>
      <w:r w:rsidR="00BF19DF" w:rsidRPr="001348D2">
        <w:rPr>
          <w:rFonts w:ascii="Avenir Book" w:hAnsi="Avenir Book"/>
          <w:sz w:val="22"/>
          <w:szCs w:val="22"/>
        </w:rPr>
        <w:t>)</w:t>
      </w:r>
      <w:bookmarkEnd w:id="21"/>
    </w:p>
    <w:p w14:paraId="0E749CE9" w14:textId="77777777" w:rsidR="00325862" w:rsidRPr="001348D2" w:rsidRDefault="00325862" w:rsidP="001348D2">
      <w:pPr>
        <w:jc w:val="both"/>
        <w:rPr>
          <w:rFonts w:ascii="Avenir Book" w:hAnsi="Avenir Book"/>
        </w:rPr>
      </w:pPr>
    </w:p>
    <w:p w14:paraId="2AB43D02" w14:textId="77777777" w:rsidR="00427E3B" w:rsidRPr="001348D2" w:rsidRDefault="0043767A" w:rsidP="001348D2">
      <w:pPr>
        <w:jc w:val="both"/>
        <w:rPr>
          <w:rFonts w:ascii="Avenir Book" w:hAnsi="Avenir Book"/>
        </w:rPr>
      </w:pPr>
      <w:r w:rsidRPr="001348D2">
        <w:rPr>
          <w:rFonts w:ascii="Avenir Book" w:hAnsi="Avenir Book"/>
        </w:rPr>
        <w:t>GANHRI</w:t>
      </w:r>
      <w:r w:rsidR="00B04BB8" w:rsidRPr="001348D2">
        <w:rPr>
          <w:rFonts w:ascii="Avenir Book" w:hAnsi="Avenir Book"/>
        </w:rPr>
        <w:t xml:space="preserve"> cautions the Committee from</w:t>
      </w:r>
      <w:r w:rsidR="00163DF8" w:rsidRPr="001348D2">
        <w:rPr>
          <w:rFonts w:ascii="Avenir Book" w:hAnsi="Avenir Book"/>
        </w:rPr>
        <w:t xml:space="preserve"> taking too rigid </w:t>
      </w:r>
      <w:r w:rsidRPr="001348D2">
        <w:rPr>
          <w:rFonts w:ascii="Avenir Book" w:hAnsi="Avenir Book"/>
        </w:rPr>
        <w:t xml:space="preserve">an </w:t>
      </w:r>
      <w:r w:rsidR="00163DF8" w:rsidRPr="001348D2">
        <w:rPr>
          <w:rFonts w:ascii="Avenir Book" w:hAnsi="Avenir Book"/>
        </w:rPr>
        <w:t xml:space="preserve">approach in </w:t>
      </w:r>
      <w:r w:rsidR="00B04BB8" w:rsidRPr="001348D2">
        <w:rPr>
          <w:rFonts w:ascii="Avenir Book" w:hAnsi="Avenir Book"/>
        </w:rPr>
        <w:t>making the distinction between accommodation duties and accessibility duties.  While the dichotomy outlined in para 25 is generally correct</w:t>
      </w:r>
      <w:r w:rsidR="00427E3B" w:rsidRPr="001348D2">
        <w:rPr>
          <w:rFonts w:ascii="Avenir Book" w:hAnsi="Avenir Book"/>
        </w:rPr>
        <w:t>,</w:t>
      </w:r>
      <w:r w:rsidR="00163DF8" w:rsidRPr="001348D2">
        <w:rPr>
          <w:rFonts w:ascii="Avenir Book" w:hAnsi="Avenir Book"/>
        </w:rPr>
        <w:t xml:space="preserve"> </w:t>
      </w:r>
      <w:r w:rsidR="00B04BB8" w:rsidRPr="001348D2">
        <w:rPr>
          <w:rFonts w:ascii="Avenir Book" w:hAnsi="Avenir Book"/>
        </w:rPr>
        <w:t>the Canadian courts</w:t>
      </w:r>
      <w:r w:rsidRPr="001348D2">
        <w:rPr>
          <w:rFonts w:ascii="Avenir Book" w:hAnsi="Avenir Book"/>
        </w:rPr>
        <w:t>, for example,</w:t>
      </w:r>
      <w:r w:rsidR="00B04BB8" w:rsidRPr="001348D2">
        <w:rPr>
          <w:rFonts w:ascii="Avenir Book" w:hAnsi="Avenir Book"/>
        </w:rPr>
        <w:t xml:space="preserve"> have taken a broader approach</w:t>
      </w:r>
      <w:r w:rsidR="00427E3B" w:rsidRPr="001348D2">
        <w:rPr>
          <w:rFonts w:ascii="Avenir Book" w:hAnsi="Avenir Book"/>
        </w:rPr>
        <w:t>,</w:t>
      </w:r>
      <w:r w:rsidR="00B04BB8" w:rsidRPr="001348D2">
        <w:rPr>
          <w:rFonts w:ascii="Avenir Book" w:hAnsi="Avenir Book"/>
        </w:rPr>
        <w:t xml:space="preserve"> seeing the duty to accommodate and the requirement of accessibility as part of a comprehensive approach to advancing substantive</w:t>
      </w:r>
      <w:r w:rsidR="00163DF8" w:rsidRPr="001348D2">
        <w:rPr>
          <w:rFonts w:ascii="Avenir Book" w:hAnsi="Avenir Book"/>
        </w:rPr>
        <w:t xml:space="preserve"> and</w:t>
      </w:r>
      <w:r w:rsidR="00B04BB8" w:rsidRPr="001348D2">
        <w:rPr>
          <w:rFonts w:ascii="Avenir Book" w:hAnsi="Avenir Book"/>
        </w:rPr>
        <w:t xml:space="preserve"> transformative equal</w:t>
      </w:r>
      <w:r w:rsidR="00427E3B" w:rsidRPr="001348D2">
        <w:rPr>
          <w:rFonts w:ascii="Avenir Book" w:hAnsi="Avenir Book"/>
        </w:rPr>
        <w:t>ity</w:t>
      </w:r>
      <w:r w:rsidR="00B04BB8" w:rsidRPr="001348D2">
        <w:rPr>
          <w:rFonts w:ascii="Avenir Book" w:hAnsi="Avenir Book"/>
        </w:rPr>
        <w:t xml:space="preserve">.  </w:t>
      </w:r>
    </w:p>
    <w:p w14:paraId="101B382A" w14:textId="206C6867" w:rsidR="00074CFC" w:rsidRPr="001348D2" w:rsidRDefault="00B04BB8" w:rsidP="001348D2">
      <w:pPr>
        <w:jc w:val="both"/>
        <w:rPr>
          <w:rFonts w:ascii="Avenir Book" w:hAnsi="Avenir Book" w:cs="Arial"/>
        </w:rPr>
      </w:pPr>
      <w:r w:rsidRPr="001348D2">
        <w:rPr>
          <w:rFonts w:ascii="Avenir Book" w:hAnsi="Avenir Book"/>
        </w:rPr>
        <w:t xml:space="preserve">Accommodation of individual circumstances will always be necessary, but the adoption of universal design principles and strong accessibility standards should, over time, reduce the need for </w:t>
      </w:r>
      <w:r w:rsidR="0043767A" w:rsidRPr="001348D2">
        <w:rPr>
          <w:rFonts w:ascii="Avenir Book" w:hAnsi="Avenir Book"/>
        </w:rPr>
        <w:t>individual accommodation</w:t>
      </w:r>
      <w:r w:rsidR="005423FB" w:rsidRPr="001348D2">
        <w:rPr>
          <w:rFonts w:ascii="Avenir Book" w:hAnsi="Avenir Book"/>
        </w:rPr>
        <w:t>, p</w:t>
      </w:r>
      <w:r w:rsidR="00074CFC" w:rsidRPr="001348D2">
        <w:rPr>
          <w:rFonts w:ascii="Avenir Book" w:hAnsi="Avenir Book"/>
        </w:rPr>
        <w:t xml:space="preserve">rovided that measures to this end are visible and barrier-removal </w:t>
      </w:r>
      <w:r w:rsidR="00074CFC" w:rsidRPr="001348D2">
        <w:rPr>
          <w:rFonts w:ascii="Avenir Book" w:hAnsi="Avenir Book"/>
        </w:rPr>
        <w:lastRenderedPageBreak/>
        <w:t>of the various obstacles has been ach</w:t>
      </w:r>
      <w:r w:rsidR="005423FB" w:rsidRPr="001348D2">
        <w:rPr>
          <w:rFonts w:ascii="Avenir Book" w:hAnsi="Avenir Book"/>
        </w:rPr>
        <w:t>i</w:t>
      </w:r>
      <w:r w:rsidR="00074CFC" w:rsidRPr="001348D2">
        <w:rPr>
          <w:rFonts w:ascii="Avenir Book" w:hAnsi="Avenir Book"/>
        </w:rPr>
        <w:t>eved</w:t>
      </w:r>
      <w:r w:rsidRPr="001348D2">
        <w:rPr>
          <w:rFonts w:ascii="Avenir Book" w:hAnsi="Avenir Book" w:cs="Arial"/>
        </w:rPr>
        <w:t>.</w:t>
      </w:r>
      <w:r w:rsidRPr="001348D2">
        <w:rPr>
          <w:rFonts w:ascii="Avenir Book" w:hAnsi="Avenir Book"/>
        </w:rPr>
        <w:t xml:space="preserve">  In this context</w:t>
      </w:r>
      <w:r w:rsidR="0043767A" w:rsidRPr="001348D2">
        <w:rPr>
          <w:rFonts w:ascii="Avenir Book" w:hAnsi="Avenir Book"/>
        </w:rPr>
        <w:t>,</w:t>
      </w:r>
      <w:r w:rsidRPr="001348D2">
        <w:rPr>
          <w:rFonts w:ascii="Avenir Book" w:hAnsi="Avenir Book"/>
        </w:rPr>
        <w:t xml:space="preserve"> the distinction between </w:t>
      </w:r>
      <w:r w:rsidRPr="001348D2">
        <w:rPr>
          <w:rFonts w:ascii="Avenir Book" w:hAnsi="Avenir Book"/>
          <w:i/>
        </w:rPr>
        <w:t>ex ante</w:t>
      </w:r>
      <w:r w:rsidRPr="001348D2">
        <w:rPr>
          <w:rFonts w:ascii="Avenir Book" w:hAnsi="Avenir Book"/>
        </w:rPr>
        <w:t xml:space="preserve"> and </w:t>
      </w:r>
      <w:r w:rsidRPr="001348D2">
        <w:rPr>
          <w:rFonts w:ascii="Avenir Book" w:hAnsi="Avenir Book"/>
          <w:i/>
        </w:rPr>
        <w:t xml:space="preserve">ex </w:t>
      </w:r>
      <w:proofErr w:type="spellStart"/>
      <w:r w:rsidRPr="001348D2">
        <w:rPr>
          <w:rFonts w:ascii="Avenir Book" w:hAnsi="Avenir Book"/>
          <w:i/>
        </w:rPr>
        <w:t>nunc</w:t>
      </w:r>
      <w:proofErr w:type="spellEnd"/>
      <w:r w:rsidRPr="001348D2">
        <w:rPr>
          <w:rFonts w:ascii="Avenir Book" w:hAnsi="Avenir Book"/>
        </w:rPr>
        <w:t xml:space="preserve"> duties is less distinct.</w:t>
      </w:r>
      <w:r w:rsidR="00D154EA" w:rsidRPr="001348D2">
        <w:rPr>
          <w:rStyle w:val="FootnoteReference"/>
          <w:rFonts w:ascii="Avenir Book" w:hAnsi="Avenir Book" w:cs="Arial"/>
        </w:rPr>
        <w:footnoteReference w:id="7"/>
      </w:r>
    </w:p>
    <w:p w14:paraId="7E1A3F58" w14:textId="4ED1E6FA" w:rsidR="00427E3B" w:rsidRPr="001348D2" w:rsidRDefault="00163DF8" w:rsidP="001348D2">
      <w:pPr>
        <w:pStyle w:val="Recommendation"/>
      </w:pPr>
      <w:r w:rsidRPr="001348D2">
        <w:rPr>
          <w:u w:val="single"/>
        </w:rPr>
        <w:t>RECOMMENDATION</w:t>
      </w:r>
      <w:r w:rsidR="00BF19DF" w:rsidRPr="001348D2">
        <w:rPr>
          <w:u w:val="single"/>
        </w:rPr>
        <w:t xml:space="preserve"> 3</w:t>
      </w:r>
      <w:r w:rsidR="00BF19DF" w:rsidRPr="001348D2">
        <w:t xml:space="preserve">: </w:t>
      </w:r>
      <w:r w:rsidR="00427E3B" w:rsidRPr="001348D2">
        <w:t>The General Comment should note that</w:t>
      </w:r>
      <w:r w:rsidR="0043767A" w:rsidRPr="001348D2">
        <w:t>,</w:t>
      </w:r>
      <w:r w:rsidR="00427E3B" w:rsidRPr="001348D2">
        <w:t xml:space="preserve"> while the accommodation duty and the accessibility</w:t>
      </w:r>
      <w:r w:rsidR="0067590C" w:rsidRPr="001348D2">
        <w:t xml:space="preserve"> </w:t>
      </w:r>
      <w:r w:rsidR="006A2C6A" w:rsidRPr="001348D2">
        <w:t>duty are distinct</w:t>
      </w:r>
      <w:r w:rsidR="0043767A" w:rsidRPr="001348D2">
        <w:t>,</w:t>
      </w:r>
      <w:r w:rsidR="006A2C6A" w:rsidRPr="001348D2">
        <w:t xml:space="preserve"> they should be used in harmony with each other in order to achieve the overall objective of remov</w:t>
      </w:r>
      <w:r w:rsidR="0039001C" w:rsidRPr="001348D2">
        <w:t>ing</w:t>
      </w:r>
      <w:r w:rsidR="006A2C6A" w:rsidRPr="001348D2">
        <w:t xml:space="preserve"> barriers to the full equality of people with disabilities.</w:t>
      </w:r>
    </w:p>
    <w:p w14:paraId="3D78378C" w14:textId="77777777" w:rsidR="00DF6F8D" w:rsidRPr="001348D2" w:rsidRDefault="00DF6F8D" w:rsidP="001348D2">
      <w:pPr>
        <w:pStyle w:val="Recommendation"/>
      </w:pPr>
    </w:p>
    <w:p w14:paraId="4FFD12B9" w14:textId="4443A52B" w:rsidR="00427E3B" w:rsidRPr="001348D2" w:rsidRDefault="003D6F16" w:rsidP="001348D2">
      <w:pPr>
        <w:pStyle w:val="Recommendation"/>
      </w:pPr>
      <w:r w:rsidRPr="001348D2">
        <w:t>Paragraphs</w:t>
      </w:r>
      <w:r w:rsidR="00DF6F8D" w:rsidRPr="001348D2">
        <w:t xml:space="preserve"> 24-28 on reasonable accommodation should include a clear statement that the cost of reasonable accommodation cannot be onto the person with disabilities, support workers or family memb</w:t>
      </w:r>
      <w:r w:rsidR="0039001C" w:rsidRPr="001348D2">
        <w:t>ers.</w:t>
      </w:r>
    </w:p>
    <w:p w14:paraId="266EEE35" w14:textId="77777777" w:rsidR="00DA58CC" w:rsidRPr="001348D2" w:rsidRDefault="00DA58CC" w:rsidP="001348D2">
      <w:pPr>
        <w:jc w:val="both"/>
        <w:rPr>
          <w:rFonts w:ascii="Avenir Book" w:hAnsi="Avenir Book"/>
        </w:rPr>
      </w:pPr>
    </w:p>
    <w:p w14:paraId="5E9C20BF" w14:textId="429B2BD4" w:rsidR="00B04BB8" w:rsidRPr="001348D2" w:rsidRDefault="0043767A" w:rsidP="001348D2">
      <w:pPr>
        <w:jc w:val="both"/>
        <w:rPr>
          <w:rFonts w:ascii="Avenir Book" w:hAnsi="Avenir Book"/>
        </w:rPr>
      </w:pPr>
      <w:r w:rsidRPr="001348D2">
        <w:rPr>
          <w:rFonts w:ascii="Avenir Book" w:hAnsi="Avenir Book"/>
          <w:lang w:val="en-GB"/>
        </w:rPr>
        <w:t>The Committee may wish to draw from particular legal contexts in framing its discussion of disproportionate or undue burden.</w:t>
      </w:r>
      <w:r w:rsidR="0039001C" w:rsidRPr="001348D2">
        <w:rPr>
          <w:rStyle w:val="FootnoteReference"/>
          <w:rFonts w:ascii="Avenir Book" w:hAnsi="Avenir Book"/>
          <w:lang w:val="en-GB"/>
        </w:rPr>
        <w:footnoteReference w:id="8"/>
      </w:r>
      <w:r w:rsidRPr="001348D2">
        <w:rPr>
          <w:rFonts w:ascii="Avenir Book" w:hAnsi="Avenir Book"/>
          <w:lang w:val="en-GB"/>
        </w:rPr>
        <w:t xml:space="preserve"> </w:t>
      </w:r>
    </w:p>
    <w:p w14:paraId="6461CF7C" w14:textId="77777777" w:rsidR="006A2C6A" w:rsidRPr="001348D2" w:rsidRDefault="006A2C6A" w:rsidP="001348D2">
      <w:pPr>
        <w:shd w:val="clear" w:color="auto" w:fill="FFFFFF"/>
        <w:spacing w:after="0" w:line="240" w:lineRule="auto"/>
        <w:contextualSpacing/>
        <w:jc w:val="both"/>
        <w:textAlignment w:val="baseline"/>
        <w:rPr>
          <w:rFonts w:ascii="Avenir Book" w:hAnsi="Avenir Book"/>
        </w:rPr>
      </w:pPr>
    </w:p>
    <w:p w14:paraId="17DCCF85" w14:textId="6101FFC9" w:rsidR="006A2C6A" w:rsidRPr="001348D2" w:rsidRDefault="006A2C6A" w:rsidP="001348D2">
      <w:pPr>
        <w:pStyle w:val="Recommendation"/>
      </w:pPr>
      <w:r w:rsidRPr="001348D2">
        <w:rPr>
          <w:u w:val="single"/>
        </w:rPr>
        <w:lastRenderedPageBreak/>
        <w:t>RECOMMENDATION</w:t>
      </w:r>
      <w:r w:rsidR="00325862" w:rsidRPr="001348D2">
        <w:rPr>
          <w:u w:val="single"/>
        </w:rPr>
        <w:t xml:space="preserve"> 4</w:t>
      </w:r>
      <w:r w:rsidRPr="001348D2">
        <w:t>:</w:t>
      </w:r>
    </w:p>
    <w:p w14:paraId="2325C3F4" w14:textId="7FA58174" w:rsidR="00D545A4" w:rsidRPr="001348D2" w:rsidRDefault="00D545A4" w:rsidP="001348D2">
      <w:pPr>
        <w:pStyle w:val="Recommendation"/>
      </w:pPr>
      <w:r w:rsidRPr="001348D2">
        <w:t xml:space="preserve">A definition in relation to accessible formats as a form of reasonable accommodation could be added. </w:t>
      </w:r>
    </w:p>
    <w:p w14:paraId="0D11D40C" w14:textId="77777777" w:rsidR="00A36AD6" w:rsidRPr="001348D2" w:rsidRDefault="00A36AD6" w:rsidP="001348D2">
      <w:pPr>
        <w:spacing w:after="0" w:line="240" w:lineRule="auto"/>
        <w:jc w:val="both"/>
        <w:rPr>
          <w:rFonts w:ascii="Avenir Book" w:hAnsi="Avenir Book"/>
        </w:rPr>
      </w:pPr>
    </w:p>
    <w:p w14:paraId="000082B7" w14:textId="77777777" w:rsidR="00AC0CFD" w:rsidRPr="001348D2" w:rsidRDefault="00AC0CFD" w:rsidP="001348D2">
      <w:pPr>
        <w:spacing w:after="0" w:line="240" w:lineRule="auto"/>
        <w:jc w:val="both"/>
        <w:rPr>
          <w:rFonts w:ascii="Avenir Book" w:hAnsi="Avenir Book"/>
        </w:rPr>
      </w:pPr>
    </w:p>
    <w:p w14:paraId="2EA35C5B" w14:textId="77777777" w:rsidR="00B04BB8" w:rsidRPr="001348D2" w:rsidRDefault="00FB6EA8" w:rsidP="001348D2">
      <w:pPr>
        <w:pStyle w:val="Heading1"/>
        <w:jc w:val="both"/>
        <w:rPr>
          <w:rFonts w:ascii="Avenir Book" w:hAnsi="Avenir Book"/>
          <w:sz w:val="22"/>
          <w:szCs w:val="22"/>
        </w:rPr>
      </w:pPr>
      <w:bookmarkStart w:id="22" w:name="_Toc496250083"/>
      <w:bookmarkStart w:id="23" w:name="_Toc496250159"/>
      <w:bookmarkStart w:id="24" w:name="_Toc501561469"/>
      <w:r w:rsidRPr="001348D2">
        <w:rPr>
          <w:rFonts w:ascii="Avenir Book" w:hAnsi="Avenir Book"/>
          <w:sz w:val="22"/>
          <w:szCs w:val="22"/>
        </w:rPr>
        <w:t>General obligations of States parties to non-discrimination and equality</w:t>
      </w:r>
      <w:bookmarkEnd w:id="22"/>
      <w:bookmarkEnd w:id="23"/>
      <w:r w:rsidR="00325862" w:rsidRPr="001348D2">
        <w:rPr>
          <w:rFonts w:ascii="Avenir Book" w:hAnsi="Avenir Book"/>
          <w:sz w:val="22"/>
          <w:szCs w:val="22"/>
        </w:rPr>
        <w:t xml:space="preserve"> (Paragraphs 34 and 36)</w:t>
      </w:r>
      <w:bookmarkEnd w:id="24"/>
    </w:p>
    <w:p w14:paraId="4C1AD98A" w14:textId="77777777" w:rsidR="00B04BB8" w:rsidRPr="001348D2" w:rsidRDefault="00B04BB8" w:rsidP="001348D2">
      <w:pPr>
        <w:shd w:val="clear" w:color="auto" w:fill="FFFFFF"/>
        <w:spacing w:after="0" w:line="240" w:lineRule="auto"/>
        <w:jc w:val="both"/>
        <w:textAlignment w:val="baseline"/>
        <w:rPr>
          <w:rFonts w:ascii="Avenir Book" w:hAnsi="Avenir Book"/>
          <w:b/>
        </w:rPr>
      </w:pPr>
    </w:p>
    <w:p w14:paraId="3D185987" w14:textId="77777777" w:rsidR="00A36AD6" w:rsidRPr="001348D2" w:rsidRDefault="008F6B96" w:rsidP="001348D2">
      <w:pPr>
        <w:jc w:val="both"/>
        <w:rPr>
          <w:rFonts w:ascii="Avenir Book" w:hAnsi="Avenir Book"/>
          <w:color w:val="000000"/>
        </w:rPr>
      </w:pPr>
      <w:r w:rsidRPr="001348D2">
        <w:rPr>
          <w:rFonts w:ascii="Avenir Book" w:hAnsi="Avenir Book"/>
          <w:color w:val="000000"/>
        </w:rPr>
        <w:t>The Committee may wish to</w:t>
      </w:r>
      <w:r w:rsidR="00B04BB8" w:rsidRPr="001348D2">
        <w:rPr>
          <w:rFonts w:ascii="Avenir Book" w:hAnsi="Avenir Book"/>
          <w:color w:val="000000"/>
        </w:rPr>
        <w:t xml:space="preserve"> e</w:t>
      </w:r>
      <w:r w:rsidRPr="001348D2">
        <w:rPr>
          <w:rFonts w:ascii="Avenir Book" w:hAnsi="Avenir Book"/>
          <w:color w:val="000000"/>
        </w:rPr>
        <w:t>mphasis the</w:t>
      </w:r>
      <w:r w:rsidR="00B04BB8" w:rsidRPr="001348D2">
        <w:rPr>
          <w:rFonts w:ascii="Avenir Book" w:hAnsi="Avenir Book"/>
          <w:color w:val="000000"/>
        </w:rPr>
        <w:t xml:space="preserve"> </w:t>
      </w:r>
      <w:r w:rsidRPr="001348D2">
        <w:rPr>
          <w:rFonts w:ascii="Avenir Book" w:hAnsi="Avenir Book"/>
          <w:color w:val="000000"/>
        </w:rPr>
        <w:t>requirement that</w:t>
      </w:r>
      <w:r w:rsidR="00B04BB8" w:rsidRPr="001348D2">
        <w:rPr>
          <w:rFonts w:ascii="Avenir Book" w:hAnsi="Avenir Book"/>
          <w:color w:val="000000"/>
        </w:rPr>
        <w:t xml:space="preserve"> </w:t>
      </w:r>
      <w:r w:rsidR="00A36AD6" w:rsidRPr="001348D2">
        <w:rPr>
          <w:rFonts w:ascii="Avenir Book" w:hAnsi="Avenir Book"/>
          <w:color w:val="000000"/>
        </w:rPr>
        <w:t>the mechanisms established by S</w:t>
      </w:r>
      <w:r w:rsidR="00B04BB8" w:rsidRPr="001348D2">
        <w:rPr>
          <w:rFonts w:ascii="Avenir Book" w:hAnsi="Avenir Book"/>
          <w:color w:val="000000"/>
        </w:rPr>
        <w:t xml:space="preserve">tates </w:t>
      </w:r>
      <w:r w:rsidR="001C1545" w:rsidRPr="001348D2">
        <w:rPr>
          <w:rFonts w:ascii="Avenir Book" w:hAnsi="Avenir Book"/>
          <w:color w:val="000000"/>
        </w:rPr>
        <w:t xml:space="preserve">Parties </w:t>
      </w:r>
      <w:r w:rsidR="00B04BB8" w:rsidRPr="001348D2">
        <w:rPr>
          <w:rFonts w:ascii="Avenir Book" w:hAnsi="Avenir Book"/>
          <w:color w:val="000000"/>
        </w:rPr>
        <w:t xml:space="preserve">to enforce the right of non-discrimination </w:t>
      </w:r>
      <w:r w:rsidR="001C1545" w:rsidRPr="001348D2">
        <w:rPr>
          <w:rFonts w:ascii="Avenir Book" w:hAnsi="Avenir Book"/>
          <w:color w:val="000000"/>
        </w:rPr>
        <w:t xml:space="preserve">for persons with disabilities must </w:t>
      </w:r>
      <w:r w:rsidR="00B04BB8" w:rsidRPr="001348D2">
        <w:rPr>
          <w:rFonts w:ascii="Avenir Book" w:hAnsi="Avenir Book"/>
          <w:color w:val="000000"/>
        </w:rPr>
        <w:t>include bodies that function independent</w:t>
      </w:r>
      <w:r w:rsidR="001C1545" w:rsidRPr="001348D2">
        <w:rPr>
          <w:rFonts w:ascii="Avenir Book" w:hAnsi="Avenir Book"/>
          <w:color w:val="000000"/>
        </w:rPr>
        <w:t>ly</w:t>
      </w:r>
      <w:r w:rsidR="00B04BB8" w:rsidRPr="001348D2">
        <w:rPr>
          <w:rFonts w:ascii="Avenir Book" w:hAnsi="Avenir Book"/>
          <w:color w:val="000000"/>
        </w:rPr>
        <w:t xml:space="preserve"> of government. </w:t>
      </w:r>
    </w:p>
    <w:p w14:paraId="6A2F5413" w14:textId="77777777" w:rsidR="00B04BB8" w:rsidRPr="001348D2" w:rsidRDefault="008F6B96" w:rsidP="001348D2">
      <w:pPr>
        <w:jc w:val="both"/>
        <w:rPr>
          <w:rFonts w:ascii="Avenir Book" w:hAnsi="Avenir Book"/>
          <w:color w:val="262626"/>
        </w:rPr>
      </w:pPr>
      <w:r w:rsidRPr="001348D2">
        <w:rPr>
          <w:rFonts w:ascii="Avenir Book" w:hAnsi="Avenir Book"/>
          <w:color w:val="000000"/>
        </w:rPr>
        <w:t xml:space="preserve">In this regard the </w:t>
      </w:r>
      <w:r w:rsidR="001C1545" w:rsidRPr="001348D2">
        <w:rPr>
          <w:rFonts w:ascii="Avenir Book" w:hAnsi="Avenir Book"/>
          <w:i/>
          <w:color w:val="000000"/>
        </w:rPr>
        <w:t>Paris Principles</w:t>
      </w:r>
      <w:r w:rsidRPr="001348D2">
        <w:rPr>
          <w:rStyle w:val="FootnoteReference"/>
          <w:rFonts w:ascii="Avenir Book" w:hAnsi="Avenir Book"/>
          <w:i/>
          <w:color w:val="000000"/>
        </w:rPr>
        <w:footnoteReference w:id="9"/>
      </w:r>
      <w:r w:rsidR="00A36AD6" w:rsidRPr="001348D2">
        <w:rPr>
          <w:rFonts w:ascii="Avenir Book" w:hAnsi="Avenir Book"/>
          <w:i/>
          <w:color w:val="000000"/>
        </w:rPr>
        <w:t xml:space="preserve">, </w:t>
      </w:r>
      <w:r w:rsidR="00B04BB8" w:rsidRPr="001348D2">
        <w:rPr>
          <w:rFonts w:ascii="Avenir Book" w:hAnsi="Avenir Book"/>
          <w:color w:val="262626"/>
        </w:rPr>
        <w:t>which are referred to in</w:t>
      </w:r>
      <w:r w:rsidRPr="001348D2">
        <w:rPr>
          <w:rFonts w:ascii="Avenir Book" w:hAnsi="Avenir Book"/>
          <w:color w:val="262626"/>
        </w:rPr>
        <w:t xml:space="preserve"> Article 33.2 of the Convention, provide useful guidance.</w:t>
      </w:r>
      <w:r w:rsidR="00B04BB8" w:rsidRPr="001348D2">
        <w:rPr>
          <w:rFonts w:ascii="Avenir Book" w:hAnsi="Avenir Book"/>
          <w:color w:val="262626"/>
        </w:rPr>
        <w:t xml:space="preserve"> As noted by the OHCHR:</w:t>
      </w:r>
    </w:p>
    <w:p w14:paraId="34B95A69" w14:textId="59CE9A0D" w:rsidR="00B04BB8" w:rsidRPr="001348D2" w:rsidRDefault="00B04BB8" w:rsidP="001348D2">
      <w:pPr>
        <w:ind w:left="720"/>
        <w:jc w:val="both"/>
        <w:rPr>
          <w:rFonts w:ascii="Avenir Book" w:hAnsi="Avenir Book"/>
          <w:i/>
          <w:color w:val="000000"/>
          <w:shd w:val="clear" w:color="auto" w:fill="FFFFFF"/>
        </w:rPr>
      </w:pPr>
      <w:r w:rsidRPr="001348D2">
        <w:rPr>
          <w:rFonts w:ascii="Avenir Book" w:hAnsi="Avenir Book"/>
          <w:i/>
          <w:color w:val="000000"/>
          <w:shd w:val="clear" w:color="auto" w:fill="FFFFFF"/>
        </w:rPr>
        <w:t>NHRIs must comply with the Principles which identify their human rights objectives and provide for their independence, broad human rights mandate, adequate funding, and an inclusive and transparent selection and appointment process. The Principles are broadly accepted as the test of an institution’s legitimacy and credibility</w:t>
      </w:r>
      <w:r w:rsidR="004A0A30" w:rsidRPr="001348D2">
        <w:rPr>
          <w:rStyle w:val="FootnoteReference"/>
          <w:rFonts w:ascii="Avenir Book" w:hAnsi="Avenir Book" w:cs="Arial"/>
          <w:i/>
          <w:color w:val="000000"/>
          <w:shd w:val="clear" w:color="auto" w:fill="FFFFFF"/>
        </w:rPr>
        <w:footnoteReference w:id="10"/>
      </w:r>
      <w:r w:rsidRPr="001348D2">
        <w:rPr>
          <w:rFonts w:ascii="Avenir Book" w:hAnsi="Avenir Book"/>
          <w:i/>
          <w:color w:val="000000"/>
          <w:shd w:val="clear" w:color="auto" w:fill="FFFFFF"/>
        </w:rPr>
        <w:t>.</w:t>
      </w:r>
    </w:p>
    <w:p w14:paraId="5706E9DB" w14:textId="24BEA0F5" w:rsidR="00074CFC" w:rsidRPr="001348D2" w:rsidRDefault="001C1545" w:rsidP="001348D2">
      <w:pPr>
        <w:jc w:val="both"/>
        <w:rPr>
          <w:rFonts w:ascii="Avenir Book" w:hAnsi="Avenir Book" w:cs="Arial"/>
        </w:rPr>
      </w:pPr>
      <w:r w:rsidRPr="001348D2">
        <w:rPr>
          <w:rFonts w:ascii="Avenir Book" w:hAnsi="Avenir Book"/>
        </w:rPr>
        <w:t>GANHRI</w:t>
      </w:r>
      <w:r w:rsidR="00B04BB8" w:rsidRPr="001348D2">
        <w:rPr>
          <w:rFonts w:ascii="Avenir Book" w:hAnsi="Avenir Book"/>
        </w:rPr>
        <w:t xml:space="preserve"> is mandated to accredit </w:t>
      </w:r>
      <w:r w:rsidRPr="001348D2">
        <w:rPr>
          <w:rFonts w:ascii="Avenir Book" w:hAnsi="Avenir Book"/>
        </w:rPr>
        <w:t xml:space="preserve">and periodically re-accredit </w:t>
      </w:r>
      <w:r w:rsidR="00B04BB8" w:rsidRPr="001348D2">
        <w:rPr>
          <w:rFonts w:ascii="Avenir Book" w:hAnsi="Avenir Book"/>
        </w:rPr>
        <w:t>NHRIs</w:t>
      </w:r>
      <w:r w:rsidR="00B04BB8" w:rsidRPr="001348D2">
        <w:rPr>
          <w:rFonts w:ascii="Avenir Book" w:hAnsi="Avenir Book" w:cs="Arial"/>
        </w:rPr>
        <w:t xml:space="preserve"> </w:t>
      </w:r>
      <w:r w:rsidR="00702FD9" w:rsidRPr="001348D2">
        <w:rPr>
          <w:rFonts w:ascii="Avenir Book" w:hAnsi="Avenir Book" w:cs="Arial"/>
        </w:rPr>
        <w:t>under the auspices of OHCHR</w:t>
      </w:r>
      <w:r w:rsidR="00B04BB8" w:rsidRPr="001348D2">
        <w:rPr>
          <w:rFonts w:ascii="Avenir Book" w:hAnsi="Avenir Book"/>
        </w:rPr>
        <w:t xml:space="preserve"> </w:t>
      </w:r>
      <w:r w:rsidRPr="001348D2">
        <w:rPr>
          <w:rFonts w:ascii="Avenir Book" w:hAnsi="Avenir Book"/>
        </w:rPr>
        <w:t>to evaluate their compliance with the Paris Principles</w:t>
      </w:r>
      <w:r w:rsidR="00B04BB8" w:rsidRPr="001348D2">
        <w:rPr>
          <w:rFonts w:ascii="Avenir Book" w:hAnsi="Avenir Book"/>
        </w:rPr>
        <w:t xml:space="preserve">. </w:t>
      </w:r>
    </w:p>
    <w:p w14:paraId="390EDDD4" w14:textId="40318FCD" w:rsidR="00B077E6" w:rsidRPr="001348D2" w:rsidRDefault="008F6B96" w:rsidP="00B14D37">
      <w:pPr>
        <w:pStyle w:val="Recommendation"/>
      </w:pPr>
      <w:r w:rsidRPr="001348D2">
        <w:rPr>
          <w:u w:val="single"/>
        </w:rPr>
        <w:t>RECOMMENDATION</w:t>
      </w:r>
      <w:r w:rsidR="00325862" w:rsidRPr="001348D2">
        <w:rPr>
          <w:u w:val="single"/>
        </w:rPr>
        <w:t xml:space="preserve"> 5</w:t>
      </w:r>
      <w:r w:rsidR="00325862" w:rsidRPr="001348D2">
        <w:t xml:space="preserve">: </w:t>
      </w:r>
      <w:r w:rsidR="001C1545" w:rsidRPr="001348D2">
        <w:t>T</w:t>
      </w:r>
      <w:r w:rsidR="00B04BB8" w:rsidRPr="001348D2">
        <w:t xml:space="preserve">he </w:t>
      </w:r>
      <w:r w:rsidR="00325862" w:rsidRPr="001348D2">
        <w:t>General Comment</w:t>
      </w:r>
      <w:r w:rsidR="00B04BB8" w:rsidRPr="001348D2">
        <w:t xml:space="preserve"> </w:t>
      </w:r>
      <w:r w:rsidR="00AE3D24" w:rsidRPr="001348D2">
        <w:t xml:space="preserve">may wish to </w:t>
      </w:r>
      <w:r w:rsidR="00B04BB8" w:rsidRPr="001348D2">
        <w:t>note th</w:t>
      </w:r>
      <w:r w:rsidR="001C1545" w:rsidRPr="001348D2">
        <w:t>e fundamental role played by</w:t>
      </w:r>
      <w:r w:rsidR="00B04BB8" w:rsidRPr="001348D2">
        <w:t xml:space="preserve"> NHRIs in promoting and protecting the rights of </w:t>
      </w:r>
      <w:r w:rsidR="00411868" w:rsidRPr="001348D2">
        <w:t xml:space="preserve">persons with </w:t>
      </w:r>
      <w:r w:rsidR="00A36AD6" w:rsidRPr="001348D2">
        <w:t>disabilities</w:t>
      </w:r>
      <w:r w:rsidR="00B04BB8" w:rsidRPr="001348D2">
        <w:t xml:space="preserve"> as equal under the law.</w:t>
      </w:r>
      <w:r w:rsidR="00E85C5C" w:rsidRPr="001348D2">
        <w:rPr>
          <w:rStyle w:val="FootnoteReference"/>
        </w:rPr>
        <w:footnoteReference w:id="11"/>
      </w:r>
      <w:r w:rsidR="00B04BB8" w:rsidRPr="001348D2">
        <w:t xml:space="preserve"> The Committee </w:t>
      </w:r>
      <w:r w:rsidR="00AE3D24" w:rsidRPr="001348D2">
        <w:t xml:space="preserve">may wish to </w:t>
      </w:r>
      <w:r w:rsidR="00B04BB8" w:rsidRPr="001348D2">
        <w:t xml:space="preserve">encourage State Parties that have </w:t>
      </w:r>
      <w:r w:rsidRPr="001348D2">
        <w:t xml:space="preserve">not yet done so to establish </w:t>
      </w:r>
      <w:r w:rsidR="00B04BB8" w:rsidRPr="001348D2">
        <w:t>NHRIs</w:t>
      </w:r>
      <w:r w:rsidRPr="001348D2">
        <w:t xml:space="preserve"> compliant with the Paris Principles</w:t>
      </w:r>
      <w:r w:rsidR="00B04BB8" w:rsidRPr="001348D2">
        <w:t xml:space="preserve">, or, if other bodies are established, to ensure that they are </w:t>
      </w:r>
      <w:r w:rsidR="001C1545" w:rsidRPr="001348D2">
        <w:t xml:space="preserve">established in line with the requirements of the </w:t>
      </w:r>
      <w:r w:rsidRPr="001348D2">
        <w:t>Principles.</w:t>
      </w:r>
    </w:p>
    <w:p w14:paraId="5CEC31F0" w14:textId="77777777" w:rsidR="00B14D37" w:rsidRPr="001348D2" w:rsidRDefault="00B14D37" w:rsidP="00B14D37">
      <w:pPr>
        <w:jc w:val="both"/>
        <w:rPr>
          <w:rFonts w:ascii="Avenir Book" w:hAnsi="Avenir Book"/>
        </w:rPr>
      </w:pPr>
    </w:p>
    <w:p w14:paraId="01AF0A53" w14:textId="37536B29" w:rsidR="001C1545" w:rsidRPr="001348D2" w:rsidRDefault="00B04BB8" w:rsidP="001348D2">
      <w:pPr>
        <w:pStyle w:val="CommentText"/>
        <w:jc w:val="both"/>
        <w:rPr>
          <w:rFonts w:ascii="Avenir Book" w:hAnsi="Avenir Book"/>
          <w:sz w:val="22"/>
          <w:szCs w:val="22"/>
        </w:rPr>
      </w:pPr>
      <w:r w:rsidRPr="001348D2">
        <w:rPr>
          <w:rFonts w:ascii="Avenir Book" w:hAnsi="Avenir Book"/>
          <w:sz w:val="22"/>
          <w:szCs w:val="22"/>
        </w:rPr>
        <w:t>Access to effective enforcement of the right to equality is a fundamental part of access to justice as provided</w:t>
      </w:r>
      <w:r w:rsidR="00737BE2" w:rsidRPr="001348D2">
        <w:rPr>
          <w:rFonts w:ascii="Avenir Book" w:hAnsi="Avenir Book"/>
          <w:sz w:val="22"/>
          <w:szCs w:val="22"/>
        </w:rPr>
        <w:t xml:space="preserve"> for in</w:t>
      </w:r>
      <w:r w:rsidRPr="001348D2">
        <w:rPr>
          <w:rFonts w:ascii="Avenir Book" w:hAnsi="Avenir Book"/>
          <w:sz w:val="22"/>
          <w:szCs w:val="22"/>
        </w:rPr>
        <w:t xml:space="preserve"> Article 13. </w:t>
      </w:r>
      <w:r w:rsidR="001C1545" w:rsidRPr="001348D2">
        <w:rPr>
          <w:rFonts w:ascii="Avenir Book" w:hAnsi="Avenir Book"/>
          <w:sz w:val="22"/>
          <w:szCs w:val="22"/>
        </w:rPr>
        <w:t xml:space="preserve">  However, </w:t>
      </w:r>
      <w:r w:rsidR="00103D94" w:rsidRPr="001348D2">
        <w:rPr>
          <w:rFonts w:ascii="Avenir Book" w:hAnsi="Avenir Book" w:cs="Arial"/>
          <w:sz w:val="22"/>
          <w:szCs w:val="22"/>
        </w:rPr>
        <w:t>according to the experience of NHRIs</w:t>
      </w:r>
      <w:r w:rsidR="001C1545" w:rsidRPr="001348D2">
        <w:rPr>
          <w:rFonts w:ascii="Avenir Book" w:hAnsi="Avenir Book"/>
          <w:sz w:val="22"/>
          <w:szCs w:val="22"/>
        </w:rPr>
        <w:t xml:space="preserve"> in </w:t>
      </w:r>
      <w:r w:rsidR="00103D94" w:rsidRPr="001348D2">
        <w:rPr>
          <w:rFonts w:ascii="Avenir Book" w:hAnsi="Avenir Book" w:cs="Arial"/>
          <w:sz w:val="22"/>
          <w:szCs w:val="22"/>
        </w:rPr>
        <w:t>many countries,</w:t>
      </w:r>
      <w:r w:rsidR="001C1545" w:rsidRPr="001348D2">
        <w:rPr>
          <w:rFonts w:ascii="Avenir Book" w:hAnsi="Avenir Book"/>
          <w:sz w:val="22"/>
          <w:szCs w:val="22"/>
        </w:rPr>
        <w:t xml:space="preserve"> many persons with disabilities find the procedural requirements imposed by available legal </w:t>
      </w:r>
      <w:r w:rsidR="001C1545" w:rsidRPr="001348D2">
        <w:rPr>
          <w:rFonts w:ascii="Avenir Book" w:hAnsi="Avenir Book"/>
          <w:sz w:val="22"/>
          <w:szCs w:val="22"/>
        </w:rPr>
        <w:lastRenderedPageBreak/>
        <w:t>processes daunting.</w:t>
      </w:r>
      <w:r w:rsidR="00AE3D24" w:rsidRPr="001348D2">
        <w:rPr>
          <w:rStyle w:val="FootnoteReference"/>
          <w:rFonts w:ascii="Avenir Book" w:hAnsi="Avenir Book" w:cs="Arial"/>
          <w:sz w:val="22"/>
          <w:szCs w:val="22"/>
        </w:rPr>
        <w:t xml:space="preserve"> </w:t>
      </w:r>
      <w:r w:rsidR="00AE3D24" w:rsidRPr="001348D2">
        <w:rPr>
          <w:rFonts w:ascii="Avenir Book" w:hAnsi="Avenir Book"/>
          <w:sz w:val="22"/>
          <w:szCs w:val="22"/>
        </w:rPr>
        <w:t>T</w:t>
      </w:r>
      <w:r w:rsidR="001C1545" w:rsidRPr="001348D2">
        <w:rPr>
          <w:rFonts w:ascii="Avenir Book" w:hAnsi="Avenir Book"/>
          <w:sz w:val="22"/>
          <w:szCs w:val="22"/>
        </w:rPr>
        <w:t>hey may also encounter additional barriers in accessing justice, such as physical inaccessibility of premises, stigma, the inaccessibility of information</w:t>
      </w:r>
      <w:r w:rsidR="005E624D" w:rsidRPr="001348D2">
        <w:rPr>
          <w:rFonts w:ascii="Avenir Book" w:hAnsi="Avenir Book"/>
          <w:sz w:val="22"/>
          <w:szCs w:val="22"/>
        </w:rPr>
        <w:t xml:space="preserve"> and communications</w:t>
      </w:r>
      <w:r w:rsidR="001C1545" w:rsidRPr="001348D2">
        <w:rPr>
          <w:rFonts w:ascii="Avenir Book" w:hAnsi="Avenir Book"/>
          <w:sz w:val="22"/>
          <w:szCs w:val="22"/>
        </w:rPr>
        <w:t>, unavailability of interpretation services, and others.</w:t>
      </w:r>
    </w:p>
    <w:p w14:paraId="332BD464" w14:textId="77777777" w:rsidR="00B04BB8" w:rsidRPr="001348D2" w:rsidRDefault="001C1545" w:rsidP="00B14D37">
      <w:pPr>
        <w:shd w:val="clear" w:color="auto" w:fill="FFFFFF"/>
        <w:spacing w:after="0" w:line="240" w:lineRule="auto"/>
        <w:jc w:val="both"/>
        <w:textAlignment w:val="baseline"/>
        <w:rPr>
          <w:rFonts w:ascii="Avenir Book" w:hAnsi="Avenir Book"/>
        </w:rPr>
      </w:pPr>
      <w:r w:rsidRPr="001348D2">
        <w:rPr>
          <w:rFonts w:ascii="Avenir Book" w:hAnsi="Avenir Book"/>
        </w:rPr>
        <w:t xml:space="preserve">As a result, they often do not seek enforcement of their rights.  </w:t>
      </w:r>
      <w:r w:rsidR="00B04BB8" w:rsidRPr="001348D2">
        <w:rPr>
          <w:rFonts w:ascii="Avenir Book" w:hAnsi="Avenir Book"/>
        </w:rPr>
        <w:t xml:space="preserve"> </w:t>
      </w:r>
    </w:p>
    <w:p w14:paraId="337FC9B0" w14:textId="77777777" w:rsidR="00A36AD6" w:rsidRPr="001348D2" w:rsidRDefault="00A36AD6" w:rsidP="001348D2">
      <w:pPr>
        <w:shd w:val="clear" w:color="auto" w:fill="FFFFFF"/>
        <w:spacing w:after="0" w:line="240" w:lineRule="auto"/>
        <w:jc w:val="both"/>
        <w:textAlignment w:val="baseline"/>
        <w:rPr>
          <w:rFonts w:ascii="Avenir Book" w:hAnsi="Avenir Book"/>
        </w:rPr>
      </w:pPr>
    </w:p>
    <w:p w14:paraId="220F69E3" w14:textId="4866792C" w:rsidR="00083A76" w:rsidRPr="001348D2" w:rsidRDefault="00083A76" w:rsidP="001348D2">
      <w:pPr>
        <w:pStyle w:val="Default"/>
        <w:jc w:val="both"/>
        <w:rPr>
          <w:rFonts w:ascii="Avenir Book" w:hAnsi="Avenir Book"/>
          <w:sz w:val="22"/>
          <w:szCs w:val="22"/>
        </w:rPr>
      </w:pPr>
      <w:r w:rsidRPr="001348D2">
        <w:rPr>
          <w:rFonts w:ascii="Avenir Book" w:hAnsi="Avenir Book"/>
          <w:sz w:val="22"/>
          <w:szCs w:val="22"/>
        </w:rPr>
        <w:t xml:space="preserve">In the Philippines, </w:t>
      </w:r>
      <w:r w:rsidR="00AE3D24" w:rsidRPr="001348D2">
        <w:rPr>
          <w:rFonts w:ascii="Avenir Book" w:hAnsi="Avenir Book"/>
          <w:sz w:val="22"/>
          <w:szCs w:val="22"/>
        </w:rPr>
        <w:t xml:space="preserve">for example, </w:t>
      </w:r>
      <w:r w:rsidRPr="001348D2">
        <w:rPr>
          <w:rFonts w:ascii="Avenir Book" w:hAnsi="Avenir Book"/>
          <w:sz w:val="22"/>
          <w:szCs w:val="22"/>
        </w:rPr>
        <w:t>all persons, including those with disabilities, are allowed to participate in every phase of the judicial process and to seek for appropriate remedies</w:t>
      </w:r>
      <w:r w:rsidR="009D4D32" w:rsidRPr="001348D2">
        <w:rPr>
          <w:rFonts w:ascii="Avenir Book" w:hAnsi="Avenir Book"/>
          <w:sz w:val="22"/>
          <w:szCs w:val="22"/>
        </w:rPr>
        <w:t>.</w:t>
      </w:r>
      <w:r w:rsidRPr="001348D2">
        <w:rPr>
          <w:rFonts w:ascii="Avenir Book" w:hAnsi="Avenir Book"/>
          <w:sz w:val="22"/>
          <w:szCs w:val="22"/>
        </w:rPr>
        <w:t xml:space="preserve"> </w:t>
      </w:r>
    </w:p>
    <w:p w14:paraId="445DEA6E" w14:textId="77777777" w:rsidR="001177CA" w:rsidRPr="001348D2" w:rsidRDefault="001177CA" w:rsidP="001348D2">
      <w:pPr>
        <w:pStyle w:val="Default"/>
        <w:jc w:val="both"/>
        <w:rPr>
          <w:rFonts w:ascii="Avenir Book" w:hAnsi="Avenir Book"/>
          <w:sz w:val="22"/>
          <w:szCs w:val="22"/>
        </w:rPr>
      </w:pPr>
    </w:p>
    <w:p w14:paraId="61F743F1" w14:textId="1642DDE3" w:rsidR="001177CA" w:rsidRPr="001348D2" w:rsidRDefault="001177CA" w:rsidP="001348D2">
      <w:pPr>
        <w:pStyle w:val="Default"/>
        <w:jc w:val="both"/>
        <w:rPr>
          <w:rFonts w:ascii="Avenir Book" w:hAnsi="Avenir Book"/>
          <w:sz w:val="22"/>
          <w:szCs w:val="22"/>
        </w:rPr>
      </w:pPr>
      <w:r w:rsidRPr="001348D2">
        <w:rPr>
          <w:rFonts w:ascii="Avenir Book" w:hAnsi="Avenir Book"/>
          <w:sz w:val="22"/>
          <w:szCs w:val="22"/>
        </w:rPr>
        <w:t>Rule 130 of the Rules of Admissibility</w:t>
      </w:r>
      <w:r w:rsidRPr="001348D2">
        <w:rPr>
          <w:rStyle w:val="FootnoteReference"/>
          <w:rFonts w:ascii="Avenir Book" w:hAnsi="Avenir Book"/>
          <w:sz w:val="22"/>
          <w:szCs w:val="22"/>
        </w:rPr>
        <w:footnoteReference w:id="12"/>
      </w:r>
      <w:r w:rsidRPr="001348D2">
        <w:rPr>
          <w:rFonts w:ascii="Avenir Book" w:hAnsi="Avenir Book"/>
          <w:sz w:val="22"/>
          <w:szCs w:val="22"/>
        </w:rPr>
        <w:t xml:space="preserve"> provides that persons with disabilities, even those with sensory impairments, may testify as witnesses, provided they can “perceive and make known their perception to others.” For example, </w:t>
      </w:r>
      <w:r w:rsidR="00AE3D24" w:rsidRPr="001348D2">
        <w:rPr>
          <w:rFonts w:ascii="Avenir Book" w:hAnsi="Avenir Book"/>
          <w:sz w:val="22"/>
          <w:szCs w:val="22"/>
        </w:rPr>
        <w:t>visually impaired</w:t>
      </w:r>
      <w:r w:rsidRPr="001348D2">
        <w:rPr>
          <w:rFonts w:ascii="Avenir Book" w:hAnsi="Avenir Book"/>
          <w:sz w:val="22"/>
          <w:szCs w:val="22"/>
        </w:rPr>
        <w:t xml:space="preserve"> persons can hear, smell and taste and deaf persons can see and “make known their perceptions” through sign language interpreters. </w:t>
      </w:r>
    </w:p>
    <w:p w14:paraId="65F6676A" w14:textId="77777777" w:rsidR="001177CA" w:rsidRPr="001348D2" w:rsidRDefault="001177CA" w:rsidP="001348D2">
      <w:pPr>
        <w:pStyle w:val="Default"/>
        <w:jc w:val="both"/>
        <w:rPr>
          <w:rFonts w:ascii="Avenir Book" w:hAnsi="Avenir Book"/>
          <w:sz w:val="22"/>
          <w:szCs w:val="22"/>
        </w:rPr>
      </w:pPr>
    </w:p>
    <w:p w14:paraId="38EA38CE" w14:textId="77777777" w:rsidR="00083A76" w:rsidRPr="001348D2" w:rsidRDefault="00083A76" w:rsidP="001348D2">
      <w:pPr>
        <w:pStyle w:val="Default"/>
        <w:jc w:val="both"/>
        <w:rPr>
          <w:rFonts w:ascii="Avenir Book" w:hAnsi="Avenir Book"/>
          <w:sz w:val="22"/>
          <w:szCs w:val="22"/>
        </w:rPr>
      </w:pPr>
      <w:r w:rsidRPr="001348D2">
        <w:rPr>
          <w:rFonts w:ascii="Avenir Book" w:hAnsi="Avenir Book"/>
          <w:sz w:val="22"/>
          <w:szCs w:val="22"/>
        </w:rPr>
        <w:t xml:space="preserve">Recognizing that there are “parties or witnesses who, to be fully understood and to prevent possible miscarriage of justice, may require a sign language interpreter,”5 The Supreme Court </w:t>
      </w:r>
      <w:r w:rsidR="00082E79" w:rsidRPr="001348D2">
        <w:rPr>
          <w:rFonts w:ascii="Avenir Book" w:hAnsi="Avenir Book"/>
          <w:sz w:val="22"/>
          <w:szCs w:val="22"/>
        </w:rPr>
        <w:t>of the Philippines</w:t>
      </w:r>
      <w:r w:rsidRPr="001348D2">
        <w:rPr>
          <w:rFonts w:ascii="Avenir Book" w:hAnsi="Avenir Book"/>
          <w:sz w:val="22"/>
          <w:szCs w:val="22"/>
        </w:rPr>
        <w:t xml:space="preserve"> authorized trial court judges, through the Office of the Court Administrator (OCA), to engage the services of sign language interpreters. However, to date, the implementation of this policy remains problematic due to “lack of funds”.</w:t>
      </w:r>
      <w:r w:rsidR="00082E79" w:rsidRPr="001348D2">
        <w:rPr>
          <w:rFonts w:ascii="Avenir Book" w:hAnsi="Avenir Book"/>
          <w:sz w:val="22"/>
          <w:szCs w:val="22"/>
        </w:rPr>
        <w:t xml:space="preserve"> </w:t>
      </w:r>
    </w:p>
    <w:p w14:paraId="0C9214E0" w14:textId="77777777" w:rsidR="00083A76" w:rsidRPr="001348D2" w:rsidRDefault="00083A76" w:rsidP="001348D2">
      <w:pPr>
        <w:pStyle w:val="Default"/>
        <w:jc w:val="both"/>
        <w:rPr>
          <w:rFonts w:ascii="Avenir Book" w:hAnsi="Avenir Book"/>
          <w:sz w:val="22"/>
          <w:szCs w:val="22"/>
        </w:rPr>
      </w:pPr>
    </w:p>
    <w:p w14:paraId="6A04ACDF" w14:textId="1E4374B0" w:rsidR="00AE3D24" w:rsidRPr="001348D2" w:rsidRDefault="005A6713" w:rsidP="001348D2">
      <w:pPr>
        <w:shd w:val="clear" w:color="auto" w:fill="FFFFFF"/>
        <w:spacing w:after="0" w:line="240" w:lineRule="auto"/>
        <w:jc w:val="both"/>
        <w:textAlignment w:val="baseline"/>
        <w:rPr>
          <w:rFonts w:ascii="Avenir Book" w:hAnsi="Avenir Book"/>
        </w:rPr>
      </w:pPr>
      <w:r w:rsidRPr="001348D2">
        <w:rPr>
          <w:rFonts w:ascii="Avenir Book" w:hAnsi="Avenir Book"/>
        </w:rPr>
        <w:t>Furt</w:t>
      </w:r>
      <w:r w:rsidR="00B14D37">
        <w:rPr>
          <w:rFonts w:ascii="Avenir Book" w:hAnsi="Avenir Book"/>
        </w:rPr>
        <w:t>h</w:t>
      </w:r>
      <w:r w:rsidRPr="001348D2">
        <w:rPr>
          <w:rFonts w:ascii="Avenir Book" w:hAnsi="Avenir Book"/>
        </w:rPr>
        <w:t xml:space="preserve">er, despite existence of legal provisions allowing persons with disabilities to validly testify in court proceedings, the problem lies with the appreciation or the weight of the litigant’s testimony. It may be inferred that physical or mental </w:t>
      </w:r>
      <w:r w:rsidR="00F17881" w:rsidRPr="001348D2">
        <w:rPr>
          <w:rFonts w:ascii="Avenir Book" w:hAnsi="Avenir Book"/>
        </w:rPr>
        <w:t>disabilities</w:t>
      </w:r>
      <w:r w:rsidRPr="001348D2">
        <w:rPr>
          <w:rFonts w:ascii="Avenir Book" w:hAnsi="Avenir Book"/>
        </w:rPr>
        <w:t xml:space="preserve"> largely affects the “probative value of the person’s testimony. This situation becomes all the more problematic if aggravated by the lack of training of judges in handling cases involving persons with disabilities. Such case may result to </w:t>
      </w:r>
      <w:proofErr w:type="spellStart"/>
      <w:r w:rsidRPr="001348D2">
        <w:rPr>
          <w:rFonts w:ascii="Avenir Book" w:hAnsi="Avenir Book"/>
        </w:rPr>
        <w:t>misappreciation</w:t>
      </w:r>
      <w:proofErr w:type="spellEnd"/>
      <w:r w:rsidRPr="001348D2">
        <w:rPr>
          <w:rFonts w:ascii="Avenir Book" w:hAnsi="Avenir Book"/>
        </w:rPr>
        <w:t xml:space="preserve"> of circumstances leading to eventual miscarriage of justice as the case may be.</w:t>
      </w:r>
    </w:p>
    <w:p w14:paraId="7C4D8794" w14:textId="77777777" w:rsidR="005A6713" w:rsidRPr="001348D2" w:rsidRDefault="005A6713" w:rsidP="001348D2">
      <w:pPr>
        <w:shd w:val="clear" w:color="auto" w:fill="FFFFFF"/>
        <w:spacing w:after="0" w:line="240" w:lineRule="auto"/>
        <w:jc w:val="both"/>
        <w:textAlignment w:val="baseline"/>
        <w:rPr>
          <w:rFonts w:ascii="Avenir Book" w:hAnsi="Avenir Book"/>
        </w:rPr>
      </w:pPr>
    </w:p>
    <w:p w14:paraId="45574255" w14:textId="1B4310AE" w:rsidR="005A6713" w:rsidRPr="001348D2" w:rsidRDefault="005A6713" w:rsidP="001348D2">
      <w:pPr>
        <w:shd w:val="clear" w:color="auto" w:fill="FFFFFF"/>
        <w:spacing w:after="0" w:line="240" w:lineRule="auto"/>
        <w:jc w:val="both"/>
        <w:textAlignment w:val="baseline"/>
        <w:rPr>
          <w:rFonts w:ascii="Avenir Book" w:hAnsi="Avenir Book" w:cs="Arial"/>
        </w:rPr>
      </w:pPr>
      <w:r w:rsidRPr="001348D2">
        <w:rPr>
          <w:rFonts w:ascii="Avenir Book" w:hAnsi="Avenir Book"/>
        </w:rPr>
        <w:t xml:space="preserve">These barriers, among others, prevent persons with disabilities in the Philippines </w:t>
      </w:r>
      <w:r w:rsidR="00AE3D24" w:rsidRPr="001348D2">
        <w:rPr>
          <w:rFonts w:ascii="Avenir Book" w:hAnsi="Avenir Book"/>
        </w:rPr>
        <w:t>from</w:t>
      </w:r>
      <w:r w:rsidRPr="001348D2">
        <w:rPr>
          <w:rFonts w:ascii="Avenir Book" w:hAnsi="Avenir Book"/>
        </w:rPr>
        <w:t xml:space="preserve"> seeking legal redress.</w:t>
      </w:r>
    </w:p>
    <w:p w14:paraId="3F98A39A" w14:textId="77777777" w:rsidR="00A36AD6" w:rsidRPr="001348D2" w:rsidRDefault="00A36AD6" w:rsidP="001348D2">
      <w:pPr>
        <w:shd w:val="clear" w:color="auto" w:fill="FFFFFF"/>
        <w:spacing w:after="0" w:line="240" w:lineRule="auto"/>
        <w:jc w:val="both"/>
        <w:textAlignment w:val="baseline"/>
        <w:rPr>
          <w:rFonts w:ascii="Avenir Book" w:hAnsi="Avenir Book" w:cs="Arial"/>
        </w:rPr>
      </w:pPr>
    </w:p>
    <w:p w14:paraId="486928BF" w14:textId="4F37F32F" w:rsidR="00B04BB8" w:rsidRPr="001348D2" w:rsidRDefault="00737BE2" w:rsidP="001348D2">
      <w:pPr>
        <w:pStyle w:val="Recommendation"/>
      </w:pPr>
      <w:r w:rsidRPr="00E3426B">
        <w:rPr>
          <w:u w:val="single"/>
        </w:rPr>
        <w:t>RECOMMENDATION</w:t>
      </w:r>
      <w:r w:rsidR="00325862" w:rsidRPr="001348D2">
        <w:rPr>
          <w:u w:val="single"/>
        </w:rPr>
        <w:t xml:space="preserve"> 6</w:t>
      </w:r>
      <w:r w:rsidR="00325862" w:rsidRPr="001348D2">
        <w:t xml:space="preserve">: </w:t>
      </w:r>
      <w:r w:rsidR="00A36AD6" w:rsidRPr="001348D2">
        <w:t xml:space="preserve">The </w:t>
      </w:r>
      <w:r w:rsidR="00325862" w:rsidRPr="001348D2">
        <w:t>General Comment</w:t>
      </w:r>
      <w:r w:rsidR="00A36AD6" w:rsidRPr="001348D2">
        <w:t xml:space="preserve"> should </w:t>
      </w:r>
      <w:proofErr w:type="spellStart"/>
      <w:r w:rsidR="00B04BB8" w:rsidRPr="001348D2">
        <w:t>emphasis</w:t>
      </w:r>
      <w:r w:rsidR="00AE3D24" w:rsidRPr="001348D2">
        <w:t>e</w:t>
      </w:r>
      <w:proofErr w:type="spellEnd"/>
      <w:r w:rsidR="00B04BB8" w:rsidRPr="001348D2">
        <w:t xml:space="preserve"> the need to ensure that enforcement activities are carried out in accordance with the same consideration as in paragraphs 59 – 63 of the draft </w:t>
      </w:r>
      <w:r w:rsidR="00411868" w:rsidRPr="001348D2">
        <w:t>General Comment</w:t>
      </w:r>
      <w:r w:rsidR="00B04BB8" w:rsidRPr="001348D2">
        <w:t xml:space="preserve"> which deal with access to justice (Article 13).</w:t>
      </w:r>
    </w:p>
    <w:p w14:paraId="054D0FFE" w14:textId="77777777" w:rsidR="00B077E6" w:rsidRPr="001348D2" w:rsidRDefault="00B077E6" w:rsidP="001348D2">
      <w:pPr>
        <w:pStyle w:val="Recommendation"/>
      </w:pPr>
    </w:p>
    <w:p w14:paraId="786B2643" w14:textId="77777777" w:rsidR="00B04BB8" w:rsidRPr="001348D2" w:rsidRDefault="00B04BB8" w:rsidP="001348D2">
      <w:pPr>
        <w:shd w:val="clear" w:color="auto" w:fill="FFFFFF"/>
        <w:spacing w:after="0" w:line="240" w:lineRule="auto"/>
        <w:jc w:val="both"/>
        <w:textAlignment w:val="baseline"/>
        <w:rPr>
          <w:rFonts w:ascii="Avenir Book" w:hAnsi="Avenir Book"/>
        </w:rPr>
      </w:pPr>
    </w:p>
    <w:p w14:paraId="41A7D1E0" w14:textId="77777777" w:rsidR="00A36AD6" w:rsidRPr="001348D2" w:rsidRDefault="00A36AD6" w:rsidP="001348D2">
      <w:pPr>
        <w:shd w:val="clear" w:color="auto" w:fill="FFFFFF"/>
        <w:spacing w:after="0" w:line="240" w:lineRule="auto"/>
        <w:jc w:val="both"/>
        <w:textAlignment w:val="baseline"/>
        <w:rPr>
          <w:rFonts w:ascii="Avenir Book" w:hAnsi="Avenir Book"/>
        </w:rPr>
      </w:pPr>
    </w:p>
    <w:p w14:paraId="5E2B49D4" w14:textId="77777777" w:rsidR="00B04BB8" w:rsidRPr="001348D2" w:rsidRDefault="00325862" w:rsidP="001348D2">
      <w:pPr>
        <w:pStyle w:val="Heading1"/>
        <w:jc w:val="both"/>
        <w:rPr>
          <w:rFonts w:ascii="Avenir Book" w:hAnsi="Avenir Book"/>
          <w:sz w:val="22"/>
          <w:szCs w:val="22"/>
        </w:rPr>
      </w:pPr>
      <w:bookmarkStart w:id="25" w:name="_Toc496250086"/>
      <w:bookmarkStart w:id="26" w:name="_Toc496250162"/>
      <w:bookmarkStart w:id="27" w:name="_Toc501561470"/>
      <w:r w:rsidRPr="001348D2">
        <w:rPr>
          <w:rFonts w:ascii="Avenir Book" w:hAnsi="Avenir Book"/>
          <w:sz w:val="22"/>
          <w:szCs w:val="22"/>
        </w:rPr>
        <w:lastRenderedPageBreak/>
        <w:t>Article 9 – Accessibility (</w:t>
      </w:r>
      <w:r w:rsidR="00B04BB8" w:rsidRPr="001348D2">
        <w:rPr>
          <w:rFonts w:ascii="Avenir Book" w:hAnsi="Avenir Book"/>
          <w:sz w:val="22"/>
          <w:szCs w:val="22"/>
        </w:rPr>
        <w:t>Paragraph 47</w:t>
      </w:r>
      <w:bookmarkEnd w:id="25"/>
      <w:bookmarkEnd w:id="26"/>
      <w:r w:rsidRPr="001348D2">
        <w:rPr>
          <w:rFonts w:ascii="Avenir Book" w:hAnsi="Avenir Book"/>
          <w:sz w:val="22"/>
          <w:szCs w:val="22"/>
        </w:rPr>
        <w:t>)</w:t>
      </w:r>
      <w:bookmarkEnd w:id="27"/>
    </w:p>
    <w:p w14:paraId="3DBC207C" w14:textId="77777777" w:rsidR="001C1545" w:rsidRPr="001348D2" w:rsidRDefault="001C1545" w:rsidP="001348D2">
      <w:pPr>
        <w:shd w:val="clear" w:color="auto" w:fill="FFFFFF"/>
        <w:spacing w:after="0" w:line="240" w:lineRule="auto"/>
        <w:jc w:val="both"/>
        <w:textAlignment w:val="baseline"/>
        <w:rPr>
          <w:rFonts w:ascii="Avenir Book" w:hAnsi="Avenir Book"/>
        </w:rPr>
      </w:pPr>
    </w:p>
    <w:p w14:paraId="7537000C" w14:textId="4BCC5142" w:rsidR="0008668B" w:rsidRPr="001348D2" w:rsidRDefault="001C1545" w:rsidP="001348D2">
      <w:pPr>
        <w:shd w:val="clear" w:color="auto" w:fill="FFFFFF"/>
        <w:spacing w:after="0" w:line="240" w:lineRule="auto"/>
        <w:jc w:val="both"/>
        <w:textAlignment w:val="baseline"/>
        <w:rPr>
          <w:rFonts w:ascii="Avenir Book" w:hAnsi="Avenir Book"/>
        </w:rPr>
      </w:pPr>
      <w:r w:rsidRPr="001348D2">
        <w:rPr>
          <w:rFonts w:ascii="Avenir Book" w:hAnsi="Avenir Book"/>
        </w:rPr>
        <w:t>As noted above</w:t>
      </w:r>
      <w:r w:rsidR="00A36AD6" w:rsidRPr="001348D2">
        <w:rPr>
          <w:rFonts w:ascii="Avenir Book" w:hAnsi="Avenir Book"/>
        </w:rPr>
        <w:t xml:space="preserve">, </w:t>
      </w:r>
      <w:r w:rsidRPr="001348D2">
        <w:rPr>
          <w:rFonts w:ascii="Avenir Book" w:hAnsi="Avenir Book"/>
        </w:rPr>
        <w:t xml:space="preserve">GANHRI cautions against applying too </w:t>
      </w:r>
      <w:r w:rsidR="003B233D" w:rsidRPr="001348D2">
        <w:rPr>
          <w:rFonts w:ascii="Avenir Book" w:hAnsi="Avenir Book"/>
        </w:rPr>
        <w:t xml:space="preserve">rigid a distinction between </w:t>
      </w:r>
      <w:r w:rsidR="00B04BB8" w:rsidRPr="001348D2">
        <w:rPr>
          <w:rFonts w:ascii="Avenir Book" w:hAnsi="Avenir Book"/>
        </w:rPr>
        <w:t>the duty to accommodate</w:t>
      </w:r>
      <w:r w:rsidR="00737BE2" w:rsidRPr="001348D2">
        <w:rPr>
          <w:rFonts w:ascii="Avenir Book" w:hAnsi="Avenir Book"/>
        </w:rPr>
        <w:t xml:space="preserve"> and the right to accessibility. </w:t>
      </w:r>
      <w:r w:rsidR="00B04BB8" w:rsidRPr="001348D2">
        <w:rPr>
          <w:rFonts w:ascii="Avenir Book" w:hAnsi="Avenir Book"/>
        </w:rPr>
        <w:t xml:space="preserve"> While the two concepts are distinct</w:t>
      </w:r>
      <w:r w:rsidR="00737BE2" w:rsidRPr="001348D2">
        <w:rPr>
          <w:rFonts w:ascii="Avenir Book" w:hAnsi="Avenir Book"/>
        </w:rPr>
        <w:t>,</w:t>
      </w:r>
      <w:r w:rsidR="00B04BB8" w:rsidRPr="001348D2">
        <w:rPr>
          <w:rFonts w:ascii="Avenir Book" w:hAnsi="Avenir Book"/>
        </w:rPr>
        <w:t xml:space="preserve"> they are inter-connecte</w:t>
      </w:r>
      <w:r w:rsidR="0008668B" w:rsidRPr="001348D2">
        <w:rPr>
          <w:rFonts w:ascii="Avenir Book" w:hAnsi="Avenir Book"/>
        </w:rPr>
        <w:t>d and interdependent</w:t>
      </w:r>
      <w:r w:rsidR="000C46FA" w:rsidRPr="001348D2">
        <w:rPr>
          <w:rFonts w:ascii="Avenir Book" w:hAnsi="Avenir Book"/>
        </w:rPr>
        <w:t xml:space="preserve"> </w:t>
      </w:r>
    </w:p>
    <w:p w14:paraId="5A09C5BE" w14:textId="77777777" w:rsidR="0008668B" w:rsidRPr="001348D2" w:rsidRDefault="0008668B" w:rsidP="001348D2">
      <w:pPr>
        <w:shd w:val="clear" w:color="auto" w:fill="FFFFFF"/>
        <w:spacing w:after="0" w:line="240" w:lineRule="auto"/>
        <w:jc w:val="both"/>
        <w:textAlignment w:val="baseline"/>
        <w:rPr>
          <w:rFonts w:ascii="Avenir Book" w:hAnsi="Avenir Book"/>
        </w:rPr>
      </w:pPr>
    </w:p>
    <w:p w14:paraId="43F3EDC1" w14:textId="7CE04BB7" w:rsidR="00737BE2" w:rsidRPr="001348D2" w:rsidRDefault="00C73B17" w:rsidP="001348D2">
      <w:pPr>
        <w:shd w:val="clear" w:color="auto" w:fill="FFFFFF"/>
        <w:spacing w:after="0" w:line="240" w:lineRule="auto"/>
        <w:jc w:val="both"/>
        <w:textAlignment w:val="baseline"/>
        <w:rPr>
          <w:rFonts w:ascii="Avenir Book" w:hAnsi="Avenir Book"/>
        </w:rPr>
      </w:pPr>
      <w:r w:rsidRPr="001348D2">
        <w:rPr>
          <w:rFonts w:ascii="Avenir Book" w:hAnsi="Avenir Book"/>
        </w:rPr>
        <w:t>For example, in the Canadian province of Ontario</w:t>
      </w:r>
      <w:r w:rsidR="00B04BB8" w:rsidRPr="001348D2">
        <w:rPr>
          <w:rFonts w:ascii="Avenir Book" w:hAnsi="Avenir Book"/>
        </w:rPr>
        <w:t>, a person can file a complaint of discrimination a</w:t>
      </w:r>
      <w:r w:rsidR="0008668B" w:rsidRPr="001348D2">
        <w:rPr>
          <w:rFonts w:ascii="Avenir Book" w:hAnsi="Avenir Book"/>
        </w:rPr>
        <w:t>gainst a transportation provider even if that provider has complied with a regulatory accessibility standard.</w:t>
      </w:r>
      <w:r w:rsidR="00B04BB8" w:rsidRPr="001348D2">
        <w:rPr>
          <w:rFonts w:ascii="Avenir Book" w:hAnsi="Avenir Book"/>
        </w:rPr>
        <w:t xml:space="preserve">  In considering </w:t>
      </w:r>
      <w:r w:rsidR="0008668B" w:rsidRPr="001348D2">
        <w:rPr>
          <w:rFonts w:ascii="Avenir Book" w:hAnsi="Avenir Book"/>
        </w:rPr>
        <w:t>whether the transport company has met its obligation of accommodation</w:t>
      </w:r>
      <w:r w:rsidR="00BF19DF" w:rsidRPr="001348D2">
        <w:rPr>
          <w:rFonts w:ascii="Avenir Book" w:hAnsi="Avenir Book"/>
        </w:rPr>
        <w:t xml:space="preserve">, </w:t>
      </w:r>
      <w:r w:rsidR="0008668B" w:rsidRPr="001348D2">
        <w:rPr>
          <w:rFonts w:ascii="Avenir Book" w:hAnsi="Avenir Book"/>
        </w:rPr>
        <w:t>the Ontario Human Rights Trib</w:t>
      </w:r>
      <w:r w:rsidR="00BF19DF" w:rsidRPr="001348D2">
        <w:rPr>
          <w:rFonts w:ascii="Avenir Book" w:hAnsi="Avenir Book"/>
        </w:rPr>
        <w:t>unal would apply the judicially-</w:t>
      </w:r>
      <w:r w:rsidR="0008668B" w:rsidRPr="001348D2">
        <w:rPr>
          <w:rFonts w:ascii="Avenir Book" w:hAnsi="Avenir Book"/>
        </w:rPr>
        <w:t>defined test for accommodation.  A finding of failure to accommodate could result in a change to the overall standard as well as accommodation of the individual complainant.  In this way</w:t>
      </w:r>
      <w:r w:rsidR="00B14D37">
        <w:rPr>
          <w:rFonts w:ascii="Avenir Book" w:hAnsi="Avenir Book"/>
        </w:rPr>
        <w:t>,</w:t>
      </w:r>
      <w:r w:rsidR="0008668B" w:rsidRPr="001348D2">
        <w:rPr>
          <w:rFonts w:ascii="Avenir Book" w:hAnsi="Avenir Book"/>
        </w:rPr>
        <w:t xml:space="preserve"> the duty to accommodate and the duty of accessibility work together.</w:t>
      </w:r>
    </w:p>
    <w:p w14:paraId="7FF4D5E2" w14:textId="77777777" w:rsidR="0008668B" w:rsidRPr="001348D2" w:rsidRDefault="0008668B" w:rsidP="001348D2">
      <w:pPr>
        <w:shd w:val="clear" w:color="auto" w:fill="FFFFFF"/>
        <w:spacing w:after="0" w:line="240" w:lineRule="auto"/>
        <w:jc w:val="both"/>
        <w:textAlignment w:val="baseline"/>
        <w:rPr>
          <w:rFonts w:ascii="Avenir Book" w:hAnsi="Avenir Book"/>
        </w:rPr>
      </w:pPr>
    </w:p>
    <w:p w14:paraId="246B1841" w14:textId="72244646" w:rsidR="00A86ABD" w:rsidRPr="001348D2" w:rsidRDefault="00737BE2" w:rsidP="001348D2">
      <w:pPr>
        <w:pStyle w:val="Recommendation"/>
      </w:pPr>
      <w:r w:rsidRPr="00E3426B">
        <w:rPr>
          <w:u w:val="single"/>
        </w:rPr>
        <w:t>RECOMMENDATION</w:t>
      </w:r>
      <w:r w:rsidR="00325862" w:rsidRPr="001348D2">
        <w:rPr>
          <w:u w:val="single"/>
        </w:rPr>
        <w:t xml:space="preserve"> 7</w:t>
      </w:r>
      <w:r w:rsidRPr="001348D2">
        <w:t xml:space="preserve">:  The </w:t>
      </w:r>
      <w:r w:rsidR="0008668B" w:rsidRPr="001348D2">
        <w:t>General Comment</w:t>
      </w:r>
      <w:r w:rsidRPr="001348D2">
        <w:t xml:space="preserve"> should note that</w:t>
      </w:r>
      <w:r w:rsidR="00BF19DF" w:rsidRPr="001348D2">
        <w:t>,</w:t>
      </w:r>
      <w:r w:rsidRPr="001348D2">
        <w:t xml:space="preserve"> while </w:t>
      </w:r>
      <w:r w:rsidR="00BF19DF" w:rsidRPr="001348D2">
        <w:t xml:space="preserve">the </w:t>
      </w:r>
      <w:r w:rsidRPr="001348D2">
        <w:t xml:space="preserve">duties </w:t>
      </w:r>
      <w:r w:rsidR="00BF19DF" w:rsidRPr="001348D2">
        <w:t xml:space="preserve">related to </w:t>
      </w:r>
      <w:r w:rsidRPr="001348D2">
        <w:t>accessibility and accommodation are distinct</w:t>
      </w:r>
      <w:r w:rsidR="002F10B8" w:rsidRPr="001348D2">
        <w:t xml:space="preserve">, </w:t>
      </w:r>
      <w:r w:rsidRPr="001348D2">
        <w:t>they are inter-related and interdependent.</w:t>
      </w:r>
      <w:r w:rsidR="000C46FA" w:rsidRPr="001348D2">
        <w:t xml:space="preserve"> </w:t>
      </w:r>
    </w:p>
    <w:p w14:paraId="6EBE37F5" w14:textId="0FBCAFBC" w:rsidR="00737BE2" w:rsidRPr="001348D2" w:rsidRDefault="00737BE2" w:rsidP="001348D2">
      <w:pPr>
        <w:pStyle w:val="Recommendation"/>
      </w:pPr>
    </w:p>
    <w:p w14:paraId="1275B1C2" w14:textId="0CFD5347" w:rsidR="0008668B" w:rsidRPr="001348D2" w:rsidRDefault="00A86ABD" w:rsidP="001348D2">
      <w:pPr>
        <w:pStyle w:val="Recommendation"/>
      </w:pPr>
      <w:r w:rsidRPr="001348D2">
        <w:t>Taking into account th</w:t>
      </w:r>
      <w:r w:rsidR="00F2575C" w:rsidRPr="001348D2">
        <w:t>is</w:t>
      </w:r>
      <w:r w:rsidR="000C46FA" w:rsidRPr="001348D2">
        <w:t xml:space="preserve"> inter-</w:t>
      </w:r>
      <w:r w:rsidRPr="001348D2">
        <w:t>related and inter</w:t>
      </w:r>
      <w:r w:rsidR="000C46FA" w:rsidRPr="001348D2">
        <w:t>dependent nature</w:t>
      </w:r>
      <w:r w:rsidR="00F2575C" w:rsidRPr="001348D2">
        <w:t>,</w:t>
      </w:r>
      <w:r w:rsidR="000C46FA" w:rsidRPr="001348D2">
        <w:t xml:space="preserve"> t</w:t>
      </w:r>
      <w:r w:rsidR="00F2575C" w:rsidRPr="001348D2">
        <w:t>he</w:t>
      </w:r>
      <w:r w:rsidR="000C46FA" w:rsidRPr="001348D2">
        <w:t xml:space="preserve"> </w:t>
      </w:r>
      <w:r w:rsidR="00F2575C" w:rsidRPr="001348D2">
        <w:t xml:space="preserve">General comment could </w:t>
      </w:r>
      <w:r w:rsidR="000C46FA" w:rsidRPr="001348D2">
        <w:t xml:space="preserve">comment on </w:t>
      </w:r>
      <w:r w:rsidR="00F2575C" w:rsidRPr="001348D2">
        <w:t>the concepts</w:t>
      </w:r>
      <w:r w:rsidR="000C46FA" w:rsidRPr="001348D2">
        <w:t xml:space="preserve"> ‘undue hardship’</w:t>
      </w:r>
      <w:r w:rsidR="00F2575C" w:rsidRPr="001348D2">
        <w:t xml:space="preserve"> and</w:t>
      </w:r>
      <w:r w:rsidR="000C46FA" w:rsidRPr="001348D2">
        <w:t xml:space="preserve"> ‘undue accommodation’</w:t>
      </w:r>
      <w:r w:rsidR="00F2575C" w:rsidRPr="001348D2">
        <w:t xml:space="preserve"> and further commen</w:t>
      </w:r>
      <w:r w:rsidR="00DF6F8D" w:rsidRPr="001348D2">
        <w:t>t</w:t>
      </w:r>
      <w:r w:rsidR="00F2575C" w:rsidRPr="001348D2">
        <w:t xml:space="preserve"> on the concepts </w:t>
      </w:r>
      <w:r w:rsidR="000C46FA" w:rsidRPr="001348D2">
        <w:t>‘duty of accommodation’ and ‘duty of accessibility’</w:t>
      </w:r>
      <w:r w:rsidR="00F2575C" w:rsidRPr="001348D2">
        <w:t>.</w:t>
      </w:r>
    </w:p>
    <w:p w14:paraId="48312DC7" w14:textId="77777777" w:rsidR="00C32D0C" w:rsidRPr="001348D2" w:rsidRDefault="00C32D0C" w:rsidP="001348D2">
      <w:pPr>
        <w:shd w:val="clear" w:color="auto" w:fill="FFFFFF"/>
        <w:spacing w:after="0" w:line="240" w:lineRule="auto"/>
        <w:jc w:val="both"/>
        <w:textAlignment w:val="baseline"/>
        <w:rPr>
          <w:rFonts w:ascii="Avenir Book" w:hAnsi="Avenir Book"/>
          <w:b/>
        </w:rPr>
      </w:pPr>
    </w:p>
    <w:p w14:paraId="4C722200" w14:textId="77777777" w:rsidR="00C32D0C" w:rsidRPr="001348D2" w:rsidRDefault="00C32D0C" w:rsidP="001348D2">
      <w:pPr>
        <w:shd w:val="clear" w:color="auto" w:fill="FFFFFF"/>
        <w:spacing w:after="0" w:line="240" w:lineRule="auto"/>
        <w:jc w:val="both"/>
        <w:textAlignment w:val="baseline"/>
        <w:rPr>
          <w:rFonts w:ascii="Avenir Book" w:hAnsi="Avenir Book"/>
          <w:b/>
        </w:rPr>
      </w:pPr>
    </w:p>
    <w:p w14:paraId="518F4166" w14:textId="77777777" w:rsidR="00B04BB8" w:rsidRPr="001348D2" w:rsidRDefault="00B04BB8" w:rsidP="001348D2">
      <w:pPr>
        <w:pStyle w:val="Heading1"/>
        <w:jc w:val="both"/>
        <w:rPr>
          <w:rFonts w:ascii="Avenir Book" w:hAnsi="Avenir Book"/>
          <w:sz w:val="22"/>
          <w:szCs w:val="22"/>
        </w:rPr>
      </w:pPr>
      <w:bookmarkStart w:id="28" w:name="_Toc496250087"/>
      <w:bookmarkStart w:id="29" w:name="_Toc496250163"/>
      <w:bookmarkStart w:id="30" w:name="_Toc501561471"/>
      <w:r w:rsidRPr="001348D2">
        <w:rPr>
          <w:rFonts w:ascii="Avenir Book" w:hAnsi="Avenir Book"/>
          <w:sz w:val="22"/>
          <w:szCs w:val="22"/>
        </w:rPr>
        <w:t>Article</w:t>
      </w:r>
      <w:r w:rsidR="00325862" w:rsidRPr="001348D2">
        <w:rPr>
          <w:rFonts w:ascii="Avenir Book" w:hAnsi="Avenir Book"/>
          <w:sz w:val="22"/>
          <w:szCs w:val="22"/>
        </w:rPr>
        <w:t>s</w:t>
      </w:r>
      <w:r w:rsidRPr="001348D2">
        <w:rPr>
          <w:rFonts w:ascii="Avenir Book" w:hAnsi="Avenir Book"/>
          <w:sz w:val="22"/>
          <w:szCs w:val="22"/>
        </w:rPr>
        <w:t xml:space="preserve"> 14</w:t>
      </w:r>
      <w:r w:rsidR="00080606" w:rsidRPr="001348D2">
        <w:rPr>
          <w:rFonts w:ascii="Avenir Book" w:hAnsi="Avenir Book"/>
          <w:sz w:val="22"/>
          <w:szCs w:val="22"/>
        </w:rPr>
        <w:t xml:space="preserve">, 15, 16, </w:t>
      </w:r>
      <w:r w:rsidR="00325862" w:rsidRPr="001348D2">
        <w:rPr>
          <w:rFonts w:ascii="Avenir Book" w:hAnsi="Avenir Book"/>
          <w:sz w:val="22"/>
          <w:szCs w:val="22"/>
        </w:rPr>
        <w:t xml:space="preserve">and </w:t>
      </w:r>
      <w:r w:rsidR="00080606" w:rsidRPr="001348D2">
        <w:rPr>
          <w:rFonts w:ascii="Avenir Book" w:hAnsi="Avenir Book"/>
          <w:sz w:val="22"/>
          <w:szCs w:val="22"/>
        </w:rPr>
        <w:t>17</w:t>
      </w:r>
      <w:r w:rsidR="00325862" w:rsidRPr="001348D2">
        <w:rPr>
          <w:rFonts w:ascii="Avenir Book" w:hAnsi="Avenir Book"/>
          <w:sz w:val="22"/>
          <w:szCs w:val="22"/>
        </w:rPr>
        <w:t xml:space="preserve"> -</w:t>
      </w:r>
      <w:r w:rsidRPr="001348D2">
        <w:rPr>
          <w:rFonts w:ascii="Avenir Book" w:hAnsi="Avenir Book"/>
          <w:sz w:val="22"/>
          <w:szCs w:val="22"/>
        </w:rPr>
        <w:t xml:space="preserve"> Liberty and security</w:t>
      </w:r>
      <w:r w:rsidR="0008668B" w:rsidRPr="001348D2">
        <w:rPr>
          <w:rFonts w:ascii="Avenir Book" w:hAnsi="Avenir Book"/>
          <w:sz w:val="22"/>
          <w:szCs w:val="22"/>
        </w:rPr>
        <w:t>;</w:t>
      </w:r>
      <w:r w:rsidR="00080606" w:rsidRPr="001348D2">
        <w:rPr>
          <w:rFonts w:ascii="Avenir Book" w:hAnsi="Avenir Book"/>
          <w:sz w:val="22"/>
          <w:szCs w:val="22"/>
        </w:rPr>
        <w:t xml:space="preserve"> </w:t>
      </w:r>
      <w:r w:rsidRPr="001348D2">
        <w:rPr>
          <w:rFonts w:ascii="Avenir Book" w:hAnsi="Avenir Book"/>
          <w:sz w:val="22"/>
          <w:szCs w:val="22"/>
        </w:rPr>
        <w:t>freedom from torture</w:t>
      </w:r>
      <w:r w:rsidR="00080606" w:rsidRPr="001348D2">
        <w:rPr>
          <w:rFonts w:ascii="Avenir Book" w:hAnsi="Avenir Book"/>
          <w:sz w:val="22"/>
          <w:szCs w:val="22"/>
        </w:rPr>
        <w:t xml:space="preserve">, </w:t>
      </w:r>
      <w:r w:rsidRPr="001348D2">
        <w:rPr>
          <w:rFonts w:ascii="Avenir Book" w:hAnsi="Avenir Book"/>
          <w:sz w:val="22"/>
          <w:szCs w:val="22"/>
        </w:rPr>
        <w:t>exploitation, violence and abuse</w:t>
      </w:r>
      <w:r w:rsidR="0008668B" w:rsidRPr="001348D2">
        <w:rPr>
          <w:rFonts w:ascii="Avenir Book" w:hAnsi="Avenir Book"/>
          <w:sz w:val="22"/>
          <w:szCs w:val="22"/>
        </w:rPr>
        <w:t xml:space="preserve">; </w:t>
      </w:r>
      <w:r w:rsidRPr="001348D2">
        <w:rPr>
          <w:rFonts w:ascii="Avenir Book" w:hAnsi="Avenir Book"/>
          <w:sz w:val="22"/>
          <w:szCs w:val="22"/>
        </w:rPr>
        <w:t>integrity of the person</w:t>
      </w:r>
      <w:bookmarkEnd w:id="28"/>
      <w:bookmarkEnd w:id="29"/>
      <w:bookmarkEnd w:id="30"/>
    </w:p>
    <w:p w14:paraId="7FCCD95E" w14:textId="77777777" w:rsidR="00B04BB8" w:rsidRPr="001348D2" w:rsidRDefault="00B04BB8" w:rsidP="001348D2">
      <w:pPr>
        <w:spacing w:after="0" w:line="240" w:lineRule="auto"/>
        <w:jc w:val="both"/>
        <w:rPr>
          <w:rFonts w:ascii="Avenir Book" w:hAnsi="Avenir Book"/>
          <w:b/>
        </w:rPr>
      </w:pPr>
    </w:p>
    <w:p w14:paraId="70BBD9E4" w14:textId="77777777" w:rsidR="00BF19DF" w:rsidRPr="001348D2" w:rsidRDefault="00B04BB8" w:rsidP="001348D2">
      <w:pPr>
        <w:spacing w:after="0" w:line="240" w:lineRule="auto"/>
        <w:jc w:val="both"/>
        <w:rPr>
          <w:rFonts w:ascii="Avenir Book" w:hAnsi="Avenir Book"/>
        </w:rPr>
      </w:pPr>
      <w:r w:rsidRPr="001348D2">
        <w:rPr>
          <w:rFonts w:ascii="Avenir Book" w:hAnsi="Avenir Book"/>
        </w:rPr>
        <w:t xml:space="preserve">In the discussion of these articles the Committee may wish to make reference to the situation </w:t>
      </w:r>
      <w:r w:rsidR="00737BE2" w:rsidRPr="001348D2">
        <w:rPr>
          <w:rFonts w:ascii="Avenir Book" w:hAnsi="Avenir Book"/>
        </w:rPr>
        <w:t xml:space="preserve">of </w:t>
      </w:r>
      <w:r w:rsidR="00BF19DF" w:rsidRPr="001348D2">
        <w:rPr>
          <w:rFonts w:ascii="Avenir Book" w:hAnsi="Avenir Book"/>
        </w:rPr>
        <w:t>persons deprived of their liberty</w:t>
      </w:r>
      <w:r w:rsidRPr="001348D2">
        <w:rPr>
          <w:rFonts w:ascii="Avenir Book" w:hAnsi="Avenir Book"/>
        </w:rPr>
        <w:t xml:space="preserve">.  </w:t>
      </w:r>
    </w:p>
    <w:p w14:paraId="71A2EBA6" w14:textId="77777777" w:rsidR="00BF19DF" w:rsidRPr="001348D2" w:rsidRDefault="00BF19DF" w:rsidP="001348D2">
      <w:pPr>
        <w:spacing w:after="0" w:line="240" w:lineRule="auto"/>
        <w:jc w:val="both"/>
        <w:rPr>
          <w:rFonts w:ascii="Avenir Book" w:hAnsi="Avenir Book"/>
        </w:rPr>
      </w:pPr>
    </w:p>
    <w:p w14:paraId="123727D5" w14:textId="4A648925" w:rsidR="00B04BB8" w:rsidRPr="001348D2" w:rsidRDefault="00103D94" w:rsidP="001348D2">
      <w:pPr>
        <w:spacing w:after="0" w:line="240" w:lineRule="auto"/>
        <w:jc w:val="both"/>
        <w:rPr>
          <w:rFonts w:ascii="Avenir Book" w:hAnsi="Avenir Book"/>
        </w:rPr>
      </w:pPr>
      <w:r w:rsidRPr="001348D2">
        <w:rPr>
          <w:rFonts w:ascii="Avenir Book" w:hAnsi="Avenir Book" w:cs="Arial"/>
        </w:rPr>
        <w:t>I</w:t>
      </w:r>
      <w:r w:rsidR="00BF19DF" w:rsidRPr="001348D2">
        <w:rPr>
          <w:rFonts w:ascii="Avenir Book" w:hAnsi="Avenir Book" w:cs="Arial"/>
        </w:rPr>
        <w:t>n</w:t>
      </w:r>
      <w:r w:rsidR="00BF19DF" w:rsidRPr="001348D2">
        <w:rPr>
          <w:rFonts w:ascii="Avenir Book" w:hAnsi="Avenir Book"/>
        </w:rPr>
        <w:t xml:space="preserve"> many jurisdictions, p</w:t>
      </w:r>
      <w:r w:rsidR="00B04BB8" w:rsidRPr="001348D2">
        <w:rPr>
          <w:rFonts w:ascii="Avenir Book" w:hAnsi="Avenir Book"/>
        </w:rPr>
        <w:t>risoners</w:t>
      </w:r>
      <w:r w:rsidR="00AE3D24" w:rsidRPr="001348D2">
        <w:rPr>
          <w:rFonts w:ascii="Avenir Book" w:hAnsi="Avenir Book"/>
        </w:rPr>
        <w:t xml:space="preserve"> </w:t>
      </w:r>
      <w:r w:rsidR="00B04BB8" w:rsidRPr="001348D2">
        <w:rPr>
          <w:rFonts w:ascii="Avenir Book" w:hAnsi="Avenir Book"/>
        </w:rPr>
        <w:t>suffer disproportional</w:t>
      </w:r>
      <w:r w:rsidR="00D26639" w:rsidRPr="001348D2">
        <w:rPr>
          <w:rFonts w:ascii="Avenir Book" w:hAnsi="Avenir Book"/>
        </w:rPr>
        <w:t>ly</w:t>
      </w:r>
      <w:r w:rsidR="00B04BB8" w:rsidRPr="001348D2">
        <w:rPr>
          <w:rFonts w:ascii="Avenir Book" w:hAnsi="Avenir Book"/>
        </w:rPr>
        <w:t xml:space="preserve"> from mental illness</w:t>
      </w:r>
      <w:r w:rsidR="00D26639" w:rsidRPr="001348D2">
        <w:rPr>
          <w:rFonts w:ascii="Avenir Book" w:hAnsi="Avenir Book"/>
        </w:rPr>
        <w:t>.</w:t>
      </w:r>
      <w:r w:rsidR="00AE3D24" w:rsidRPr="001348D2">
        <w:rPr>
          <w:rFonts w:ascii="Avenir Book" w:hAnsi="Avenir Book"/>
        </w:rPr>
        <w:t xml:space="preserve"> </w:t>
      </w:r>
      <w:r w:rsidR="00D26639" w:rsidRPr="001348D2">
        <w:rPr>
          <w:rFonts w:ascii="Avenir Book" w:hAnsi="Avenir Book"/>
        </w:rPr>
        <w:t>Their condition</w:t>
      </w:r>
      <w:r w:rsidR="00537C60" w:rsidRPr="001348D2">
        <w:rPr>
          <w:rFonts w:ascii="Avenir Book" w:hAnsi="Avenir Book"/>
        </w:rPr>
        <w:t xml:space="preserve"> may be</w:t>
      </w:r>
      <w:r w:rsidR="00D26639" w:rsidRPr="001348D2">
        <w:rPr>
          <w:rFonts w:ascii="Avenir Book" w:hAnsi="Avenir Book"/>
        </w:rPr>
        <w:t xml:space="preserve"> exacerbated by practices</w:t>
      </w:r>
      <w:r w:rsidR="00B04BB8" w:rsidRPr="001348D2">
        <w:rPr>
          <w:rFonts w:ascii="Avenir Book" w:hAnsi="Avenir Book"/>
        </w:rPr>
        <w:t xml:space="preserve"> such as solitary confinement that in some circumstances may constitute to</w:t>
      </w:r>
      <w:r w:rsidR="00D26639" w:rsidRPr="001348D2">
        <w:rPr>
          <w:rFonts w:ascii="Avenir Book" w:hAnsi="Avenir Book"/>
        </w:rPr>
        <w:t>rture. Mental health services are often lacking in prisons.</w:t>
      </w:r>
      <w:r w:rsidR="00737BE2" w:rsidRPr="001348D2">
        <w:rPr>
          <w:rFonts w:ascii="Avenir Book" w:hAnsi="Avenir Book"/>
        </w:rPr>
        <w:t xml:space="preserve"> </w:t>
      </w:r>
      <w:r w:rsidR="00D26639" w:rsidRPr="001348D2">
        <w:rPr>
          <w:rFonts w:ascii="Avenir Book" w:hAnsi="Avenir Book"/>
        </w:rPr>
        <w:t>This may result in undue suffering of prisoners</w:t>
      </w:r>
      <w:r w:rsidR="00BF19DF" w:rsidRPr="001348D2">
        <w:rPr>
          <w:rFonts w:ascii="Avenir Book" w:hAnsi="Avenir Book"/>
        </w:rPr>
        <w:t xml:space="preserve"> </w:t>
      </w:r>
      <w:r w:rsidR="00D26639" w:rsidRPr="001348D2">
        <w:rPr>
          <w:rFonts w:ascii="Avenir Book" w:hAnsi="Avenir Book"/>
        </w:rPr>
        <w:t>and hampers the rehabilitation of prisoners back into society.</w:t>
      </w:r>
    </w:p>
    <w:p w14:paraId="4BD17703" w14:textId="77777777" w:rsidR="00537C60" w:rsidRPr="001348D2" w:rsidRDefault="00537C60" w:rsidP="001348D2">
      <w:pPr>
        <w:spacing w:after="0" w:line="240" w:lineRule="auto"/>
        <w:jc w:val="both"/>
        <w:rPr>
          <w:rFonts w:ascii="Avenir Book" w:hAnsi="Avenir Book" w:cs="Arial"/>
        </w:rPr>
      </w:pPr>
    </w:p>
    <w:p w14:paraId="3DCF8D66" w14:textId="342F173F" w:rsidR="0015168E" w:rsidRPr="001348D2" w:rsidRDefault="00770015" w:rsidP="001348D2">
      <w:pPr>
        <w:spacing w:after="0" w:line="240" w:lineRule="auto"/>
        <w:jc w:val="both"/>
        <w:rPr>
          <w:rFonts w:ascii="Avenir Book" w:hAnsi="Avenir Book" w:cs="Arial"/>
        </w:rPr>
      </w:pPr>
      <w:r w:rsidRPr="001348D2">
        <w:rPr>
          <w:rFonts w:ascii="Avenir Book" w:hAnsi="Avenir Book" w:cs="Arial"/>
        </w:rPr>
        <w:t>The Commission on Human Rights of the Philippines (CHRP)</w:t>
      </w:r>
      <w:r w:rsidR="00AE3D24" w:rsidRPr="001348D2">
        <w:rPr>
          <w:rFonts w:ascii="Avenir Book" w:hAnsi="Avenir Book" w:cs="Arial"/>
        </w:rPr>
        <w:t xml:space="preserve"> for example</w:t>
      </w:r>
      <w:r w:rsidRPr="001348D2">
        <w:rPr>
          <w:rFonts w:ascii="Avenir Book" w:hAnsi="Avenir Book" w:cs="Arial"/>
        </w:rPr>
        <w:t>, monitors the report from the Philippine</w:t>
      </w:r>
      <w:r w:rsidR="00AE3D24" w:rsidRPr="001348D2">
        <w:rPr>
          <w:rFonts w:ascii="Avenir Book" w:hAnsi="Avenir Book" w:cs="Arial"/>
        </w:rPr>
        <w:t>s</w:t>
      </w:r>
      <w:r w:rsidRPr="001348D2">
        <w:rPr>
          <w:rFonts w:ascii="Avenir Book" w:hAnsi="Avenir Book" w:cs="Arial"/>
        </w:rPr>
        <w:t xml:space="preserve"> National Police (PNP) and from the Armed Forces of the Philippines (AFP)</w:t>
      </w:r>
      <w:r w:rsidR="00843AE0" w:rsidRPr="001348D2">
        <w:rPr>
          <w:rFonts w:ascii="Avenir Book" w:hAnsi="Avenir Book" w:cs="Arial"/>
        </w:rPr>
        <w:t xml:space="preserve"> </w:t>
      </w:r>
      <w:r w:rsidRPr="001348D2">
        <w:rPr>
          <w:rFonts w:ascii="Avenir Book" w:hAnsi="Avenir Book" w:cs="Arial"/>
        </w:rPr>
        <w:t>all detainees and detention facilities</w:t>
      </w:r>
      <w:r w:rsidR="0056680F" w:rsidRPr="001348D2">
        <w:rPr>
          <w:rFonts w:ascii="Avenir Book" w:hAnsi="Avenir Book" w:cs="Arial"/>
        </w:rPr>
        <w:t xml:space="preserve"> and assist in filing complaints.  The CHRP shall render legal assistance in the investigation and monitoring and/or filing of the complaint for a person who suffers torture and other cruel, inhuman and degrading treatment or punishment.</w:t>
      </w:r>
      <w:r w:rsidR="0056680F" w:rsidRPr="001348D2">
        <w:rPr>
          <w:rStyle w:val="FootnoteReference"/>
          <w:rFonts w:ascii="Avenir Book" w:hAnsi="Avenir Book" w:cs="Arial"/>
        </w:rPr>
        <w:footnoteReference w:id="13"/>
      </w:r>
      <w:r w:rsidRPr="001348D2">
        <w:rPr>
          <w:rFonts w:ascii="Avenir Book" w:hAnsi="Avenir Book" w:cs="Arial"/>
        </w:rPr>
        <w:t xml:space="preserve"> </w:t>
      </w:r>
    </w:p>
    <w:p w14:paraId="68FFD8D7" w14:textId="51680B98" w:rsidR="00537C60" w:rsidRPr="001348D2" w:rsidRDefault="0015168E" w:rsidP="001348D2">
      <w:pPr>
        <w:pStyle w:val="NormalWeb"/>
        <w:jc w:val="both"/>
        <w:rPr>
          <w:sz w:val="22"/>
          <w:szCs w:val="22"/>
        </w:rPr>
      </w:pPr>
      <w:r w:rsidRPr="001348D2">
        <w:rPr>
          <w:rFonts w:ascii="Avenir Book" w:hAnsi="Avenir Book" w:cs="Arial"/>
          <w:sz w:val="22"/>
          <w:szCs w:val="22"/>
        </w:rPr>
        <w:lastRenderedPageBreak/>
        <w:t>Specific to mental health, the Philippine</w:t>
      </w:r>
      <w:r w:rsidR="00AE3D24" w:rsidRPr="001348D2">
        <w:rPr>
          <w:rFonts w:ascii="Avenir Book" w:hAnsi="Avenir Book" w:cs="Arial"/>
          <w:sz w:val="22"/>
          <w:szCs w:val="22"/>
        </w:rPr>
        <w:t>s</w:t>
      </w:r>
      <w:r w:rsidRPr="001348D2">
        <w:rPr>
          <w:rFonts w:ascii="Avenir Book" w:hAnsi="Avenir Book" w:cs="Arial"/>
          <w:sz w:val="22"/>
          <w:szCs w:val="22"/>
        </w:rPr>
        <w:t xml:space="preserve"> Congress, through t</w:t>
      </w:r>
      <w:r w:rsidRPr="001348D2">
        <w:rPr>
          <w:rFonts w:ascii="Avenir Book" w:hAnsi="Avenir Book"/>
          <w:sz w:val="22"/>
          <w:szCs w:val="22"/>
          <w:lang w:val="en-PH" w:eastAsia="en-PH"/>
        </w:rPr>
        <w:t xml:space="preserve">he Senate of the Philippines approved on third and final reading a bill creating </w:t>
      </w:r>
      <w:r w:rsidR="00327262" w:rsidRPr="001348D2">
        <w:rPr>
          <w:rFonts w:ascii="Avenir Book" w:hAnsi="Avenir Book"/>
          <w:noProof w:val="0"/>
          <w:sz w:val="22"/>
          <w:szCs w:val="22"/>
          <w:lang w:val="en-PH" w:eastAsia="en-PH"/>
        </w:rPr>
        <w:t xml:space="preserve">a national mental health policy </w:t>
      </w:r>
      <w:r w:rsidR="00327262" w:rsidRPr="001348D2">
        <w:rPr>
          <w:rStyle w:val="FootnoteReference"/>
          <w:rFonts w:ascii="Avenir Book" w:hAnsi="Avenir Book"/>
          <w:noProof w:val="0"/>
          <w:sz w:val="22"/>
          <w:szCs w:val="22"/>
          <w:lang w:val="en-PH" w:eastAsia="en-PH"/>
        </w:rPr>
        <w:footnoteReference w:id="14"/>
      </w:r>
      <w:r w:rsidR="00327262" w:rsidRPr="001348D2">
        <w:rPr>
          <w:rFonts w:ascii="Avenir Book" w:hAnsi="Avenir Book"/>
          <w:noProof w:val="0"/>
          <w:sz w:val="22"/>
          <w:szCs w:val="22"/>
          <w:lang w:val="en-PH" w:eastAsia="en-PH"/>
        </w:rPr>
        <w:t xml:space="preserve"> the first of its kind in the country.</w:t>
      </w:r>
      <w:r w:rsidR="00AC488E" w:rsidRPr="001348D2">
        <w:rPr>
          <w:rFonts w:ascii="Avenir Book" w:hAnsi="Avenir Book"/>
          <w:noProof w:val="0"/>
          <w:sz w:val="22"/>
          <w:szCs w:val="22"/>
          <w:lang w:val="en-PH" w:eastAsia="en-PH"/>
        </w:rPr>
        <w:t xml:space="preserve"> </w:t>
      </w:r>
      <w:r w:rsidR="00AC488E" w:rsidRPr="001348D2">
        <w:rPr>
          <w:rFonts w:ascii="Avenir Book" w:hAnsi="Avenir Book"/>
          <w:sz w:val="22"/>
          <w:szCs w:val="22"/>
        </w:rPr>
        <w:t>The Senate bill seeks to integrate mental health services and programs in the public health system. It also mandates the government to provide basic mental health services at the community level and psychiatric, psychosocial and neurologic services in all regional, provincial and tertiary hospitals. As soon as this is enacted into law, it will provide a  comprehensive mental health interventions to ensure that the rights of all persons with mental health needs are protected and secured.</w:t>
      </w:r>
    </w:p>
    <w:p w14:paraId="271872F5" w14:textId="7FEEEF41" w:rsidR="00537C60" w:rsidRPr="001348D2" w:rsidRDefault="00537C60" w:rsidP="001348D2">
      <w:pPr>
        <w:pStyle w:val="Recommendation"/>
      </w:pPr>
      <w:r w:rsidRPr="00E3426B">
        <w:rPr>
          <w:u w:val="single"/>
        </w:rPr>
        <w:t>RECOMMENDATION</w:t>
      </w:r>
      <w:r w:rsidR="00325862" w:rsidRPr="001348D2">
        <w:rPr>
          <w:u w:val="single"/>
        </w:rPr>
        <w:t xml:space="preserve"> 8</w:t>
      </w:r>
      <w:r w:rsidRPr="001348D2">
        <w:t xml:space="preserve">: The General Comment should make reference to the special needs </w:t>
      </w:r>
      <w:r w:rsidR="0032597E" w:rsidRPr="001348D2">
        <w:t xml:space="preserve">and </w:t>
      </w:r>
      <w:r w:rsidR="002F10B8" w:rsidRPr="001348D2">
        <w:t>a</w:t>
      </w:r>
      <w:r w:rsidR="0032597E" w:rsidRPr="001348D2">
        <w:t>ccessibility</w:t>
      </w:r>
      <w:r w:rsidR="002F10B8" w:rsidRPr="001348D2">
        <w:t xml:space="preserve"> </w:t>
      </w:r>
      <w:r w:rsidRPr="001348D2">
        <w:t xml:space="preserve">of </w:t>
      </w:r>
      <w:r w:rsidR="00BF19DF" w:rsidRPr="001348D2">
        <w:t>person deprived of their liberty</w:t>
      </w:r>
      <w:r w:rsidR="001137AB" w:rsidRPr="001348D2">
        <w:t>, i</w:t>
      </w:r>
      <w:r w:rsidR="000C46FA" w:rsidRPr="001348D2">
        <w:t>ncluding those with intellectual disabilities</w:t>
      </w:r>
      <w:r w:rsidR="00AE3D24" w:rsidRPr="001348D2">
        <w:t xml:space="preserve">. </w:t>
      </w:r>
    </w:p>
    <w:p w14:paraId="6FFEED6E" w14:textId="77777777" w:rsidR="00B04BB8" w:rsidRPr="001348D2" w:rsidRDefault="00B04BB8" w:rsidP="001348D2">
      <w:pPr>
        <w:spacing w:after="0" w:line="240" w:lineRule="auto"/>
        <w:jc w:val="both"/>
        <w:rPr>
          <w:rFonts w:ascii="Avenir Book" w:hAnsi="Avenir Book"/>
        </w:rPr>
      </w:pPr>
    </w:p>
    <w:p w14:paraId="21E7794B" w14:textId="77777777" w:rsidR="00537C60" w:rsidRPr="001348D2" w:rsidRDefault="00537C60" w:rsidP="001348D2">
      <w:pPr>
        <w:spacing w:after="0" w:line="240" w:lineRule="auto"/>
        <w:jc w:val="both"/>
        <w:rPr>
          <w:rFonts w:ascii="Avenir Book" w:hAnsi="Avenir Book"/>
        </w:rPr>
      </w:pPr>
    </w:p>
    <w:p w14:paraId="4824EE1D" w14:textId="6F995DD5" w:rsidR="00B04BB8" w:rsidRPr="001348D2" w:rsidRDefault="00B04BB8" w:rsidP="001348D2">
      <w:pPr>
        <w:pStyle w:val="Heading1"/>
        <w:jc w:val="both"/>
        <w:rPr>
          <w:rFonts w:ascii="Avenir Book" w:hAnsi="Avenir Book"/>
          <w:sz w:val="22"/>
          <w:szCs w:val="22"/>
        </w:rPr>
      </w:pPr>
      <w:bookmarkStart w:id="31" w:name="_Toc496250088"/>
      <w:bookmarkStart w:id="32" w:name="_Toc496250164"/>
      <w:bookmarkStart w:id="33" w:name="_Toc501561472"/>
      <w:r w:rsidRPr="001348D2">
        <w:rPr>
          <w:rFonts w:ascii="Avenir Book" w:hAnsi="Avenir Book"/>
          <w:sz w:val="22"/>
          <w:szCs w:val="22"/>
        </w:rPr>
        <w:t>Article 29 - Participation in political and public life</w:t>
      </w:r>
      <w:r w:rsidR="00325862" w:rsidRPr="001348D2">
        <w:rPr>
          <w:rFonts w:ascii="Avenir Book" w:hAnsi="Avenir Book"/>
          <w:sz w:val="22"/>
          <w:szCs w:val="22"/>
        </w:rPr>
        <w:t xml:space="preserve"> (</w:t>
      </w:r>
      <w:r w:rsidR="00D26639" w:rsidRPr="001348D2">
        <w:rPr>
          <w:rFonts w:ascii="Avenir Book" w:hAnsi="Avenir Book"/>
          <w:sz w:val="22"/>
          <w:szCs w:val="22"/>
        </w:rPr>
        <w:t>para</w:t>
      </w:r>
      <w:r w:rsidR="00325862" w:rsidRPr="001348D2">
        <w:rPr>
          <w:rFonts w:ascii="Avenir Book" w:hAnsi="Avenir Book"/>
          <w:sz w:val="22"/>
          <w:szCs w:val="22"/>
        </w:rPr>
        <w:t>graph</w:t>
      </w:r>
      <w:r w:rsidR="00D26639" w:rsidRPr="001348D2">
        <w:rPr>
          <w:rFonts w:ascii="Avenir Book" w:hAnsi="Avenir Book"/>
          <w:sz w:val="22"/>
          <w:szCs w:val="22"/>
        </w:rPr>
        <w:t xml:space="preserve"> 74</w:t>
      </w:r>
      <w:bookmarkEnd w:id="31"/>
      <w:bookmarkEnd w:id="32"/>
      <w:r w:rsidR="00325862" w:rsidRPr="001348D2">
        <w:rPr>
          <w:rFonts w:ascii="Avenir Book" w:hAnsi="Avenir Book"/>
          <w:sz w:val="22"/>
          <w:szCs w:val="22"/>
        </w:rPr>
        <w:t>)</w:t>
      </w:r>
      <w:bookmarkEnd w:id="33"/>
    </w:p>
    <w:p w14:paraId="4BCFAD65" w14:textId="77777777" w:rsidR="00B04BB8" w:rsidRPr="001348D2" w:rsidRDefault="00B04BB8" w:rsidP="001348D2">
      <w:pPr>
        <w:spacing w:after="0" w:line="240" w:lineRule="auto"/>
        <w:jc w:val="both"/>
        <w:rPr>
          <w:rFonts w:ascii="Avenir Book" w:hAnsi="Avenir Book"/>
          <w:b/>
        </w:rPr>
      </w:pPr>
    </w:p>
    <w:p w14:paraId="793BD3E1" w14:textId="77777777" w:rsidR="00D26639" w:rsidRPr="001348D2" w:rsidRDefault="00D26639" w:rsidP="001348D2">
      <w:pPr>
        <w:spacing w:after="0" w:line="240" w:lineRule="auto"/>
        <w:jc w:val="both"/>
        <w:rPr>
          <w:rFonts w:ascii="Avenir Book" w:hAnsi="Avenir Book"/>
        </w:rPr>
      </w:pPr>
      <w:r w:rsidRPr="001348D2">
        <w:rPr>
          <w:rFonts w:ascii="Avenir Book" w:hAnsi="Avenir Book"/>
        </w:rPr>
        <w:t>The definition of “</w:t>
      </w:r>
      <w:r w:rsidR="00B04BB8" w:rsidRPr="001348D2">
        <w:rPr>
          <w:rFonts w:ascii="Avenir Book" w:hAnsi="Avenir Book"/>
        </w:rPr>
        <w:t xml:space="preserve">electoral processes” </w:t>
      </w:r>
      <w:r w:rsidRPr="001348D2">
        <w:rPr>
          <w:rFonts w:ascii="Avenir Book" w:hAnsi="Avenir Book"/>
        </w:rPr>
        <w:t xml:space="preserve">should </w:t>
      </w:r>
      <w:r w:rsidR="00B04BB8" w:rsidRPr="001348D2">
        <w:rPr>
          <w:rFonts w:ascii="Avenir Book" w:hAnsi="Avenir Book"/>
        </w:rPr>
        <w:t>include all aspects of elections, including political campaigns, and not just the formal voting process.</w:t>
      </w:r>
      <w:r w:rsidR="00260509" w:rsidRPr="001348D2">
        <w:rPr>
          <w:rStyle w:val="FootnoteReference"/>
          <w:rFonts w:ascii="Avenir Book" w:hAnsi="Avenir Book" w:cs="Arial"/>
        </w:rPr>
        <w:footnoteReference w:id="15"/>
      </w:r>
      <w:r w:rsidR="00B04BB8" w:rsidRPr="001348D2">
        <w:rPr>
          <w:rFonts w:ascii="Avenir Book" w:hAnsi="Avenir Book"/>
        </w:rPr>
        <w:t xml:space="preserve">  </w:t>
      </w:r>
    </w:p>
    <w:p w14:paraId="073C56ED" w14:textId="77777777" w:rsidR="00D26639" w:rsidRPr="001348D2" w:rsidRDefault="00D26639" w:rsidP="001348D2">
      <w:pPr>
        <w:spacing w:after="0" w:line="240" w:lineRule="auto"/>
        <w:jc w:val="both"/>
        <w:rPr>
          <w:rFonts w:ascii="Avenir Book" w:hAnsi="Avenir Book"/>
        </w:rPr>
      </w:pPr>
    </w:p>
    <w:p w14:paraId="09B3C2CD" w14:textId="0C5D95B0" w:rsidR="00B04BB8" w:rsidRPr="001348D2" w:rsidRDefault="00451DC9" w:rsidP="001348D2">
      <w:pPr>
        <w:pStyle w:val="Recommendation"/>
      </w:pPr>
      <w:r w:rsidRPr="00E3426B">
        <w:rPr>
          <w:u w:val="single"/>
        </w:rPr>
        <w:t>RECOMMENDATION</w:t>
      </w:r>
      <w:r w:rsidR="00325862" w:rsidRPr="001348D2">
        <w:rPr>
          <w:u w:val="single"/>
        </w:rPr>
        <w:t xml:space="preserve"> 9</w:t>
      </w:r>
      <w:r w:rsidR="00325862" w:rsidRPr="001348D2">
        <w:t>:  The General Comment should indicate that a</w:t>
      </w:r>
      <w:r w:rsidR="00D26639" w:rsidRPr="001348D2">
        <w:t xml:space="preserve">ll aspects of political </w:t>
      </w:r>
      <w:r w:rsidRPr="001348D2">
        <w:t>campaigns</w:t>
      </w:r>
      <w:r w:rsidR="00D26639" w:rsidRPr="001348D2">
        <w:t>, including the locations</w:t>
      </w:r>
      <w:r w:rsidR="00B04BB8" w:rsidRPr="001348D2">
        <w:t xml:space="preserve"> </w:t>
      </w:r>
      <w:r w:rsidR="00BF19DF" w:rsidRPr="001348D2">
        <w:t xml:space="preserve">of </w:t>
      </w:r>
      <w:r w:rsidR="00B04BB8" w:rsidRPr="001348D2">
        <w:t>campaign</w:t>
      </w:r>
      <w:r w:rsidR="00D26639" w:rsidRPr="001348D2">
        <w:t xml:space="preserve"> offices and</w:t>
      </w:r>
      <w:r w:rsidR="00BF19DF" w:rsidRPr="001348D2">
        <w:t xml:space="preserve"> rallies, the publications of </w:t>
      </w:r>
      <w:r w:rsidR="00B04BB8" w:rsidRPr="001348D2">
        <w:t>party platforms and other campaign documents</w:t>
      </w:r>
      <w:r w:rsidR="00BF19DF" w:rsidRPr="001348D2">
        <w:t>, and the use of</w:t>
      </w:r>
      <w:r w:rsidRPr="001348D2">
        <w:t xml:space="preserve"> electronic media, </w:t>
      </w:r>
      <w:r w:rsidR="00B04BB8" w:rsidRPr="001348D2">
        <w:t>should be accessible</w:t>
      </w:r>
      <w:r w:rsidR="00BF19DF" w:rsidRPr="001348D2">
        <w:t xml:space="preserve"> for persons with disabilities</w:t>
      </w:r>
      <w:r w:rsidR="00B04BB8" w:rsidRPr="001348D2">
        <w:t xml:space="preserve">.  </w:t>
      </w:r>
    </w:p>
    <w:p w14:paraId="5044D89C" w14:textId="77777777" w:rsidR="00C32D0C" w:rsidRPr="001348D2" w:rsidRDefault="00C32D0C" w:rsidP="001348D2">
      <w:pPr>
        <w:spacing w:after="0" w:line="240" w:lineRule="auto"/>
        <w:jc w:val="both"/>
        <w:rPr>
          <w:rFonts w:ascii="Avenir Book" w:hAnsi="Avenir Book"/>
          <w:b/>
        </w:rPr>
      </w:pPr>
    </w:p>
    <w:p w14:paraId="7E1B137D" w14:textId="77777777" w:rsidR="001137AB" w:rsidRPr="001348D2" w:rsidRDefault="001137AB" w:rsidP="001348D2">
      <w:pPr>
        <w:spacing w:after="0" w:line="240" w:lineRule="auto"/>
        <w:jc w:val="both"/>
        <w:rPr>
          <w:rFonts w:ascii="Avenir Book" w:hAnsi="Avenir Book"/>
        </w:rPr>
      </w:pPr>
    </w:p>
    <w:p w14:paraId="6FC7A276" w14:textId="7D444B30" w:rsidR="001137AB" w:rsidRPr="001348D2" w:rsidRDefault="00B14D37" w:rsidP="001348D2">
      <w:pPr>
        <w:pStyle w:val="Heading1"/>
        <w:jc w:val="both"/>
        <w:rPr>
          <w:rFonts w:ascii="Avenir Book" w:hAnsi="Avenir Book"/>
          <w:sz w:val="22"/>
          <w:szCs w:val="22"/>
        </w:rPr>
      </w:pPr>
      <w:bookmarkStart w:id="34" w:name="_Toc501561473"/>
      <w:r>
        <w:rPr>
          <w:rFonts w:ascii="Avenir Book" w:hAnsi="Avenir Book"/>
          <w:sz w:val="22"/>
          <w:szCs w:val="22"/>
        </w:rPr>
        <w:t>I</w:t>
      </w:r>
      <w:r w:rsidRPr="00B14D37">
        <w:rPr>
          <w:rFonts w:ascii="Avenir Book" w:hAnsi="Avenir Book"/>
          <w:sz w:val="22"/>
          <w:szCs w:val="22"/>
        </w:rPr>
        <w:t xml:space="preserve">mplementation at the national level </w:t>
      </w:r>
      <w:r w:rsidR="001137AB" w:rsidRPr="001348D2">
        <w:rPr>
          <w:rFonts w:ascii="Avenir Book" w:hAnsi="Avenir Book"/>
          <w:sz w:val="22"/>
          <w:szCs w:val="22"/>
        </w:rPr>
        <w:t>(paragraph 76)</w:t>
      </w:r>
      <w:bookmarkEnd w:id="34"/>
    </w:p>
    <w:p w14:paraId="07CA90E1" w14:textId="77777777" w:rsidR="001137AB" w:rsidRPr="001348D2" w:rsidRDefault="001137AB" w:rsidP="001348D2">
      <w:pPr>
        <w:spacing w:line="260" w:lineRule="atLeast"/>
        <w:jc w:val="both"/>
        <w:rPr>
          <w:rFonts w:ascii="Avenir Book" w:hAnsi="Avenir Book" w:cs="Arial"/>
        </w:rPr>
      </w:pPr>
    </w:p>
    <w:p w14:paraId="37165C17" w14:textId="77777777" w:rsidR="001137AB" w:rsidRPr="001348D2" w:rsidRDefault="001137AB" w:rsidP="001348D2">
      <w:pPr>
        <w:spacing w:line="260" w:lineRule="atLeast"/>
        <w:jc w:val="both"/>
        <w:rPr>
          <w:rFonts w:ascii="Avenir Book" w:hAnsi="Avenir Book" w:cs="Arial"/>
          <w:lang w:val="en-GB"/>
        </w:rPr>
      </w:pPr>
      <w:r w:rsidRPr="001348D2">
        <w:rPr>
          <w:rFonts w:ascii="Avenir Book" w:hAnsi="Avenir Book" w:cs="Arial"/>
          <w:lang w:val="en-GB"/>
        </w:rPr>
        <w:t xml:space="preserve">Paragraph 76 of the draft General Comment sets out the steps States Parties should take to ‘ensure the full implementation of article 5 of the Convention’. </w:t>
      </w:r>
    </w:p>
    <w:p w14:paraId="6E7AA9FF" w14:textId="2F7A7782" w:rsidR="00AE3D24" w:rsidRPr="001348D2" w:rsidRDefault="00AE3D24" w:rsidP="001348D2">
      <w:pPr>
        <w:spacing w:line="260" w:lineRule="atLeast"/>
        <w:jc w:val="both"/>
        <w:rPr>
          <w:rFonts w:ascii="Avenir Book" w:hAnsi="Avenir Book" w:cs="Arial"/>
          <w:lang w:val="en-GB"/>
        </w:rPr>
      </w:pPr>
      <w:r w:rsidRPr="001348D2">
        <w:rPr>
          <w:rFonts w:ascii="Avenir Book" w:hAnsi="Avenir Book" w:cs="Arial"/>
          <w:lang w:val="en-GB"/>
        </w:rPr>
        <w:t xml:space="preserve">GANHRI recommends that paragraph 76 l) be re-formulated. </w:t>
      </w:r>
    </w:p>
    <w:p w14:paraId="0C7DFC3F" w14:textId="77777777" w:rsidR="008D7ACF" w:rsidRPr="001348D2" w:rsidRDefault="008D7ACF" w:rsidP="001348D2">
      <w:pPr>
        <w:spacing w:line="260" w:lineRule="atLeast"/>
        <w:jc w:val="both"/>
        <w:rPr>
          <w:rFonts w:ascii="Avenir Book" w:eastAsia="Malgun Gothic" w:hAnsi="Avenir Book" w:cs="Arial"/>
          <w:lang w:val="en-GB"/>
        </w:rPr>
      </w:pPr>
      <w:r w:rsidRPr="001348D2">
        <w:rPr>
          <w:rFonts w:ascii="Avenir Book" w:hAnsi="Avenir Book" w:cs="Arial"/>
          <w:lang w:val="en-GB"/>
        </w:rPr>
        <w:t>Section 76 l)</w:t>
      </w:r>
      <w:r w:rsidR="001137AB" w:rsidRPr="001348D2">
        <w:rPr>
          <w:rFonts w:ascii="Avenir Book" w:hAnsi="Avenir Book" w:cs="Arial"/>
          <w:lang w:val="en-GB"/>
        </w:rPr>
        <w:t xml:space="preserve"> reads as follows “</w:t>
      </w:r>
      <w:r w:rsidR="001137AB" w:rsidRPr="001348D2">
        <w:rPr>
          <w:rFonts w:ascii="Avenir Book" w:eastAsia="Malgun Gothic" w:hAnsi="Avenir Book" w:cs="Arial"/>
          <w:lang w:val="en-GB"/>
        </w:rPr>
        <w:t xml:space="preserve">Ensure that national monitoring mechanisms in alignment with article 33 of the Convention are adequately resourced to being able to address disability-based and multiple/intersectional discrimination against persons with disabilities in their work. In this regard, </w:t>
      </w:r>
      <w:r w:rsidR="001137AB" w:rsidRPr="001348D2">
        <w:rPr>
          <w:rFonts w:ascii="Avenir Book" w:eastAsia="Malgun Gothic" w:hAnsi="Avenir Book" w:cs="Arial"/>
          <w:i/>
          <w:lang w:val="en-GB"/>
        </w:rPr>
        <w:t>ensure that the national monitoring mechanisms closely work together with national equality mechanisms</w:t>
      </w:r>
      <w:r w:rsidRPr="001348D2">
        <w:rPr>
          <w:rFonts w:ascii="Avenir Book" w:eastAsia="Malgun Gothic" w:hAnsi="Avenir Book" w:cs="Arial"/>
          <w:lang w:val="en-GB"/>
        </w:rPr>
        <w:t>.” (Italics added)</w:t>
      </w:r>
    </w:p>
    <w:p w14:paraId="403C130D" w14:textId="214D35FB" w:rsidR="001137AB" w:rsidRPr="001348D2" w:rsidRDefault="008D7ACF" w:rsidP="001348D2">
      <w:pPr>
        <w:spacing w:line="260" w:lineRule="atLeast"/>
        <w:jc w:val="both"/>
        <w:rPr>
          <w:rFonts w:ascii="Avenir Book" w:hAnsi="Avenir Book"/>
          <w:b/>
        </w:rPr>
      </w:pPr>
      <w:r w:rsidRPr="001348D2">
        <w:rPr>
          <w:rFonts w:ascii="Avenir Book" w:eastAsia="Malgun Gothic" w:hAnsi="Avenir Book" w:cs="Arial"/>
          <w:lang w:val="en-GB"/>
        </w:rPr>
        <w:lastRenderedPageBreak/>
        <w:t>The second sentence</w:t>
      </w:r>
      <w:r w:rsidR="001137AB" w:rsidRPr="001348D2">
        <w:rPr>
          <w:rFonts w:ascii="Avenir Book" w:eastAsia="Malgun Gothic" w:hAnsi="Avenir Book" w:cs="Arial"/>
          <w:lang w:val="en-GB"/>
        </w:rPr>
        <w:t xml:space="preserve"> should be amended to take account of the independent mandate of NHRIs and other national monitoring mechanisms designated under article 33(2)</w:t>
      </w:r>
      <w:r w:rsidRPr="001348D2">
        <w:rPr>
          <w:rFonts w:ascii="Avenir Book" w:eastAsia="Malgun Gothic" w:hAnsi="Avenir Book" w:cs="Arial"/>
          <w:lang w:val="en-GB"/>
        </w:rPr>
        <w:t>.</w:t>
      </w:r>
      <w:r w:rsidR="001137AB" w:rsidRPr="001348D2">
        <w:rPr>
          <w:rFonts w:ascii="Avenir Book" w:eastAsia="Malgun Gothic" w:hAnsi="Avenir Book" w:cs="Arial"/>
          <w:lang w:val="en-GB"/>
        </w:rPr>
        <w:t xml:space="preserve"> </w:t>
      </w:r>
      <w:r w:rsidRPr="001348D2">
        <w:rPr>
          <w:rFonts w:ascii="Avenir Book" w:eastAsia="Malgun Gothic" w:hAnsi="Avenir Book" w:cs="Arial"/>
          <w:lang w:val="en-GB"/>
        </w:rPr>
        <w:t xml:space="preserve">Since the state party has no power to direct the activities of the national monitoring mechanisms, the wording </w:t>
      </w:r>
      <w:r w:rsidR="00894CD7" w:rsidRPr="001348D2">
        <w:rPr>
          <w:rFonts w:ascii="Avenir Book" w:eastAsia="Malgun Gothic" w:hAnsi="Avenir Book" w:cs="Arial"/>
          <w:lang w:val="en-GB"/>
        </w:rPr>
        <w:t>should be amended</w:t>
      </w:r>
      <w:r w:rsidRPr="001348D2">
        <w:rPr>
          <w:rFonts w:ascii="Avenir Book" w:eastAsia="Malgun Gothic" w:hAnsi="Avenir Book" w:cs="Arial"/>
          <w:lang w:val="en-GB"/>
        </w:rPr>
        <w:t xml:space="preserve">. </w:t>
      </w:r>
    </w:p>
    <w:p w14:paraId="571CD725" w14:textId="46B96998" w:rsidR="00B35B6C" w:rsidRPr="001348D2" w:rsidRDefault="00B35B6C" w:rsidP="00B14D37">
      <w:pPr>
        <w:pStyle w:val="Recommendation"/>
      </w:pPr>
      <w:r w:rsidRPr="00E3426B">
        <w:t xml:space="preserve">RECOMMENDATION 10: GANHRI recommends that paragraph 76 l) is re-formulated. </w:t>
      </w:r>
      <w:r w:rsidRPr="001348D2">
        <w:t xml:space="preserve">In the sentence “ensure that the national monitoring mechanisms closely work together with national equality mechanisms”, ‘ensure’ could be replaced by ‘encourage’.    </w:t>
      </w:r>
    </w:p>
    <w:p w14:paraId="289B2BA2" w14:textId="77777777" w:rsidR="00B35B6C" w:rsidRPr="001348D2" w:rsidRDefault="00B35B6C" w:rsidP="001348D2">
      <w:pPr>
        <w:spacing w:after="0" w:line="240" w:lineRule="auto"/>
        <w:jc w:val="both"/>
        <w:rPr>
          <w:rFonts w:ascii="Avenir Book" w:hAnsi="Avenir Book"/>
          <w:b/>
        </w:rPr>
      </w:pPr>
    </w:p>
    <w:p w14:paraId="5BB3A70C" w14:textId="77777777" w:rsidR="001137AB" w:rsidRPr="001348D2" w:rsidRDefault="001137AB" w:rsidP="001348D2">
      <w:pPr>
        <w:spacing w:after="0" w:line="240" w:lineRule="auto"/>
        <w:jc w:val="both"/>
        <w:rPr>
          <w:rFonts w:ascii="Avenir Book" w:hAnsi="Avenir Book"/>
          <w:b/>
        </w:rPr>
      </w:pPr>
    </w:p>
    <w:p w14:paraId="5C08DF21" w14:textId="77777777" w:rsidR="00B04BB8" w:rsidRPr="001348D2" w:rsidRDefault="00B04BB8" w:rsidP="001348D2">
      <w:pPr>
        <w:pStyle w:val="Heading1"/>
        <w:jc w:val="both"/>
        <w:rPr>
          <w:rFonts w:ascii="Avenir Book" w:hAnsi="Avenir Book"/>
          <w:sz w:val="22"/>
          <w:szCs w:val="22"/>
        </w:rPr>
      </w:pPr>
      <w:bookmarkStart w:id="35" w:name="_Toc496250089"/>
      <w:bookmarkStart w:id="36" w:name="_Toc496250165"/>
      <w:bookmarkStart w:id="37" w:name="_Toc501561474"/>
      <w:r w:rsidRPr="001348D2">
        <w:rPr>
          <w:rFonts w:ascii="Avenir Book" w:hAnsi="Avenir Book"/>
          <w:sz w:val="22"/>
          <w:szCs w:val="22"/>
        </w:rPr>
        <w:t>Indigenous Peoples</w:t>
      </w:r>
      <w:bookmarkEnd w:id="35"/>
      <w:bookmarkEnd w:id="36"/>
      <w:bookmarkEnd w:id="37"/>
    </w:p>
    <w:p w14:paraId="5B64CD54" w14:textId="77777777" w:rsidR="00B04BB8" w:rsidRPr="001348D2" w:rsidRDefault="00B04BB8" w:rsidP="001348D2">
      <w:pPr>
        <w:spacing w:after="0" w:line="240" w:lineRule="auto"/>
        <w:jc w:val="both"/>
        <w:rPr>
          <w:rFonts w:ascii="Avenir Book" w:hAnsi="Avenir Book"/>
        </w:rPr>
      </w:pPr>
    </w:p>
    <w:p w14:paraId="4525EF46" w14:textId="37C05216" w:rsidR="00BF19DF" w:rsidRPr="001348D2" w:rsidRDefault="00B04BB8" w:rsidP="001348D2">
      <w:pPr>
        <w:spacing w:after="0" w:line="240" w:lineRule="auto"/>
        <w:jc w:val="both"/>
        <w:rPr>
          <w:rFonts w:ascii="Avenir Book" w:hAnsi="Avenir Book"/>
        </w:rPr>
      </w:pPr>
      <w:r w:rsidRPr="001348D2">
        <w:rPr>
          <w:rFonts w:ascii="Avenir Book" w:hAnsi="Avenir Book"/>
        </w:rPr>
        <w:t xml:space="preserve">Paragraph (p) of the Preamble to the </w:t>
      </w:r>
      <w:r w:rsidR="00BF19DF" w:rsidRPr="001348D2">
        <w:rPr>
          <w:rFonts w:ascii="Avenir Book" w:hAnsi="Avenir Book"/>
        </w:rPr>
        <w:t>CRPD</w:t>
      </w:r>
      <w:r w:rsidRPr="001348D2">
        <w:rPr>
          <w:rFonts w:ascii="Avenir Book" w:hAnsi="Avenir Book"/>
        </w:rPr>
        <w:t xml:space="preserve"> acknowledges the </w:t>
      </w:r>
      <w:r w:rsidR="00BF19DF" w:rsidRPr="001348D2">
        <w:rPr>
          <w:rFonts w:ascii="Avenir Book" w:hAnsi="Avenir Book"/>
        </w:rPr>
        <w:t>specific circumstances of</w:t>
      </w:r>
      <w:r w:rsidRPr="001348D2">
        <w:rPr>
          <w:rFonts w:ascii="Avenir Book" w:hAnsi="Avenir Book"/>
        </w:rPr>
        <w:t xml:space="preserve"> </w:t>
      </w:r>
      <w:r w:rsidR="00DA58CC">
        <w:rPr>
          <w:rFonts w:ascii="Avenir Book" w:hAnsi="Avenir Book"/>
        </w:rPr>
        <w:t>i</w:t>
      </w:r>
      <w:r w:rsidRPr="001348D2">
        <w:rPr>
          <w:rFonts w:ascii="Avenir Book" w:hAnsi="Avenir Book"/>
        </w:rPr>
        <w:t>ndigenous person</w:t>
      </w:r>
      <w:r w:rsidR="00BF19DF" w:rsidRPr="001348D2">
        <w:rPr>
          <w:rFonts w:ascii="Avenir Book" w:hAnsi="Avenir Book"/>
        </w:rPr>
        <w:t>s</w:t>
      </w:r>
      <w:r w:rsidRPr="001348D2">
        <w:rPr>
          <w:rFonts w:ascii="Avenir Book" w:hAnsi="Avenir Book"/>
        </w:rPr>
        <w:t xml:space="preserve"> with disabilities. </w:t>
      </w:r>
    </w:p>
    <w:p w14:paraId="5B592F83" w14:textId="77777777" w:rsidR="00BF19DF" w:rsidRPr="001348D2" w:rsidRDefault="00BF19DF" w:rsidP="001348D2">
      <w:pPr>
        <w:spacing w:after="0" w:line="240" w:lineRule="auto"/>
        <w:jc w:val="both"/>
        <w:rPr>
          <w:rFonts w:ascii="Avenir Book" w:hAnsi="Avenir Book"/>
        </w:rPr>
      </w:pPr>
    </w:p>
    <w:p w14:paraId="0780A1B0" w14:textId="6819E9C3" w:rsidR="00B04BB8" w:rsidRPr="001348D2" w:rsidRDefault="00103D94" w:rsidP="001348D2">
      <w:pPr>
        <w:spacing w:after="0" w:line="240" w:lineRule="auto"/>
        <w:jc w:val="both"/>
        <w:rPr>
          <w:rFonts w:ascii="Avenir Book" w:hAnsi="Avenir Book"/>
        </w:rPr>
      </w:pPr>
      <w:r w:rsidRPr="001348D2">
        <w:rPr>
          <w:rFonts w:ascii="Avenir Book" w:hAnsi="Avenir Book" w:cs="Arial"/>
        </w:rPr>
        <w:t>NHRIs from states with indigenous peoples report that</w:t>
      </w:r>
      <w:r w:rsidR="00B04BB8" w:rsidRPr="001348D2">
        <w:rPr>
          <w:rFonts w:ascii="Avenir Book" w:hAnsi="Avenir Book"/>
        </w:rPr>
        <w:t xml:space="preserve"> the percentage of </w:t>
      </w:r>
      <w:r w:rsidRPr="001348D2">
        <w:rPr>
          <w:rFonts w:ascii="Avenir Book" w:hAnsi="Avenir Book" w:cs="Arial"/>
        </w:rPr>
        <w:t>i</w:t>
      </w:r>
      <w:r w:rsidR="00B04BB8" w:rsidRPr="001348D2">
        <w:rPr>
          <w:rFonts w:ascii="Avenir Book" w:hAnsi="Avenir Book" w:cs="Arial"/>
        </w:rPr>
        <w:t>nd</w:t>
      </w:r>
      <w:r w:rsidR="00451DC9" w:rsidRPr="001348D2">
        <w:rPr>
          <w:rFonts w:ascii="Avenir Book" w:hAnsi="Avenir Book" w:cs="Arial"/>
        </w:rPr>
        <w:t>igenous</w:t>
      </w:r>
      <w:r w:rsidR="00451DC9" w:rsidRPr="001348D2">
        <w:rPr>
          <w:rFonts w:ascii="Avenir Book" w:hAnsi="Avenir Book"/>
        </w:rPr>
        <w:t xml:space="preserve"> p</w:t>
      </w:r>
      <w:r w:rsidR="00BF19DF" w:rsidRPr="001348D2">
        <w:rPr>
          <w:rFonts w:ascii="Avenir Book" w:hAnsi="Avenir Book"/>
        </w:rPr>
        <w:t>ersons</w:t>
      </w:r>
      <w:r w:rsidR="00451DC9" w:rsidRPr="001348D2">
        <w:rPr>
          <w:rFonts w:ascii="Avenir Book" w:hAnsi="Avenir Book"/>
        </w:rPr>
        <w:t xml:space="preserve"> with disabilities</w:t>
      </w:r>
      <w:r w:rsidR="00537C60" w:rsidRPr="001348D2">
        <w:rPr>
          <w:rFonts w:ascii="Avenir Book" w:hAnsi="Avenir Book"/>
        </w:rPr>
        <w:t xml:space="preserve"> is dramatically</w:t>
      </w:r>
      <w:r w:rsidR="00B04BB8" w:rsidRPr="001348D2">
        <w:rPr>
          <w:rFonts w:ascii="Avenir Book" w:hAnsi="Avenir Book"/>
        </w:rPr>
        <w:t xml:space="preserve"> higher than that in the gen</w:t>
      </w:r>
      <w:r w:rsidR="00BF19DF" w:rsidRPr="001348D2">
        <w:rPr>
          <w:rFonts w:ascii="Avenir Book" w:hAnsi="Avenir Book"/>
        </w:rPr>
        <w:t xml:space="preserve">eral population. In addition, </w:t>
      </w:r>
      <w:r w:rsidR="001C061E" w:rsidRPr="001348D2">
        <w:rPr>
          <w:rFonts w:ascii="Avenir Book" w:hAnsi="Avenir Book"/>
        </w:rPr>
        <w:t xml:space="preserve">they </w:t>
      </w:r>
      <w:r w:rsidR="00BF19DF" w:rsidRPr="001348D2">
        <w:rPr>
          <w:rFonts w:ascii="Avenir Book" w:hAnsi="Avenir Book"/>
        </w:rPr>
        <w:t xml:space="preserve">face systemic racism, </w:t>
      </w:r>
      <w:r w:rsidR="00B04BB8" w:rsidRPr="001348D2">
        <w:rPr>
          <w:rFonts w:ascii="Avenir Book" w:hAnsi="Avenir Book"/>
        </w:rPr>
        <w:t>come into conflict with the law</w:t>
      </w:r>
      <w:r w:rsidR="00537C60" w:rsidRPr="001348D2">
        <w:rPr>
          <w:rFonts w:ascii="Avenir Book" w:hAnsi="Avenir Book"/>
        </w:rPr>
        <w:t>,</w:t>
      </w:r>
      <w:r w:rsidR="00B04BB8" w:rsidRPr="001348D2">
        <w:rPr>
          <w:rFonts w:ascii="Avenir Book" w:hAnsi="Avenir Book"/>
        </w:rPr>
        <w:t xml:space="preserve"> and are imprisoned at much higher levels than the general population.</w:t>
      </w:r>
      <w:r w:rsidRPr="001348D2">
        <w:rPr>
          <w:rStyle w:val="FootnoteReference"/>
          <w:rFonts w:ascii="Avenir Book" w:hAnsi="Avenir Book" w:cs="Arial"/>
        </w:rPr>
        <w:footnoteReference w:id="16"/>
      </w:r>
      <w:r w:rsidR="00B04BB8" w:rsidRPr="001348D2">
        <w:rPr>
          <w:rFonts w:ascii="Avenir Book" w:hAnsi="Avenir Book"/>
        </w:rPr>
        <w:t>Th</w:t>
      </w:r>
      <w:r w:rsidR="00BF19DF" w:rsidRPr="001348D2">
        <w:rPr>
          <w:rFonts w:ascii="Avenir Book" w:hAnsi="Avenir Book"/>
        </w:rPr>
        <w:t xml:space="preserve">e compound effect of multiple and intersecting forms of discrimination faced by </w:t>
      </w:r>
      <w:r w:rsidR="00DA58CC">
        <w:rPr>
          <w:rFonts w:ascii="Avenir Book" w:hAnsi="Avenir Book"/>
        </w:rPr>
        <w:t>i</w:t>
      </w:r>
      <w:r w:rsidR="00BF19DF" w:rsidRPr="001348D2">
        <w:rPr>
          <w:rFonts w:ascii="Avenir Book" w:hAnsi="Avenir Book"/>
        </w:rPr>
        <w:t>ndigenous persons with disabilities often results in an inability to appropriately access justice, including human rights justice</w:t>
      </w:r>
      <w:r w:rsidR="00B04BB8" w:rsidRPr="001348D2">
        <w:rPr>
          <w:rFonts w:ascii="Avenir Book" w:hAnsi="Avenir Book"/>
        </w:rPr>
        <w:t>.</w:t>
      </w:r>
    </w:p>
    <w:p w14:paraId="6CEFB3F8" w14:textId="77777777" w:rsidR="00572C7E" w:rsidRPr="001348D2" w:rsidRDefault="00572C7E" w:rsidP="001348D2">
      <w:pPr>
        <w:spacing w:after="0" w:line="240" w:lineRule="auto"/>
        <w:jc w:val="both"/>
        <w:rPr>
          <w:rFonts w:ascii="Avenir Book" w:hAnsi="Avenir Book"/>
        </w:rPr>
      </w:pPr>
    </w:p>
    <w:p w14:paraId="198D1561" w14:textId="2C1B2348" w:rsidR="00384DD2" w:rsidRPr="001348D2" w:rsidRDefault="009E17B4" w:rsidP="001348D2">
      <w:pPr>
        <w:spacing w:after="0" w:line="240" w:lineRule="auto"/>
        <w:jc w:val="both"/>
        <w:rPr>
          <w:rFonts w:ascii="Avenir Book" w:hAnsi="Avenir Book"/>
        </w:rPr>
      </w:pPr>
      <w:r w:rsidRPr="001348D2">
        <w:rPr>
          <w:rFonts w:ascii="Avenir Book" w:eastAsia="Times New Roman" w:hAnsi="Avenir Book" w:cs="Arial"/>
          <w:color w:val="000000"/>
          <w:lang w:eastAsia="en-CA"/>
        </w:rPr>
        <w:t>The Philippine law, “recognizes and promotes the rights of indigenous cultural communities with the framework of national unity and development</w:t>
      </w:r>
      <w:r w:rsidR="006B73BC" w:rsidRPr="001348D2">
        <w:rPr>
          <w:rFonts w:ascii="Avenir Book" w:eastAsia="Times New Roman" w:hAnsi="Avenir Book" w:cs="Arial"/>
          <w:color w:val="000000"/>
          <w:lang w:eastAsia="en-CA"/>
        </w:rPr>
        <w:t>”</w:t>
      </w:r>
      <w:r w:rsidRPr="001348D2">
        <w:rPr>
          <w:rFonts w:ascii="Avenir Book" w:eastAsia="Times New Roman" w:hAnsi="Avenir Book" w:cs="Arial"/>
          <w:color w:val="000000"/>
          <w:lang w:eastAsia="en-CA"/>
        </w:rPr>
        <w:t>.</w:t>
      </w:r>
      <w:r w:rsidRPr="001348D2">
        <w:rPr>
          <w:rStyle w:val="FootnoteReference"/>
          <w:rFonts w:ascii="Avenir Book" w:eastAsia="Times New Roman" w:hAnsi="Avenir Book" w:cs="Arial"/>
          <w:color w:val="000000"/>
          <w:lang w:eastAsia="en-CA"/>
        </w:rPr>
        <w:footnoteReference w:id="17"/>
      </w:r>
      <w:r w:rsidR="003F56E8" w:rsidRPr="001348D2">
        <w:rPr>
          <w:rFonts w:ascii="Avenir Book" w:eastAsia="Times New Roman" w:hAnsi="Avenir Book" w:cs="Arial"/>
          <w:color w:val="000000"/>
          <w:lang w:eastAsia="en-CA"/>
        </w:rPr>
        <w:t xml:space="preserve"> </w:t>
      </w:r>
      <w:r w:rsidR="00384DD2" w:rsidRPr="001348D2">
        <w:rPr>
          <w:rFonts w:ascii="Avenir Book" w:hAnsi="Avenir Book"/>
        </w:rPr>
        <w:t xml:space="preserve">The Constitutional provisions </w:t>
      </w:r>
      <w:r w:rsidR="00894CD7" w:rsidRPr="001348D2">
        <w:rPr>
          <w:rFonts w:ascii="Avenir Book" w:hAnsi="Avenir Book"/>
        </w:rPr>
        <w:t>prohibiting</w:t>
      </w:r>
      <w:r w:rsidR="00384DD2" w:rsidRPr="001348D2">
        <w:rPr>
          <w:rFonts w:ascii="Avenir Book" w:hAnsi="Avenir Book"/>
        </w:rPr>
        <w:t xml:space="preserve"> discrimination on the bases of belief, gender, physical conditions and others apply to persons with disabilities. Section 1 and Section 2 of Article 13 stated that “1. The Congress shall give highest priority to the enactment of measures that protect and enhance the right of all the people to human dignity, reduce social, economic, and political inequalities, and remove cultural inequities by equitably diffusing wealth and political power for the common good. To this end, the State shall regulate the acquisition, ownership, use, and disposition of property and its increments; and 2. The promotion of social justice shall include the commitment to create economic opportunities based on freedom of initiative and self-reliance.” These provisions for persons with disabilities are looked at as allowances for affirmativ</w:t>
      </w:r>
      <w:r w:rsidR="00F17881" w:rsidRPr="001348D2">
        <w:rPr>
          <w:rFonts w:ascii="Avenir Book" w:hAnsi="Avenir Book"/>
        </w:rPr>
        <w:t>e action</w:t>
      </w:r>
      <w:r w:rsidR="00384DD2" w:rsidRPr="001348D2">
        <w:rPr>
          <w:rFonts w:ascii="Avenir Book" w:hAnsi="Avenir Book"/>
        </w:rPr>
        <w:t xml:space="preserve"> aimed to level the playing fields for the sector. It comes short however to the explicit provision of the CRPD which mentions not only the enjoyment of the sector of all human rights but “Enjoyment on an equal basis with the rest” of the population.</w:t>
      </w:r>
    </w:p>
    <w:p w14:paraId="5479DA0B" w14:textId="77777777" w:rsidR="00384DD2" w:rsidRPr="001348D2" w:rsidRDefault="00384DD2" w:rsidP="001348D2">
      <w:pPr>
        <w:spacing w:after="0" w:line="240" w:lineRule="auto"/>
        <w:jc w:val="both"/>
        <w:rPr>
          <w:rFonts w:ascii="Avenir Book" w:eastAsia="Times New Roman" w:hAnsi="Avenir Book" w:cs="Arial"/>
          <w:spacing w:val="-15"/>
          <w:lang w:val="en" w:eastAsia="en-PH"/>
        </w:rPr>
      </w:pPr>
    </w:p>
    <w:p w14:paraId="61AEAD7D" w14:textId="4529BA87" w:rsidR="00384DD2" w:rsidRPr="001348D2" w:rsidRDefault="00384DD2" w:rsidP="001348D2">
      <w:pPr>
        <w:spacing w:after="0" w:line="240" w:lineRule="auto"/>
        <w:jc w:val="both"/>
        <w:rPr>
          <w:rFonts w:ascii="Avenir Book" w:eastAsia="Times New Roman" w:hAnsi="Avenir Book" w:cs="Arial"/>
          <w:color w:val="000000"/>
          <w:lang w:eastAsia="en-CA"/>
        </w:rPr>
      </w:pPr>
      <w:r w:rsidRPr="001348D2">
        <w:rPr>
          <w:rFonts w:ascii="Avenir Book" w:eastAsia="Times New Roman" w:hAnsi="Avenir Book" w:cs="Arial"/>
          <w:color w:val="000000"/>
          <w:lang w:eastAsia="en-CA"/>
        </w:rPr>
        <w:t xml:space="preserve">Thereby, enabling laws are available to ensure the full enjoyment and protection of their rights.  Specifically, on access to human rights justice, the Indigenous Peoples shall have the right to use </w:t>
      </w:r>
      <w:r w:rsidRPr="001348D2">
        <w:rPr>
          <w:rFonts w:ascii="Avenir Book" w:eastAsia="Times New Roman" w:hAnsi="Avenir Book" w:cs="Arial"/>
          <w:color w:val="000000"/>
          <w:lang w:eastAsia="en-CA"/>
        </w:rPr>
        <w:lastRenderedPageBreak/>
        <w:t xml:space="preserve">their own commonly accepted justice systems, conflict resolution institutions, peace building, processes or mechanisms and other customary laws and practices within their respective communities and as may be compatible with the national legal system and with internationally recognized human rights. </w:t>
      </w:r>
      <w:r w:rsidRPr="001348D2">
        <w:rPr>
          <w:rStyle w:val="FootnoteReference"/>
          <w:rFonts w:ascii="Avenir Book" w:eastAsia="Times New Roman" w:hAnsi="Avenir Book" w:cs="Arial"/>
          <w:color w:val="000000"/>
          <w:lang w:eastAsia="en-CA"/>
        </w:rPr>
        <w:footnoteReference w:id="18"/>
      </w:r>
      <w:r w:rsidRPr="001348D2">
        <w:rPr>
          <w:rFonts w:ascii="Avenir Book" w:eastAsia="Times New Roman" w:hAnsi="Avenir Book" w:cs="Arial"/>
          <w:color w:val="000000"/>
          <w:lang w:eastAsia="en-CA"/>
        </w:rPr>
        <w:t xml:space="preserve"> </w:t>
      </w:r>
    </w:p>
    <w:p w14:paraId="054277EB" w14:textId="77777777" w:rsidR="00384DD2" w:rsidRPr="001348D2" w:rsidRDefault="00384DD2" w:rsidP="001348D2">
      <w:pPr>
        <w:spacing w:after="0" w:line="240" w:lineRule="auto"/>
        <w:jc w:val="both"/>
        <w:rPr>
          <w:rFonts w:ascii="Avenir Book" w:eastAsia="Times New Roman" w:hAnsi="Avenir Book" w:cs="Arial"/>
          <w:color w:val="000000"/>
          <w:lang w:eastAsia="en-CA"/>
        </w:rPr>
      </w:pPr>
    </w:p>
    <w:p w14:paraId="61FF2E3D" w14:textId="6CE59AF7" w:rsidR="00384DD2" w:rsidRPr="001348D2" w:rsidRDefault="00384DD2" w:rsidP="001348D2">
      <w:pPr>
        <w:spacing w:after="0" w:line="240" w:lineRule="auto"/>
        <w:jc w:val="both"/>
        <w:rPr>
          <w:rFonts w:ascii="Avenir Book" w:hAnsi="Avenir Book" w:cs="Arial"/>
          <w:color w:val="000000"/>
        </w:rPr>
      </w:pPr>
      <w:r w:rsidRPr="001348D2">
        <w:rPr>
          <w:rFonts w:ascii="Avenir Book" w:eastAsia="Times New Roman" w:hAnsi="Avenir Book" w:cs="Arial"/>
          <w:color w:val="000000"/>
          <w:lang w:eastAsia="en-CA"/>
        </w:rPr>
        <w:t xml:space="preserve">In addition, </w:t>
      </w:r>
      <w:r w:rsidR="00F17881" w:rsidRPr="001348D2">
        <w:rPr>
          <w:rFonts w:ascii="Avenir Book" w:hAnsi="Avenir Book" w:cs="Arial"/>
          <w:color w:val="000000"/>
        </w:rPr>
        <w:t>indigenous peoples</w:t>
      </w:r>
      <w:r w:rsidRPr="001348D2">
        <w:rPr>
          <w:rFonts w:ascii="Avenir Book" w:hAnsi="Avenir Book" w:cs="Arial"/>
          <w:color w:val="000000"/>
        </w:rPr>
        <w:t xml:space="preserve"> have the right to special measures for the immediate, effective and continuing improvement of their economic and social conditions, particular attention shall be paid to the rights and special needs of indigenous women, elderly, youth, children and differently-abled persons</w:t>
      </w:r>
      <w:r w:rsidRPr="001348D2">
        <w:rPr>
          <w:rStyle w:val="FootnoteReference"/>
          <w:rFonts w:ascii="Avenir Book" w:hAnsi="Avenir Book" w:cs="Arial"/>
          <w:color w:val="000000"/>
        </w:rPr>
        <w:footnoteReference w:id="19"/>
      </w:r>
      <w:r w:rsidRPr="001348D2">
        <w:rPr>
          <w:rFonts w:ascii="Avenir Book" w:hAnsi="Avenir Book" w:cs="Arial"/>
          <w:color w:val="000000"/>
        </w:rPr>
        <w:t xml:space="preserve">. Accordingly, the State shall guarantee the right of </w:t>
      </w:r>
      <w:r w:rsidR="00DA58CC">
        <w:rPr>
          <w:rFonts w:ascii="Avenir Book" w:hAnsi="Avenir Book" w:cs="Arial"/>
          <w:color w:val="000000"/>
        </w:rPr>
        <w:t>indigenous peoples</w:t>
      </w:r>
      <w:r w:rsidR="00DA58CC" w:rsidRPr="001348D2">
        <w:rPr>
          <w:rFonts w:ascii="Avenir Book" w:hAnsi="Avenir Book" w:cs="Arial"/>
          <w:color w:val="000000"/>
        </w:rPr>
        <w:t xml:space="preserve"> </w:t>
      </w:r>
      <w:r w:rsidRPr="001348D2">
        <w:rPr>
          <w:rFonts w:ascii="Avenir Book" w:hAnsi="Avenir Book" w:cs="Arial"/>
          <w:color w:val="000000"/>
        </w:rPr>
        <w:t xml:space="preserve">to government's basic services. </w:t>
      </w:r>
    </w:p>
    <w:p w14:paraId="6F477512" w14:textId="77777777" w:rsidR="00572C7E" w:rsidRPr="001348D2" w:rsidRDefault="00572C7E" w:rsidP="001348D2">
      <w:pPr>
        <w:spacing w:after="0" w:line="240" w:lineRule="auto"/>
        <w:jc w:val="both"/>
        <w:rPr>
          <w:rFonts w:ascii="Avenir Book" w:hAnsi="Avenir Book"/>
        </w:rPr>
      </w:pPr>
    </w:p>
    <w:p w14:paraId="2F32384B" w14:textId="460252FF" w:rsidR="00572C7E" w:rsidRPr="001348D2" w:rsidRDefault="00572C7E" w:rsidP="001348D2">
      <w:pPr>
        <w:pStyle w:val="Recommendation"/>
      </w:pPr>
      <w:r w:rsidRPr="00E3426B">
        <w:rPr>
          <w:u w:val="single"/>
        </w:rPr>
        <w:t>RECOMMENDATION 1</w:t>
      </w:r>
      <w:r w:rsidRPr="001348D2">
        <w:rPr>
          <w:u w:val="single"/>
        </w:rPr>
        <w:t>1</w:t>
      </w:r>
      <w:r w:rsidRPr="001348D2">
        <w:t>: The General Comment should note the specific circumstances of Indigenous persons with disabilities and highlight the need to ensure that they have effective access to justice.</w:t>
      </w:r>
    </w:p>
    <w:p w14:paraId="5ECFCD01" w14:textId="77777777" w:rsidR="00384DD2" w:rsidRPr="001348D2" w:rsidRDefault="00384DD2" w:rsidP="001348D2">
      <w:pPr>
        <w:spacing w:after="0" w:line="240" w:lineRule="auto"/>
        <w:jc w:val="both"/>
        <w:rPr>
          <w:rFonts w:ascii="Avenir Book" w:hAnsi="Avenir Book" w:cs="Arial"/>
          <w:color w:val="000000"/>
        </w:rPr>
      </w:pPr>
    </w:p>
    <w:p w14:paraId="14F759E5" w14:textId="77777777" w:rsidR="008D7ACF" w:rsidRPr="001348D2" w:rsidRDefault="008D7ACF" w:rsidP="001348D2">
      <w:pPr>
        <w:spacing w:after="0" w:line="240" w:lineRule="auto"/>
        <w:jc w:val="both"/>
        <w:rPr>
          <w:rFonts w:ascii="Avenir Book" w:hAnsi="Avenir Book"/>
          <w:b/>
        </w:rPr>
      </w:pPr>
    </w:p>
    <w:p w14:paraId="7040564B" w14:textId="6236E1F8" w:rsidR="008D7ACF" w:rsidRPr="001348D2" w:rsidRDefault="00F67D22" w:rsidP="001348D2">
      <w:pPr>
        <w:pStyle w:val="Heading1"/>
        <w:jc w:val="both"/>
        <w:rPr>
          <w:rFonts w:ascii="Avenir Book" w:hAnsi="Avenir Book"/>
          <w:sz w:val="22"/>
          <w:szCs w:val="22"/>
        </w:rPr>
      </w:pPr>
      <w:bookmarkStart w:id="38" w:name="_Toc501561475"/>
      <w:r w:rsidRPr="001348D2">
        <w:rPr>
          <w:rFonts w:ascii="Avenir Book" w:hAnsi="Avenir Book"/>
          <w:sz w:val="22"/>
          <w:szCs w:val="22"/>
        </w:rPr>
        <w:t>P</w:t>
      </w:r>
      <w:r w:rsidR="008D7ACF" w:rsidRPr="001348D2">
        <w:rPr>
          <w:rFonts w:ascii="Avenir Book" w:hAnsi="Avenir Book"/>
          <w:sz w:val="22"/>
          <w:szCs w:val="22"/>
        </w:rPr>
        <w:t>ublic procurement services</w:t>
      </w:r>
      <w:bookmarkEnd w:id="38"/>
      <w:r w:rsidR="008D7ACF" w:rsidRPr="001348D2">
        <w:rPr>
          <w:rFonts w:ascii="Avenir Book" w:hAnsi="Avenir Book"/>
          <w:sz w:val="22"/>
          <w:szCs w:val="22"/>
        </w:rPr>
        <w:t xml:space="preserve"> </w:t>
      </w:r>
    </w:p>
    <w:p w14:paraId="7598A06B" w14:textId="77777777" w:rsidR="008007ED" w:rsidRPr="001348D2" w:rsidRDefault="008007ED" w:rsidP="001348D2">
      <w:pPr>
        <w:spacing w:after="0" w:line="240" w:lineRule="auto"/>
        <w:jc w:val="both"/>
        <w:rPr>
          <w:rFonts w:ascii="Avenir Book" w:eastAsia="Times New Roman" w:hAnsi="Avenir Book" w:cs="Arial"/>
          <w:color w:val="000000"/>
          <w:lang w:eastAsia="en-CA"/>
        </w:rPr>
      </w:pPr>
    </w:p>
    <w:p w14:paraId="20AEBEED" w14:textId="6E87BF0F" w:rsidR="008D7ACF" w:rsidRPr="001348D2" w:rsidRDefault="00136103" w:rsidP="001348D2">
      <w:pPr>
        <w:spacing w:line="260" w:lineRule="atLeast"/>
        <w:jc w:val="both"/>
        <w:rPr>
          <w:rFonts w:ascii="Avenir Book" w:hAnsi="Avenir Book"/>
        </w:rPr>
      </w:pPr>
      <w:r w:rsidRPr="001348D2">
        <w:rPr>
          <w:rFonts w:ascii="Avenir Book" w:hAnsi="Avenir Book" w:cs="Arial"/>
          <w:lang w:val="en-GB"/>
        </w:rPr>
        <w:t>GANHRI notes that the draft G</w:t>
      </w:r>
      <w:r w:rsidR="00572C7E" w:rsidRPr="001348D2">
        <w:rPr>
          <w:rFonts w:ascii="Avenir Book" w:hAnsi="Avenir Book" w:cs="Arial"/>
          <w:lang w:val="en-GB"/>
        </w:rPr>
        <w:t xml:space="preserve">eneral </w:t>
      </w:r>
      <w:r w:rsidRPr="001348D2">
        <w:rPr>
          <w:rFonts w:ascii="Avenir Book" w:hAnsi="Avenir Book" w:cs="Arial"/>
          <w:lang w:val="en-GB"/>
        </w:rPr>
        <w:t>C</w:t>
      </w:r>
      <w:r w:rsidR="00572C7E" w:rsidRPr="001348D2">
        <w:rPr>
          <w:rFonts w:ascii="Avenir Book" w:hAnsi="Avenir Book" w:cs="Arial"/>
          <w:lang w:val="en-GB"/>
        </w:rPr>
        <w:t>omment</w:t>
      </w:r>
      <w:r w:rsidRPr="001348D2">
        <w:rPr>
          <w:rFonts w:ascii="Avenir Book" w:hAnsi="Avenir Book" w:cs="Arial"/>
          <w:lang w:val="en-GB"/>
        </w:rPr>
        <w:t xml:space="preserve"> makes no mention of public procurement of services. It is increasingly common practice that States Parties/public authorities put out to public tender many services related to disabled persons’ daily lives. </w:t>
      </w:r>
    </w:p>
    <w:p w14:paraId="153DD48E" w14:textId="741AC311" w:rsidR="008D7ACF" w:rsidRPr="001348D2" w:rsidRDefault="008D7ACF" w:rsidP="00B14D37">
      <w:pPr>
        <w:pStyle w:val="Recommendation"/>
      </w:pPr>
      <w:r w:rsidRPr="00E3426B">
        <w:rPr>
          <w:u w:val="single"/>
        </w:rPr>
        <w:t>RECOMMENDATION 1</w:t>
      </w:r>
      <w:r w:rsidRPr="001348D2">
        <w:rPr>
          <w:u w:val="single"/>
        </w:rPr>
        <w:t>2</w:t>
      </w:r>
      <w:r w:rsidRPr="001348D2">
        <w:t>: The General Comment should make explicit reference to State Partie</w:t>
      </w:r>
      <w:r w:rsidR="00B14D37">
        <w:t>s’</w:t>
      </w:r>
      <w:r w:rsidRPr="001348D2">
        <w:t xml:space="preserve"> obligation to ensure that tendering processes and the delivery of “contracted out” public services take into account the normative content of article 5 and the CRPD in general.</w:t>
      </w:r>
    </w:p>
    <w:p w14:paraId="001005F6" w14:textId="77777777" w:rsidR="008D7ACF" w:rsidRPr="001348D2" w:rsidRDefault="008D7ACF" w:rsidP="001348D2">
      <w:pPr>
        <w:spacing w:after="0" w:line="240" w:lineRule="auto"/>
        <w:jc w:val="both"/>
        <w:rPr>
          <w:rFonts w:ascii="Avenir Book" w:eastAsia="Times New Roman" w:hAnsi="Avenir Book" w:cs="Arial"/>
          <w:b/>
          <w:color w:val="000000"/>
          <w:lang w:eastAsia="en-CA"/>
        </w:rPr>
      </w:pPr>
    </w:p>
    <w:p w14:paraId="75D4CE13" w14:textId="07204704" w:rsidR="00B04BB8" w:rsidRPr="001348D2" w:rsidRDefault="00B04BB8" w:rsidP="001348D2">
      <w:pPr>
        <w:spacing w:after="0" w:line="240" w:lineRule="auto"/>
        <w:jc w:val="both"/>
        <w:rPr>
          <w:rFonts w:ascii="Avenir Book" w:hAnsi="Avenir Book"/>
          <w:color w:val="000000"/>
        </w:rPr>
      </w:pPr>
    </w:p>
    <w:sectPr w:rsidR="00B04BB8" w:rsidRPr="001348D2" w:rsidSect="00E96763">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2B9B6BD" w14:textId="77777777" w:rsidR="00D32A9B" w:rsidRDefault="00D32A9B" w:rsidP="008143E7">
      <w:pPr>
        <w:spacing w:after="0" w:line="240" w:lineRule="auto"/>
      </w:pPr>
      <w:r>
        <w:separator/>
      </w:r>
    </w:p>
  </w:endnote>
  <w:endnote w:type="continuationSeparator" w:id="0">
    <w:p w14:paraId="3BD6E42F" w14:textId="77777777" w:rsidR="00D32A9B" w:rsidRDefault="00D32A9B" w:rsidP="008143E7">
      <w:pPr>
        <w:spacing w:after="0" w:line="240" w:lineRule="auto"/>
      </w:pPr>
      <w:r>
        <w:continuationSeparator/>
      </w:r>
    </w:p>
  </w:endnote>
  <w:endnote w:type="continuationNotice" w:id="1">
    <w:p w14:paraId="24B04AC6" w14:textId="77777777" w:rsidR="00D32A9B" w:rsidRDefault="00D32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Avenir Book">
    <w:panose1 w:val="02000503020000020003"/>
    <w:charset w:val="00"/>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29C9" w14:textId="77777777" w:rsidR="00AE3D24" w:rsidRDefault="00AE3D24">
    <w:pPr>
      <w:pStyle w:val="Footer"/>
      <w:jc w:val="right"/>
    </w:pPr>
  </w:p>
  <w:p w14:paraId="0B47C1FD" w14:textId="77777777" w:rsidR="00AE3D24" w:rsidRDefault="00AE3D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054B" w14:textId="77777777" w:rsidR="00AE3D24" w:rsidRPr="00E96763" w:rsidRDefault="00AE3D24">
    <w:pPr>
      <w:pStyle w:val="Footer"/>
      <w:jc w:val="right"/>
      <w:rPr>
        <w:rFonts w:ascii="Arial" w:hAnsi="Arial" w:cs="Arial"/>
        <w:sz w:val="24"/>
        <w:szCs w:val="24"/>
      </w:rPr>
    </w:pPr>
    <w:r w:rsidRPr="00E96763">
      <w:rPr>
        <w:rFonts w:ascii="Arial" w:hAnsi="Arial" w:cs="Arial"/>
        <w:sz w:val="24"/>
        <w:szCs w:val="24"/>
      </w:rPr>
      <w:fldChar w:fldCharType="begin"/>
    </w:r>
    <w:r w:rsidRPr="00E96763">
      <w:rPr>
        <w:rFonts w:ascii="Arial" w:hAnsi="Arial" w:cs="Arial"/>
        <w:sz w:val="24"/>
        <w:szCs w:val="24"/>
      </w:rPr>
      <w:instrText xml:space="preserve"> PAGE   \* MERGEFORMAT </w:instrText>
    </w:r>
    <w:r w:rsidRPr="00E96763">
      <w:rPr>
        <w:rFonts w:ascii="Arial" w:hAnsi="Arial" w:cs="Arial"/>
        <w:sz w:val="24"/>
        <w:szCs w:val="24"/>
      </w:rPr>
      <w:fldChar w:fldCharType="separate"/>
    </w:r>
    <w:r w:rsidR="001348D2">
      <w:rPr>
        <w:rFonts w:ascii="Arial" w:hAnsi="Arial" w:cs="Arial"/>
        <w:noProof/>
        <w:sz w:val="24"/>
        <w:szCs w:val="24"/>
      </w:rPr>
      <w:t>1</w:t>
    </w:r>
    <w:r w:rsidRPr="00E96763">
      <w:rPr>
        <w:rFonts w:ascii="Arial" w:hAnsi="Arial" w:cs="Arial"/>
        <w:sz w:val="24"/>
        <w:szCs w:val="24"/>
      </w:rPr>
      <w:fldChar w:fldCharType="end"/>
    </w:r>
  </w:p>
  <w:p w14:paraId="768EDE1E" w14:textId="77777777" w:rsidR="00AE3D24" w:rsidRDefault="00AE3D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9D1259F" w14:textId="77777777" w:rsidR="00D32A9B" w:rsidRDefault="00D32A9B" w:rsidP="008143E7">
      <w:pPr>
        <w:spacing w:after="0" w:line="240" w:lineRule="auto"/>
      </w:pPr>
      <w:r>
        <w:separator/>
      </w:r>
    </w:p>
  </w:footnote>
  <w:footnote w:type="continuationSeparator" w:id="0">
    <w:p w14:paraId="3E4A928B" w14:textId="77777777" w:rsidR="00D32A9B" w:rsidRDefault="00D32A9B" w:rsidP="008143E7">
      <w:pPr>
        <w:spacing w:after="0" w:line="240" w:lineRule="auto"/>
      </w:pPr>
      <w:r>
        <w:continuationSeparator/>
      </w:r>
    </w:p>
  </w:footnote>
  <w:footnote w:type="continuationNotice" w:id="1">
    <w:p w14:paraId="5C5AD793" w14:textId="77777777" w:rsidR="00D32A9B" w:rsidRDefault="00D32A9B">
      <w:pPr>
        <w:spacing w:after="0" w:line="240" w:lineRule="auto"/>
      </w:pPr>
    </w:p>
  </w:footnote>
  <w:footnote w:id="2">
    <w:p w14:paraId="7FF29793" w14:textId="77777777" w:rsidR="00AE3D24" w:rsidRPr="00E3426B" w:rsidRDefault="00AE3D24" w:rsidP="00E3426B">
      <w:pPr>
        <w:pStyle w:val="FootnoteText"/>
        <w:jc w:val="both"/>
        <w:rPr>
          <w:rFonts w:ascii="Avenir Book" w:hAnsi="Avenir Book" w:cs="Arial"/>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w:t>
      </w:r>
      <w:r w:rsidRPr="00E3426B">
        <w:rPr>
          <w:rFonts w:ascii="Avenir Book" w:hAnsi="Avenir Book"/>
          <w:i/>
          <w:sz w:val="18"/>
          <w:szCs w:val="18"/>
          <w:lang w:val="en-GB"/>
        </w:rPr>
        <w:t>Concluding Observations on Canada’s Intial Report</w:t>
      </w:r>
      <w:r w:rsidRPr="00E3426B">
        <w:rPr>
          <w:rFonts w:ascii="Avenir Book" w:hAnsi="Avenir Book"/>
          <w:sz w:val="18"/>
          <w:szCs w:val="18"/>
          <w:lang w:val="en-GB"/>
        </w:rPr>
        <w:t>, Committee on the Rights of Persons with Disabilities,  CRPC/C/CAN/CO/1, May 8, 2017</w:t>
      </w:r>
    </w:p>
  </w:footnote>
  <w:footnote w:id="3">
    <w:p w14:paraId="18ADD92B" w14:textId="1D569B34" w:rsidR="00AE3D24" w:rsidRPr="00E3426B" w:rsidRDefault="00AE3D24" w:rsidP="00E3426B">
      <w:pPr>
        <w:spacing w:after="0" w:line="240" w:lineRule="auto"/>
        <w:jc w:val="both"/>
        <w:rPr>
          <w:rFonts w:ascii="Avenir Book" w:hAnsi="Avenir Book" w:cs="Arial"/>
          <w:color w:val="000000"/>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w:t>
      </w:r>
      <w:r w:rsidRPr="00E3426B">
        <w:rPr>
          <w:rFonts w:ascii="Avenir Book" w:hAnsi="Avenir Book" w:cs="Arial"/>
          <w:color w:val="000000"/>
          <w:sz w:val="18"/>
          <w:szCs w:val="18"/>
          <w:lang w:val="en-GB"/>
        </w:rPr>
        <w:t xml:space="preserve">A number of countries have developed national disability action plans to implement their obligations under the Convention. NHRIs, such as the Australian Human Rights Commission, have participated in the development of these plans. In other countries, the rights of persons with disabilities have been addressed as part of national human rights plans, the development of which is sometimes led by NHRIs as it is the case in Scotland. Some NHRIs have developed action plans concerning specific issues, such as the Britain’s Equality Human Rights Commission. See </w:t>
      </w:r>
      <w:r w:rsidRPr="00E3426B">
        <w:rPr>
          <w:rFonts w:ascii="Avenir Book" w:hAnsi="Avenir Book"/>
          <w:i/>
          <w:sz w:val="18"/>
          <w:szCs w:val="18"/>
          <w:lang w:val="en-GB"/>
        </w:rPr>
        <w:t>Human Rights and Disability. A Manual for National Human Rights In</w:t>
      </w:r>
      <w:r w:rsidR="001348D2">
        <w:rPr>
          <w:rFonts w:ascii="Avenir Book" w:hAnsi="Avenir Book"/>
          <w:i/>
          <w:sz w:val="18"/>
          <w:szCs w:val="18"/>
          <w:lang w:val="en-GB"/>
        </w:rPr>
        <w:t>s</w:t>
      </w:r>
      <w:r w:rsidRPr="00E3426B">
        <w:rPr>
          <w:rFonts w:ascii="Avenir Book" w:hAnsi="Avenir Book"/>
          <w:i/>
          <w:sz w:val="18"/>
          <w:szCs w:val="18"/>
          <w:lang w:val="en-GB"/>
        </w:rPr>
        <w:t>titutions</w:t>
      </w:r>
      <w:r w:rsidRPr="00E3426B">
        <w:rPr>
          <w:rFonts w:ascii="Avenir Book" w:hAnsi="Avenir Book"/>
          <w:sz w:val="18"/>
          <w:szCs w:val="18"/>
          <w:lang w:val="en-GB"/>
        </w:rPr>
        <w:t xml:space="preserve">, Asia Pacific Forum, March 2017, p.115.   </w:t>
      </w:r>
    </w:p>
  </w:footnote>
  <w:footnote w:id="4">
    <w:p w14:paraId="5ADB5A08" w14:textId="77777777" w:rsidR="00AE3D24" w:rsidRPr="00E3426B" w:rsidRDefault="00AE3D24" w:rsidP="00E3426B">
      <w:pPr>
        <w:pStyle w:val="Default"/>
        <w:jc w:val="both"/>
        <w:rPr>
          <w:rFonts w:ascii="Avenir Book" w:hAnsi="Avenir Book"/>
          <w:sz w:val="18"/>
          <w:szCs w:val="18"/>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rPr>
        <w:t xml:space="preserve">“The Congress shall give highest priority to the enactment of measures that protect and enhance the right of all the people to human dignity, reduce social, economic, and political inequalities, and remove cultural inequities by equitably diffusing wealth and political power for the common good. To this end, the State shall regulate the acquisition, ownership, use, and disposition of property and its increments; and the promotion of social justice shall include the commitment to create economic opportunities based on freedom of initiative and self-reliance.” </w:t>
      </w:r>
    </w:p>
    <w:p w14:paraId="2C19DB12" w14:textId="77777777" w:rsidR="00AE3D24" w:rsidRPr="00E3426B" w:rsidRDefault="00AE3D24" w:rsidP="00E3426B">
      <w:pPr>
        <w:pStyle w:val="FootnoteText"/>
        <w:jc w:val="both"/>
        <w:rPr>
          <w:rFonts w:ascii="Avenir Book" w:hAnsi="Avenir Book"/>
          <w:sz w:val="18"/>
          <w:szCs w:val="18"/>
          <w:lang w:val="en-PH"/>
        </w:rPr>
      </w:pPr>
    </w:p>
  </w:footnote>
  <w:footnote w:id="5">
    <w:p w14:paraId="6070F659" w14:textId="77777777" w:rsidR="00AE3D24" w:rsidRPr="00E3426B" w:rsidRDefault="00AE3D24" w:rsidP="00E3426B">
      <w:pPr>
        <w:shd w:val="clear" w:color="auto" w:fill="FFFFFF"/>
        <w:spacing w:after="0" w:line="240" w:lineRule="auto"/>
        <w:jc w:val="both"/>
        <w:textAlignment w:val="baseline"/>
        <w:rPr>
          <w:rFonts w:ascii="Avenir Book" w:hAnsi="Avenir Book"/>
          <w:color w:val="000000"/>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w:t>
      </w:r>
      <w:r w:rsidRPr="00E3426B">
        <w:rPr>
          <w:rFonts w:ascii="Avenir Book" w:hAnsi="Avenir Book"/>
          <w:i/>
          <w:color w:val="000000"/>
          <w:sz w:val="18"/>
          <w:szCs w:val="18"/>
          <w:lang w:val="en-GB"/>
        </w:rPr>
        <w:t>British Columbia (Public Service Employee Relations Commission) v. British Columbia Government and Service Employees' Union</w:t>
      </w:r>
      <w:r w:rsidRPr="00E3426B">
        <w:rPr>
          <w:rFonts w:ascii="Avenir Book" w:hAnsi="Avenir Book"/>
          <w:color w:val="000000"/>
          <w:sz w:val="18"/>
          <w:szCs w:val="18"/>
          <w:lang w:val="en-GB"/>
        </w:rPr>
        <w:t>, [1999] 3 S.C.R. 3, 35 C.H.R.R. D/257 [</w:t>
      </w:r>
      <w:proofErr w:type="spellStart"/>
      <w:r w:rsidRPr="00E3426B">
        <w:rPr>
          <w:rFonts w:ascii="Avenir Book" w:hAnsi="Avenir Book"/>
          <w:i/>
          <w:color w:val="000000"/>
          <w:sz w:val="18"/>
          <w:szCs w:val="18"/>
          <w:lang w:val="en-GB"/>
        </w:rPr>
        <w:t>Meiorin</w:t>
      </w:r>
      <w:proofErr w:type="spellEnd"/>
      <w:r w:rsidRPr="00E3426B">
        <w:rPr>
          <w:rFonts w:ascii="Avenir Book" w:hAnsi="Avenir Book"/>
          <w:color w:val="000000"/>
          <w:sz w:val="18"/>
          <w:szCs w:val="18"/>
          <w:lang w:val="en-GB"/>
        </w:rPr>
        <w:t xml:space="preserve">]. </w:t>
      </w:r>
    </w:p>
    <w:p w14:paraId="2578FBF4" w14:textId="4FED01AA" w:rsidR="00AE3D24" w:rsidRPr="00E3426B" w:rsidRDefault="00AE3D24" w:rsidP="00E3426B">
      <w:pPr>
        <w:shd w:val="clear" w:color="auto" w:fill="FFFFFF"/>
        <w:spacing w:after="0" w:line="240" w:lineRule="auto"/>
        <w:jc w:val="both"/>
        <w:textAlignment w:val="baseline"/>
        <w:rPr>
          <w:rFonts w:ascii="Avenir Book" w:hAnsi="Avenir Book"/>
          <w:sz w:val="18"/>
          <w:szCs w:val="18"/>
        </w:rPr>
      </w:pPr>
      <w:r w:rsidRPr="00E3426B">
        <w:rPr>
          <w:rFonts w:ascii="Avenir Book" w:hAnsi="Avenir Book"/>
          <w:i/>
          <w:color w:val="000000"/>
          <w:sz w:val="18"/>
          <w:szCs w:val="18"/>
          <w:lang w:val="en-GB"/>
        </w:rPr>
        <w:t>British Columbia (</w:t>
      </w:r>
      <w:proofErr w:type="spellStart"/>
      <w:r w:rsidRPr="00E3426B">
        <w:rPr>
          <w:rFonts w:ascii="Avenir Book" w:hAnsi="Avenir Book"/>
          <w:i/>
          <w:color w:val="000000"/>
          <w:sz w:val="18"/>
          <w:szCs w:val="18"/>
          <w:lang w:val="en-GB"/>
        </w:rPr>
        <w:t>Superintendant</w:t>
      </w:r>
      <w:proofErr w:type="spellEnd"/>
      <w:r w:rsidRPr="00E3426B">
        <w:rPr>
          <w:rFonts w:ascii="Avenir Book" w:hAnsi="Avenir Book"/>
          <w:i/>
          <w:color w:val="000000"/>
          <w:sz w:val="18"/>
          <w:szCs w:val="18"/>
          <w:lang w:val="en-GB"/>
        </w:rPr>
        <w:t xml:space="preserve"> of Motor Vehicles) v. British Columbia (Council of Human Rights)</w:t>
      </w:r>
      <w:r w:rsidRPr="00E3426B">
        <w:rPr>
          <w:rFonts w:ascii="Avenir Book" w:hAnsi="Avenir Book"/>
          <w:color w:val="000000"/>
          <w:sz w:val="18"/>
          <w:szCs w:val="18"/>
          <w:lang w:val="en-GB"/>
        </w:rPr>
        <w:t>, [1999] 3 S.C.R. 868, 36 C.H.R.R. D/129 [</w:t>
      </w:r>
      <w:proofErr w:type="spellStart"/>
      <w:r w:rsidRPr="00E3426B">
        <w:rPr>
          <w:rFonts w:ascii="Avenir Book" w:hAnsi="Avenir Book"/>
          <w:i/>
          <w:color w:val="000000"/>
          <w:sz w:val="18"/>
          <w:szCs w:val="18"/>
          <w:lang w:val="en-GB"/>
        </w:rPr>
        <w:t>Grismer</w:t>
      </w:r>
      <w:proofErr w:type="spellEnd"/>
      <w:r w:rsidRPr="00E3426B">
        <w:rPr>
          <w:rFonts w:ascii="Avenir Book" w:hAnsi="Avenir Book"/>
          <w:color w:val="000000"/>
          <w:sz w:val="18"/>
          <w:szCs w:val="18"/>
          <w:lang w:val="en-GB"/>
        </w:rPr>
        <w:t>]</w:t>
      </w:r>
    </w:p>
  </w:footnote>
  <w:footnote w:id="6">
    <w:p w14:paraId="2D667BA9" w14:textId="1E8CD10A" w:rsidR="00AE3D24" w:rsidRPr="00E3426B" w:rsidRDefault="00AE3D24" w:rsidP="00E3426B">
      <w:pPr>
        <w:pStyle w:val="FootnoteText"/>
        <w:jc w:val="both"/>
        <w:rPr>
          <w:rFonts w:ascii="Avenir Book" w:hAnsi="Avenir Book"/>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A number of NHRIs have undertaken work to promote accesibilty and universal design, through carrying out national accessibility audits, assessments or studies to identify how the right to accessibility is respected or barriers exist within their respective countries. These include the National Comission for Human Rights of Rwanada, the National Human Rights Commission of Mexico and the Danish Institute for Human Rights, among others. </w:t>
      </w:r>
      <w:r w:rsidRPr="00E3426B">
        <w:rPr>
          <w:rFonts w:ascii="Avenir Book" w:hAnsi="Avenir Book" w:cs="Arial"/>
          <w:color w:val="000000"/>
          <w:sz w:val="18"/>
          <w:szCs w:val="18"/>
          <w:lang w:val="en-GB"/>
        </w:rPr>
        <w:t xml:space="preserve">See </w:t>
      </w:r>
      <w:r w:rsidRPr="00E3426B">
        <w:rPr>
          <w:rFonts w:ascii="Avenir Book" w:hAnsi="Avenir Book"/>
          <w:i/>
          <w:sz w:val="18"/>
          <w:szCs w:val="18"/>
          <w:lang w:val="en-GB"/>
        </w:rPr>
        <w:t>Human Rights and Disability. A Manual for National Human Rights In</w:t>
      </w:r>
      <w:r w:rsidR="001348D2">
        <w:rPr>
          <w:rFonts w:ascii="Avenir Book" w:hAnsi="Avenir Book"/>
          <w:i/>
          <w:sz w:val="18"/>
          <w:szCs w:val="18"/>
          <w:lang w:val="en-GB"/>
        </w:rPr>
        <w:t>s</w:t>
      </w:r>
      <w:r w:rsidRPr="00E3426B">
        <w:rPr>
          <w:rFonts w:ascii="Avenir Book" w:hAnsi="Avenir Book"/>
          <w:i/>
          <w:sz w:val="18"/>
          <w:szCs w:val="18"/>
          <w:lang w:val="en-GB"/>
        </w:rPr>
        <w:t>titutions</w:t>
      </w:r>
      <w:r w:rsidRPr="00E3426B">
        <w:rPr>
          <w:rFonts w:ascii="Avenir Book" w:hAnsi="Avenir Book"/>
          <w:sz w:val="18"/>
          <w:szCs w:val="18"/>
          <w:lang w:val="en-GB"/>
        </w:rPr>
        <w:t xml:space="preserve">, Asia Pacific Forum, March 2017, p.122.   </w:t>
      </w:r>
    </w:p>
  </w:footnote>
  <w:footnote w:id="7">
    <w:p w14:paraId="3671B543" w14:textId="6132B8E5" w:rsidR="00AE3D24" w:rsidRPr="00E3426B" w:rsidRDefault="00AE3D24" w:rsidP="00E3426B">
      <w:pPr>
        <w:shd w:val="clear" w:color="auto" w:fill="FFFFFF"/>
        <w:spacing w:after="0" w:line="240" w:lineRule="auto"/>
        <w:jc w:val="both"/>
        <w:textAlignment w:val="baseline"/>
        <w:rPr>
          <w:rFonts w:ascii="Avenir Book" w:hAnsi="Avenir Book" w:cs="Arial"/>
          <w:b/>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w:t>
      </w:r>
      <w:r w:rsidRPr="00E3426B">
        <w:rPr>
          <w:rFonts w:ascii="Avenir Book" w:hAnsi="Avenir Book" w:cs="Arial"/>
          <w:sz w:val="18"/>
          <w:szCs w:val="18"/>
          <w:lang w:val="en-GB"/>
        </w:rPr>
        <w:t>The New Zealand Human Rights Commission and the Office of the Ombudsman in New Zealand published a guide on reasonable accommodation in 2015, as well as a variety of information materials for the private sector and persons with disabilities.</w:t>
      </w:r>
      <w:r w:rsidRPr="00E3426B">
        <w:rPr>
          <w:rFonts w:ascii="Avenir Book" w:hAnsi="Avenir Book" w:cs="Arial"/>
          <w:b/>
          <w:sz w:val="18"/>
          <w:szCs w:val="18"/>
          <w:lang w:val="en-GB"/>
        </w:rPr>
        <w:t xml:space="preserve"> </w:t>
      </w:r>
      <w:r w:rsidRPr="00E3426B">
        <w:rPr>
          <w:rFonts w:ascii="Avenir Book" w:hAnsi="Avenir Book" w:cs="Arial"/>
          <w:color w:val="000000"/>
          <w:sz w:val="18"/>
          <w:szCs w:val="18"/>
          <w:lang w:val="en-GB"/>
        </w:rPr>
        <w:t xml:space="preserve">See </w:t>
      </w:r>
      <w:r w:rsidRPr="00E3426B">
        <w:rPr>
          <w:rFonts w:ascii="Avenir Book" w:hAnsi="Avenir Book"/>
          <w:i/>
          <w:sz w:val="18"/>
          <w:szCs w:val="18"/>
          <w:lang w:val="en-GB"/>
        </w:rPr>
        <w:t>Human Rights and Disability. A Manual for National Human Rights In</w:t>
      </w:r>
      <w:r w:rsidR="00B14D37">
        <w:rPr>
          <w:rFonts w:ascii="Avenir Book" w:hAnsi="Avenir Book"/>
          <w:i/>
          <w:sz w:val="18"/>
          <w:szCs w:val="18"/>
          <w:lang w:val="en-GB"/>
        </w:rPr>
        <w:t>s</w:t>
      </w:r>
      <w:r w:rsidRPr="00E3426B">
        <w:rPr>
          <w:rFonts w:ascii="Avenir Book" w:hAnsi="Avenir Book"/>
          <w:i/>
          <w:sz w:val="18"/>
          <w:szCs w:val="18"/>
          <w:lang w:val="en-GB"/>
        </w:rPr>
        <w:t>titutions</w:t>
      </w:r>
      <w:r w:rsidRPr="00E3426B">
        <w:rPr>
          <w:rFonts w:ascii="Avenir Book" w:hAnsi="Avenir Book"/>
          <w:sz w:val="18"/>
          <w:szCs w:val="18"/>
          <w:lang w:val="en-GB"/>
        </w:rPr>
        <w:t xml:space="preserve">, Asia Pacific Forum, March 2017, p.120.   </w:t>
      </w:r>
    </w:p>
  </w:footnote>
  <w:footnote w:id="8">
    <w:p w14:paraId="07B15AA4" w14:textId="77777777" w:rsidR="00AE3D24" w:rsidRPr="00E3426B" w:rsidRDefault="00AE3D24" w:rsidP="00E3426B">
      <w:pPr>
        <w:spacing w:after="0" w:line="240" w:lineRule="auto"/>
        <w:jc w:val="both"/>
        <w:rPr>
          <w:rFonts w:ascii="Avenir Book" w:hAnsi="Avenir Book"/>
          <w:sz w:val="18"/>
          <w:szCs w:val="18"/>
          <w:lang w:val="en-GB"/>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GB"/>
        </w:rPr>
        <w:t>For example, the following points, gathered from Canadian legislation and jurisprudence, may be of use to the Committee:</w:t>
      </w:r>
    </w:p>
    <w:p w14:paraId="21E08839" w14:textId="55B635FD"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 xml:space="preserve">Section 15(2) of the </w:t>
      </w:r>
      <w:r w:rsidRPr="00E3426B">
        <w:rPr>
          <w:rFonts w:ascii="Avenir Book" w:hAnsi="Avenir Book"/>
          <w:i/>
          <w:sz w:val="18"/>
          <w:szCs w:val="18"/>
        </w:rPr>
        <w:t>Canadian Human Rights Act</w:t>
      </w:r>
      <w:r w:rsidRPr="00E3426B">
        <w:rPr>
          <w:rFonts w:ascii="Avenir Book" w:hAnsi="Avenir Book"/>
          <w:sz w:val="18"/>
          <w:szCs w:val="18"/>
        </w:rPr>
        <w:t xml:space="preserve"> limits the consideration of what constitutes “undue hardship” to factors relating to “health, safety and cost</w:t>
      </w:r>
      <w:r w:rsidRPr="00E3426B">
        <w:rPr>
          <w:rFonts w:ascii="Avenir Book" w:hAnsi="Avenir Book"/>
          <w:i/>
          <w:sz w:val="18"/>
          <w:szCs w:val="18"/>
        </w:rPr>
        <w:t xml:space="preserve">”.  </w:t>
      </w:r>
      <w:r w:rsidRPr="00E3426B">
        <w:rPr>
          <w:rFonts w:ascii="Avenir Book" w:hAnsi="Avenir Book"/>
          <w:sz w:val="18"/>
          <w:szCs w:val="18"/>
        </w:rPr>
        <w:t>Other matters – such as the preference of employees or customers, employee morale, and business inconvenience – are not valid considerations.</w:t>
      </w:r>
    </w:p>
    <w:p w14:paraId="71360DC6" w14:textId="59F59A9E"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 xml:space="preserve">The courts have set a high threshold on determining what is “undue”. </w:t>
      </w:r>
      <w:r w:rsidRPr="00E3426B">
        <w:rPr>
          <w:rFonts w:ascii="Avenir Book" w:hAnsi="Avenir Book"/>
          <w:color w:val="000000"/>
          <w:sz w:val="18"/>
          <w:szCs w:val="18"/>
        </w:rPr>
        <w:t xml:space="preserve">The Supreme Court of Canada has said that, </w:t>
      </w:r>
      <w:r w:rsidRPr="00E3426B">
        <w:rPr>
          <w:rFonts w:ascii="Avenir Book" w:hAnsi="Avenir Book"/>
          <w:i/>
          <w:color w:val="000000"/>
          <w:sz w:val="18"/>
          <w:szCs w:val="18"/>
        </w:rPr>
        <w:t>“</w:t>
      </w:r>
      <w:r w:rsidRPr="00E3426B">
        <w:rPr>
          <w:rFonts w:ascii="Avenir Book" w:hAnsi="Avenir Book"/>
          <w:color w:val="000000"/>
          <w:sz w:val="18"/>
          <w:szCs w:val="18"/>
        </w:rPr>
        <w:t>one must be wary of putting too low a value on accommodating the disabled. It is all too easy to cite increased cost as a reason for refusing to accord the disabled equal treatment</w:t>
      </w:r>
      <w:r w:rsidRPr="00E3426B">
        <w:rPr>
          <w:rFonts w:ascii="Avenir Book" w:hAnsi="Avenir Book"/>
          <w:i/>
          <w:color w:val="000000"/>
          <w:sz w:val="18"/>
          <w:szCs w:val="18"/>
        </w:rPr>
        <w:t>”</w:t>
      </w:r>
      <w:r w:rsidRPr="00E3426B">
        <w:rPr>
          <w:rFonts w:ascii="Avenir Book" w:hAnsi="Avenir Book"/>
          <w:color w:val="000000"/>
          <w:sz w:val="18"/>
          <w:szCs w:val="18"/>
        </w:rPr>
        <w:t>.</w:t>
      </w:r>
      <w:r w:rsidRPr="00E3426B">
        <w:rPr>
          <w:rStyle w:val="FootnoteReference"/>
          <w:rFonts w:ascii="Avenir Book" w:hAnsi="Avenir Book"/>
          <w:color w:val="000000"/>
          <w:sz w:val="18"/>
          <w:szCs w:val="18"/>
        </w:rPr>
        <w:footnoteRef/>
      </w:r>
      <w:r w:rsidRPr="00E3426B">
        <w:rPr>
          <w:rFonts w:ascii="Avenir Book" w:hAnsi="Avenir Book"/>
          <w:sz w:val="18"/>
          <w:szCs w:val="18"/>
        </w:rPr>
        <w:t xml:space="preserve"> </w:t>
      </w:r>
    </w:p>
    <w:p w14:paraId="4CB66003" w14:textId="2209BFC7"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Generally, the burden of an accommodation will be considered too high if it affects the survival of the organization or it threatens to change its essential nature.</w:t>
      </w:r>
    </w:p>
    <w:p w14:paraId="69D14773" w14:textId="7CCFB179"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The determination of what is “undue” is contextual, depending on considerations such as the size and nature of an obligation-holder and the particular needs of the accommodation seeker.</w:t>
      </w:r>
    </w:p>
    <w:p w14:paraId="7CAC7667" w14:textId="481E4649"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 xml:space="preserve">Evidence that an accommodation is “undue” must be objective, substantive, and quantifiable.  Speculation about the potential long-term consequences of an accommodation should not be considered.  </w:t>
      </w:r>
    </w:p>
    <w:p w14:paraId="6C460C45" w14:textId="41DF482B"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 xml:space="preserve">Even when a particular accommodation can be shown to pose an “undue hardship”, a duty holder must consider less burdensome alternative accommodations.  </w:t>
      </w:r>
    </w:p>
    <w:p w14:paraId="7F5F506D" w14:textId="39FCD8E7"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 xml:space="preserve">Despite the high threshold for “undue hardship”, an employer is not required to change the essential nature of a job in order to accommodate an individual in the workplace.  However, temporary accommodation, including changes in job requirements or reassignment to another job, may be required.  </w:t>
      </w:r>
    </w:p>
    <w:p w14:paraId="7CAA2FC8" w14:textId="3683241A" w:rsidR="00AE3D24" w:rsidRPr="00E3426B" w:rsidRDefault="00AE3D24" w:rsidP="00E3426B">
      <w:pPr>
        <w:numPr>
          <w:ilvl w:val="0"/>
          <w:numId w:val="1"/>
        </w:numPr>
        <w:shd w:val="clear" w:color="auto" w:fill="FFFFFF"/>
        <w:spacing w:after="0" w:line="240" w:lineRule="auto"/>
        <w:contextualSpacing/>
        <w:jc w:val="both"/>
        <w:textAlignment w:val="baseline"/>
        <w:rPr>
          <w:rFonts w:ascii="Avenir Book" w:hAnsi="Avenir Book"/>
          <w:sz w:val="18"/>
          <w:szCs w:val="18"/>
        </w:rPr>
      </w:pPr>
      <w:r w:rsidRPr="00E3426B">
        <w:rPr>
          <w:rFonts w:ascii="Avenir Book" w:hAnsi="Avenir Book"/>
          <w:sz w:val="18"/>
          <w:szCs w:val="18"/>
        </w:rPr>
        <w:t>In order to fulfill the duty of accommodation, the duty holder has both substantive and procedural obligations. Even if a particular accommodation is found to pose an “undue hardship”, the duty holder must be able to show that this determination was arrived at through a process of considering alternatives and consulting with the accommodation-seeker and other experts.</w:t>
      </w:r>
    </w:p>
  </w:footnote>
  <w:footnote w:id="9">
    <w:p w14:paraId="142D7282" w14:textId="77777777" w:rsidR="00AE3D24" w:rsidRPr="00E3426B" w:rsidRDefault="00AE3D24" w:rsidP="00E3426B">
      <w:pPr>
        <w:pStyle w:val="FootnoteText"/>
        <w:jc w:val="both"/>
        <w:rPr>
          <w:rFonts w:ascii="Avenir Book" w:hAnsi="Avenir Book"/>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w:t>
      </w:r>
      <w:r w:rsidRPr="00E3426B">
        <w:rPr>
          <w:rFonts w:ascii="Avenir Book" w:hAnsi="Avenir Book"/>
          <w:color w:val="000000"/>
          <w:sz w:val="18"/>
          <w:szCs w:val="18"/>
          <w:lang w:val="en-GB"/>
        </w:rPr>
        <w:t>A</w:t>
      </w:r>
      <w:r w:rsidRPr="00E3426B">
        <w:rPr>
          <w:rFonts w:ascii="Avenir Book" w:hAnsi="Avenir Book"/>
          <w:color w:val="262626"/>
          <w:sz w:val="18"/>
          <w:szCs w:val="18"/>
          <w:lang w:val="en-GB"/>
        </w:rPr>
        <w:t>dopted by General Assembly resolution 48/134 on 20 December 1993</w:t>
      </w:r>
    </w:p>
  </w:footnote>
  <w:footnote w:id="10">
    <w:p w14:paraId="65F8C2FB" w14:textId="77777777" w:rsidR="00AE3D24" w:rsidRPr="00E3426B" w:rsidRDefault="00AE3D24" w:rsidP="00E3426B">
      <w:pPr>
        <w:pStyle w:val="FootnoteText"/>
        <w:jc w:val="both"/>
        <w:rPr>
          <w:rFonts w:ascii="Avenir Book" w:hAnsi="Avenir Book"/>
          <w:sz w:val="18"/>
          <w:szCs w:val="18"/>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hyperlink r:id="rId1" w:history="1">
        <w:r w:rsidRPr="00E3426B">
          <w:rPr>
            <w:rStyle w:val="Hyperlink"/>
            <w:rFonts w:ascii="Avenir Book" w:hAnsi="Avenir Book"/>
            <w:sz w:val="18"/>
            <w:szCs w:val="18"/>
          </w:rPr>
          <w:t>http://www.ohchr.org/EN/NewsEvents/Pages/ParisPrinciples20yearsguidingtheworkofNHRI.aspx</w:t>
        </w:r>
      </w:hyperlink>
      <w:r w:rsidRPr="00E3426B">
        <w:rPr>
          <w:rFonts w:ascii="Avenir Book" w:hAnsi="Avenir Book"/>
          <w:sz w:val="18"/>
          <w:szCs w:val="18"/>
        </w:rPr>
        <w:t xml:space="preserve"> </w:t>
      </w:r>
    </w:p>
  </w:footnote>
  <w:footnote w:id="11">
    <w:p w14:paraId="2E8EA165" w14:textId="71EC0E58" w:rsidR="00AE3D24" w:rsidRPr="00E3426B" w:rsidRDefault="00AE3D24" w:rsidP="00E3426B">
      <w:pPr>
        <w:pStyle w:val="FootnoteText"/>
        <w:jc w:val="both"/>
        <w:rPr>
          <w:rFonts w:ascii="Avenir Book" w:hAnsi="Avenir Book"/>
          <w:sz w:val="18"/>
          <w:szCs w:val="18"/>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rPr>
        <w:t xml:space="preserve">NHRIs play a critical role in promoting and protecting the rights of persons with disabilities as equal citizens under the law through assessing the compliance of existing or proposed national policies, legislation, regulation and practices. The National Human Rights Commission of Mexico has also used its legal powers to challenge the constitutional compliance of policies adversly affecting the rights of persons with disabilties. </w:t>
      </w:r>
      <w:r w:rsidRPr="00E3426B">
        <w:rPr>
          <w:rFonts w:ascii="Avenir Book" w:hAnsi="Avenir Book" w:cs="Arial"/>
          <w:color w:val="000000"/>
          <w:sz w:val="18"/>
          <w:szCs w:val="18"/>
          <w:lang w:val="en-GB"/>
        </w:rPr>
        <w:t xml:space="preserve">See </w:t>
      </w:r>
      <w:r w:rsidRPr="00E3426B">
        <w:rPr>
          <w:rFonts w:ascii="Avenir Book" w:hAnsi="Avenir Book"/>
          <w:i/>
          <w:sz w:val="18"/>
          <w:szCs w:val="18"/>
          <w:lang w:val="en-GB"/>
        </w:rPr>
        <w:t>Human Rights and Disability. A Manual for National Human Rights In</w:t>
      </w:r>
      <w:r w:rsidR="00B14D37">
        <w:rPr>
          <w:rFonts w:ascii="Avenir Book" w:hAnsi="Avenir Book"/>
          <w:i/>
          <w:sz w:val="18"/>
          <w:szCs w:val="18"/>
          <w:lang w:val="en-GB"/>
        </w:rPr>
        <w:t>s</w:t>
      </w:r>
      <w:r w:rsidRPr="00E3426B">
        <w:rPr>
          <w:rFonts w:ascii="Avenir Book" w:hAnsi="Avenir Book"/>
          <w:i/>
          <w:sz w:val="18"/>
          <w:szCs w:val="18"/>
          <w:lang w:val="en-GB"/>
        </w:rPr>
        <w:t>titutions</w:t>
      </w:r>
      <w:r w:rsidRPr="00E3426B">
        <w:rPr>
          <w:rFonts w:ascii="Avenir Book" w:hAnsi="Avenir Book"/>
          <w:sz w:val="18"/>
          <w:szCs w:val="18"/>
          <w:lang w:val="en-GB"/>
        </w:rPr>
        <w:t>, Asia Pacific Forum, March 2017.</w:t>
      </w:r>
    </w:p>
  </w:footnote>
  <w:footnote w:id="12">
    <w:p w14:paraId="5DC913ED" w14:textId="77777777" w:rsidR="00AE3D24" w:rsidRPr="00E3426B" w:rsidRDefault="00AE3D24" w:rsidP="00E3426B">
      <w:pPr>
        <w:pStyle w:val="FootnoteText"/>
        <w:jc w:val="both"/>
        <w:rPr>
          <w:rFonts w:ascii="Avenir Book" w:hAnsi="Avenir Book"/>
          <w:sz w:val="18"/>
          <w:szCs w:val="18"/>
          <w:lang w:val="en-P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i/>
          <w:iCs/>
          <w:sz w:val="18"/>
          <w:szCs w:val="18"/>
        </w:rPr>
        <w:t>Sec. 20. Witnesses; their qualifications. — Except as provided in the next succeeding section, all persons who can perceive, and perceiving, can make their known perception to others, may be witnesses. Religious or political belief, interest in the outcome of the case, or conviction of a crime unless otherwise provided by law, shall not be ground for disqualification. (Revised Rules of Evidence)</w:t>
      </w:r>
    </w:p>
  </w:footnote>
  <w:footnote w:id="13">
    <w:p w14:paraId="3F1073F1" w14:textId="77777777" w:rsidR="00AE3D24" w:rsidRPr="00E3426B" w:rsidRDefault="00AE3D24" w:rsidP="00E3426B">
      <w:pPr>
        <w:pStyle w:val="FootnoteText"/>
        <w:jc w:val="both"/>
        <w:rPr>
          <w:rFonts w:ascii="Avenir Book" w:hAnsi="Avenir Book"/>
          <w:sz w:val="18"/>
          <w:szCs w:val="18"/>
          <w:lang w:val="en-P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PH"/>
        </w:rPr>
        <w:t>Section 11, Anti-Torture Act of 2009.</w:t>
      </w:r>
    </w:p>
  </w:footnote>
  <w:footnote w:id="14">
    <w:p w14:paraId="753CA882" w14:textId="77777777" w:rsidR="00AE3D24" w:rsidRPr="00E3426B" w:rsidRDefault="00AE3D24" w:rsidP="00E3426B">
      <w:pPr>
        <w:pStyle w:val="FootnoteText"/>
        <w:jc w:val="both"/>
        <w:rPr>
          <w:rFonts w:ascii="Avenir Book" w:hAnsi="Avenir Book"/>
          <w:sz w:val="18"/>
          <w:szCs w:val="18"/>
          <w:lang w:val="en-P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PH"/>
        </w:rPr>
        <w:t>Senate Bill No. 1354, Philippine Mental Health Bill</w:t>
      </w:r>
    </w:p>
  </w:footnote>
  <w:footnote w:id="15">
    <w:p w14:paraId="30D27410" w14:textId="56412C8A" w:rsidR="00AE3D24" w:rsidRPr="00E3426B" w:rsidRDefault="00AE3D24" w:rsidP="00E3426B">
      <w:pPr>
        <w:pStyle w:val="FootnoteText"/>
        <w:jc w:val="both"/>
        <w:rPr>
          <w:rFonts w:ascii="Avenir Book" w:hAnsi="Avenir Book"/>
          <w:sz w:val="18"/>
          <w:szCs w:val="18"/>
          <w:lang w:val="en-GB"/>
        </w:rPr>
      </w:pPr>
      <w:r w:rsidRPr="00E3426B">
        <w:rPr>
          <w:rStyle w:val="FootnoteReference"/>
          <w:rFonts w:ascii="Avenir Book" w:hAnsi="Avenir Book"/>
          <w:sz w:val="18"/>
          <w:szCs w:val="18"/>
          <w:lang w:val="en-GB"/>
        </w:rPr>
        <w:footnoteRef/>
      </w:r>
      <w:r w:rsidRPr="00E3426B">
        <w:rPr>
          <w:rFonts w:ascii="Avenir Book" w:hAnsi="Avenir Book"/>
          <w:sz w:val="18"/>
          <w:szCs w:val="18"/>
          <w:lang w:val="en-GB"/>
        </w:rPr>
        <w:t xml:space="preserve"> NHRIs have conducted monitoring of the rights of persons with disabilities during  elections, including the National Human Rights Commission of Sierra Leone and the National Commission for Human Rights of Rwanda. </w:t>
      </w:r>
      <w:r w:rsidRPr="00E3426B">
        <w:rPr>
          <w:rFonts w:ascii="Avenir Book" w:hAnsi="Avenir Book" w:cs="Arial"/>
          <w:color w:val="000000"/>
          <w:sz w:val="18"/>
          <w:szCs w:val="18"/>
          <w:lang w:val="en-GB"/>
        </w:rPr>
        <w:t xml:space="preserve">See </w:t>
      </w:r>
      <w:r w:rsidRPr="00E3426B">
        <w:rPr>
          <w:rFonts w:ascii="Avenir Book" w:hAnsi="Avenir Book"/>
          <w:i/>
          <w:sz w:val="18"/>
          <w:szCs w:val="18"/>
          <w:lang w:val="en-GB"/>
        </w:rPr>
        <w:t>Human Rights and Disability. A Manual for National Human Rights In</w:t>
      </w:r>
      <w:r w:rsidR="001348D2">
        <w:rPr>
          <w:rFonts w:ascii="Avenir Book" w:hAnsi="Avenir Book"/>
          <w:i/>
          <w:sz w:val="18"/>
          <w:szCs w:val="18"/>
          <w:lang w:val="en-GB"/>
        </w:rPr>
        <w:t>s</w:t>
      </w:r>
      <w:r w:rsidRPr="00E3426B">
        <w:rPr>
          <w:rFonts w:ascii="Avenir Book" w:hAnsi="Avenir Book"/>
          <w:i/>
          <w:sz w:val="18"/>
          <w:szCs w:val="18"/>
          <w:lang w:val="en-GB"/>
        </w:rPr>
        <w:t>titutions</w:t>
      </w:r>
      <w:r w:rsidRPr="00E3426B">
        <w:rPr>
          <w:rFonts w:ascii="Avenir Book" w:hAnsi="Avenir Book"/>
          <w:sz w:val="18"/>
          <w:szCs w:val="18"/>
          <w:lang w:val="en-GB"/>
        </w:rPr>
        <w:t xml:space="preserve">, Asia Pacific Forum, March 2017, p.129.   </w:t>
      </w:r>
    </w:p>
  </w:footnote>
  <w:footnote w:id="16">
    <w:p w14:paraId="731D2685" w14:textId="2031BDA8" w:rsidR="00AE3D24" w:rsidRPr="00E3426B" w:rsidRDefault="00AE3D24" w:rsidP="00E3426B">
      <w:pPr>
        <w:pStyle w:val="FootnoteText"/>
        <w:jc w:val="both"/>
        <w:rPr>
          <w:rFonts w:ascii="Avenir Book" w:hAnsi="Avenir Book"/>
          <w:sz w:val="18"/>
          <w:szCs w:val="18"/>
          <w:lang w:val="en-US"/>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US"/>
        </w:rPr>
        <w:t xml:space="preserve">This has been reported </w:t>
      </w:r>
      <w:r w:rsidR="00894CD7" w:rsidRPr="00E3426B">
        <w:rPr>
          <w:rFonts w:ascii="Avenir Book" w:hAnsi="Avenir Book"/>
          <w:sz w:val="18"/>
          <w:szCs w:val="18"/>
          <w:lang w:val="en-US"/>
        </w:rPr>
        <w:t xml:space="preserve">for instance </w:t>
      </w:r>
      <w:r w:rsidRPr="00E3426B">
        <w:rPr>
          <w:rFonts w:ascii="Avenir Book" w:hAnsi="Avenir Book"/>
          <w:sz w:val="18"/>
          <w:szCs w:val="18"/>
          <w:lang w:val="en-US"/>
        </w:rPr>
        <w:t>by the NHRIs of Canada and the Philippines.</w:t>
      </w:r>
    </w:p>
  </w:footnote>
  <w:footnote w:id="17">
    <w:p w14:paraId="7A797979" w14:textId="77777777" w:rsidR="00AE3D24" w:rsidRPr="00E3426B" w:rsidRDefault="00AE3D24" w:rsidP="00E3426B">
      <w:pPr>
        <w:pStyle w:val="FootnoteText"/>
        <w:jc w:val="both"/>
        <w:rPr>
          <w:rFonts w:ascii="Avenir Book" w:hAnsi="Avenir Book"/>
          <w:sz w:val="18"/>
          <w:szCs w:val="18"/>
          <w:lang w:val="fr-C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fr-CH"/>
        </w:rPr>
        <w:t>Article II, Sec. 22, 1987 Philippine Constitution.</w:t>
      </w:r>
    </w:p>
  </w:footnote>
  <w:footnote w:id="18">
    <w:p w14:paraId="4B5E840E" w14:textId="41BA5C7C" w:rsidR="00AE3D24" w:rsidRPr="00E3426B" w:rsidRDefault="00AE3D24" w:rsidP="00E3426B">
      <w:pPr>
        <w:pStyle w:val="FootnoteText"/>
        <w:jc w:val="both"/>
        <w:rPr>
          <w:rFonts w:ascii="Avenir Book" w:hAnsi="Avenir Book"/>
          <w:sz w:val="18"/>
          <w:szCs w:val="18"/>
          <w:lang w:val="en-P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PH"/>
        </w:rPr>
        <w:t>Section 15, Republic Act No. 8371, The Indigenous Peoples Rights Act of 1997</w:t>
      </w:r>
    </w:p>
  </w:footnote>
  <w:footnote w:id="19">
    <w:p w14:paraId="03FCF4F1" w14:textId="77777777" w:rsidR="00AE3D24" w:rsidRPr="00E3426B" w:rsidRDefault="00AE3D24" w:rsidP="00E3426B">
      <w:pPr>
        <w:pStyle w:val="FootnoteText"/>
        <w:jc w:val="both"/>
        <w:rPr>
          <w:rFonts w:ascii="Avenir Book" w:hAnsi="Avenir Book"/>
          <w:sz w:val="18"/>
          <w:szCs w:val="18"/>
          <w:lang w:val="en-PH"/>
        </w:rPr>
      </w:pPr>
      <w:r w:rsidRPr="00E3426B">
        <w:rPr>
          <w:rStyle w:val="FootnoteReference"/>
          <w:rFonts w:ascii="Avenir Book" w:hAnsi="Avenir Book"/>
          <w:sz w:val="18"/>
          <w:szCs w:val="18"/>
        </w:rPr>
        <w:footnoteRef/>
      </w:r>
      <w:r w:rsidRPr="00E3426B">
        <w:rPr>
          <w:rFonts w:ascii="Avenir Book" w:hAnsi="Avenir Book"/>
          <w:sz w:val="18"/>
          <w:szCs w:val="18"/>
        </w:rPr>
        <w:t xml:space="preserve"> </w:t>
      </w:r>
      <w:r w:rsidRPr="00E3426B">
        <w:rPr>
          <w:rFonts w:ascii="Avenir Book" w:hAnsi="Avenir Book"/>
          <w:sz w:val="18"/>
          <w:szCs w:val="18"/>
          <w:lang w:val="en-PH"/>
        </w:rPr>
        <w:t>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ACA3F17"/>
    <w:multiLevelType w:val="hybridMultilevel"/>
    <w:tmpl w:val="460CA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8AF6FF3"/>
    <w:multiLevelType w:val="multilevel"/>
    <w:tmpl w:val="4E2ECEA2"/>
    <w:lvl w:ilvl="0">
      <w:start w:val="1"/>
      <w:numFmt w:val="decimal"/>
      <w:pStyle w:val="Heading1"/>
      <w:lvlText w:val="%1."/>
      <w:lvlJc w:val="left"/>
      <w:pPr>
        <w:ind w:left="360" w:hanging="360"/>
      </w:pPr>
      <w:rPr>
        <w:rFonts w:hint="default"/>
        <w:lang w:val="en-GB"/>
      </w:rPr>
    </w:lvl>
    <w:lvl w:ilvl="1">
      <w:start w:val="1"/>
      <w:numFmt w:val="decimal"/>
      <w:pStyle w:val="Heading2"/>
      <w:lvlText w:val="%1.%2."/>
      <w:lvlJc w:val="left"/>
      <w:pPr>
        <w:ind w:left="1850" w:hanging="432"/>
      </w:pPr>
      <w:rPr>
        <w:rFonts w:hint="default"/>
        <w:lang w:val="en-GB"/>
      </w:rPr>
    </w:lvl>
    <w:lvl w:ilvl="2">
      <w:start w:val="1"/>
      <w:numFmt w:val="decimal"/>
      <w:pStyle w:val="Heading3"/>
      <w:lvlText w:val="%1.%2.%3."/>
      <w:lvlJc w:val="left"/>
      <w:pPr>
        <w:ind w:left="1224" w:hanging="504"/>
      </w:pPr>
      <w:rPr>
        <w:rFonts w:hint="default"/>
        <w:b w:val="0"/>
        <w:i w: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1F"/>
    <w:rsid w:val="00002276"/>
    <w:rsid w:val="00002F30"/>
    <w:rsid w:val="00004A68"/>
    <w:rsid w:val="00006DF9"/>
    <w:rsid w:val="00007FD6"/>
    <w:rsid w:val="00011EDD"/>
    <w:rsid w:val="000144AA"/>
    <w:rsid w:val="00014D96"/>
    <w:rsid w:val="000159E2"/>
    <w:rsid w:val="00022610"/>
    <w:rsid w:val="000232A3"/>
    <w:rsid w:val="00023A26"/>
    <w:rsid w:val="000244C4"/>
    <w:rsid w:val="000249C2"/>
    <w:rsid w:val="00024A99"/>
    <w:rsid w:val="000257DB"/>
    <w:rsid w:val="0002582F"/>
    <w:rsid w:val="0002735A"/>
    <w:rsid w:val="0003236A"/>
    <w:rsid w:val="00033835"/>
    <w:rsid w:val="00034881"/>
    <w:rsid w:val="00035DBC"/>
    <w:rsid w:val="0004273F"/>
    <w:rsid w:val="000428C5"/>
    <w:rsid w:val="00042B3E"/>
    <w:rsid w:val="00043D01"/>
    <w:rsid w:val="00044002"/>
    <w:rsid w:val="000455D4"/>
    <w:rsid w:val="0004601C"/>
    <w:rsid w:val="0005025A"/>
    <w:rsid w:val="00051ED8"/>
    <w:rsid w:val="00053A2C"/>
    <w:rsid w:val="000551F2"/>
    <w:rsid w:val="0005570B"/>
    <w:rsid w:val="000570E3"/>
    <w:rsid w:val="00060476"/>
    <w:rsid w:val="00061CEE"/>
    <w:rsid w:val="000630D1"/>
    <w:rsid w:val="00064A7E"/>
    <w:rsid w:val="000667BC"/>
    <w:rsid w:val="00066B56"/>
    <w:rsid w:val="00070589"/>
    <w:rsid w:val="000735DD"/>
    <w:rsid w:val="00073B98"/>
    <w:rsid w:val="00074796"/>
    <w:rsid w:val="00074CFC"/>
    <w:rsid w:val="00076652"/>
    <w:rsid w:val="00076E28"/>
    <w:rsid w:val="00077581"/>
    <w:rsid w:val="00080606"/>
    <w:rsid w:val="00082E79"/>
    <w:rsid w:val="000833B7"/>
    <w:rsid w:val="0008387A"/>
    <w:rsid w:val="00083A76"/>
    <w:rsid w:val="0008668B"/>
    <w:rsid w:val="000868EB"/>
    <w:rsid w:val="000870D8"/>
    <w:rsid w:val="00087FAA"/>
    <w:rsid w:val="000B5A18"/>
    <w:rsid w:val="000B7620"/>
    <w:rsid w:val="000B7F20"/>
    <w:rsid w:val="000C0E83"/>
    <w:rsid w:val="000C2477"/>
    <w:rsid w:val="000C43B2"/>
    <w:rsid w:val="000C46FA"/>
    <w:rsid w:val="000C553B"/>
    <w:rsid w:val="000C6B73"/>
    <w:rsid w:val="000C7A4A"/>
    <w:rsid w:val="000D32F9"/>
    <w:rsid w:val="000D3488"/>
    <w:rsid w:val="000D5E90"/>
    <w:rsid w:val="000E59E7"/>
    <w:rsid w:val="000F3ADF"/>
    <w:rsid w:val="000F3E2C"/>
    <w:rsid w:val="000F426B"/>
    <w:rsid w:val="000F5EB6"/>
    <w:rsid w:val="000F7133"/>
    <w:rsid w:val="000F7ED0"/>
    <w:rsid w:val="00102131"/>
    <w:rsid w:val="001025DD"/>
    <w:rsid w:val="0010268D"/>
    <w:rsid w:val="00102C51"/>
    <w:rsid w:val="001033D7"/>
    <w:rsid w:val="0010362B"/>
    <w:rsid w:val="00103702"/>
    <w:rsid w:val="001037B1"/>
    <w:rsid w:val="00103D94"/>
    <w:rsid w:val="00104F34"/>
    <w:rsid w:val="00105790"/>
    <w:rsid w:val="00106418"/>
    <w:rsid w:val="00111DA5"/>
    <w:rsid w:val="0011282B"/>
    <w:rsid w:val="00112DDB"/>
    <w:rsid w:val="001132F5"/>
    <w:rsid w:val="001137AB"/>
    <w:rsid w:val="001148EC"/>
    <w:rsid w:val="00114D41"/>
    <w:rsid w:val="001177CA"/>
    <w:rsid w:val="00121317"/>
    <w:rsid w:val="00121C8A"/>
    <w:rsid w:val="00123175"/>
    <w:rsid w:val="001304F1"/>
    <w:rsid w:val="00130F81"/>
    <w:rsid w:val="00131548"/>
    <w:rsid w:val="00131F4D"/>
    <w:rsid w:val="00132284"/>
    <w:rsid w:val="00132CC0"/>
    <w:rsid w:val="001348D2"/>
    <w:rsid w:val="00135896"/>
    <w:rsid w:val="00136103"/>
    <w:rsid w:val="001404AB"/>
    <w:rsid w:val="00140533"/>
    <w:rsid w:val="00143047"/>
    <w:rsid w:val="00144424"/>
    <w:rsid w:val="0014471F"/>
    <w:rsid w:val="001465EC"/>
    <w:rsid w:val="001473F3"/>
    <w:rsid w:val="001474C7"/>
    <w:rsid w:val="0015082B"/>
    <w:rsid w:val="0015119A"/>
    <w:rsid w:val="0015168E"/>
    <w:rsid w:val="001604E2"/>
    <w:rsid w:val="001627FE"/>
    <w:rsid w:val="001629C0"/>
    <w:rsid w:val="00162B3B"/>
    <w:rsid w:val="0016360C"/>
    <w:rsid w:val="00163DF8"/>
    <w:rsid w:val="0016618D"/>
    <w:rsid w:val="00167D6D"/>
    <w:rsid w:val="00170A04"/>
    <w:rsid w:val="00170F55"/>
    <w:rsid w:val="00171645"/>
    <w:rsid w:val="00172519"/>
    <w:rsid w:val="00172CA5"/>
    <w:rsid w:val="00174EFE"/>
    <w:rsid w:val="00180748"/>
    <w:rsid w:val="00181FBD"/>
    <w:rsid w:val="00182006"/>
    <w:rsid w:val="00185153"/>
    <w:rsid w:val="00186464"/>
    <w:rsid w:val="0019445B"/>
    <w:rsid w:val="00197117"/>
    <w:rsid w:val="00197CE3"/>
    <w:rsid w:val="001A26DE"/>
    <w:rsid w:val="001A2802"/>
    <w:rsid w:val="001A2C95"/>
    <w:rsid w:val="001A3400"/>
    <w:rsid w:val="001B0F21"/>
    <w:rsid w:val="001B12AA"/>
    <w:rsid w:val="001B130E"/>
    <w:rsid w:val="001B1900"/>
    <w:rsid w:val="001B48BA"/>
    <w:rsid w:val="001B5755"/>
    <w:rsid w:val="001B684C"/>
    <w:rsid w:val="001B7A6A"/>
    <w:rsid w:val="001C061E"/>
    <w:rsid w:val="001C1545"/>
    <w:rsid w:val="001C1F46"/>
    <w:rsid w:val="001C223A"/>
    <w:rsid w:val="001C5C4A"/>
    <w:rsid w:val="001C60A3"/>
    <w:rsid w:val="001C7C4D"/>
    <w:rsid w:val="001C7CC4"/>
    <w:rsid w:val="001D246C"/>
    <w:rsid w:val="001D358B"/>
    <w:rsid w:val="001D7291"/>
    <w:rsid w:val="001D771F"/>
    <w:rsid w:val="001D7875"/>
    <w:rsid w:val="001E2546"/>
    <w:rsid w:val="001E41A9"/>
    <w:rsid w:val="001E44DB"/>
    <w:rsid w:val="001E4E3F"/>
    <w:rsid w:val="001E4E47"/>
    <w:rsid w:val="001E5534"/>
    <w:rsid w:val="001E5CA2"/>
    <w:rsid w:val="001E5D34"/>
    <w:rsid w:val="001E6626"/>
    <w:rsid w:val="001E731D"/>
    <w:rsid w:val="001F0034"/>
    <w:rsid w:val="001F0F68"/>
    <w:rsid w:val="001F1959"/>
    <w:rsid w:val="001F1AE9"/>
    <w:rsid w:val="001F576E"/>
    <w:rsid w:val="001F5E1E"/>
    <w:rsid w:val="00201944"/>
    <w:rsid w:val="0020255C"/>
    <w:rsid w:val="00204AEA"/>
    <w:rsid w:val="00205248"/>
    <w:rsid w:val="002113B2"/>
    <w:rsid w:val="0021357B"/>
    <w:rsid w:val="00215071"/>
    <w:rsid w:val="00220C02"/>
    <w:rsid w:val="0022186D"/>
    <w:rsid w:val="00221F39"/>
    <w:rsid w:val="0022384F"/>
    <w:rsid w:val="00224796"/>
    <w:rsid w:val="00227192"/>
    <w:rsid w:val="00227F0C"/>
    <w:rsid w:val="00230D9B"/>
    <w:rsid w:val="00231BFD"/>
    <w:rsid w:val="00233747"/>
    <w:rsid w:val="00233EB8"/>
    <w:rsid w:val="00234160"/>
    <w:rsid w:val="00236217"/>
    <w:rsid w:val="002364E5"/>
    <w:rsid w:val="00240FAF"/>
    <w:rsid w:val="00241335"/>
    <w:rsid w:val="00242CEB"/>
    <w:rsid w:val="0024367B"/>
    <w:rsid w:val="00244C35"/>
    <w:rsid w:val="00244ECE"/>
    <w:rsid w:val="0024792F"/>
    <w:rsid w:val="00247A6F"/>
    <w:rsid w:val="00247AFC"/>
    <w:rsid w:val="0025254A"/>
    <w:rsid w:val="00254281"/>
    <w:rsid w:val="0025449B"/>
    <w:rsid w:val="0025479E"/>
    <w:rsid w:val="00255FF7"/>
    <w:rsid w:val="00256053"/>
    <w:rsid w:val="002563D9"/>
    <w:rsid w:val="00260509"/>
    <w:rsid w:val="002665D8"/>
    <w:rsid w:val="00272C78"/>
    <w:rsid w:val="00272FEB"/>
    <w:rsid w:val="00273011"/>
    <w:rsid w:val="00273B50"/>
    <w:rsid w:val="00273DA8"/>
    <w:rsid w:val="00274947"/>
    <w:rsid w:val="00275070"/>
    <w:rsid w:val="00275CAC"/>
    <w:rsid w:val="002774A8"/>
    <w:rsid w:val="00277B91"/>
    <w:rsid w:val="00283930"/>
    <w:rsid w:val="00286CA2"/>
    <w:rsid w:val="0028755A"/>
    <w:rsid w:val="00290917"/>
    <w:rsid w:val="00291B61"/>
    <w:rsid w:val="002931DA"/>
    <w:rsid w:val="00294896"/>
    <w:rsid w:val="002956CD"/>
    <w:rsid w:val="00296246"/>
    <w:rsid w:val="00296A99"/>
    <w:rsid w:val="002A1BC4"/>
    <w:rsid w:val="002A4F38"/>
    <w:rsid w:val="002A6C96"/>
    <w:rsid w:val="002B07D5"/>
    <w:rsid w:val="002B07E6"/>
    <w:rsid w:val="002B44A2"/>
    <w:rsid w:val="002B4B96"/>
    <w:rsid w:val="002B6E8E"/>
    <w:rsid w:val="002C0514"/>
    <w:rsid w:val="002C09E2"/>
    <w:rsid w:val="002C0AC5"/>
    <w:rsid w:val="002C1638"/>
    <w:rsid w:val="002C229F"/>
    <w:rsid w:val="002C41AE"/>
    <w:rsid w:val="002D0D5F"/>
    <w:rsid w:val="002D2A38"/>
    <w:rsid w:val="002D2A9E"/>
    <w:rsid w:val="002D3DB9"/>
    <w:rsid w:val="002E0F2E"/>
    <w:rsid w:val="002E2213"/>
    <w:rsid w:val="002E2527"/>
    <w:rsid w:val="002E69E0"/>
    <w:rsid w:val="002F0EF6"/>
    <w:rsid w:val="002F10B8"/>
    <w:rsid w:val="002F1C9C"/>
    <w:rsid w:val="002F243E"/>
    <w:rsid w:val="002F311D"/>
    <w:rsid w:val="002F322C"/>
    <w:rsid w:val="002F4CA2"/>
    <w:rsid w:val="002F6831"/>
    <w:rsid w:val="002F6C5B"/>
    <w:rsid w:val="00300CDE"/>
    <w:rsid w:val="003012C0"/>
    <w:rsid w:val="00303892"/>
    <w:rsid w:val="0030439B"/>
    <w:rsid w:val="00306B8E"/>
    <w:rsid w:val="00307A7E"/>
    <w:rsid w:val="00311315"/>
    <w:rsid w:val="00311CEC"/>
    <w:rsid w:val="00313170"/>
    <w:rsid w:val="003137E1"/>
    <w:rsid w:val="00315DE9"/>
    <w:rsid w:val="00320741"/>
    <w:rsid w:val="00320E6D"/>
    <w:rsid w:val="00322B60"/>
    <w:rsid w:val="00322D49"/>
    <w:rsid w:val="003250B0"/>
    <w:rsid w:val="00325862"/>
    <w:rsid w:val="0032597E"/>
    <w:rsid w:val="003262A3"/>
    <w:rsid w:val="00327262"/>
    <w:rsid w:val="00327579"/>
    <w:rsid w:val="00327BAE"/>
    <w:rsid w:val="00334A06"/>
    <w:rsid w:val="00337AF6"/>
    <w:rsid w:val="00337F9A"/>
    <w:rsid w:val="00341068"/>
    <w:rsid w:val="00343733"/>
    <w:rsid w:val="003559BE"/>
    <w:rsid w:val="00356986"/>
    <w:rsid w:val="00356A52"/>
    <w:rsid w:val="0035791A"/>
    <w:rsid w:val="00360215"/>
    <w:rsid w:val="00362803"/>
    <w:rsid w:val="003628AF"/>
    <w:rsid w:val="00364CFC"/>
    <w:rsid w:val="00365186"/>
    <w:rsid w:val="00365599"/>
    <w:rsid w:val="00367D3C"/>
    <w:rsid w:val="003735B4"/>
    <w:rsid w:val="003751D4"/>
    <w:rsid w:val="00382393"/>
    <w:rsid w:val="00382A66"/>
    <w:rsid w:val="003844DF"/>
    <w:rsid w:val="00384DD2"/>
    <w:rsid w:val="0038643A"/>
    <w:rsid w:val="0039001C"/>
    <w:rsid w:val="003905CE"/>
    <w:rsid w:val="00391D9F"/>
    <w:rsid w:val="0039489B"/>
    <w:rsid w:val="003963F2"/>
    <w:rsid w:val="003973E8"/>
    <w:rsid w:val="003A21AE"/>
    <w:rsid w:val="003A2A6E"/>
    <w:rsid w:val="003A5F73"/>
    <w:rsid w:val="003A79AA"/>
    <w:rsid w:val="003B0546"/>
    <w:rsid w:val="003B233D"/>
    <w:rsid w:val="003B3FF8"/>
    <w:rsid w:val="003B422F"/>
    <w:rsid w:val="003B4661"/>
    <w:rsid w:val="003B4E04"/>
    <w:rsid w:val="003B6068"/>
    <w:rsid w:val="003B6968"/>
    <w:rsid w:val="003B6CB6"/>
    <w:rsid w:val="003C07ED"/>
    <w:rsid w:val="003C0D5E"/>
    <w:rsid w:val="003C307F"/>
    <w:rsid w:val="003C3F9F"/>
    <w:rsid w:val="003C5D75"/>
    <w:rsid w:val="003C67FF"/>
    <w:rsid w:val="003D13D3"/>
    <w:rsid w:val="003D1EA7"/>
    <w:rsid w:val="003D3F35"/>
    <w:rsid w:val="003D5071"/>
    <w:rsid w:val="003D6F16"/>
    <w:rsid w:val="003D6FE1"/>
    <w:rsid w:val="003E02FD"/>
    <w:rsid w:val="003E1653"/>
    <w:rsid w:val="003E2083"/>
    <w:rsid w:val="003E218B"/>
    <w:rsid w:val="003E2F2E"/>
    <w:rsid w:val="003E5290"/>
    <w:rsid w:val="003E5CBC"/>
    <w:rsid w:val="003E7396"/>
    <w:rsid w:val="003E7AC5"/>
    <w:rsid w:val="003F2F83"/>
    <w:rsid w:val="003F425A"/>
    <w:rsid w:val="003F43A4"/>
    <w:rsid w:val="003F56E8"/>
    <w:rsid w:val="003F5751"/>
    <w:rsid w:val="00400F77"/>
    <w:rsid w:val="00402447"/>
    <w:rsid w:val="0040426A"/>
    <w:rsid w:val="00404900"/>
    <w:rsid w:val="00404D78"/>
    <w:rsid w:val="00407C38"/>
    <w:rsid w:val="00410E43"/>
    <w:rsid w:val="00411868"/>
    <w:rsid w:val="0041658A"/>
    <w:rsid w:val="00416DD3"/>
    <w:rsid w:val="00417B61"/>
    <w:rsid w:val="00420043"/>
    <w:rsid w:val="0042030B"/>
    <w:rsid w:val="00420394"/>
    <w:rsid w:val="00425B65"/>
    <w:rsid w:val="0042627B"/>
    <w:rsid w:val="004277D9"/>
    <w:rsid w:val="00427E3B"/>
    <w:rsid w:val="0043476E"/>
    <w:rsid w:val="004367EB"/>
    <w:rsid w:val="0043767A"/>
    <w:rsid w:val="00437F68"/>
    <w:rsid w:val="00444C8C"/>
    <w:rsid w:val="00447D16"/>
    <w:rsid w:val="00447DED"/>
    <w:rsid w:val="00451DC9"/>
    <w:rsid w:val="00456825"/>
    <w:rsid w:val="00460A22"/>
    <w:rsid w:val="00461333"/>
    <w:rsid w:val="004637A1"/>
    <w:rsid w:val="00463D5C"/>
    <w:rsid w:val="00464988"/>
    <w:rsid w:val="00465159"/>
    <w:rsid w:val="00466DAB"/>
    <w:rsid w:val="004672D4"/>
    <w:rsid w:val="004719AB"/>
    <w:rsid w:val="00471D35"/>
    <w:rsid w:val="00474CDD"/>
    <w:rsid w:val="00474D35"/>
    <w:rsid w:val="004764BC"/>
    <w:rsid w:val="00485413"/>
    <w:rsid w:val="00487F14"/>
    <w:rsid w:val="00493A37"/>
    <w:rsid w:val="00495433"/>
    <w:rsid w:val="0049612C"/>
    <w:rsid w:val="004964C6"/>
    <w:rsid w:val="004A0580"/>
    <w:rsid w:val="004A0A30"/>
    <w:rsid w:val="004A12E0"/>
    <w:rsid w:val="004A1A78"/>
    <w:rsid w:val="004A612D"/>
    <w:rsid w:val="004B0631"/>
    <w:rsid w:val="004B19E8"/>
    <w:rsid w:val="004B2ACD"/>
    <w:rsid w:val="004B4D7D"/>
    <w:rsid w:val="004B716F"/>
    <w:rsid w:val="004B78AA"/>
    <w:rsid w:val="004C2AA9"/>
    <w:rsid w:val="004E5656"/>
    <w:rsid w:val="004E63B5"/>
    <w:rsid w:val="004F0095"/>
    <w:rsid w:val="004F0588"/>
    <w:rsid w:val="004F066C"/>
    <w:rsid w:val="004F238F"/>
    <w:rsid w:val="004F2820"/>
    <w:rsid w:val="004F57C9"/>
    <w:rsid w:val="004F58FC"/>
    <w:rsid w:val="004F679A"/>
    <w:rsid w:val="004F7F5F"/>
    <w:rsid w:val="00503D8B"/>
    <w:rsid w:val="005050DE"/>
    <w:rsid w:val="00505E7D"/>
    <w:rsid w:val="0051060E"/>
    <w:rsid w:val="00512203"/>
    <w:rsid w:val="00513B96"/>
    <w:rsid w:val="00514EE3"/>
    <w:rsid w:val="00516554"/>
    <w:rsid w:val="00516723"/>
    <w:rsid w:val="00517858"/>
    <w:rsid w:val="00524E2B"/>
    <w:rsid w:val="00525055"/>
    <w:rsid w:val="00525F45"/>
    <w:rsid w:val="005300CE"/>
    <w:rsid w:val="00530402"/>
    <w:rsid w:val="005343D6"/>
    <w:rsid w:val="00534825"/>
    <w:rsid w:val="0053559A"/>
    <w:rsid w:val="00537C60"/>
    <w:rsid w:val="005423FB"/>
    <w:rsid w:val="00545497"/>
    <w:rsid w:val="00547FC9"/>
    <w:rsid w:val="0055393A"/>
    <w:rsid w:val="0055639E"/>
    <w:rsid w:val="005565DD"/>
    <w:rsid w:val="0055715E"/>
    <w:rsid w:val="00557FA8"/>
    <w:rsid w:val="00560E5E"/>
    <w:rsid w:val="00561878"/>
    <w:rsid w:val="00564E6C"/>
    <w:rsid w:val="0056680F"/>
    <w:rsid w:val="005719E5"/>
    <w:rsid w:val="00572C7E"/>
    <w:rsid w:val="00574BF1"/>
    <w:rsid w:val="00575FCB"/>
    <w:rsid w:val="00576215"/>
    <w:rsid w:val="00576C84"/>
    <w:rsid w:val="00582255"/>
    <w:rsid w:val="00584051"/>
    <w:rsid w:val="005855B5"/>
    <w:rsid w:val="00590A19"/>
    <w:rsid w:val="00590AD1"/>
    <w:rsid w:val="00590B39"/>
    <w:rsid w:val="0059175F"/>
    <w:rsid w:val="00592103"/>
    <w:rsid w:val="00596E6B"/>
    <w:rsid w:val="005977B5"/>
    <w:rsid w:val="00597A6E"/>
    <w:rsid w:val="005A0D6C"/>
    <w:rsid w:val="005A2801"/>
    <w:rsid w:val="005A6713"/>
    <w:rsid w:val="005B0791"/>
    <w:rsid w:val="005B0FB7"/>
    <w:rsid w:val="005B12CD"/>
    <w:rsid w:val="005B1936"/>
    <w:rsid w:val="005B4273"/>
    <w:rsid w:val="005C038B"/>
    <w:rsid w:val="005C0855"/>
    <w:rsid w:val="005C41ED"/>
    <w:rsid w:val="005D0C81"/>
    <w:rsid w:val="005D2AC3"/>
    <w:rsid w:val="005D436D"/>
    <w:rsid w:val="005D461E"/>
    <w:rsid w:val="005D5010"/>
    <w:rsid w:val="005D56CE"/>
    <w:rsid w:val="005D5BD2"/>
    <w:rsid w:val="005D64B7"/>
    <w:rsid w:val="005E3F07"/>
    <w:rsid w:val="005E545E"/>
    <w:rsid w:val="005E624D"/>
    <w:rsid w:val="005F30E0"/>
    <w:rsid w:val="005F4FCF"/>
    <w:rsid w:val="00602D81"/>
    <w:rsid w:val="00606A0E"/>
    <w:rsid w:val="00613945"/>
    <w:rsid w:val="00613E7E"/>
    <w:rsid w:val="006155BF"/>
    <w:rsid w:val="00615DA7"/>
    <w:rsid w:val="00616BA6"/>
    <w:rsid w:val="00616DF8"/>
    <w:rsid w:val="00617206"/>
    <w:rsid w:val="00620B48"/>
    <w:rsid w:val="00625594"/>
    <w:rsid w:val="00630AB5"/>
    <w:rsid w:val="00630B17"/>
    <w:rsid w:val="00630BD3"/>
    <w:rsid w:val="0063179D"/>
    <w:rsid w:val="006317A7"/>
    <w:rsid w:val="00633A2C"/>
    <w:rsid w:val="006368CA"/>
    <w:rsid w:val="00637854"/>
    <w:rsid w:val="006378FE"/>
    <w:rsid w:val="0064192F"/>
    <w:rsid w:val="00642784"/>
    <w:rsid w:val="00643A7F"/>
    <w:rsid w:val="00651F37"/>
    <w:rsid w:val="00653A68"/>
    <w:rsid w:val="00653E1E"/>
    <w:rsid w:val="006545A7"/>
    <w:rsid w:val="00654D91"/>
    <w:rsid w:val="006556EB"/>
    <w:rsid w:val="006579DB"/>
    <w:rsid w:val="00661E48"/>
    <w:rsid w:val="00662101"/>
    <w:rsid w:val="0066307E"/>
    <w:rsid w:val="00666C8E"/>
    <w:rsid w:val="00667F38"/>
    <w:rsid w:val="00671500"/>
    <w:rsid w:val="00671E7F"/>
    <w:rsid w:val="00672CDB"/>
    <w:rsid w:val="00673923"/>
    <w:rsid w:val="0067590C"/>
    <w:rsid w:val="00676CE0"/>
    <w:rsid w:val="00677292"/>
    <w:rsid w:val="00680828"/>
    <w:rsid w:val="00680BF9"/>
    <w:rsid w:val="00682D8A"/>
    <w:rsid w:val="006846D2"/>
    <w:rsid w:val="00685AEA"/>
    <w:rsid w:val="0068612A"/>
    <w:rsid w:val="0068682A"/>
    <w:rsid w:val="00691E15"/>
    <w:rsid w:val="00693AEB"/>
    <w:rsid w:val="00693B6F"/>
    <w:rsid w:val="0069458B"/>
    <w:rsid w:val="006946CE"/>
    <w:rsid w:val="00695D07"/>
    <w:rsid w:val="00697A7A"/>
    <w:rsid w:val="006A1B39"/>
    <w:rsid w:val="006A1E0D"/>
    <w:rsid w:val="006A2C6A"/>
    <w:rsid w:val="006A5C86"/>
    <w:rsid w:val="006B2E22"/>
    <w:rsid w:val="006B4B37"/>
    <w:rsid w:val="006B59E3"/>
    <w:rsid w:val="006B60B4"/>
    <w:rsid w:val="006B6843"/>
    <w:rsid w:val="006B6CE0"/>
    <w:rsid w:val="006B73BC"/>
    <w:rsid w:val="006C156E"/>
    <w:rsid w:val="006C19E6"/>
    <w:rsid w:val="006C2526"/>
    <w:rsid w:val="006C2558"/>
    <w:rsid w:val="006C3C61"/>
    <w:rsid w:val="006C4346"/>
    <w:rsid w:val="006C6026"/>
    <w:rsid w:val="006D0098"/>
    <w:rsid w:val="006D0BED"/>
    <w:rsid w:val="006D109C"/>
    <w:rsid w:val="006D43E2"/>
    <w:rsid w:val="006D5228"/>
    <w:rsid w:val="006D59DD"/>
    <w:rsid w:val="006D71A6"/>
    <w:rsid w:val="006E0393"/>
    <w:rsid w:val="006E1B82"/>
    <w:rsid w:val="006E2E2F"/>
    <w:rsid w:val="006E4B0B"/>
    <w:rsid w:val="006E547D"/>
    <w:rsid w:val="006F14EC"/>
    <w:rsid w:val="006F75ED"/>
    <w:rsid w:val="006F7B28"/>
    <w:rsid w:val="007000B1"/>
    <w:rsid w:val="007021A5"/>
    <w:rsid w:val="00702FD9"/>
    <w:rsid w:val="00703C0B"/>
    <w:rsid w:val="00710FF0"/>
    <w:rsid w:val="0071386E"/>
    <w:rsid w:val="00715EEF"/>
    <w:rsid w:val="00717854"/>
    <w:rsid w:val="007263E4"/>
    <w:rsid w:val="00726679"/>
    <w:rsid w:val="007268A1"/>
    <w:rsid w:val="0073011C"/>
    <w:rsid w:val="00732F20"/>
    <w:rsid w:val="00733099"/>
    <w:rsid w:val="00733D51"/>
    <w:rsid w:val="00734B19"/>
    <w:rsid w:val="00734B21"/>
    <w:rsid w:val="00734B36"/>
    <w:rsid w:val="00737689"/>
    <w:rsid w:val="00737BE2"/>
    <w:rsid w:val="00741FD1"/>
    <w:rsid w:val="00742C83"/>
    <w:rsid w:val="007438E4"/>
    <w:rsid w:val="007442BC"/>
    <w:rsid w:val="00745E52"/>
    <w:rsid w:val="007473CF"/>
    <w:rsid w:val="0074742C"/>
    <w:rsid w:val="00752298"/>
    <w:rsid w:val="007524E6"/>
    <w:rsid w:val="007530E2"/>
    <w:rsid w:val="00753549"/>
    <w:rsid w:val="00753BA6"/>
    <w:rsid w:val="007540A2"/>
    <w:rsid w:val="0075481D"/>
    <w:rsid w:val="00755193"/>
    <w:rsid w:val="00756C30"/>
    <w:rsid w:val="007624B0"/>
    <w:rsid w:val="0076281F"/>
    <w:rsid w:val="00765759"/>
    <w:rsid w:val="00767110"/>
    <w:rsid w:val="00770015"/>
    <w:rsid w:val="0077152A"/>
    <w:rsid w:val="007738E3"/>
    <w:rsid w:val="00774B37"/>
    <w:rsid w:val="00775365"/>
    <w:rsid w:val="0077733D"/>
    <w:rsid w:val="00780400"/>
    <w:rsid w:val="007821A8"/>
    <w:rsid w:val="007832E2"/>
    <w:rsid w:val="0078346E"/>
    <w:rsid w:val="00783F47"/>
    <w:rsid w:val="007857D7"/>
    <w:rsid w:val="00785B7C"/>
    <w:rsid w:val="00785DDC"/>
    <w:rsid w:val="00786D28"/>
    <w:rsid w:val="0079192A"/>
    <w:rsid w:val="00792CD2"/>
    <w:rsid w:val="00796058"/>
    <w:rsid w:val="0079617A"/>
    <w:rsid w:val="00797BD6"/>
    <w:rsid w:val="007A12BB"/>
    <w:rsid w:val="007A1585"/>
    <w:rsid w:val="007A395F"/>
    <w:rsid w:val="007A477B"/>
    <w:rsid w:val="007A54C0"/>
    <w:rsid w:val="007A6C7D"/>
    <w:rsid w:val="007B0B7A"/>
    <w:rsid w:val="007B119F"/>
    <w:rsid w:val="007B17D0"/>
    <w:rsid w:val="007B27D9"/>
    <w:rsid w:val="007B45CF"/>
    <w:rsid w:val="007B50CF"/>
    <w:rsid w:val="007B574E"/>
    <w:rsid w:val="007B7533"/>
    <w:rsid w:val="007C0326"/>
    <w:rsid w:val="007C0C2A"/>
    <w:rsid w:val="007C1598"/>
    <w:rsid w:val="007C3359"/>
    <w:rsid w:val="007C3713"/>
    <w:rsid w:val="007C79CC"/>
    <w:rsid w:val="007D096B"/>
    <w:rsid w:val="007D1BAB"/>
    <w:rsid w:val="007D26A9"/>
    <w:rsid w:val="007D2FA7"/>
    <w:rsid w:val="007D382E"/>
    <w:rsid w:val="007D5355"/>
    <w:rsid w:val="007D5502"/>
    <w:rsid w:val="007D75FB"/>
    <w:rsid w:val="007D78FF"/>
    <w:rsid w:val="007E2C2C"/>
    <w:rsid w:val="007E3CA9"/>
    <w:rsid w:val="007E4133"/>
    <w:rsid w:val="007E4A57"/>
    <w:rsid w:val="007F1EE9"/>
    <w:rsid w:val="007F2363"/>
    <w:rsid w:val="007F6C8E"/>
    <w:rsid w:val="007F6FF1"/>
    <w:rsid w:val="00800453"/>
    <w:rsid w:val="008004A5"/>
    <w:rsid w:val="00800592"/>
    <w:rsid w:val="008007ED"/>
    <w:rsid w:val="00802215"/>
    <w:rsid w:val="0080266E"/>
    <w:rsid w:val="00805AB1"/>
    <w:rsid w:val="00805C72"/>
    <w:rsid w:val="00806741"/>
    <w:rsid w:val="00811669"/>
    <w:rsid w:val="00811A42"/>
    <w:rsid w:val="0081327F"/>
    <w:rsid w:val="0081399D"/>
    <w:rsid w:val="008143E7"/>
    <w:rsid w:val="00816215"/>
    <w:rsid w:val="00817F8D"/>
    <w:rsid w:val="008202F1"/>
    <w:rsid w:val="008210EE"/>
    <w:rsid w:val="0082154F"/>
    <w:rsid w:val="008218A4"/>
    <w:rsid w:val="00821B48"/>
    <w:rsid w:val="00822F72"/>
    <w:rsid w:val="00823002"/>
    <w:rsid w:val="0082608E"/>
    <w:rsid w:val="008319C1"/>
    <w:rsid w:val="00831AAA"/>
    <w:rsid w:val="00831E97"/>
    <w:rsid w:val="00832334"/>
    <w:rsid w:val="008403BC"/>
    <w:rsid w:val="008424EB"/>
    <w:rsid w:val="00842882"/>
    <w:rsid w:val="00843AE0"/>
    <w:rsid w:val="00844A4C"/>
    <w:rsid w:val="00845A3A"/>
    <w:rsid w:val="00846AEF"/>
    <w:rsid w:val="00846B3D"/>
    <w:rsid w:val="008471E3"/>
    <w:rsid w:val="0085069F"/>
    <w:rsid w:val="00850CFF"/>
    <w:rsid w:val="00850D7E"/>
    <w:rsid w:val="00850FC8"/>
    <w:rsid w:val="00852396"/>
    <w:rsid w:val="0085409A"/>
    <w:rsid w:val="008561D6"/>
    <w:rsid w:val="00861275"/>
    <w:rsid w:val="0086242D"/>
    <w:rsid w:val="0086267A"/>
    <w:rsid w:val="0086678B"/>
    <w:rsid w:val="00872021"/>
    <w:rsid w:val="00875680"/>
    <w:rsid w:val="00875896"/>
    <w:rsid w:val="00877662"/>
    <w:rsid w:val="00877917"/>
    <w:rsid w:val="008800DA"/>
    <w:rsid w:val="0088371F"/>
    <w:rsid w:val="00883F10"/>
    <w:rsid w:val="0088597C"/>
    <w:rsid w:val="008859E8"/>
    <w:rsid w:val="00885A3A"/>
    <w:rsid w:val="008930FA"/>
    <w:rsid w:val="00894CD7"/>
    <w:rsid w:val="008A3822"/>
    <w:rsid w:val="008A47E0"/>
    <w:rsid w:val="008A6014"/>
    <w:rsid w:val="008B0710"/>
    <w:rsid w:val="008B3061"/>
    <w:rsid w:val="008B43DB"/>
    <w:rsid w:val="008B48E1"/>
    <w:rsid w:val="008C03CC"/>
    <w:rsid w:val="008C0827"/>
    <w:rsid w:val="008C37CC"/>
    <w:rsid w:val="008D078A"/>
    <w:rsid w:val="008D0FCD"/>
    <w:rsid w:val="008D3C56"/>
    <w:rsid w:val="008D43DF"/>
    <w:rsid w:val="008D4435"/>
    <w:rsid w:val="008D60FE"/>
    <w:rsid w:val="008D7ACF"/>
    <w:rsid w:val="008E539D"/>
    <w:rsid w:val="008E5667"/>
    <w:rsid w:val="008E7D7E"/>
    <w:rsid w:val="008E7FC5"/>
    <w:rsid w:val="008F15F9"/>
    <w:rsid w:val="008F1E82"/>
    <w:rsid w:val="008F4951"/>
    <w:rsid w:val="008F6473"/>
    <w:rsid w:val="008F6B96"/>
    <w:rsid w:val="008F7D0E"/>
    <w:rsid w:val="00903A14"/>
    <w:rsid w:val="00910B7A"/>
    <w:rsid w:val="00913367"/>
    <w:rsid w:val="009135B6"/>
    <w:rsid w:val="0091377F"/>
    <w:rsid w:val="00916F86"/>
    <w:rsid w:val="009172CD"/>
    <w:rsid w:val="00923115"/>
    <w:rsid w:val="00924DBD"/>
    <w:rsid w:val="009252AA"/>
    <w:rsid w:val="0092642F"/>
    <w:rsid w:val="009274CC"/>
    <w:rsid w:val="0093102D"/>
    <w:rsid w:val="009326F4"/>
    <w:rsid w:val="009329F6"/>
    <w:rsid w:val="00933023"/>
    <w:rsid w:val="0093321F"/>
    <w:rsid w:val="0093520C"/>
    <w:rsid w:val="00935797"/>
    <w:rsid w:val="009359E6"/>
    <w:rsid w:val="00946DDD"/>
    <w:rsid w:val="00947E92"/>
    <w:rsid w:val="00950F43"/>
    <w:rsid w:val="0095272C"/>
    <w:rsid w:val="00953DD2"/>
    <w:rsid w:val="00955291"/>
    <w:rsid w:val="00957041"/>
    <w:rsid w:val="00960B16"/>
    <w:rsid w:val="00960E43"/>
    <w:rsid w:val="00960E72"/>
    <w:rsid w:val="0096372E"/>
    <w:rsid w:val="00967A97"/>
    <w:rsid w:val="009702D4"/>
    <w:rsid w:val="0097153F"/>
    <w:rsid w:val="00973C53"/>
    <w:rsid w:val="009742EC"/>
    <w:rsid w:val="009764CD"/>
    <w:rsid w:val="00980074"/>
    <w:rsid w:val="00982344"/>
    <w:rsid w:val="009826B3"/>
    <w:rsid w:val="009831DF"/>
    <w:rsid w:val="009843F0"/>
    <w:rsid w:val="00984B60"/>
    <w:rsid w:val="00985969"/>
    <w:rsid w:val="00985A6B"/>
    <w:rsid w:val="00985B80"/>
    <w:rsid w:val="009873AD"/>
    <w:rsid w:val="009900D8"/>
    <w:rsid w:val="009922BE"/>
    <w:rsid w:val="009928D6"/>
    <w:rsid w:val="009939C8"/>
    <w:rsid w:val="00993EEC"/>
    <w:rsid w:val="00995594"/>
    <w:rsid w:val="00996B0F"/>
    <w:rsid w:val="00997097"/>
    <w:rsid w:val="009A09B5"/>
    <w:rsid w:val="009A1A99"/>
    <w:rsid w:val="009A223F"/>
    <w:rsid w:val="009A2777"/>
    <w:rsid w:val="009A5F6B"/>
    <w:rsid w:val="009A73E8"/>
    <w:rsid w:val="009A75B3"/>
    <w:rsid w:val="009B0C73"/>
    <w:rsid w:val="009B1D8E"/>
    <w:rsid w:val="009B6406"/>
    <w:rsid w:val="009B717C"/>
    <w:rsid w:val="009C401D"/>
    <w:rsid w:val="009C5004"/>
    <w:rsid w:val="009C5563"/>
    <w:rsid w:val="009C5F50"/>
    <w:rsid w:val="009C622F"/>
    <w:rsid w:val="009C78B8"/>
    <w:rsid w:val="009D016E"/>
    <w:rsid w:val="009D0801"/>
    <w:rsid w:val="009D1743"/>
    <w:rsid w:val="009D1EDE"/>
    <w:rsid w:val="009D45C7"/>
    <w:rsid w:val="009D4D32"/>
    <w:rsid w:val="009D506A"/>
    <w:rsid w:val="009D525B"/>
    <w:rsid w:val="009D6BCF"/>
    <w:rsid w:val="009D6CE9"/>
    <w:rsid w:val="009D79C6"/>
    <w:rsid w:val="009E17B4"/>
    <w:rsid w:val="009E1B66"/>
    <w:rsid w:val="009E1C2D"/>
    <w:rsid w:val="009E1FBD"/>
    <w:rsid w:val="009E5DED"/>
    <w:rsid w:val="009E687C"/>
    <w:rsid w:val="009E7D5A"/>
    <w:rsid w:val="009F0A86"/>
    <w:rsid w:val="009F0D77"/>
    <w:rsid w:val="009F2DB6"/>
    <w:rsid w:val="009F462B"/>
    <w:rsid w:val="00A00789"/>
    <w:rsid w:val="00A01262"/>
    <w:rsid w:val="00A015FC"/>
    <w:rsid w:val="00A04DAB"/>
    <w:rsid w:val="00A05681"/>
    <w:rsid w:val="00A05FFB"/>
    <w:rsid w:val="00A06525"/>
    <w:rsid w:val="00A102A8"/>
    <w:rsid w:val="00A11788"/>
    <w:rsid w:val="00A1220A"/>
    <w:rsid w:val="00A129D4"/>
    <w:rsid w:val="00A138D8"/>
    <w:rsid w:val="00A14A8E"/>
    <w:rsid w:val="00A16696"/>
    <w:rsid w:val="00A16FE6"/>
    <w:rsid w:val="00A25615"/>
    <w:rsid w:val="00A26B29"/>
    <w:rsid w:val="00A30216"/>
    <w:rsid w:val="00A309F1"/>
    <w:rsid w:val="00A32E11"/>
    <w:rsid w:val="00A3303C"/>
    <w:rsid w:val="00A33401"/>
    <w:rsid w:val="00A33902"/>
    <w:rsid w:val="00A34893"/>
    <w:rsid w:val="00A3594A"/>
    <w:rsid w:val="00A36132"/>
    <w:rsid w:val="00A36AD6"/>
    <w:rsid w:val="00A37571"/>
    <w:rsid w:val="00A400AB"/>
    <w:rsid w:val="00A40438"/>
    <w:rsid w:val="00A43770"/>
    <w:rsid w:val="00A451D6"/>
    <w:rsid w:val="00A45E84"/>
    <w:rsid w:val="00A4704B"/>
    <w:rsid w:val="00A473E2"/>
    <w:rsid w:val="00A50033"/>
    <w:rsid w:val="00A531EB"/>
    <w:rsid w:val="00A5474B"/>
    <w:rsid w:val="00A568BF"/>
    <w:rsid w:val="00A62187"/>
    <w:rsid w:val="00A63B57"/>
    <w:rsid w:val="00A64B57"/>
    <w:rsid w:val="00A65C27"/>
    <w:rsid w:val="00A70643"/>
    <w:rsid w:val="00A70FC4"/>
    <w:rsid w:val="00A71B58"/>
    <w:rsid w:val="00A71FC2"/>
    <w:rsid w:val="00A7271D"/>
    <w:rsid w:val="00A774F8"/>
    <w:rsid w:val="00A823AE"/>
    <w:rsid w:val="00A829DB"/>
    <w:rsid w:val="00A82B01"/>
    <w:rsid w:val="00A847C2"/>
    <w:rsid w:val="00A86ABD"/>
    <w:rsid w:val="00A86CD4"/>
    <w:rsid w:val="00A875EF"/>
    <w:rsid w:val="00A879A3"/>
    <w:rsid w:val="00A87F05"/>
    <w:rsid w:val="00A91FA8"/>
    <w:rsid w:val="00A93BB1"/>
    <w:rsid w:val="00A97468"/>
    <w:rsid w:val="00A9792D"/>
    <w:rsid w:val="00AA2AB0"/>
    <w:rsid w:val="00AA551D"/>
    <w:rsid w:val="00AA6831"/>
    <w:rsid w:val="00AA738D"/>
    <w:rsid w:val="00AA7E12"/>
    <w:rsid w:val="00AB4BEE"/>
    <w:rsid w:val="00AB4F98"/>
    <w:rsid w:val="00AC004E"/>
    <w:rsid w:val="00AC0CFD"/>
    <w:rsid w:val="00AC1B41"/>
    <w:rsid w:val="00AC2790"/>
    <w:rsid w:val="00AC488E"/>
    <w:rsid w:val="00AC5A9B"/>
    <w:rsid w:val="00AC718E"/>
    <w:rsid w:val="00AD0112"/>
    <w:rsid w:val="00AD013D"/>
    <w:rsid w:val="00AD0DF4"/>
    <w:rsid w:val="00AD2729"/>
    <w:rsid w:val="00AD29DF"/>
    <w:rsid w:val="00AD350A"/>
    <w:rsid w:val="00AD4D68"/>
    <w:rsid w:val="00AE2781"/>
    <w:rsid w:val="00AE3D24"/>
    <w:rsid w:val="00AE49E2"/>
    <w:rsid w:val="00AE66C0"/>
    <w:rsid w:val="00AF035F"/>
    <w:rsid w:val="00AF0DAB"/>
    <w:rsid w:val="00AF4A67"/>
    <w:rsid w:val="00AF4E6A"/>
    <w:rsid w:val="00AF5473"/>
    <w:rsid w:val="00AF5DD7"/>
    <w:rsid w:val="00B016A5"/>
    <w:rsid w:val="00B01DBB"/>
    <w:rsid w:val="00B02D71"/>
    <w:rsid w:val="00B04BB8"/>
    <w:rsid w:val="00B05CED"/>
    <w:rsid w:val="00B077E6"/>
    <w:rsid w:val="00B110D0"/>
    <w:rsid w:val="00B12321"/>
    <w:rsid w:val="00B124C8"/>
    <w:rsid w:val="00B12F16"/>
    <w:rsid w:val="00B13A45"/>
    <w:rsid w:val="00B14D37"/>
    <w:rsid w:val="00B14E2D"/>
    <w:rsid w:val="00B15065"/>
    <w:rsid w:val="00B150D5"/>
    <w:rsid w:val="00B15346"/>
    <w:rsid w:val="00B16168"/>
    <w:rsid w:val="00B17FBE"/>
    <w:rsid w:val="00B20790"/>
    <w:rsid w:val="00B24841"/>
    <w:rsid w:val="00B33F71"/>
    <w:rsid w:val="00B35B6C"/>
    <w:rsid w:val="00B41B49"/>
    <w:rsid w:val="00B43236"/>
    <w:rsid w:val="00B44620"/>
    <w:rsid w:val="00B462C0"/>
    <w:rsid w:val="00B52DDE"/>
    <w:rsid w:val="00B530E8"/>
    <w:rsid w:val="00B53E86"/>
    <w:rsid w:val="00B557D8"/>
    <w:rsid w:val="00B6191F"/>
    <w:rsid w:val="00B61FC3"/>
    <w:rsid w:val="00B622AE"/>
    <w:rsid w:val="00B63B08"/>
    <w:rsid w:val="00B67948"/>
    <w:rsid w:val="00B70B43"/>
    <w:rsid w:val="00B7126D"/>
    <w:rsid w:val="00B7680E"/>
    <w:rsid w:val="00B80A04"/>
    <w:rsid w:val="00B81E57"/>
    <w:rsid w:val="00B8299B"/>
    <w:rsid w:val="00B82CD8"/>
    <w:rsid w:val="00B84484"/>
    <w:rsid w:val="00B9164B"/>
    <w:rsid w:val="00B924CE"/>
    <w:rsid w:val="00B927B4"/>
    <w:rsid w:val="00B949B2"/>
    <w:rsid w:val="00B96053"/>
    <w:rsid w:val="00B96987"/>
    <w:rsid w:val="00BA06B7"/>
    <w:rsid w:val="00BA1BF0"/>
    <w:rsid w:val="00BA38EB"/>
    <w:rsid w:val="00BA3DA2"/>
    <w:rsid w:val="00BA5BE7"/>
    <w:rsid w:val="00BA7EEF"/>
    <w:rsid w:val="00BB105B"/>
    <w:rsid w:val="00BB1079"/>
    <w:rsid w:val="00BB14D3"/>
    <w:rsid w:val="00BB170C"/>
    <w:rsid w:val="00BB290C"/>
    <w:rsid w:val="00BC0C99"/>
    <w:rsid w:val="00BC148B"/>
    <w:rsid w:val="00BC521C"/>
    <w:rsid w:val="00BC58C0"/>
    <w:rsid w:val="00BC6FB7"/>
    <w:rsid w:val="00BC727E"/>
    <w:rsid w:val="00BC7363"/>
    <w:rsid w:val="00BC7CEC"/>
    <w:rsid w:val="00BD2DCB"/>
    <w:rsid w:val="00BD4BB8"/>
    <w:rsid w:val="00BD5BF3"/>
    <w:rsid w:val="00BD645E"/>
    <w:rsid w:val="00BE0E44"/>
    <w:rsid w:val="00BE0F10"/>
    <w:rsid w:val="00BE1439"/>
    <w:rsid w:val="00BE285B"/>
    <w:rsid w:val="00BE40A2"/>
    <w:rsid w:val="00BE48E6"/>
    <w:rsid w:val="00BE602D"/>
    <w:rsid w:val="00BE7793"/>
    <w:rsid w:val="00BE7D8B"/>
    <w:rsid w:val="00BF0848"/>
    <w:rsid w:val="00BF19DF"/>
    <w:rsid w:val="00BF27D0"/>
    <w:rsid w:val="00BF796F"/>
    <w:rsid w:val="00C01237"/>
    <w:rsid w:val="00C01C76"/>
    <w:rsid w:val="00C02BF8"/>
    <w:rsid w:val="00C06ACB"/>
    <w:rsid w:val="00C11FD0"/>
    <w:rsid w:val="00C12126"/>
    <w:rsid w:val="00C13DC3"/>
    <w:rsid w:val="00C1717B"/>
    <w:rsid w:val="00C27E6E"/>
    <w:rsid w:val="00C3039D"/>
    <w:rsid w:val="00C30D8F"/>
    <w:rsid w:val="00C31234"/>
    <w:rsid w:val="00C326B5"/>
    <w:rsid w:val="00C327FF"/>
    <w:rsid w:val="00C32D0C"/>
    <w:rsid w:val="00C32F48"/>
    <w:rsid w:val="00C37BA0"/>
    <w:rsid w:val="00C40522"/>
    <w:rsid w:val="00C41887"/>
    <w:rsid w:val="00C41A1A"/>
    <w:rsid w:val="00C41C16"/>
    <w:rsid w:val="00C460CB"/>
    <w:rsid w:val="00C466A9"/>
    <w:rsid w:val="00C473CA"/>
    <w:rsid w:val="00C52DE3"/>
    <w:rsid w:val="00C54165"/>
    <w:rsid w:val="00C60335"/>
    <w:rsid w:val="00C60374"/>
    <w:rsid w:val="00C613A5"/>
    <w:rsid w:val="00C61A21"/>
    <w:rsid w:val="00C6204A"/>
    <w:rsid w:val="00C64874"/>
    <w:rsid w:val="00C66815"/>
    <w:rsid w:val="00C671F8"/>
    <w:rsid w:val="00C67C27"/>
    <w:rsid w:val="00C73260"/>
    <w:rsid w:val="00C73318"/>
    <w:rsid w:val="00C73532"/>
    <w:rsid w:val="00C73B17"/>
    <w:rsid w:val="00C7605E"/>
    <w:rsid w:val="00C762BD"/>
    <w:rsid w:val="00C872EB"/>
    <w:rsid w:val="00C874C6"/>
    <w:rsid w:val="00C90E3E"/>
    <w:rsid w:val="00C919F6"/>
    <w:rsid w:val="00C93219"/>
    <w:rsid w:val="00C937E1"/>
    <w:rsid w:val="00C9551A"/>
    <w:rsid w:val="00C957F1"/>
    <w:rsid w:val="00C978BF"/>
    <w:rsid w:val="00CA2746"/>
    <w:rsid w:val="00CA2856"/>
    <w:rsid w:val="00CA2C5E"/>
    <w:rsid w:val="00CB0176"/>
    <w:rsid w:val="00CB469F"/>
    <w:rsid w:val="00CB4B9B"/>
    <w:rsid w:val="00CB7329"/>
    <w:rsid w:val="00CC30E2"/>
    <w:rsid w:val="00CC392D"/>
    <w:rsid w:val="00CC474C"/>
    <w:rsid w:val="00CC484D"/>
    <w:rsid w:val="00CC4EEA"/>
    <w:rsid w:val="00CC533A"/>
    <w:rsid w:val="00CC6948"/>
    <w:rsid w:val="00CC73C4"/>
    <w:rsid w:val="00CD02A0"/>
    <w:rsid w:val="00CD2F4F"/>
    <w:rsid w:val="00CD3864"/>
    <w:rsid w:val="00CD7F5D"/>
    <w:rsid w:val="00CE5E76"/>
    <w:rsid w:val="00CE605A"/>
    <w:rsid w:val="00CE65BF"/>
    <w:rsid w:val="00CF3223"/>
    <w:rsid w:val="00CF480E"/>
    <w:rsid w:val="00CF77CE"/>
    <w:rsid w:val="00D01DA1"/>
    <w:rsid w:val="00D02399"/>
    <w:rsid w:val="00D030FC"/>
    <w:rsid w:val="00D05A44"/>
    <w:rsid w:val="00D138D9"/>
    <w:rsid w:val="00D1391E"/>
    <w:rsid w:val="00D139BF"/>
    <w:rsid w:val="00D13BDC"/>
    <w:rsid w:val="00D154EA"/>
    <w:rsid w:val="00D165DB"/>
    <w:rsid w:val="00D20A76"/>
    <w:rsid w:val="00D21A07"/>
    <w:rsid w:val="00D21C9A"/>
    <w:rsid w:val="00D22609"/>
    <w:rsid w:val="00D2368B"/>
    <w:rsid w:val="00D2497B"/>
    <w:rsid w:val="00D26639"/>
    <w:rsid w:val="00D32A9B"/>
    <w:rsid w:val="00D40CF2"/>
    <w:rsid w:val="00D419DC"/>
    <w:rsid w:val="00D47919"/>
    <w:rsid w:val="00D51E0C"/>
    <w:rsid w:val="00D52B20"/>
    <w:rsid w:val="00D53932"/>
    <w:rsid w:val="00D545A4"/>
    <w:rsid w:val="00D55D42"/>
    <w:rsid w:val="00D569C4"/>
    <w:rsid w:val="00D56F47"/>
    <w:rsid w:val="00D574D0"/>
    <w:rsid w:val="00D57E83"/>
    <w:rsid w:val="00D607AE"/>
    <w:rsid w:val="00D6143B"/>
    <w:rsid w:val="00D6196D"/>
    <w:rsid w:val="00D62001"/>
    <w:rsid w:val="00D66D18"/>
    <w:rsid w:val="00D67B75"/>
    <w:rsid w:val="00D72419"/>
    <w:rsid w:val="00D751D5"/>
    <w:rsid w:val="00D8342B"/>
    <w:rsid w:val="00D838F0"/>
    <w:rsid w:val="00D84DA5"/>
    <w:rsid w:val="00D859EE"/>
    <w:rsid w:val="00D85DD1"/>
    <w:rsid w:val="00D94445"/>
    <w:rsid w:val="00D97411"/>
    <w:rsid w:val="00DA1A10"/>
    <w:rsid w:val="00DA3434"/>
    <w:rsid w:val="00DA3C61"/>
    <w:rsid w:val="00DA58CC"/>
    <w:rsid w:val="00DA755C"/>
    <w:rsid w:val="00DB0DB4"/>
    <w:rsid w:val="00DB15A7"/>
    <w:rsid w:val="00DB4D59"/>
    <w:rsid w:val="00DC03BE"/>
    <w:rsid w:val="00DC37AC"/>
    <w:rsid w:val="00DC6D4D"/>
    <w:rsid w:val="00DC7359"/>
    <w:rsid w:val="00DD0C20"/>
    <w:rsid w:val="00DD0E76"/>
    <w:rsid w:val="00DD3844"/>
    <w:rsid w:val="00DE08C8"/>
    <w:rsid w:val="00DE2F2A"/>
    <w:rsid w:val="00DE7978"/>
    <w:rsid w:val="00DE7DC8"/>
    <w:rsid w:val="00DF085E"/>
    <w:rsid w:val="00DF2A79"/>
    <w:rsid w:val="00DF4676"/>
    <w:rsid w:val="00DF5651"/>
    <w:rsid w:val="00DF5AC1"/>
    <w:rsid w:val="00DF6F8D"/>
    <w:rsid w:val="00DF756C"/>
    <w:rsid w:val="00E00B20"/>
    <w:rsid w:val="00E00C1F"/>
    <w:rsid w:val="00E012C6"/>
    <w:rsid w:val="00E04187"/>
    <w:rsid w:val="00E059B8"/>
    <w:rsid w:val="00E05A55"/>
    <w:rsid w:val="00E06913"/>
    <w:rsid w:val="00E07459"/>
    <w:rsid w:val="00E07C44"/>
    <w:rsid w:val="00E106CC"/>
    <w:rsid w:val="00E11812"/>
    <w:rsid w:val="00E11A11"/>
    <w:rsid w:val="00E11AC4"/>
    <w:rsid w:val="00E11D9D"/>
    <w:rsid w:val="00E153D3"/>
    <w:rsid w:val="00E17ECD"/>
    <w:rsid w:val="00E20776"/>
    <w:rsid w:val="00E23422"/>
    <w:rsid w:val="00E23548"/>
    <w:rsid w:val="00E25721"/>
    <w:rsid w:val="00E276B7"/>
    <w:rsid w:val="00E316A3"/>
    <w:rsid w:val="00E32919"/>
    <w:rsid w:val="00E3426B"/>
    <w:rsid w:val="00E359B8"/>
    <w:rsid w:val="00E41397"/>
    <w:rsid w:val="00E41420"/>
    <w:rsid w:val="00E47B4C"/>
    <w:rsid w:val="00E50345"/>
    <w:rsid w:val="00E550E6"/>
    <w:rsid w:val="00E56855"/>
    <w:rsid w:val="00E60426"/>
    <w:rsid w:val="00E61004"/>
    <w:rsid w:val="00E62F68"/>
    <w:rsid w:val="00E63579"/>
    <w:rsid w:val="00E66108"/>
    <w:rsid w:val="00E66C39"/>
    <w:rsid w:val="00E70FE8"/>
    <w:rsid w:val="00E74B2E"/>
    <w:rsid w:val="00E769DA"/>
    <w:rsid w:val="00E778C2"/>
    <w:rsid w:val="00E809E3"/>
    <w:rsid w:val="00E81B96"/>
    <w:rsid w:val="00E83772"/>
    <w:rsid w:val="00E855A5"/>
    <w:rsid w:val="00E8587C"/>
    <w:rsid w:val="00E85C5C"/>
    <w:rsid w:val="00E85EE6"/>
    <w:rsid w:val="00E924AA"/>
    <w:rsid w:val="00E9630E"/>
    <w:rsid w:val="00E96763"/>
    <w:rsid w:val="00E97FD2"/>
    <w:rsid w:val="00EA001F"/>
    <w:rsid w:val="00EA0D3E"/>
    <w:rsid w:val="00EA3081"/>
    <w:rsid w:val="00EA4229"/>
    <w:rsid w:val="00EA65EA"/>
    <w:rsid w:val="00EB22C1"/>
    <w:rsid w:val="00EB49B2"/>
    <w:rsid w:val="00EB4CF9"/>
    <w:rsid w:val="00EB6FAA"/>
    <w:rsid w:val="00EB7A64"/>
    <w:rsid w:val="00EC07B0"/>
    <w:rsid w:val="00EC0E89"/>
    <w:rsid w:val="00EC2267"/>
    <w:rsid w:val="00EC2B3C"/>
    <w:rsid w:val="00EC3096"/>
    <w:rsid w:val="00EC5B21"/>
    <w:rsid w:val="00EC61AB"/>
    <w:rsid w:val="00ED0481"/>
    <w:rsid w:val="00ED3DA4"/>
    <w:rsid w:val="00ED610A"/>
    <w:rsid w:val="00ED75BD"/>
    <w:rsid w:val="00EE181D"/>
    <w:rsid w:val="00EE40D3"/>
    <w:rsid w:val="00EE42B5"/>
    <w:rsid w:val="00EE5CDB"/>
    <w:rsid w:val="00EE633C"/>
    <w:rsid w:val="00EE6C2E"/>
    <w:rsid w:val="00EE7520"/>
    <w:rsid w:val="00EE766F"/>
    <w:rsid w:val="00EE7A69"/>
    <w:rsid w:val="00EF324E"/>
    <w:rsid w:val="00EF4897"/>
    <w:rsid w:val="00EF6998"/>
    <w:rsid w:val="00F00344"/>
    <w:rsid w:val="00F02294"/>
    <w:rsid w:val="00F0298A"/>
    <w:rsid w:val="00F05884"/>
    <w:rsid w:val="00F05F78"/>
    <w:rsid w:val="00F06A17"/>
    <w:rsid w:val="00F07A5E"/>
    <w:rsid w:val="00F10BA1"/>
    <w:rsid w:val="00F121E2"/>
    <w:rsid w:val="00F127E6"/>
    <w:rsid w:val="00F14EDA"/>
    <w:rsid w:val="00F17881"/>
    <w:rsid w:val="00F21081"/>
    <w:rsid w:val="00F2204D"/>
    <w:rsid w:val="00F232A7"/>
    <w:rsid w:val="00F23312"/>
    <w:rsid w:val="00F2493A"/>
    <w:rsid w:val="00F250D1"/>
    <w:rsid w:val="00F25359"/>
    <w:rsid w:val="00F2575C"/>
    <w:rsid w:val="00F2596F"/>
    <w:rsid w:val="00F32ACD"/>
    <w:rsid w:val="00F36031"/>
    <w:rsid w:val="00F40E05"/>
    <w:rsid w:val="00F40E33"/>
    <w:rsid w:val="00F42C20"/>
    <w:rsid w:val="00F42F03"/>
    <w:rsid w:val="00F4315B"/>
    <w:rsid w:val="00F435CB"/>
    <w:rsid w:val="00F45041"/>
    <w:rsid w:val="00F50802"/>
    <w:rsid w:val="00F51449"/>
    <w:rsid w:val="00F51E00"/>
    <w:rsid w:val="00F52BDE"/>
    <w:rsid w:val="00F54797"/>
    <w:rsid w:val="00F55D41"/>
    <w:rsid w:val="00F56F7E"/>
    <w:rsid w:val="00F5752F"/>
    <w:rsid w:val="00F61782"/>
    <w:rsid w:val="00F62674"/>
    <w:rsid w:val="00F628D1"/>
    <w:rsid w:val="00F6573B"/>
    <w:rsid w:val="00F67AB3"/>
    <w:rsid w:val="00F67B02"/>
    <w:rsid w:val="00F67D22"/>
    <w:rsid w:val="00F712B6"/>
    <w:rsid w:val="00F71F1A"/>
    <w:rsid w:val="00F72623"/>
    <w:rsid w:val="00F72955"/>
    <w:rsid w:val="00F76F17"/>
    <w:rsid w:val="00F77598"/>
    <w:rsid w:val="00F77796"/>
    <w:rsid w:val="00F77DCA"/>
    <w:rsid w:val="00F829A1"/>
    <w:rsid w:val="00F847D3"/>
    <w:rsid w:val="00F87049"/>
    <w:rsid w:val="00F87097"/>
    <w:rsid w:val="00F8726F"/>
    <w:rsid w:val="00F922A1"/>
    <w:rsid w:val="00F93F27"/>
    <w:rsid w:val="00F95340"/>
    <w:rsid w:val="00F95D45"/>
    <w:rsid w:val="00F96BAE"/>
    <w:rsid w:val="00F97AD0"/>
    <w:rsid w:val="00F97D50"/>
    <w:rsid w:val="00F97E45"/>
    <w:rsid w:val="00FA1B0E"/>
    <w:rsid w:val="00FA301A"/>
    <w:rsid w:val="00FA4182"/>
    <w:rsid w:val="00FA4D3E"/>
    <w:rsid w:val="00FA4E93"/>
    <w:rsid w:val="00FA71CB"/>
    <w:rsid w:val="00FA73BB"/>
    <w:rsid w:val="00FB2681"/>
    <w:rsid w:val="00FB2D53"/>
    <w:rsid w:val="00FB6EA8"/>
    <w:rsid w:val="00FC00B6"/>
    <w:rsid w:val="00FC4117"/>
    <w:rsid w:val="00FC4195"/>
    <w:rsid w:val="00FC63EA"/>
    <w:rsid w:val="00FD069A"/>
    <w:rsid w:val="00FD3253"/>
    <w:rsid w:val="00FD36C3"/>
    <w:rsid w:val="00FD38A8"/>
    <w:rsid w:val="00FD7A50"/>
    <w:rsid w:val="00FE02A9"/>
    <w:rsid w:val="00FE5A70"/>
    <w:rsid w:val="00FE5F38"/>
    <w:rsid w:val="00FE6515"/>
    <w:rsid w:val="00FE7B15"/>
    <w:rsid w:val="00FF2029"/>
    <w:rsid w:val="00FF386C"/>
    <w:rsid w:val="00FF498E"/>
    <w:rsid w:val="00FF4AED"/>
    <w:rsid w:val="00FF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8B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hidden/>
    <w:qFormat/>
    <w:rsid w:val="00AC1B41"/>
    <w:pPr>
      <w:spacing w:after="200" w:line="276" w:lineRule="auto"/>
    </w:pPr>
    <w:rPr>
      <w:sz w:val="22"/>
      <w:szCs w:val="22"/>
      <w:lang w:val="en-US" w:eastAsia="en-US"/>
    </w:rPr>
  </w:style>
  <w:style w:type="paragraph" w:styleId="Heading1">
    <w:name w:val="heading 1"/>
    <w:basedOn w:val="NoSpacing"/>
    <w:next w:val="Normal"/>
    <w:link w:val="Heading1Char"/>
    <w:uiPriority w:val="9"/>
    <w:qFormat/>
    <w:rsid w:val="00F67D22"/>
    <w:pPr>
      <w:numPr>
        <w:numId w:val="2"/>
      </w:numPr>
      <w:pBdr>
        <w:top w:val="single" w:sz="4" w:space="0" w:color="auto"/>
        <w:left w:val="single" w:sz="4" w:space="4" w:color="auto"/>
        <w:bottom w:val="single" w:sz="4" w:space="1" w:color="auto"/>
        <w:right w:val="single" w:sz="4" w:space="4" w:color="auto"/>
      </w:pBdr>
      <w:shd w:val="clear" w:color="auto" w:fill="8DB3E2"/>
      <w:outlineLvl w:val="0"/>
    </w:pPr>
    <w:rPr>
      <w:rFonts w:ascii="Arial" w:hAnsi="Arial"/>
      <w:b/>
      <w:sz w:val="24"/>
      <w:szCs w:val="24"/>
      <w:lang w:val="en-GB"/>
    </w:rPr>
  </w:style>
  <w:style w:type="paragraph" w:styleId="Heading2">
    <w:name w:val="heading 2"/>
    <w:next w:val="Normal"/>
    <w:link w:val="Heading2Char"/>
    <w:uiPriority w:val="9"/>
    <w:qFormat/>
    <w:rsid w:val="00AC1B41"/>
    <w:pPr>
      <w:numPr>
        <w:ilvl w:val="1"/>
        <w:numId w:val="2"/>
      </w:numPr>
      <w:outlineLvl w:val="1"/>
    </w:pPr>
    <w:rPr>
      <w:rFonts w:ascii="Arial" w:hAnsi="Arial"/>
      <w:b/>
      <w:sz w:val="24"/>
      <w:szCs w:val="24"/>
      <w:lang w:val="en-US" w:eastAsia="en-US"/>
    </w:rPr>
  </w:style>
  <w:style w:type="paragraph" w:styleId="Heading3">
    <w:name w:val="heading 3"/>
    <w:next w:val="Normal"/>
    <w:link w:val="Heading3Char"/>
    <w:uiPriority w:val="9"/>
    <w:qFormat/>
    <w:rsid w:val="00AC1B41"/>
    <w:pPr>
      <w:numPr>
        <w:ilvl w:val="2"/>
        <w:numId w:val="2"/>
      </w:numPr>
      <w:outlineLvl w:val="2"/>
    </w:pPr>
    <w:rPr>
      <w:rFonts w:ascii="Arial" w:hAnsi="Arial"/>
      <w:sz w:val="24"/>
      <w:szCs w:val="24"/>
      <w:u w:val="single"/>
      <w:lang w:val="en-US" w:eastAsia="en-US"/>
    </w:rPr>
  </w:style>
  <w:style w:type="paragraph" w:styleId="Heading4">
    <w:name w:val="heading 4"/>
    <w:next w:val="Normal"/>
    <w:link w:val="Heading4Char"/>
    <w:uiPriority w:val="9"/>
    <w:qFormat/>
    <w:rsid w:val="00AC1B41"/>
    <w:pPr>
      <w:numPr>
        <w:ilvl w:val="3"/>
        <w:numId w:val="2"/>
      </w:numPr>
      <w:outlineLvl w:val="3"/>
    </w:pPr>
    <w:rPr>
      <w:rFonts w:ascii="Arial" w:hAnsi="Arial"/>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1F"/>
    <w:rPr>
      <w:sz w:val="22"/>
      <w:szCs w:val="22"/>
      <w:lang w:val="en-US" w:eastAsia="en-US"/>
    </w:rPr>
  </w:style>
  <w:style w:type="paragraph" w:styleId="FootnoteText">
    <w:name w:val="footnote text"/>
    <w:basedOn w:val="Normal"/>
    <w:link w:val="FootnoteTextChar"/>
    <w:uiPriority w:val="99"/>
    <w:unhideWhenUsed/>
    <w:rsid w:val="008143E7"/>
    <w:pPr>
      <w:spacing w:after="0" w:line="240" w:lineRule="auto"/>
    </w:pPr>
    <w:rPr>
      <w:rFonts w:ascii="Cambria" w:eastAsia="Cambria" w:hAnsi="Cambria"/>
      <w:noProof/>
      <w:sz w:val="24"/>
      <w:szCs w:val="24"/>
      <w:lang w:val="x-none" w:eastAsia="x-none"/>
    </w:rPr>
  </w:style>
  <w:style w:type="character" w:customStyle="1" w:styleId="FootnoteTextChar">
    <w:name w:val="Footnote Text Char"/>
    <w:link w:val="FootnoteText"/>
    <w:uiPriority w:val="99"/>
    <w:rsid w:val="008143E7"/>
    <w:rPr>
      <w:rFonts w:ascii="Cambria" w:eastAsia="Cambria" w:hAnsi="Cambria"/>
      <w:noProof/>
      <w:sz w:val="24"/>
      <w:szCs w:val="24"/>
    </w:rPr>
  </w:style>
  <w:style w:type="character" w:styleId="FootnoteReference">
    <w:name w:val="footnote reference"/>
    <w:aliases w:val="4_G"/>
    <w:unhideWhenUsed/>
    <w:rsid w:val="008143E7"/>
    <w:rPr>
      <w:vertAlign w:val="superscript"/>
    </w:rPr>
  </w:style>
  <w:style w:type="paragraph" w:styleId="NormalWeb">
    <w:name w:val="Normal (Web)"/>
    <w:basedOn w:val="Normal"/>
    <w:unhideWhenUsed/>
    <w:rsid w:val="008143E7"/>
    <w:pPr>
      <w:spacing w:before="100" w:beforeAutospacing="1" w:after="100" w:afterAutospacing="1" w:line="240" w:lineRule="auto"/>
    </w:pPr>
    <w:rPr>
      <w:rFonts w:ascii="Verdana" w:eastAsia="Times New Roman" w:hAnsi="Verdana"/>
      <w:noProof/>
      <w:sz w:val="24"/>
      <w:szCs w:val="24"/>
    </w:rPr>
  </w:style>
  <w:style w:type="paragraph" w:styleId="BodyText2">
    <w:name w:val="Body Text 2"/>
    <w:basedOn w:val="Normal"/>
    <w:link w:val="BodyText2Char"/>
    <w:semiHidden/>
    <w:rsid w:val="008143E7"/>
    <w:pPr>
      <w:autoSpaceDE w:val="0"/>
      <w:autoSpaceDN w:val="0"/>
      <w:adjustRightInd w:val="0"/>
      <w:spacing w:after="0" w:line="240" w:lineRule="auto"/>
    </w:pPr>
    <w:rPr>
      <w:rFonts w:ascii="Times New Roman" w:eastAsia="Times New Roman" w:hAnsi="Times New Roman"/>
      <w:b/>
      <w:bCs/>
      <w:noProof/>
      <w:sz w:val="24"/>
      <w:szCs w:val="24"/>
      <w:lang w:val="x-none" w:eastAsia="x-none"/>
    </w:rPr>
  </w:style>
  <w:style w:type="character" w:customStyle="1" w:styleId="BodyText2Char">
    <w:name w:val="Body Text 2 Char"/>
    <w:link w:val="BodyText2"/>
    <w:semiHidden/>
    <w:rsid w:val="008143E7"/>
    <w:rPr>
      <w:rFonts w:ascii="Times New Roman" w:eastAsia="Times New Roman" w:hAnsi="Times New Roman"/>
      <w:b/>
      <w:bCs/>
      <w:noProof/>
      <w:sz w:val="24"/>
      <w:szCs w:val="24"/>
    </w:rPr>
  </w:style>
  <w:style w:type="paragraph" w:styleId="Header">
    <w:name w:val="header"/>
    <w:basedOn w:val="Normal"/>
    <w:link w:val="HeaderChar"/>
    <w:uiPriority w:val="99"/>
    <w:unhideWhenUsed/>
    <w:qFormat/>
    <w:rsid w:val="00130F81"/>
    <w:pPr>
      <w:tabs>
        <w:tab w:val="center" w:pos="4680"/>
        <w:tab w:val="right" w:pos="9360"/>
      </w:tabs>
    </w:pPr>
    <w:rPr>
      <w:lang w:val="x-none" w:eastAsia="x-none"/>
    </w:rPr>
  </w:style>
  <w:style w:type="character" w:customStyle="1" w:styleId="HeaderChar">
    <w:name w:val="Header Char"/>
    <w:link w:val="Header"/>
    <w:uiPriority w:val="99"/>
    <w:rsid w:val="00130F81"/>
    <w:rPr>
      <w:sz w:val="22"/>
      <w:szCs w:val="22"/>
    </w:rPr>
  </w:style>
  <w:style w:type="paragraph" w:styleId="Footer">
    <w:name w:val="footer"/>
    <w:basedOn w:val="Normal"/>
    <w:link w:val="FooterChar"/>
    <w:uiPriority w:val="99"/>
    <w:unhideWhenUsed/>
    <w:rsid w:val="00130F81"/>
    <w:pPr>
      <w:tabs>
        <w:tab w:val="center" w:pos="4680"/>
        <w:tab w:val="right" w:pos="9360"/>
      </w:tabs>
    </w:pPr>
    <w:rPr>
      <w:lang w:val="x-none" w:eastAsia="x-none"/>
    </w:rPr>
  </w:style>
  <w:style w:type="character" w:customStyle="1" w:styleId="FooterChar">
    <w:name w:val="Footer Char"/>
    <w:link w:val="Footer"/>
    <w:uiPriority w:val="99"/>
    <w:rsid w:val="00130F81"/>
    <w:rPr>
      <w:sz w:val="22"/>
      <w:szCs w:val="22"/>
    </w:rPr>
  </w:style>
  <w:style w:type="character" w:styleId="Hyperlink">
    <w:name w:val="Hyperlink"/>
    <w:uiPriority w:val="99"/>
    <w:unhideWhenUsed/>
    <w:rsid w:val="00FA301A"/>
    <w:rPr>
      <w:color w:val="0000FF"/>
      <w:u w:val="single"/>
    </w:rPr>
  </w:style>
  <w:style w:type="paragraph" w:styleId="BalloonText">
    <w:name w:val="Balloon Text"/>
    <w:basedOn w:val="Normal"/>
    <w:link w:val="BalloonTextChar"/>
    <w:uiPriority w:val="99"/>
    <w:semiHidden/>
    <w:unhideWhenUsed/>
    <w:rsid w:val="006579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579DB"/>
    <w:rPr>
      <w:rFonts w:ascii="Tahoma" w:hAnsi="Tahoma" w:cs="Tahoma"/>
      <w:sz w:val="16"/>
      <w:szCs w:val="16"/>
    </w:rPr>
  </w:style>
  <w:style w:type="character" w:styleId="FollowedHyperlink">
    <w:name w:val="FollowedHyperlink"/>
    <w:uiPriority w:val="99"/>
    <w:semiHidden/>
    <w:unhideWhenUsed/>
    <w:rsid w:val="00E32919"/>
    <w:rPr>
      <w:color w:val="800080"/>
      <w:u w:val="single"/>
    </w:rPr>
  </w:style>
  <w:style w:type="table" w:styleId="TableGrid">
    <w:name w:val="Table Grid"/>
    <w:basedOn w:val="TableNormal"/>
    <w:rsid w:val="00767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F67D22"/>
    <w:rPr>
      <w:rFonts w:ascii="Arial" w:hAnsi="Arial"/>
      <w:b/>
      <w:sz w:val="24"/>
      <w:szCs w:val="24"/>
      <w:shd w:val="clear" w:color="auto" w:fill="8DB3E2"/>
      <w:lang w:eastAsia="en-US"/>
    </w:rPr>
  </w:style>
  <w:style w:type="paragraph" w:styleId="TOCHeading">
    <w:name w:val="TOC Heading"/>
    <w:basedOn w:val="Heading1"/>
    <w:next w:val="Normal"/>
    <w:uiPriority w:val="39"/>
    <w:unhideWhenUsed/>
    <w:qFormat/>
    <w:rsid w:val="00B43236"/>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Times New Roman" w:hAnsi="Cambria"/>
      <w:bCs/>
      <w:color w:val="365F91"/>
      <w:sz w:val="28"/>
      <w:szCs w:val="28"/>
      <w:lang w:val="fr-FR"/>
    </w:rPr>
  </w:style>
  <w:style w:type="paragraph" w:styleId="TOC1">
    <w:name w:val="toc 1"/>
    <w:basedOn w:val="Normal"/>
    <w:next w:val="Normal"/>
    <w:autoRedefine/>
    <w:uiPriority w:val="39"/>
    <w:unhideWhenUsed/>
    <w:rsid w:val="00960E72"/>
    <w:pPr>
      <w:spacing w:before="120" w:after="0"/>
    </w:pPr>
    <w:rPr>
      <w:rFonts w:asciiTheme="minorHAnsi" w:hAnsiTheme="minorHAnsi"/>
      <w:b/>
      <w:bCs/>
      <w:sz w:val="24"/>
      <w:szCs w:val="24"/>
    </w:rPr>
  </w:style>
  <w:style w:type="character" w:customStyle="1" w:styleId="Heading2Char">
    <w:name w:val="Heading 2 Char"/>
    <w:link w:val="Heading2"/>
    <w:uiPriority w:val="9"/>
    <w:rsid w:val="00AD29DF"/>
    <w:rPr>
      <w:rFonts w:ascii="Arial" w:hAnsi="Arial"/>
      <w:b/>
      <w:sz w:val="24"/>
      <w:szCs w:val="24"/>
      <w:lang w:val="en-US" w:eastAsia="en-US"/>
    </w:rPr>
  </w:style>
  <w:style w:type="character" w:customStyle="1" w:styleId="Heading3Char">
    <w:name w:val="Heading 3 Char"/>
    <w:link w:val="Heading3"/>
    <w:uiPriority w:val="9"/>
    <w:rsid w:val="00B43236"/>
    <w:rPr>
      <w:rFonts w:ascii="Arial" w:hAnsi="Arial"/>
      <w:sz w:val="24"/>
      <w:szCs w:val="24"/>
      <w:u w:val="single"/>
      <w:lang w:val="en-US" w:eastAsia="en-US"/>
    </w:rPr>
  </w:style>
  <w:style w:type="character" w:customStyle="1" w:styleId="Heading4Char">
    <w:name w:val="Heading 4 Char"/>
    <w:link w:val="Heading4"/>
    <w:uiPriority w:val="9"/>
    <w:rsid w:val="00B43236"/>
    <w:rPr>
      <w:rFonts w:ascii="Arial" w:hAnsi="Arial"/>
      <w:i/>
      <w:sz w:val="24"/>
      <w:szCs w:val="24"/>
      <w:lang w:val="en-US" w:eastAsia="en-US"/>
    </w:rPr>
  </w:style>
  <w:style w:type="paragraph" w:styleId="TOC2">
    <w:name w:val="toc 2"/>
    <w:basedOn w:val="Normal"/>
    <w:next w:val="Normal"/>
    <w:autoRedefine/>
    <w:uiPriority w:val="39"/>
    <w:unhideWhenUsed/>
    <w:rsid w:val="00960E72"/>
    <w:pPr>
      <w:spacing w:after="0"/>
      <w:ind w:left="220"/>
    </w:pPr>
    <w:rPr>
      <w:rFonts w:asciiTheme="minorHAnsi" w:hAnsiTheme="minorHAnsi"/>
      <w:b/>
      <w:bCs/>
    </w:rPr>
  </w:style>
  <w:style w:type="paragraph" w:styleId="TOC3">
    <w:name w:val="toc 3"/>
    <w:basedOn w:val="Normal"/>
    <w:next w:val="Normal"/>
    <w:autoRedefine/>
    <w:uiPriority w:val="39"/>
    <w:unhideWhenUsed/>
    <w:rsid w:val="00960E72"/>
    <w:pPr>
      <w:spacing w:after="0"/>
      <w:ind w:left="440"/>
    </w:pPr>
    <w:rPr>
      <w:rFonts w:asciiTheme="minorHAnsi" w:hAnsiTheme="minorHAnsi"/>
    </w:rPr>
  </w:style>
  <w:style w:type="paragraph" w:styleId="ListParagraph">
    <w:name w:val="List Paragraph"/>
    <w:basedOn w:val="Normal"/>
    <w:qFormat/>
    <w:rsid w:val="00615DA7"/>
    <w:pPr>
      <w:ind w:left="720"/>
    </w:pPr>
  </w:style>
  <w:style w:type="character" w:styleId="CommentReference">
    <w:name w:val="annotation reference"/>
    <w:uiPriority w:val="99"/>
    <w:semiHidden/>
    <w:unhideWhenUsed/>
    <w:rsid w:val="00E47B4C"/>
    <w:rPr>
      <w:sz w:val="16"/>
      <w:szCs w:val="16"/>
    </w:rPr>
  </w:style>
  <w:style w:type="paragraph" w:styleId="CommentText">
    <w:name w:val="annotation text"/>
    <w:basedOn w:val="Normal"/>
    <w:link w:val="CommentTextChar"/>
    <w:uiPriority w:val="99"/>
    <w:unhideWhenUsed/>
    <w:rsid w:val="00E47B4C"/>
    <w:rPr>
      <w:sz w:val="20"/>
      <w:szCs w:val="20"/>
    </w:rPr>
  </w:style>
  <w:style w:type="character" w:customStyle="1" w:styleId="CommentTextChar">
    <w:name w:val="Comment Text Char"/>
    <w:link w:val="CommentText"/>
    <w:uiPriority w:val="99"/>
    <w:rsid w:val="00E47B4C"/>
    <w:rPr>
      <w:lang w:val="en-US" w:eastAsia="en-US"/>
    </w:rPr>
  </w:style>
  <w:style w:type="paragraph" w:styleId="CommentSubject">
    <w:name w:val="annotation subject"/>
    <w:basedOn w:val="CommentText"/>
    <w:next w:val="CommentText"/>
    <w:link w:val="CommentSubjectChar"/>
    <w:uiPriority w:val="99"/>
    <w:semiHidden/>
    <w:unhideWhenUsed/>
    <w:rsid w:val="00E47B4C"/>
    <w:rPr>
      <w:b/>
      <w:bCs/>
    </w:rPr>
  </w:style>
  <w:style w:type="character" w:customStyle="1" w:styleId="CommentSubjectChar">
    <w:name w:val="Comment Subject Char"/>
    <w:link w:val="CommentSubject"/>
    <w:uiPriority w:val="99"/>
    <w:semiHidden/>
    <w:rsid w:val="00E47B4C"/>
    <w:rPr>
      <w:b/>
      <w:bCs/>
      <w:lang w:val="en-US" w:eastAsia="en-US"/>
    </w:rPr>
  </w:style>
  <w:style w:type="paragraph" w:styleId="Revision">
    <w:name w:val="Revision"/>
    <w:hidden/>
    <w:uiPriority w:val="62"/>
    <w:rsid w:val="006D59DD"/>
    <w:rPr>
      <w:sz w:val="22"/>
      <w:szCs w:val="22"/>
      <w:lang w:val="en-US" w:eastAsia="en-US"/>
    </w:rPr>
  </w:style>
  <w:style w:type="paragraph" w:customStyle="1" w:styleId="HChG">
    <w:name w:val="_ H _Ch_G"/>
    <w:basedOn w:val="Normal"/>
    <w:next w:val="Normal"/>
    <w:rsid w:val="00B04BB8"/>
    <w:pPr>
      <w:keepNext/>
      <w:keepLines/>
      <w:tabs>
        <w:tab w:val="right" w:pos="851"/>
      </w:tabs>
      <w:suppressAutoHyphens/>
      <w:spacing w:before="360" w:after="240" w:line="300" w:lineRule="exact"/>
      <w:ind w:left="1134" w:right="1134" w:hanging="1134"/>
    </w:pPr>
    <w:rPr>
      <w:rFonts w:ascii="Times New Roman" w:eastAsia="SimSun" w:hAnsi="Times New Roman"/>
      <w:b/>
      <w:sz w:val="28"/>
      <w:szCs w:val="20"/>
      <w:lang w:val="en-GB" w:eastAsia="zh-CN"/>
    </w:rPr>
  </w:style>
  <w:style w:type="character" w:customStyle="1" w:styleId="UnresolvedMention">
    <w:name w:val="Unresolved Mention"/>
    <w:uiPriority w:val="99"/>
    <w:semiHidden/>
    <w:unhideWhenUsed/>
    <w:rsid w:val="00BE0F10"/>
    <w:rPr>
      <w:color w:val="808080"/>
      <w:shd w:val="clear" w:color="auto" w:fill="E6E6E6"/>
    </w:rPr>
  </w:style>
  <w:style w:type="paragraph" w:customStyle="1" w:styleId="Recommendation">
    <w:name w:val="Recommendation"/>
    <w:basedOn w:val="Normal"/>
    <w:link w:val="RecommendationChar"/>
    <w:autoRedefine/>
    <w:qFormat/>
    <w:rsid w:val="001348D2"/>
    <w:pPr>
      <w:pBdr>
        <w:top w:val="single" w:sz="24" w:space="1" w:color="auto"/>
        <w:left w:val="single" w:sz="24" w:space="4" w:color="auto"/>
        <w:bottom w:val="single" w:sz="24" w:space="1" w:color="auto"/>
        <w:right w:val="single" w:sz="24" w:space="4" w:color="auto"/>
      </w:pBdr>
      <w:shd w:val="clear" w:color="auto" w:fill="B4C6E7"/>
      <w:spacing w:after="0" w:line="240" w:lineRule="auto"/>
      <w:jc w:val="both"/>
    </w:pPr>
    <w:rPr>
      <w:rFonts w:ascii="Avenir Book" w:hAnsi="Avenir Book"/>
      <w:b/>
    </w:rPr>
  </w:style>
  <w:style w:type="character" w:customStyle="1" w:styleId="apple-converted-space">
    <w:name w:val="apple-converted-space"/>
    <w:rsid w:val="004E5656"/>
  </w:style>
  <w:style w:type="character" w:customStyle="1" w:styleId="RecommendationChar">
    <w:name w:val="Recommendation Char"/>
    <w:link w:val="Recommendation"/>
    <w:rsid w:val="001348D2"/>
    <w:rPr>
      <w:rFonts w:ascii="Avenir Book" w:hAnsi="Avenir Book"/>
      <w:b/>
      <w:sz w:val="22"/>
      <w:szCs w:val="22"/>
      <w:shd w:val="clear" w:color="auto" w:fill="B4C6E7"/>
      <w:lang w:val="en-US" w:eastAsia="en-US"/>
    </w:rPr>
  </w:style>
  <w:style w:type="paragraph" w:customStyle="1" w:styleId="Default">
    <w:name w:val="Default"/>
    <w:rsid w:val="0080266E"/>
    <w:pPr>
      <w:autoSpaceDE w:val="0"/>
      <w:autoSpaceDN w:val="0"/>
      <w:adjustRightInd w:val="0"/>
    </w:pPr>
    <w:rPr>
      <w:rFonts w:ascii="Times New Roman" w:hAnsi="Times New Roman"/>
      <w:color w:val="000000"/>
      <w:sz w:val="24"/>
      <w:szCs w:val="24"/>
      <w:lang w:val="en-PH" w:eastAsia="en-PH"/>
    </w:rPr>
  </w:style>
  <w:style w:type="table" w:styleId="MediumShading1-Accent1">
    <w:name w:val="Medium Shading 1 Accent 1"/>
    <w:basedOn w:val="TableNormal"/>
    <w:uiPriority w:val="63"/>
    <w:rsid w:val="0080266E"/>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39001C"/>
    <w:pPr>
      <w:spacing w:after="0" w:line="240" w:lineRule="auto"/>
    </w:pPr>
    <w:rPr>
      <w:sz w:val="24"/>
      <w:szCs w:val="24"/>
    </w:rPr>
  </w:style>
  <w:style w:type="character" w:customStyle="1" w:styleId="EndnoteTextChar">
    <w:name w:val="Endnote Text Char"/>
    <w:basedOn w:val="DefaultParagraphFont"/>
    <w:link w:val="EndnoteText"/>
    <w:uiPriority w:val="99"/>
    <w:rsid w:val="0039001C"/>
    <w:rPr>
      <w:sz w:val="24"/>
      <w:szCs w:val="24"/>
      <w:lang w:val="en-US" w:eastAsia="en-US"/>
    </w:rPr>
  </w:style>
  <w:style w:type="character" w:styleId="EndnoteReference">
    <w:name w:val="endnote reference"/>
    <w:basedOn w:val="DefaultParagraphFont"/>
    <w:uiPriority w:val="99"/>
    <w:unhideWhenUsed/>
    <w:rsid w:val="0039001C"/>
    <w:rPr>
      <w:vertAlign w:val="superscript"/>
    </w:rPr>
  </w:style>
  <w:style w:type="paragraph" w:styleId="TOC4">
    <w:name w:val="toc 4"/>
    <w:basedOn w:val="Normal"/>
    <w:next w:val="Normal"/>
    <w:autoRedefine/>
    <w:uiPriority w:val="39"/>
    <w:unhideWhenUsed/>
    <w:rsid w:val="004A058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A058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A058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A058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A058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A0580"/>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3732">
      <w:bodyDiv w:val="1"/>
      <w:marLeft w:val="0"/>
      <w:marRight w:val="0"/>
      <w:marTop w:val="0"/>
      <w:marBottom w:val="0"/>
      <w:divBdr>
        <w:top w:val="none" w:sz="0" w:space="0" w:color="auto"/>
        <w:left w:val="none" w:sz="0" w:space="0" w:color="auto"/>
        <w:bottom w:val="none" w:sz="0" w:space="0" w:color="auto"/>
        <w:right w:val="none" w:sz="0" w:space="0" w:color="auto"/>
      </w:divBdr>
    </w:div>
    <w:div w:id="146554748">
      <w:bodyDiv w:val="1"/>
      <w:marLeft w:val="0"/>
      <w:marRight w:val="0"/>
      <w:marTop w:val="0"/>
      <w:marBottom w:val="0"/>
      <w:divBdr>
        <w:top w:val="none" w:sz="0" w:space="0" w:color="auto"/>
        <w:left w:val="none" w:sz="0" w:space="0" w:color="auto"/>
        <w:bottom w:val="none" w:sz="0" w:space="0" w:color="auto"/>
        <w:right w:val="none" w:sz="0" w:space="0" w:color="auto"/>
      </w:divBdr>
    </w:div>
    <w:div w:id="590118887">
      <w:bodyDiv w:val="1"/>
      <w:marLeft w:val="0"/>
      <w:marRight w:val="0"/>
      <w:marTop w:val="0"/>
      <w:marBottom w:val="0"/>
      <w:divBdr>
        <w:top w:val="none" w:sz="0" w:space="0" w:color="auto"/>
        <w:left w:val="none" w:sz="0" w:space="0" w:color="auto"/>
        <w:bottom w:val="none" w:sz="0" w:space="0" w:color="auto"/>
        <w:right w:val="none" w:sz="0" w:space="0" w:color="auto"/>
      </w:divBdr>
    </w:div>
    <w:div w:id="848520085">
      <w:bodyDiv w:val="1"/>
      <w:marLeft w:val="0"/>
      <w:marRight w:val="0"/>
      <w:marTop w:val="0"/>
      <w:marBottom w:val="0"/>
      <w:divBdr>
        <w:top w:val="none" w:sz="0" w:space="0" w:color="auto"/>
        <w:left w:val="none" w:sz="0" w:space="0" w:color="auto"/>
        <w:bottom w:val="none" w:sz="0" w:space="0" w:color="auto"/>
        <w:right w:val="none" w:sz="0" w:space="0" w:color="auto"/>
      </w:divBdr>
    </w:div>
    <w:div w:id="887566721">
      <w:bodyDiv w:val="1"/>
      <w:marLeft w:val="0"/>
      <w:marRight w:val="0"/>
      <w:marTop w:val="0"/>
      <w:marBottom w:val="0"/>
      <w:divBdr>
        <w:top w:val="none" w:sz="0" w:space="0" w:color="auto"/>
        <w:left w:val="none" w:sz="0" w:space="0" w:color="auto"/>
        <w:bottom w:val="none" w:sz="0" w:space="0" w:color="auto"/>
        <w:right w:val="none" w:sz="0" w:space="0" w:color="auto"/>
      </w:divBdr>
      <w:divsChild>
        <w:div w:id="278687844">
          <w:marLeft w:val="0"/>
          <w:marRight w:val="0"/>
          <w:marTop w:val="0"/>
          <w:marBottom w:val="0"/>
          <w:divBdr>
            <w:top w:val="none" w:sz="0" w:space="0" w:color="auto"/>
            <w:left w:val="none" w:sz="0" w:space="0" w:color="auto"/>
            <w:bottom w:val="none" w:sz="0" w:space="0" w:color="auto"/>
            <w:right w:val="none" w:sz="0" w:space="0" w:color="auto"/>
          </w:divBdr>
        </w:div>
        <w:div w:id="1341197615">
          <w:marLeft w:val="0"/>
          <w:marRight w:val="0"/>
          <w:marTop w:val="0"/>
          <w:marBottom w:val="0"/>
          <w:divBdr>
            <w:top w:val="none" w:sz="0" w:space="0" w:color="auto"/>
            <w:left w:val="none" w:sz="0" w:space="0" w:color="auto"/>
            <w:bottom w:val="none" w:sz="0" w:space="0" w:color="auto"/>
            <w:right w:val="none" w:sz="0" w:space="0" w:color="auto"/>
          </w:divBdr>
        </w:div>
        <w:div w:id="1366712564">
          <w:marLeft w:val="0"/>
          <w:marRight w:val="0"/>
          <w:marTop w:val="0"/>
          <w:marBottom w:val="0"/>
          <w:divBdr>
            <w:top w:val="none" w:sz="0" w:space="0" w:color="auto"/>
            <w:left w:val="none" w:sz="0" w:space="0" w:color="auto"/>
            <w:bottom w:val="none" w:sz="0" w:space="0" w:color="auto"/>
            <w:right w:val="none" w:sz="0" w:space="0" w:color="auto"/>
          </w:divBdr>
        </w:div>
        <w:div w:id="1557860691">
          <w:marLeft w:val="0"/>
          <w:marRight w:val="0"/>
          <w:marTop w:val="0"/>
          <w:marBottom w:val="0"/>
          <w:divBdr>
            <w:top w:val="none" w:sz="0" w:space="0" w:color="auto"/>
            <w:left w:val="none" w:sz="0" w:space="0" w:color="auto"/>
            <w:bottom w:val="none" w:sz="0" w:space="0" w:color="auto"/>
            <w:right w:val="none" w:sz="0" w:space="0" w:color="auto"/>
          </w:divBdr>
        </w:div>
      </w:divsChild>
    </w:div>
    <w:div w:id="1143040904">
      <w:bodyDiv w:val="1"/>
      <w:marLeft w:val="0"/>
      <w:marRight w:val="0"/>
      <w:marTop w:val="0"/>
      <w:marBottom w:val="0"/>
      <w:divBdr>
        <w:top w:val="none" w:sz="0" w:space="0" w:color="auto"/>
        <w:left w:val="none" w:sz="0" w:space="0" w:color="auto"/>
        <w:bottom w:val="none" w:sz="0" w:space="0" w:color="auto"/>
        <w:right w:val="none" w:sz="0" w:space="0" w:color="auto"/>
      </w:divBdr>
      <w:divsChild>
        <w:div w:id="1822193327">
          <w:marLeft w:val="0"/>
          <w:marRight w:val="0"/>
          <w:marTop w:val="0"/>
          <w:marBottom w:val="0"/>
          <w:divBdr>
            <w:top w:val="none" w:sz="0" w:space="0" w:color="auto"/>
            <w:left w:val="none" w:sz="0" w:space="0" w:color="auto"/>
            <w:bottom w:val="none" w:sz="0" w:space="0" w:color="auto"/>
            <w:right w:val="none" w:sz="0" w:space="0" w:color="auto"/>
          </w:divBdr>
          <w:divsChild>
            <w:div w:id="67772618">
              <w:marLeft w:val="0"/>
              <w:marRight w:val="0"/>
              <w:marTop w:val="0"/>
              <w:marBottom w:val="0"/>
              <w:divBdr>
                <w:top w:val="none" w:sz="0" w:space="0" w:color="auto"/>
                <w:left w:val="none" w:sz="0" w:space="0" w:color="auto"/>
                <w:bottom w:val="none" w:sz="0" w:space="0" w:color="auto"/>
                <w:right w:val="none" w:sz="0" w:space="0" w:color="auto"/>
              </w:divBdr>
              <w:divsChild>
                <w:div w:id="1843277083">
                  <w:marLeft w:val="0"/>
                  <w:marRight w:val="0"/>
                  <w:marTop w:val="0"/>
                  <w:marBottom w:val="0"/>
                  <w:divBdr>
                    <w:top w:val="none" w:sz="0" w:space="0" w:color="auto"/>
                    <w:left w:val="none" w:sz="0" w:space="0" w:color="auto"/>
                    <w:bottom w:val="none" w:sz="0" w:space="0" w:color="auto"/>
                    <w:right w:val="none" w:sz="0" w:space="0" w:color="auto"/>
                  </w:divBdr>
                  <w:divsChild>
                    <w:div w:id="1504735336">
                      <w:marLeft w:val="0"/>
                      <w:marRight w:val="0"/>
                      <w:marTop w:val="0"/>
                      <w:marBottom w:val="0"/>
                      <w:divBdr>
                        <w:top w:val="none" w:sz="0" w:space="0" w:color="auto"/>
                        <w:left w:val="none" w:sz="0" w:space="0" w:color="auto"/>
                        <w:bottom w:val="none" w:sz="0" w:space="0" w:color="auto"/>
                        <w:right w:val="none" w:sz="0" w:space="0" w:color="auto"/>
                      </w:divBdr>
                      <w:divsChild>
                        <w:div w:id="231739992">
                          <w:marLeft w:val="0"/>
                          <w:marRight w:val="0"/>
                          <w:marTop w:val="0"/>
                          <w:marBottom w:val="0"/>
                          <w:divBdr>
                            <w:top w:val="none" w:sz="0" w:space="0" w:color="auto"/>
                            <w:left w:val="none" w:sz="0" w:space="0" w:color="auto"/>
                            <w:bottom w:val="none" w:sz="0" w:space="0" w:color="auto"/>
                            <w:right w:val="none" w:sz="0" w:space="0" w:color="auto"/>
                          </w:divBdr>
                          <w:divsChild>
                            <w:div w:id="1708917247">
                              <w:marLeft w:val="0"/>
                              <w:marRight w:val="0"/>
                              <w:marTop w:val="0"/>
                              <w:marBottom w:val="0"/>
                              <w:divBdr>
                                <w:top w:val="none" w:sz="0" w:space="0" w:color="auto"/>
                                <w:left w:val="none" w:sz="0" w:space="0" w:color="auto"/>
                                <w:bottom w:val="none" w:sz="0" w:space="0" w:color="auto"/>
                                <w:right w:val="none" w:sz="0" w:space="0" w:color="auto"/>
                              </w:divBdr>
                              <w:divsChild>
                                <w:div w:id="1094591183">
                                  <w:marLeft w:val="0"/>
                                  <w:marRight w:val="0"/>
                                  <w:marTop w:val="0"/>
                                  <w:marBottom w:val="0"/>
                                  <w:divBdr>
                                    <w:top w:val="none" w:sz="0" w:space="0" w:color="auto"/>
                                    <w:left w:val="none" w:sz="0" w:space="0" w:color="auto"/>
                                    <w:bottom w:val="none" w:sz="0" w:space="0" w:color="auto"/>
                                    <w:right w:val="none" w:sz="0" w:space="0" w:color="auto"/>
                                  </w:divBdr>
                                  <w:divsChild>
                                    <w:div w:id="664750150">
                                      <w:marLeft w:val="0"/>
                                      <w:marRight w:val="0"/>
                                      <w:marTop w:val="0"/>
                                      <w:marBottom w:val="0"/>
                                      <w:divBdr>
                                        <w:top w:val="none" w:sz="0" w:space="0" w:color="auto"/>
                                        <w:left w:val="none" w:sz="0" w:space="0" w:color="auto"/>
                                        <w:bottom w:val="none" w:sz="0" w:space="0" w:color="auto"/>
                                        <w:right w:val="none" w:sz="0" w:space="0" w:color="auto"/>
                                      </w:divBdr>
                                      <w:divsChild>
                                        <w:div w:id="1485195807">
                                          <w:marLeft w:val="0"/>
                                          <w:marRight w:val="0"/>
                                          <w:marTop w:val="0"/>
                                          <w:marBottom w:val="0"/>
                                          <w:divBdr>
                                            <w:top w:val="none" w:sz="0" w:space="0" w:color="auto"/>
                                            <w:left w:val="none" w:sz="0" w:space="0" w:color="auto"/>
                                            <w:bottom w:val="none" w:sz="0" w:space="0" w:color="auto"/>
                                            <w:right w:val="none" w:sz="0" w:space="0" w:color="auto"/>
                                          </w:divBdr>
                                          <w:divsChild>
                                            <w:div w:id="1788114497">
                                              <w:marLeft w:val="0"/>
                                              <w:marRight w:val="0"/>
                                              <w:marTop w:val="0"/>
                                              <w:marBottom w:val="0"/>
                                              <w:divBdr>
                                                <w:top w:val="none" w:sz="0" w:space="0" w:color="auto"/>
                                                <w:left w:val="none" w:sz="0" w:space="0" w:color="auto"/>
                                                <w:bottom w:val="none" w:sz="0" w:space="0" w:color="auto"/>
                                                <w:right w:val="none" w:sz="0" w:space="0" w:color="auto"/>
                                              </w:divBdr>
                                              <w:divsChild>
                                                <w:div w:id="72702646">
                                                  <w:marLeft w:val="0"/>
                                                  <w:marRight w:val="0"/>
                                                  <w:marTop w:val="0"/>
                                                  <w:marBottom w:val="0"/>
                                                  <w:divBdr>
                                                    <w:top w:val="none" w:sz="0" w:space="0" w:color="auto"/>
                                                    <w:left w:val="none" w:sz="0" w:space="0" w:color="auto"/>
                                                    <w:bottom w:val="none" w:sz="0" w:space="0" w:color="auto"/>
                                                    <w:right w:val="none" w:sz="0" w:space="0" w:color="auto"/>
                                                  </w:divBdr>
                                                </w:div>
                                                <w:div w:id="244657308">
                                                  <w:marLeft w:val="0"/>
                                                  <w:marRight w:val="0"/>
                                                  <w:marTop w:val="0"/>
                                                  <w:marBottom w:val="0"/>
                                                  <w:divBdr>
                                                    <w:top w:val="none" w:sz="0" w:space="0" w:color="auto"/>
                                                    <w:left w:val="none" w:sz="0" w:space="0" w:color="auto"/>
                                                    <w:bottom w:val="none" w:sz="0" w:space="0" w:color="auto"/>
                                                    <w:right w:val="none" w:sz="0" w:space="0" w:color="auto"/>
                                                  </w:divBdr>
                                                </w:div>
                                                <w:div w:id="12243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247401">
      <w:bodyDiv w:val="1"/>
      <w:marLeft w:val="0"/>
      <w:marRight w:val="0"/>
      <w:marTop w:val="0"/>
      <w:marBottom w:val="0"/>
      <w:divBdr>
        <w:top w:val="none" w:sz="0" w:space="0" w:color="auto"/>
        <w:left w:val="none" w:sz="0" w:space="0" w:color="auto"/>
        <w:bottom w:val="none" w:sz="0" w:space="0" w:color="auto"/>
        <w:right w:val="none" w:sz="0" w:space="0" w:color="auto"/>
      </w:divBdr>
    </w:div>
    <w:div w:id="1560440356">
      <w:bodyDiv w:val="1"/>
      <w:marLeft w:val="0"/>
      <w:marRight w:val="0"/>
      <w:marTop w:val="0"/>
      <w:marBottom w:val="0"/>
      <w:divBdr>
        <w:top w:val="none" w:sz="0" w:space="0" w:color="auto"/>
        <w:left w:val="none" w:sz="0" w:space="0" w:color="auto"/>
        <w:bottom w:val="none" w:sz="0" w:space="0" w:color="auto"/>
        <w:right w:val="none" w:sz="0" w:space="0" w:color="auto"/>
      </w:divBdr>
    </w:div>
    <w:div w:id="1945308124">
      <w:bodyDiv w:val="1"/>
      <w:marLeft w:val="0"/>
      <w:marRight w:val="0"/>
      <w:marTop w:val="0"/>
      <w:marBottom w:val="0"/>
      <w:divBdr>
        <w:top w:val="none" w:sz="0" w:space="0" w:color="auto"/>
        <w:left w:val="none" w:sz="0" w:space="0" w:color="auto"/>
        <w:bottom w:val="none" w:sz="0" w:space="0" w:color="auto"/>
        <w:right w:val="none" w:sz="0" w:space="0" w:color="auto"/>
      </w:divBdr>
      <w:divsChild>
        <w:div w:id="239875325">
          <w:marLeft w:val="0"/>
          <w:marRight w:val="0"/>
          <w:marTop w:val="0"/>
          <w:marBottom w:val="0"/>
          <w:divBdr>
            <w:top w:val="none" w:sz="0" w:space="0" w:color="auto"/>
            <w:left w:val="none" w:sz="0" w:space="0" w:color="auto"/>
            <w:bottom w:val="none" w:sz="0" w:space="0" w:color="auto"/>
            <w:right w:val="none" w:sz="0" w:space="0" w:color="auto"/>
          </w:divBdr>
          <w:divsChild>
            <w:div w:id="2116365192">
              <w:marLeft w:val="0"/>
              <w:marRight w:val="0"/>
              <w:marTop w:val="0"/>
              <w:marBottom w:val="0"/>
              <w:divBdr>
                <w:top w:val="none" w:sz="0" w:space="0" w:color="auto"/>
                <w:left w:val="none" w:sz="0" w:space="0" w:color="auto"/>
                <w:bottom w:val="none" w:sz="0" w:space="0" w:color="auto"/>
                <w:right w:val="none" w:sz="0" w:space="0" w:color="auto"/>
              </w:divBdr>
              <w:divsChild>
                <w:div w:id="1485245564">
                  <w:marLeft w:val="0"/>
                  <w:marRight w:val="0"/>
                  <w:marTop w:val="0"/>
                  <w:marBottom w:val="0"/>
                  <w:divBdr>
                    <w:top w:val="none" w:sz="0" w:space="0" w:color="auto"/>
                    <w:left w:val="none" w:sz="0" w:space="0" w:color="auto"/>
                    <w:bottom w:val="none" w:sz="0" w:space="0" w:color="auto"/>
                    <w:right w:val="none" w:sz="0" w:space="0" w:color="auto"/>
                  </w:divBdr>
                  <w:divsChild>
                    <w:div w:id="675231273">
                      <w:marLeft w:val="0"/>
                      <w:marRight w:val="0"/>
                      <w:marTop w:val="0"/>
                      <w:marBottom w:val="0"/>
                      <w:divBdr>
                        <w:top w:val="none" w:sz="0" w:space="0" w:color="auto"/>
                        <w:left w:val="none" w:sz="0" w:space="0" w:color="auto"/>
                        <w:bottom w:val="none" w:sz="0" w:space="0" w:color="auto"/>
                        <w:right w:val="none" w:sz="0" w:space="0" w:color="auto"/>
                      </w:divBdr>
                      <w:divsChild>
                        <w:div w:id="1719861686">
                          <w:marLeft w:val="0"/>
                          <w:marRight w:val="0"/>
                          <w:marTop w:val="0"/>
                          <w:marBottom w:val="0"/>
                          <w:divBdr>
                            <w:top w:val="none" w:sz="0" w:space="0" w:color="auto"/>
                            <w:left w:val="none" w:sz="0" w:space="0" w:color="auto"/>
                            <w:bottom w:val="none" w:sz="0" w:space="0" w:color="auto"/>
                            <w:right w:val="none" w:sz="0" w:space="0" w:color="auto"/>
                          </w:divBdr>
                          <w:divsChild>
                            <w:div w:id="393360006">
                              <w:marLeft w:val="0"/>
                              <w:marRight w:val="0"/>
                              <w:marTop w:val="0"/>
                              <w:marBottom w:val="0"/>
                              <w:divBdr>
                                <w:top w:val="none" w:sz="0" w:space="0" w:color="auto"/>
                                <w:left w:val="none" w:sz="0" w:space="0" w:color="auto"/>
                                <w:bottom w:val="none" w:sz="0" w:space="0" w:color="auto"/>
                                <w:right w:val="none" w:sz="0" w:space="0" w:color="auto"/>
                              </w:divBdr>
                              <w:divsChild>
                                <w:div w:id="1175801141">
                                  <w:marLeft w:val="0"/>
                                  <w:marRight w:val="0"/>
                                  <w:marTop w:val="0"/>
                                  <w:marBottom w:val="0"/>
                                  <w:divBdr>
                                    <w:top w:val="none" w:sz="0" w:space="0" w:color="auto"/>
                                    <w:left w:val="none" w:sz="0" w:space="0" w:color="auto"/>
                                    <w:bottom w:val="none" w:sz="0" w:space="0" w:color="auto"/>
                                    <w:right w:val="none" w:sz="0" w:space="0" w:color="auto"/>
                                  </w:divBdr>
                                  <w:divsChild>
                                    <w:div w:id="749817656">
                                      <w:marLeft w:val="0"/>
                                      <w:marRight w:val="0"/>
                                      <w:marTop w:val="0"/>
                                      <w:marBottom w:val="0"/>
                                      <w:divBdr>
                                        <w:top w:val="none" w:sz="0" w:space="0" w:color="auto"/>
                                        <w:left w:val="none" w:sz="0" w:space="0" w:color="auto"/>
                                        <w:bottom w:val="none" w:sz="0" w:space="0" w:color="auto"/>
                                        <w:right w:val="none" w:sz="0" w:space="0" w:color="auto"/>
                                      </w:divBdr>
                                      <w:divsChild>
                                        <w:div w:id="705637363">
                                          <w:marLeft w:val="0"/>
                                          <w:marRight w:val="0"/>
                                          <w:marTop w:val="0"/>
                                          <w:marBottom w:val="0"/>
                                          <w:divBdr>
                                            <w:top w:val="none" w:sz="0" w:space="0" w:color="auto"/>
                                            <w:left w:val="none" w:sz="0" w:space="0" w:color="auto"/>
                                            <w:bottom w:val="none" w:sz="0" w:space="0" w:color="auto"/>
                                            <w:right w:val="none" w:sz="0" w:space="0" w:color="auto"/>
                                          </w:divBdr>
                                          <w:divsChild>
                                            <w:div w:id="1401636810">
                                              <w:marLeft w:val="0"/>
                                              <w:marRight w:val="0"/>
                                              <w:marTop w:val="0"/>
                                              <w:marBottom w:val="0"/>
                                              <w:divBdr>
                                                <w:top w:val="none" w:sz="0" w:space="0" w:color="auto"/>
                                                <w:left w:val="none" w:sz="0" w:space="0" w:color="auto"/>
                                                <w:bottom w:val="none" w:sz="0" w:space="0" w:color="auto"/>
                                                <w:right w:val="none" w:sz="0" w:space="0" w:color="auto"/>
                                              </w:divBdr>
                                              <w:divsChild>
                                                <w:div w:id="506484069">
                                                  <w:marLeft w:val="0"/>
                                                  <w:marRight w:val="0"/>
                                                  <w:marTop w:val="0"/>
                                                  <w:marBottom w:val="0"/>
                                                  <w:divBdr>
                                                    <w:top w:val="none" w:sz="0" w:space="0" w:color="auto"/>
                                                    <w:left w:val="none" w:sz="0" w:space="0" w:color="auto"/>
                                                    <w:bottom w:val="none" w:sz="0" w:space="0" w:color="auto"/>
                                                    <w:right w:val="none" w:sz="0" w:space="0" w:color="auto"/>
                                                  </w:divBdr>
                                                </w:div>
                                                <w:div w:id="906643910">
                                                  <w:marLeft w:val="0"/>
                                                  <w:marRight w:val="0"/>
                                                  <w:marTop w:val="0"/>
                                                  <w:marBottom w:val="0"/>
                                                  <w:divBdr>
                                                    <w:top w:val="none" w:sz="0" w:space="0" w:color="auto"/>
                                                    <w:left w:val="none" w:sz="0" w:space="0" w:color="auto"/>
                                                    <w:bottom w:val="none" w:sz="0" w:space="0" w:color="auto"/>
                                                    <w:right w:val="none" w:sz="0" w:space="0" w:color="auto"/>
                                                  </w:divBdr>
                                                </w:div>
                                                <w:div w:id="16015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367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7" Type="http://schemas.openxmlformats.org/officeDocument/2006/relationships/numbering" Target="numbering.xml"/><Relationship Id="rId16" Type="http://schemas.openxmlformats.org/officeDocument/2006/relationships/hyperlink" Target="http://tbinternet.ohchr.org/_layouts/treatybodyexternal/Download.aspx?symbolno=CRPD%2fC%2fCAN%2fCO%2f1&amp;Lang=en" TargetMode="External"/><Relationship Id="rId2" Type="http://schemas.openxmlformats.org/officeDocument/2006/relationships/customXml" Target="../customXml/item2.xml"/><Relationship Id="rId20" Type="http://schemas.openxmlformats.org/officeDocument/2006/relationships/customXml" Target="../customXml/item7.xml"/><Relationship Id="rId1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Word_Document1.docx"/><Relationship Id="rId5" Type="http://schemas.openxmlformats.org/officeDocument/2006/relationships/customXml" Target="../customXml/item5.xml"/><Relationship Id="rId19"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ParisPrinciples20yearsguidingtheworkofNHR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F0340-9B1A-484C-B2E2-55F363B0152B}"/>
</file>

<file path=customXml/itemProps2.xml><?xml version="1.0" encoding="utf-8"?>
<ds:datastoreItem xmlns:ds="http://schemas.openxmlformats.org/officeDocument/2006/customXml" ds:itemID="{8E2E91B0-9CA7-4F4A-A676-D7B1AD5109AC}">
  <ds:schemaRefs>
    <ds:schemaRef ds:uri="http://schemas.microsoft.com/sharepoint/v3/contenttype/forms"/>
  </ds:schemaRefs>
</ds:datastoreItem>
</file>

<file path=customXml/itemProps3.xml><?xml version="1.0" encoding="utf-8"?>
<ds:datastoreItem xmlns:ds="http://schemas.openxmlformats.org/officeDocument/2006/customXml" ds:itemID="{CA1BEEB0-DECB-6C45-862C-CBB29904EBE8}">
  <ds:schemaRefs>
    <ds:schemaRef ds:uri="http://schemas.openxmlformats.org/officeDocument/2006/bibliography"/>
  </ds:schemaRefs>
</ds:datastoreItem>
</file>

<file path=customXml/itemProps4.xml><?xml version="1.0" encoding="utf-8"?>
<ds:datastoreItem xmlns:ds="http://schemas.openxmlformats.org/officeDocument/2006/customXml" ds:itemID="{D2F5970D-47EB-7F40-AA78-D3E852B577F9}">
  <ds:schemaRefs>
    <ds:schemaRef ds:uri="http://schemas.openxmlformats.org/officeDocument/2006/bibliography"/>
  </ds:schemaRefs>
</ds:datastoreItem>
</file>

<file path=customXml/itemProps5.xml><?xml version="1.0" encoding="utf-8"?>
<ds:datastoreItem xmlns:ds="http://schemas.openxmlformats.org/officeDocument/2006/customXml" ds:itemID="{8C3AD418-56D7-2E40-8FDE-A8B1B67493D1}">
  <ds:schemaRefs>
    <ds:schemaRef ds:uri="http://schemas.openxmlformats.org/officeDocument/2006/bibliography"/>
  </ds:schemaRefs>
</ds:datastoreItem>
</file>

<file path=customXml/itemProps6.xml><?xml version="1.0" encoding="utf-8"?>
<ds:datastoreItem xmlns:ds="http://schemas.openxmlformats.org/officeDocument/2006/customXml" ds:itemID="{2CBB10C5-D18E-2549-8488-9D4ECFAF22DF}">
  <ds:schemaRefs>
    <ds:schemaRef ds:uri="http://schemas.openxmlformats.org/officeDocument/2006/bibliography"/>
  </ds:schemaRefs>
</ds:datastoreItem>
</file>

<file path=customXml/itemProps7.xml><?xml version="1.0" encoding="utf-8"?>
<ds:datastoreItem xmlns:ds="http://schemas.openxmlformats.org/officeDocument/2006/customXml" ds:itemID="{4AF1E58A-2C75-4C97-96E0-C74DC6AFA088}"/>
</file>

<file path=docProps/app.xml><?xml version="1.0" encoding="utf-8"?>
<Properties xmlns="http://schemas.openxmlformats.org/officeDocument/2006/extended-properties" xmlns:vt="http://schemas.openxmlformats.org/officeDocument/2006/docPropsVTypes">
  <Template>Normal.dotm</Template>
  <TotalTime>0</TotalTime>
  <Pages>15</Pages>
  <Words>4348</Words>
  <Characters>24785</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CCDP</Company>
  <LinksUpToDate>false</LinksUpToDate>
  <CharactersWithSpaces>29075</CharactersWithSpaces>
  <SharedDoc>false</SharedDoc>
  <HLinks>
    <vt:vector size="66" baseType="variant">
      <vt:variant>
        <vt:i4>6619219</vt:i4>
      </vt:variant>
      <vt:variant>
        <vt:i4>63</vt:i4>
      </vt:variant>
      <vt:variant>
        <vt:i4>0</vt:i4>
      </vt:variant>
      <vt:variant>
        <vt:i4>5</vt:i4>
      </vt:variant>
      <vt:variant>
        <vt:lpwstr>http://tbinternet.ohchr.org/_layouts/treatybodyexternal/Download.aspx?symbolno=CRPD%2fC%2fCAN%2fCO%2f1&amp;Lang=en</vt:lpwstr>
      </vt:variant>
      <vt:variant>
        <vt:lpwstr/>
      </vt:variant>
      <vt:variant>
        <vt:i4>1769475</vt:i4>
      </vt:variant>
      <vt:variant>
        <vt:i4>56</vt:i4>
      </vt:variant>
      <vt:variant>
        <vt:i4>0</vt:i4>
      </vt:variant>
      <vt:variant>
        <vt:i4>5</vt:i4>
      </vt:variant>
      <vt:variant>
        <vt:lpwstr/>
      </vt:variant>
      <vt:variant>
        <vt:lpwstr>_Toc497115918</vt:lpwstr>
      </vt:variant>
      <vt:variant>
        <vt:i4>1769484</vt:i4>
      </vt:variant>
      <vt:variant>
        <vt:i4>50</vt:i4>
      </vt:variant>
      <vt:variant>
        <vt:i4>0</vt:i4>
      </vt:variant>
      <vt:variant>
        <vt:i4>5</vt:i4>
      </vt:variant>
      <vt:variant>
        <vt:lpwstr/>
      </vt:variant>
      <vt:variant>
        <vt:lpwstr>_Toc497115917</vt:lpwstr>
      </vt:variant>
      <vt:variant>
        <vt:i4>1769485</vt:i4>
      </vt:variant>
      <vt:variant>
        <vt:i4>44</vt:i4>
      </vt:variant>
      <vt:variant>
        <vt:i4>0</vt:i4>
      </vt:variant>
      <vt:variant>
        <vt:i4>5</vt:i4>
      </vt:variant>
      <vt:variant>
        <vt:lpwstr/>
      </vt:variant>
      <vt:variant>
        <vt:lpwstr>_Toc497115916</vt:lpwstr>
      </vt:variant>
      <vt:variant>
        <vt:i4>1769486</vt:i4>
      </vt:variant>
      <vt:variant>
        <vt:i4>38</vt:i4>
      </vt:variant>
      <vt:variant>
        <vt:i4>0</vt:i4>
      </vt:variant>
      <vt:variant>
        <vt:i4>5</vt:i4>
      </vt:variant>
      <vt:variant>
        <vt:lpwstr/>
      </vt:variant>
      <vt:variant>
        <vt:lpwstr>_Toc497115915</vt:lpwstr>
      </vt:variant>
      <vt:variant>
        <vt:i4>1769487</vt:i4>
      </vt:variant>
      <vt:variant>
        <vt:i4>32</vt:i4>
      </vt:variant>
      <vt:variant>
        <vt:i4>0</vt:i4>
      </vt:variant>
      <vt:variant>
        <vt:i4>5</vt:i4>
      </vt:variant>
      <vt:variant>
        <vt:lpwstr/>
      </vt:variant>
      <vt:variant>
        <vt:lpwstr>_Toc497115914</vt:lpwstr>
      </vt:variant>
      <vt:variant>
        <vt:i4>1769480</vt:i4>
      </vt:variant>
      <vt:variant>
        <vt:i4>26</vt:i4>
      </vt:variant>
      <vt:variant>
        <vt:i4>0</vt:i4>
      </vt:variant>
      <vt:variant>
        <vt:i4>5</vt:i4>
      </vt:variant>
      <vt:variant>
        <vt:lpwstr/>
      </vt:variant>
      <vt:variant>
        <vt:lpwstr>_Toc497115913</vt:lpwstr>
      </vt:variant>
      <vt:variant>
        <vt:i4>1769481</vt:i4>
      </vt:variant>
      <vt:variant>
        <vt:i4>20</vt:i4>
      </vt:variant>
      <vt:variant>
        <vt:i4>0</vt:i4>
      </vt:variant>
      <vt:variant>
        <vt:i4>5</vt:i4>
      </vt:variant>
      <vt:variant>
        <vt:lpwstr/>
      </vt:variant>
      <vt:variant>
        <vt:lpwstr>_Toc497115912</vt:lpwstr>
      </vt:variant>
      <vt:variant>
        <vt:i4>1769482</vt:i4>
      </vt:variant>
      <vt:variant>
        <vt:i4>14</vt:i4>
      </vt:variant>
      <vt:variant>
        <vt:i4>0</vt:i4>
      </vt:variant>
      <vt:variant>
        <vt:i4>5</vt:i4>
      </vt:variant>
      <vt:variant>
        <vt:lpwstr/>
      </vt:variant>
      <vt:variant>
        <vt:lpwstr>_Toc497115911</vt:lpwstr>
      </vt:variant>
      <vt:variant>
        <vt:i4>1769483</vt:i4>
      </vt:variant>
      <vt:variant>
        <vt:i4>8</vt:i4>
      </vt:variant>
      <vt:variant>
        <vt:i4>0</vt:i4>
      </vt:variant>
      <vt:variant>
        <vt:i4>5</vt:i4>
      </vt:variant>
      <vt:variant>
        <vt:lpwstr/>
      </vt:variant>
      <vt:variant>
        <vt:lpwstr>_Toc497115910</vt:lpwstr>
      </vt:variant>
      <vt:variant>
        <vt:i4>1703938</vt:i4>
      </vt:variant>
      <vt:variant>
        <vt:i4>2</vt:i4>
      </vt:variant>
      <vt:variant>
        <vt:i4>0</vt:i4>
      </vt:variant>
      <vt:variant>
        <vt:i4>5</vt:i4>
      </vt:variant>
      <vt:variant>
        <vt:lpwstr/>
      </vt:variant>
      <vt:variant>
        <vt:lpwstr>_Toc497115909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tt1</dc:creator>
  <cp:keywords/>
  <cp:lastModifiedBy>Author</cp:lastModifiedBy>
  <cp:revision>2</cp:revision>
  <cp:lastPrinted>2017-02-09T10:38:00Z</cp:lastPrinted>
  <dcterms:created xsi:type="dcterms:W3CDTF">2017-12-20T19:35:00Z</dcterms:created>
  <dcterms:modified xsi:type="dcterms:W3CDTF">2017-12-20T19:35:00Z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