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2C361" w14:textId="77777777" w:rsidR="003B58B6" w:rsidRPr="00B72B41" w:rsidRDefault="003B58B6" w:rsidP="00B72B41">
      <w:pPr>
        <w:spacing w:line="240" w:lineRule="auto"/>
        <w:jc w:val="both"/>
        <w:rPr>
          <w:rFonts w:ascii="Arial" w:hAnsi="Arial" w:cs="Arial"/>
          <w:b/>
        </w:rPr>
      </w:pPr>
      <w:r w:rsidRPr="00B72B41">
        <w:rPr>
          <w:rFonts w:ascii="Arial" w:hAnsi="Arial" w:cs="Arial"/>
          <w:b/>
          <w:noProof/>
          <w:lang w:val="en-US"/>
        </w:rPr>
        <w:drawing>
          <wp:inline distT="0" distB="0" distL="0" distR="0" wp14:anchorId="570D0545" wp14:editId="07777777">
            <wp:extent cx="2346960" cy="955286"/>
            <wp:effectExtent l="19050" t="0" r="0" b="0"/>
            <wp:docPr id="8" name="Picture 2" descr="C:\Users\MichaelW\Desktop\NZHRC_LOCKUP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aelW\Desktop\NZHRC_LOCKUP_RGB.jpg"/>
                    <pic:cNvPicPr>
                      <a:picLocks noChangeAspect="1" noChangeArrowheads="1"/>
                    </pic:cNvPicPr>
                  </pic:nvPicPr>
                  <pic:blipFill>
                    <a:blip r:embed="rId12" cstate="print"/>
                    <a:srcRect/>
                    <a:stretch>
                      <a:fillRect/>
                    </a:stretch>
                  </pic:blipFill>
                  <pic:spPr bwMode="auto">
                    <a:xfrm>
                      <a:off x="0" y="0"/>
                      <a:ext cx="2355177" cy="958630"/>
                    </a:xfrm>
                    <a:prstGeom prst="rect">
                      <a:avLst/>
                    </a:prstGeom>
                    <a:noFill/>
                    <a:ln w="9525">
                      <a:noFill/>
                      <a:miter lim="800000"/>
                      <a:headEnd/>
                      <a:tailEnd/>
                    </a:ln>
                  </pic:spPr>
                </pic:pic>
              </a:graphicData>
            </a:graphic>
          </wp:inline>
        </w:drawing>
      </w:r>
    </w:p>
    <w:p w14:paraId="4E0E5341" w14:textId="77777777" w:rsidR="003B58B6" w:rsidRPr="00B72B41" w:rsidRDefault="003B58B6" w:rsidP="00B72B41">
      <w:pPr>
        <w:spacing w:line="240" w:lineRule="auto"/>
        <w:jc w:val="both"/>
        <w:rPr>
          <w:rFonts w:ascii="Arial" w:hAnsi="Arial" w:cs="Arial"/>
          <w:b/>
        </w:rPr>
      </w:pPr>
    </w:p>
    <w:p w14:paraId="169CB77D" w14:textId="77777777" w:rsidR="00872A47" w:rsidRPr="00B72B41" w:rsidRDefault="3A4C78B7" w:rsidP="00B72B41">
      <w:pPr>
        <w:spacing w:line="240" w:lineRule="auto"/>
        <w:jc w:val="both"/>
        <w:rPr>
          <w:rFonts w:ascii="Arial" w:hAnsi="Arial" w:cs="Arial"/>
          <w:b/>
          <w:bCs/>
          <w:sz w:val="24"/>
        </w:rPr>
      </w:pPr>
      <w:r w:rsidRPr="00B72B41">
        <w:rPr>
          <w:rFonts w:ascii="Arial" w:hAnsi="Arial" w:cs="Arial"/>
          <w:b/>
          <w:bCs/>
          <w:sz w:val="24"/>
        </w:rPr>
        <w:t>Committee on the Rights of Persons with Disabilities: Day of General Discussion on Article 5</w:t>
      </w:r>
    </w:p>
    <w:p w14:paraId="1C79421F" w14:textId="4D754B65" w:rsidR="00B07BEB" w:rsidRPr="00B72B41" w:rsidRDefault="3A4C78B7" w:rsidP="00B72B41">
      <w:pPr>
        <w:spacing w:line="240" w:lineRule="auto"/>
        <w:jc w:val="both"/>
        <w:rPr>
          <w:rFonts w:ascii="Arial" w:hAnsi="Arial" w:cs="Arial"/>
          <w:b/>
          <w:bCs/>
          <w:sz w:val="24"/>
        </w:rPr>
      </w:pPr>
      <w:r w:rsidRPr="00B72B41">
        <w:rPr>
          <w:rFonts w:ascii="Arial" w:hAnsi="Arial" w:cs="Arial"/>
          <w:b/>
          <w:bCs/>
          <w:sz w:val="24"/>
        </w:rPr>
        <w:t xml:space="preserve">07 July 2017 </w:t>
      </w:r>
    </w:p>
    <w:p w14:paraId="27DA3A69" w14:textId="77777777" w:rsidR="00B72B41" w:rsidRPr="00B72B41" w:rsidRDefault="00B72B41" w:rsidP="00B72B41">
      <w:pPr>
        <w:spacing w:line="240" w:lineRule="auto"/>
        <w:jc w:val="both"/>
        <w:rPr>
          <w:rFonts w:ascii="Arial" w:hAnsi="Arial" w:cs="Arial"/>
          <w:b/>
          <w:bCs/>
          <w:sz w:val="24"/>
        </w:rPr>
      </w:pPr>
    </w:p>
    <w:p w14:paraId="72EA7101" w14:textId="77777777" w:rsidR="00CD5113" w:rsidRPr="00B72B41" w:rsidRDefault="3A4C78B7" w:rsidP="00B72B41">
      <w:pPr>
        <w:jc w:val="both"/>
        <w:rPr>
          <w:rFonts w:ascii="Arial" w:hAnsi="Arial" w:cs="Arial"/>
          <w:b/>
          <w:bCs/>
        </w:rPr>
      </w:pPr>
      <w:r w:rsidRPr="00B72B41">
        <w:rPr>
          <w:rFonts w:ascii="Arial" w:hAnsi="Arial" w:cs="Arial"/>
          <w:b/>
          <w:bCs/>
        </w:rPr>
        <w:t xml:space="preserve">Introduction </w:t>
      </w:r>
    </w:p>
    <w:p w14:paraId="26FE3A16" w14:textId="16F35E89" w:rsidR="00C742F2" w:rsidRDefault="3A4C78B7" w:rsidP="00B72B41">
      <w:pPr>
        <w:pStyle w:val="ListParagraph"/>
        <w:numPr>
          <w:ilvl w:val="0"/>
          <w:numId w:val="21"/>
        </w:numPr>
        <w:jc w:val="both"/>
        <w:rPr>
          <w:rFonts w:ascii="Arial" w:hAnsi="Arial" w:cs="Arial"/>
        </w:rPr>
      </w:pPr>
      <w:r w:rsidRPr="00B72B41">
        <w:rPr>
          <w:rFonts w:ascii="Arial" w:hAnsi="Arial" w:cs="Arial"/>
        </w:rPr>
        <w:t xml:space="preserve">The New Zealand Human Rights Commission (“the Commission”) welcomes the opportunity to make a submission to the Committee on the Rights of Persons with Disabilities (“the Committee”). The Commission is New Zealand’s National Human Rights Institution (“NHRI”). It is accredited as an “A” status NHRI. It is an independent Crown Entity pursuant to the Crown Entities Act 2004 and derives its statutory mandate from the Human Rights Act 1993 (“HRA”). The long title to the HRA states it is intended to provide better protection of human rights in New Zealand in general accordance with United Nations human rights covenants and conventions. In terms of disability rights, the Commission’s primary function is to “protect the full and equal enjoyment of persons with disabilities”. </w:t>
      </w:r>
    </w:p>
    <w:p w14:paraId="117E6166" w14:textId="77777777" w:rsidR="00B72B41" w:rsidRPr="00B72B41" w:rsidRDefault="00B72B41" w:rsidP="00B72B41">
      <w:pPr>
        <w:pStyle w:val="ListParagraph"/>
        <w:jc w:val="both"/>
        <w:rPr>
          <w:rFonts w:ascii="Arial" w:hAnsi="Arial" w:cs="Arial"/>
        </w:rPr>
      </w:pPr>
    </w:p>
    <w:p w14:paraId="6EBA92BD" w14:textId="0B8EBB54" w:rsidR="00A6092F" w:rsidRDefault="00A6092F" w:rsidP="00B72B41">
      <w:pPr>
        <w:pStyle w:val="ListParagraph"/>
        <w:numPr>
          <w:ilvl w:val="0"/>
          <w:numId w:val="21"/>
        </w:numPr>
        <w:jc w:val="both"/>
        <w:rPr>
          <w:rFonts w:ascii="Arial" w:hAnsi="Arial" w:cs="Arial"/>
        </w:rPr>
      </w:pPr>
      <w:r w:rsidRPr="00B72B41">
        <w:rPr>
          <w:rFonts w:ascii="Arial" w:hAnsi="Arial" w:cs="Arial"/>
        </w:rPr>
        <w:t>The purpose of this submission is to provide input into and stimulate discussion at the Day of General Discussion on Article 5 that the Committee is holding on 25 August 2017. We understand that the outcome of the Day will inform the drafting process of the Committee’s General Comment on Article 5. </w:t>
      </w:r>
    </w:p>
    <w:p w14:paraId="7DB530D2" w14:textId="77777777" w:rsidR="00B72B41" w:rsidRPr="00B72B41" w:rsidRDefault="00B72B41" w:rsidP="00B72B41">
      <w:pPr>
        <w:pStyle w:val="ListParagraph"/>
        <w:jc w:val="both"/>
        <w:rPr>
          <w:rFonts w:ascii="Arial" w:hAnsi="Arial" w:cs="Arial"/>
        </w:rPr>
      </w:pPr>
    </w:p>
    <w:p w14:paraId="069C5573" w14:textId="77777777" w:rsidR="00A6092F" w:rsidRPr="00B72B41" w:rsidRDefault="00A6092F" w:rsidP="00B72B41">
      <w:pPr>
        <w:pStyle w:val="ListParagraph"/>
        <w:numPr>
          <w:ilvl w:val="0"/>
          <w:numId w:val="21"/>
        </w:numPr>
        <w:jc w:val="both"/>
        <w:rPr>
          <w:rFonts w:ascii="Arial" w:hAnsi="Arial" w:cs="Arial"/>
        </w:rPr>
      </w:pPr>
      <w:r w:rsidRPr="00B72B41">
        <w:rPr>
          <w:rFonts w:ascii="Arial" w:hAnsi="Arial" w:cs="Arial"/>
        </w:rPr>
        <w:t>The Commission is providing a focussed submission addressing screening policies that target specific populations of people with disabilities, particularly people with Down Syndrome.  The Day of General Discussion provides an important opportunity to consider these issues in light of the principle of respect for difference and acceptance in Article 3 and the principle of non-discrimination set out in Article 5.</w:t>
      </w:r>
    </w:p>
    <w:p w14:paraId="30B73790" w14:textId="77777777" w:rsidR="00B72B41" w:rsidRDefault="00B72B41" w:rsidP="00B72B41">
      <w:pPr>
        <w:pStyle w:val="ListParagraph"/>
        <w:jc w:val="both"/>
        <w:rPr>
          <w:rFonts w:ascii="Arial" w:hAnsi="Arial" w:cs="Arial"/>
        </w:rPr>
      </w:pPr>
    </w:p>
    <w:p w14:paraId="3F6BAFD8" w14:textId="3EB494A4" w:rsidR="00A6092F" w:rsidRPr="00B72B41" w:rsidRDefault="00A6092F" w:rsidP="00B72B41">
      <w:pPr>
        <w:pStyle w:val="ListParagraph"/>
        <w:numPr>
          <w:ilvl w:val="0"/>
          <w:numId w:val="21"/>
        </w:numPr>
        <w:jc w:val="both"/>
        <w:rPr>
          <w:rFonts w:ascii="Arial" w:hAnsi="Arial" w:cs="Arial"/>
        </w:rPr>
      </w:pPr>
      <w:r w:rsidRPr="00B72B41">
        <w:rPr>
          <w:rFonts w:ascii="Arial" w:hAnsi="Arial" w:cs="Arial"/>
        </w:rPr>
        <w:t>This submission draws on the outcomes of a side session the Commission facilitated about the celebrations, challenges, and future for people with Down Syndrome at the 10th Conference of States Parties on 15 June 2017. The Commission also draws the attention of the Committee to work undertaken in this area by Janet Lord, senior researcher at the Harvard Law School Project on Disability.</w:t>
      </w:r>
      <w:r w:rsidRPr="00DF375B">
        <w:rPr>
          <w:rFonts w:ascii="Arial" w:hAnsi="Arial" w:cs="Arial"/>
          <w:vertAlign w:val="superscript"/>
        </w:rPr>
        <w:footnoteReference w:id="1"/>
      </w:r>
      <w:r w:rsidRPr="00DF375B">
        <w:rPr>
          <w:rFonts w:ascii="Arial" w:hAnsi="Arial" w:cs="Arial"/>
          <w:vertAlign w:val="superscript"/>
        </w:rPr>
        <w:t xml:space="preserve"> </w:t>
      </w:r>
    </w:p>
    <w:p w14:paraId="57B4401D" w14:textId="77777777" w:rsidR="00B72B41" w:rsidRDefault="00B72B41" w:rsidP="00B72B41">
      <w:pPr>
        <w:pStyle w:val="ListParagraph"/>
        <w:jc w:val="both"/>
        <w:rPr>
          <w:rFonts w:ascii="Arial" w:hAnsi="Arial" w:cs="Arial"/>
        </w:rPr>
      </w:pPr>
    </w:p>
    <w:p w14:paraId="0C9CC46E" w14:textId="7E993C89" w:rsidR="00A6092F" w:rsidRDefault="00A6092F" w:rsidP="00B72B41">
      <w:pPr>
        <w:pStyle w:val="ListParagraph"/>
        <w:numPr>
          <w:ilvl w:val="0"/>
          <w:numId w:val="21"/>
        </w:numPr>
        <w:jc w:val="both"/>
        <w:rPr>
          <w:rFonts w:ascii="Arial" w:hAnsi="Arial" w:cs="Arial"/>
        </w:rPr>
      </w:pPr>
      <w:r w:rsidRPr="00B72B41">
        <w:rPr>
          <w:rFonts w:ascii="Arial" w:hAnsi="Arial" w:cs="Arial"/>
        </w:rPr>
        <w:t xml:space="preserve">The social model of disability, which underpins the Convention on the Rights of Persons with Disabilities (“CRPD”), constructs ‘disability’ as a consequence of the </w:t>
      </w:r>
      <w:r w:rsidRPr="00B72B41">
        <w:rPr>
          <w:rFonts w:ascii="Arial" w:hAnsi="Arial" w:cs="Arial"/>
        </w:rPr>
        <w:lastRenderedPageBreak/>
        <w:t>interaction of an individual and an environment which does not accommodate an individual’s differences and limits or impedes an individual’s participation in society.</w:t>
      </w:r>
      <w:r w:rsidRPr="00DF375B">
        <w:rPr>
          <w:rFonts w:ascii="Arial" w:hAnsi="Arial" w:cs="Arial"/>
          <w:vertAlign w:val="superscript"/>
        </w:rPr>
        <w:footnoteReference w:id="2"/>
      </w:r>
      <w:r w:rsidRPr="00DF375B">
        <w:rPr>
          <w:rFonts w:ascii="Arial" w:hAnsi="Arial" w:cs="Arial"/>
          <w:vertAlign w:val="superscript"/>
        </w:rPr>
        <w:t xml:space="preserve">  </w:t>
      </w:r>
    </w:p>
    <w:p w14:paraId="017E7C49" w14:textId="77777777" w:rsidR="00B72B41" w:rsidRPr="00B72B41" w:rsidRDefault="00B72B41" w:rsidP="00B72B41">
      <w:pPr>
        <w:pStyle w:val="ListParagraph"/>
        <w:rPr>
          <w:rFonts w:ascii="Arial" w:hAnsi="Arial" w:cs="Arial"/>
        </w:rPr>
      </w:pPr>
    </w:p>
    <w:p w14:paraId="75286F59" w14:textId="77777777" w:rsidR="00A6092F" w:rsidRPr="00B72B41" w:rsidRDefault="00A6092F" w:rsidP="00B72B41">
      <w:pPr>
        <w:pStyle w:val="ListParagraph"/>
        <w:numPr>
          <w:ilvl w:val="0"/>
          <w:numId w:val="21"/>
        </w:numPr>
        <w:jc w:val="both"/>
        <w:rPr>
          <w:rFonts w:ascii="Arial" w:hAnsi="Arial" w:cs="Arial"/>
        </w:rPr>
      </w:pPr>
      <w:r w:rsidRPr="00B72B41">
        <w:rPr>
          <w:rFonts w:ascii="Arial" w:hAnsi="Arial" w:cs="Arial"/>
        </w:rPr>
        <w:t xml:space="preserve">The realisation of Article 5 of the CRPD is fundamental to the ability of people with disabilities to participate fully in society on an equal basis with others. States parties must ensure that all people with disabilities are equally protected and obtain equal benefit under the law; that they are protected from all discrimination on the basis of disability; and that reasonable accommodation is provided in order to eliminate discrimination. </w:t>
      </w:r>
    </w:p>
    <w:p w14:paraId="1D857EAD" w14:textId="77777777" w:rsidR="00D92409" w:rsidRPr="00B72B41" w:rsidRDefault="00D92409" w:rsidP="00B72B41">
      <w:pPr>
        <w:pStyle w:val="Default"/>
        <w:spacing w:line="276" w:lineRule="auto"/>
        <w:jc w:val="both"/>
        <w:rPr>
          <w:rFonts w:ascii="Arial" w:eastAsiaTheme="minorEastAsia" w:hAnsi="Arial" w:cs="Arial"/>
          <w:color w:val="auto"/>
          <w:sz w:val="22"/>
          <w:szCs w:val="22"/>
        </w:rPr>
      </w:pPr>
    </w:p>
    <w:p w14:paraId="6C31935C" w14:textId="7D04A0B3" w:rsidR="00DF375B" w:rsidRPr="00DF375B" w:rsidRDefault="3A4C78B7" w:rsidP="00B72B41">
      <w:pPr>
        <w:pStyle w:val="Default"/>
        <w:spacing w:line="276" w:lineRule="auto"/>
        <w:jc w:val="both"/>
        <w:rPr>
          <w:rFonts w:ascii="Arial" w:eastAsiaTheme="minorEastAsia" w:hAnsi="Arial" w:cs="Arial"/>
          <w:b/>
          <w:bCs/>
          <w:color w:val="auto"/>
          <w:sz w:val="22"/>
          <w:szCs w:val="22"/>
        </w:rPr>
      </w:pPr>
      <w:r w:rsidRPr="00B72B41">
        <w:rPr>
          <w:rFonts w:ascii="Arial" w:eastAsiaTheme="minorEastAsia" w:hAnsi="Arial" w:cs="Arial"/>
          <w:b/>
          <w:bCs/>
          <w:color w:val="auto"/>
          <w:sz w:val="22"/>
          <w:szCs w:val="22"/>
        </w:rPr>
        <w:t xml:space="preserve">Definition of ‘discrimination’ </w:t>
      </w:r>
    </w:p>
    <w:p w14:paraId="486A2FC6" w14:textId="1D0AC29D" w:rsidR="00A6092F" w:rsidRPr="00B72B41" w:rsidRDefault="00D92409" w:rsidP="00B72B41">
      <w:pPr>
        <w:pStyle w:val="ListParagraph"/>
        <w:numPr>
          <w:ilvl w:val="0"/>
          <w:numId w:val="21"/>
        </w:numPr>
        <w:jc w:val="both"/>
        <w:rPr>
          <w:rFonts w:ascii="Arial" w:hAnsi="Arial" w:cs="Arial"/>
        </w:rPr>
      </w:pPr>
      <w:r w:rsidRPr="00B72B41">
        <w:rPr>
          <w:rFonts w:ascii="Arial" w:hAnsi="Arial" w:cs="Arial"/>
        </w:rPr>
        <w:t>The CRPD defines disability discrimination as “any distinction, exclusion or restriction on the basis of disability” that “has the purpose or effect of impairing or nullifying the recognition, enjoyment or exercise, on an equal basis with others, of all human rights and fundamental freedoms” and it extends to “all forms of discrimination, including denial of reasonable accommodation”</w:t>
      </w:r>
      <w:r w:rsidRPr="00DF375B">
        <w:rPr>
          <w:rFonts w:ascii="Arial" w:hAnsi="Arial" w:cs="Arial"/>
          <w:vertAlign w:val="superscript"/>
        </w:rPr>
        <w:footnoteReference w:id="3"/>
      </w:r>
    </w:p>
    <w:p w14:paraId="582F5BB0" w14:textId="77777777" w:rsidR="00B72B41" w:rsidRDefault="00B72B41" w:rsidP="00B72B41">
      <w:pPr>
        <w:pStyle w:val="ListParagraph"/>
        <w:jc w:val="both"/>
        <w:rPr>
          <w:rFonts w:ascii="Arial" w:hAnsi="Arial" w:cs="Arial"/>
        </w:rPr>
      </w:pPr>
    </w:p>
    <w:p w14:paraId="0448A4AF" w14:textId="4F3FA87B" w:rsidR="0038045A" w:rsidRDefault="00D92409" w:rsidP="00B72B41">
      <w:pPr>
        <w:pStyle w:val="ListParagraph"/>
        <w:numPr>
          <w:ilvl w:val="0"/>
          <w:numId w:val="21"/>
        </w:numPr>
        <w:jc w:val="both"/>
        <w:rPr>
          <w:rFonts w:ascii="Arial" w:hAnsi="Arial" w:cs="Arial"/>
        </w:rPr>
      </w:pPr>
      <w:r w:rsidRPr="00B72B41">
        <w:rPr>
          <w:rFonts w:ascii="Arial" w:hAnsi="Arial" w:cs="Arial"/>
        </w:rPr>
        <w:t>As defined in the CRPD, disability discrimina</w:t>
      </w:r>
      <w:r w:rsidR="001470FF" w:rsidRPr="00B72B41">
        <w:rPr>
          <w:rFonts w:ascii="Arial" w:hAnsi="Arial" w:cs="Arial"/>
        </w:rPr>
        <w:t>tion applies not only to people</w:t>
      </w:r>
      <w:r w:rsidRPr="00B72B41">
        <w:rPr>
          <w:rFonts w:ascii="Arial" w:hAnsi="Arial" w:cs="Arial"/>
        </w:rPr>
        <w:t xml:space="preserve"> with disabilities, but also to people associated with </w:t>
      </w:r>
      <w:r w:rsidR="001470FF" w:rsidRPr="00B72B41">
        <w:rPr>
          <w:rFonts w:ascii="Arial" w:hAnsi="Arial" w:cs="Arial"/>
        </w:rPr>
        <w:t>them</w:t>
      </w:r>
      <w:r w:rsidRPr="00B72B41">
        <w:rPr>
          <w:rFonts w:ascii="Arial" w:hAnsi="Arial" w:cs="Arial"/>
        </w:rPr>
        <w:t xml:space="preserve">, such as family members, </w:t>
      </w:r>
      <w:r w:rsidR="001470FF" w:rsidRPr="00B72B41">
        <w:rPr>
          <w:rFonts w:ascii="Arial" w:hAnsi="Arial" w:cs="Arial"/>
        </w:rPr>
        <w:t>friends, or support staff</w:t>
      </w:r>
      <w:r w:rsidRPr="00B72B41">
        <w:rPr>
          <w:rFonts w:ascii="Arial" w:hAnsi="Arial" w:cs="Arial"/>
        </w:rPr>
        <w:t>. Further, the CPRD creates legal obligations calling for positive action in rendering all rights (right to health, information, education, among others) accessible, and requires partici</w:t>
      </w:r>
      <w:r w:rsidR="004E2059" w:rsidRPr="00B72B41">
        <w:rPr>
          <w:rFonts w:ascii="Arial" w:hAnsi="Arial" w:cs="Arial"/>
        </w:rPr>
        <w:t>pation and respect for autonomy.</w:t>
      </w:r>
      <w:r w:rsidR="004E2059" w:rsidRPr="00DF375B">
        <w:rPr>
          <w:rFonts w:ascii="Arial" w:hAnsi="Arial" w:cs="Arial"/>
          <w:vertAlign w:val="superscript"/>
        </w:rPr>
        <w:footnoteReference w:id="4"/>
      </w:r>
    </w:p>
    <w:p w14:paraId="1E7286B4" w14:textId="77777777" w:rsidR="00B72B41" w:rsidRDefault="00B72B41" w:rsidP="00B72B41">
      <w:pPr>
        <w:pStyle w:val="ListParagraph"/>
        <w:jc w:val="both"/>
        <w:rPr>
          <w:rFonts w:ascii="Arial" w:hAnsi="Arial" w:cs="Arial"/>
        </w:rPr>
      </w:pPr>
    </w:p>
    <w:p w14:paraId="7EF9CFD6" w14:textId="179DDEA1" w:rsidR="00B72B41" w:rsidRDefault="3A4C78B7" w:rsidP="00B72B41">
      <w:pPr>
        <w:pStyle w:val="ListParagraph"/>
        <w:numPr>
          <w:ilvl w:val="0"/>
          <w:numId w:val="21"/>
        </w:numPr>
        <w:jc w:val="both"/>
        <w:rPr>
          <w:rFonts w:ascii="Arial" w:hAnsi="Arial" w:cs="Arial"/>
        </w:rPr>
      </w:pPr>
      <w:r w:rsidRPr="00B72B41">
        <w:rPr>
          <w:rFonts w:ascii="Arial" w:hAnsi="Arial" w:cs="Arial"/>
        </w:rPr>
        <w:t>Currently, Article 10 of the CRPD does not recognise the existence of legal protections from discrimination pre-birth. However, there is some recognition of the need for special safeguards before birth in the preamble to the United Nations Convention on the Rights of the Child which states:</w:t>
      </w:r>
    </w:p>
    <w:p w14:paraId="1C24742A" w14:textId="77777777" w:rsidR="00B72B41" w:rsidRPr="00B72B41" w:rsidRDefault="00B72B41" w:rsidP="00B72B41">
      <w:pPr>
        <w:pStyle w:val="ListParagraph"/>
        <w:jc w:val="both"/>
        <w:rPr>
          <w:rFonts w:ascii="Arial" w:hAnsi="Arial" w:cs="Arial"/>
        </w:rPr>
      </w:pPr>
    </w:p>
    <w:p w14:paraId="309B7F23" w14:textId="77777777" w:rsidR="001470FF" w:rsidRPr="00B72B41" w:rsidRDefault="008C03A5" w:rsidP="00B72B41">
      <w:pPr>
        <w:pStyle w:val="ListParagraph"/>
        <w:numPr>
          <w:ilvl w:val="0"/>
          <w:numId w:val="21"/>
        </w:numPr>
        <w:jc w:val="both"/>
        <w:rPr>
          <w:rFonts w:ascii="Arial" w:hAnsi="Arial" w:cs="Arial"/>
        </w:rPr>
      </w:pPr>
      <w:r w:rsidRPr="00B72B41">
        <w:rPr>
          <w:rFonts w:ascii="Arial" w:hAnsi="Arial" w:cs="Arial"/>
        </w:rPr>
        <w:t>“the child, by reason of his physical and mental immaturity, needs special safeguards and care, including appropriate legal protection, before as well as after birth”</w:t>
      </w:r>
      <w:r w:rsidRPr="00DF375B">
        <w:rPr>
          <w:rFonts w:ascii="Arial" w:hAnsi="Arial" w:cs="Arial"/>
          <w:vertAlign w:val="superscript"/>
        </w:rPr>
        <w:footnoteReference w:id="5"/>
      </w:r>
    </w:p>
    <w:p w14:paraId="547B3229" w14:textId="77777777" w:rsidR="008C03A5" w:rsidRPr="00B72B41" w:rsidRDefault="008C03A5" w:rsidP="00B72B41">
      <w:pPr>
        <w:jc w:val="both"/>
        <w:rPr>
          <w:rFonts w:ascii="Arial" w:hAnsi="Arial" w:cs="Arial"/>
        </w:rPr>
      </w:pPr>
    </w:p>
    <w:p w14:paraId="154020CB" w14:textId="72F8A68A" w:rsidR="008A6CD8" w:rsidRPr="00B72B41" w:rsidRDefault="3A4C78B7" w:rsidP="00B72B41">
      <w:pPr>
        <w:jc w:val="both"/>
        <w:rPr>
          <w:rFonts w:ascii="Arial" w:hAnsi="Arial" w:cs="Arial"/>
          <w:b/>
        </w:rPr>
      </w:pPr>
      <w:r w:rsidRPr="00B72B41">
        <w:rPr>
          <w:rFonts w:ascii="Arial" w:hAnsi="Arial" w:cs="Arial"/>
          <w:b/>
        </w:rPr>
        <w:t>How the discrimination principle applies to screening/termination policies</w:t>
      </w:r>
    </w:p>
    <w:p w14:paraId="4A637C13" w14:textId="3C763A81" w:rsidR="00B07BEB" w:rsidRDefault="3A4C78B7" w:rsidP="00B72B41">
      <w:pPr>
        <w:pStyle w:val="ListParagraph"/>
        <w:numPr>
          <w:ilvl w:val="0"/>
          <w:numId w:val="21"/>
        </w:numPr>
        <w:jc w:val="both"/>
        <w:rPr>
          <w:rFonts w:ascii="Arial" w:hAnsi="Arial" w:cs="Arial"/>
        </w:rPr>
      </w:pPr>
      <w:r w:rsidRPr="00B72B41">
        <w:rPr>
          <w:rFonts w:ascii="Arial" w:hAnsi="Arial" w:cs="Arial"/>
        </w:rPr>
        <w:t xml:space="preserve">A disability-selective antenatal screening policy that has the purpose or effect of birth prevention of a protected minority group could be considered as raising issues of discrimination insofar as it impacts the social (and other rights) of the protected group. Practically, birth prevention of a specific group impacts on that group and the wider disability community in that it increases stigma in society, means there are fewer people with lived experience to advocate for protections and services, and adds to the notion that disability is a negative experience rather than a facet of human diversity. </w:t>
      </w:r>
    </w:p>
    <w:p w14:paraId="1EAF4BB8" w14:textId="77777777" w:rsidR="00B72B41" w:rsidRPr="00B72B41" w:rsidRDefault="00B72B41" w:rsidP="00B72B41">
      <w:pPr>
        <w:pStyle w:val="ListParagraph"/>
        <w:jc w:val="both"/>
        <w:rPr>
          <w:rFonts w:ascii="Arial" w:hAnsi="Arial" w:cs="Arial"/>
        </w:rPr>
      </w:pPr>
    </w:p>
    <w:p w14:paraId="699C1D08" w14:textId="16745453" w:rsidR="00B72B41" w:rsidRPr="00DF375B" w:rsidRDefault="008A6CD8" w:rsidP="00B72B41">
      <w:pPr>
        <w:pStyle w:val="ListParagraph"/>
        <w:numPr>
          <w:ilvl w:val="0"/>
          <w:numId w:val="21"/>
        </w:numPr>
        <w:jc w:val="both"/>
        <w:rPr>
          <w:rFonts w:ascii="Arial" w:hAnsi="Arial" w:cs="Arial"/>
          <w:vertAlign w:val="superscript"/>
        </w:rPr>
      </w:pPr>
      <w:r w:rsidRPr="00B72B41">
        <w:rPr>
          <w:rFonts w:ascii="Arial" w:hAnsi="Arial" w:cs="Arial"/>
        </w:rPr>
        <w:t xml:space="preserve">This </w:t>
      </w:r>
      <w:r w:rsidR="00D92409" w:rsidRPr="00B72B41">
        <w:rPr>
          <w:rFonts w:ascii="Arial" w:hAnsi="Arial" w:cs="Arial"/>
        </w:rPr>
        <w:t xml:space="preserve">analysis  appears to align with the understanding of discrimination </w:t>
      </w:r>
      <w:r w:rsidR="00143309" w:rsidRPr="00B72B41">
        <w:rPr>
          <w:rFonts w:ascii="Arial" w:hAnsi="Arial" w:cs="Arial"/>
        </w:rPr>
        <w:t xml:space="preserve">expressed </w:t>
      </w:r>
      <w:r w:rsidR="004E2059" w:rsidRPr="00B72B41">
        <w:rPr>
          <w:rFonts w:ascii="Arial" w:hAnsi="Arial" w:cs="Arial"/>
        </w:rPr>
        <w:t>by the</w:t>
      </w:r>
      <w:r w:rsidR="00D92409" w:rsidRPr="00B72B41">
        <w:rPr>
          <w:rFonts w:ascii="Arial" w:hAnsi="Arial" w:cs="Arial"/>
        </w:rPr>
        <w:t xml:space="preserve"> Committee</w:t>
      </w:r>
      <w:r w:rsidR="004E2059" w:rsidRPr="00B72B41">
        <w:rPr>
          <w:rFonts w:ascii="Arial" w:hAnsi="Arial" w:cs="Arial"/>
        </w:rPr>
        <w:t xml:space="preserve"> on the Rights of the Child (“CRC Committee”</w:t>
      </w:r>
      <w:r w:rsidR="008A0EE9" w:rsidRPr="00B72B41">
        <w:rPr>
          <w:rFonts w:ascii="Arial" w:hAnsi="Arial" w:cs="Arial"/>
        </w:rPr>
        <w:t>)</w:t>
      </w:r>
      <w:r w:rsidR="00D92409" w:rsidRPr="00B72B41">
        <w:rPr>
          <w:rFonts w:ascii="Arial" w:hAnsi="Arial" w:cs="Arial"/>
        </w:rPr>
        <w:t xml:space="preserve"> in the context of sex selective screening practices where the </w:t>
      </w:r>
      <w:r w:rsidR="004E2059" w:rsidRPr="00B72B41">
        <w:rPr>
          <w:rFonts w:ascii="Arial" w:hAnsi="Arial" w:cs="Arial"/>
        </w:rPr>
        <w:t xml:space="preserve">CRC </w:t>
      </w:r>
      <w:r w:rsidR="00D92409" w:rsidRPr="00B72B41">
        <w:rPr>
          <w:rFonts w:ascii="Arial" w:hAnsi="Arial" w:cs="Arial"/>
        </w:rPr>
        <w:t>Committee noted that “[d]</w:t>
      </w:r>
      <w:r w:rsidR="00DF375B" w:rsidRPr="00B72B41">
        <w:rPr>
          <w:rFonts w:ascii="Arial" w:hAnsi="Arial" w:cs="Arial"/>
        </w:rPr>
        <w:t>iscrimination</w:t>
      </w:r>
      <w:r w:rsidR="00D92409" w:rsidRPr="00B72B41">
        <w:rPr>
          <w:rFonts w:ascii="Arial" w:hAnsi="Arial" w:cs="Arial"/>
        </w:rPr>
        <w:t xml:space="preserve"> against girl children is a serious violation of rights, affecting their survival and all areas </w:t>
      </w:r>
      <w:r w:rsidR="00D92409" w:rsidRPr="00B72B41">
        <w:rPr>
          <w:rFonts w:ascii="Arial" w:hAnsi="Arial" w:cs="Arial"/>
        </w:rPr>
        <w:lastRenderedPageBreak/>
        <w:t>of their young lives as well as restricting their capacity to contribute positively to society” and, further, that girl children “may be victims of selective abortion, genital mutilation, neglect and infanticide, including through</w:t>
      </w:r>
      <w:r w:rsidR="004E2059" w:rsidRPr="00B72B41">
        <w:rPr>
          <w:rFonts w:ascii="Arial" w:hAnsi="Arial" w:cs="Arial"/>
        </w:rPr>
        <w:t xml:space="preserve"> inadequate feeding in infancy</w:t>
      </w:r>
      <w:r w:rsidR="004E2059" w:rsidRPr="00DF375B">
        <w:rPr>
          <w:rFonts w:ascii="Arial" w:hAnsi="Arial" w:cs="Arial"/>
          <w:vertAlign w:val="superscript"/>
        </w:rPr>
        <w:t>”</w:t>
      </w:r>
      <w:r w:rsidR="004E2059" w:rsidRPr="00DF375B">
        <w:rPr>
          <w:rFonts w:ascii="Arial" w:hAnsi="Arial" w:cs="Arial"/>
          <w:vertAlign w:val="superscript"/>
        </w:rPr>
        <w:footnoteReference w:id="6"/>
      </w:r>
    </w:p>
    <w:p w14:paraId="07C4335F" w14:textId="77777777" w:rsidR="00B72B41" w:rsidRPr="00B72B41" w:rsidRDefault="00B72B41" w:rsidP="00B72B41">
      <w:pPr>
        <w:pStyle w:val="ListParagraph"/>
        <w:jc w:val="both"/>
        <w:rPr>
          <w:rFonts w:ascii="Arial" w:hAnsi="Arial" w:cs="Arial"/>
        </w:rPr>
      </w:pPr>
    </w:p>
    <w:p w14:paraId="6344323B" w14:textId="77777777" w:rsidR="00D92409" w:rsidRPr="00B72B41" w:rsidRDefault="3A4C78B7" w:rsidP="00B72B41">
      <w:pPr>
        <w:pStyle w:val="ListParagraph"/>
        <w:numPr>
          <w:ilvl w:val="0"/>
          <w:numId w:val="21"/>
        </w:numPr>
        <w:jc w:val="both"/>
        <w:rPr>
          <w:rFonts w:ascii="Arial" w:hAnsi="Arial" w:cs="Arial"/>
        </w:rPr>
      </w:pPr>
      <w:r w:rsidRPr="00B72B41">
        <w:rPr>
          <w:rFonts w:ascii="Arial" w:hAnsi="Arial" w:cs="Arial"/>
        </w:rPr>
        <w:t>Similarly, the Platform for Action adopted at the Fourth World Conference on Women states:</w:t>
      </w:r>
    </w:p>
    <w:p w14:paraId="5C947CCF" w14:textId="77777777" w:rsidR="00A6092F" w:rsidRPr="00B72B41" w:rsidRDefault="00A6092F" w:rsidP="00B72B41">
      <w:pPr>
        <w:pStyle w:val="ListParagraph"/>
        <w:jc w:val="both"/>
        <w:rPr>
          <w:rFonts w:ascii="Arial" w:hAnsi="Arial" w:cs="Arial"/>
        </w:rPr>
      </w:pPr>
    </w:p>
    <w:p w14:paraId="76B32E13" w14:textId="5AD94900" w:rsidR="00D92409" w:rsidRDefault="004E2059" w:rsidP="00B72B41">
      <w:pPr>
        <w:pStyle w:val="ListParagraph"/>
        <w:ind w:left="1440"/>
        <w:jc w:val="both"/>
        <w:rPr>
          <w:rFonts w:ascii="Arial" w:hAnsi="Arial" w:cs="Arial"/>
        </w:rPr>
      </w:pPr>
      <w:r w:rsidRPr="00B72B41">
        <w:rPr>
          <w:rFonts w:ascii="Arial" w:hAnsi="Arial" w:cs="Arial"/>
        </w:rPr>
        <w:t>“</w:t>
      </w:r>
      <w:r w:rsidR="00D92409" w:rsidRPr="00B72B41">
        <w:rPr>
          <w:rFonts w:ascii="Arial" w:hAnsi="Arial" w:cs="Arial"/>
        </w:rPr>
        <w:t xml:space="preserve">[I]n many countries available indicators show that the girl child is discriminated against from the earliest stages of life, through her childhood and into adulthood. All forms of discrimination against the girl child and the root causes of son preference, which result in harmful and unethical practices such as prenatal sex selection and infanticide; this is often compounded by the increasing use of the </w:t>
      </w:r>
      <w:r w:rsidR="0038045A" w:rsidRPr="00B72B41">
        <w:rPr>
          <w:rFonts w:ascii="Arial" w:hAnsi="Arial" w:cs="Arial"/>
        </w:rPr>
        <w:t xml:space="preserve">technologies </w:t>
      </w:r>
      <w:r w:rsidR="00D92409" w:rsidRPr="00B72B41">
        <w:rPr>
          <w:rFonts w:ascii="Arial" w:hAnsi="Arial" w:cs="Arial"/>
        </w:rPr>
        <w:t>to determine foetal sex, resulti</w:t>
      </w:r>
      <w:r w:rsidRPr="00B72B41">
        <w:rPr>
          <w:rFonts w:ascii="Arial" w:hAnsi="Arial" w:cs="Arial"/>
        </w:rPr>
        <w:t>ng in abortion of female foetus.”</w:t>
      </w:r>
      <w:r w:rsidRPr="00DF375B">
        <w:rPr>
          <w:rFonts w:ascii="Arial" w:hAnsi="Arial" w:cs="Arial"/>
          <w:vertAlign w:val="superscript"/>
        </w:rPr>
        <w:footnoteReference w:id="7"/>
      </w:r>
      <w:r w:rsidR="00D92409" w:rsidRPr="00DF375B">
        <w:rPr>
          <w:rFonts w:ascii="Arial" w:hAnsi="Arial" w:cs="Arial"/>
          <w:vertAlign w:val="superscript"/>
        </w:rPr>
        <w:t xml:space="preserve"> </w:t>
      </w:r>
    </w:p>
    <w:p w14:paraId="5CD26595" w14:textId="77777777" w:rsidR="00B72B41" w:rsidRPr="00B72B41" w:rsidRDefault="00B72B41" w:rsidP="00B72B41">
      <w:pPr>
        <w:pStyle w:val="ListParagraph"/>
        <w:ind w:left="1440"/>
        <w:jc w:val="both"/>
        <w:rPr>
          <w:rFonts w:ascii="Arial" w:hAnsi="Arial" w:cs="Arial"/>
        </w:rPr>
      </w:pPr>
    </w:p>
    <w:p w14:paraId="178EF914" w14:textId="22A641BD" w:rsidR="004E2059" w:rsidRPr="00DF375B" w:rsidRDefault="00D92409" w:rsidP="00B72B41">
      <w:pPr>
        <w:pStyle w:val="ListParagraph"/>
        <w:numPr>
          <w:ilvl w:val="0"/>
          <w:numId w:val="21"/>
        </w:numPr>
        <w:jc w:val="both"/>
        <w:rPr>
          <w:rFonts w:ascii="Arial" w:hAnsi="Arial" w:cs="Arial"/>
          <w:vertAlign w:val="superscript"/>
        </w:rPr>
      </w:pPr>
      <w:r w:rsidRPr="00B72B41">
        <w:rPr>
          <w:rFonts w:ascii="Arial" w:hAnsi="Arial" w:cs="Arial"/>
        </w:rPr>
        <w:t>The</w:t>
      </w:r>
      <w:r w:rsidR="00072BDD" w:rsidRPr="00B72B41">
        <w:rPr>
          <w:rFonts w:ascii="Arial" w:hAnsi="Arial" w:cs="Arial"/>
        </w:rPr>
        <w:t xml:space="preserve"> </w:t>
      </w:r>
      <w:r w:rsidR="004E2059" w:rsidRPr="00B72B41">
        <w:rPr>
          <w:rFonts w:ascii="Arial" w:hAnsi="Arial" w:cs="Arial"/>
        </w:rPr>
        <w:t xml:space="preserve">CRPD </w:t>
      </w:r>
      <w:r w:rsidR="00072BDD" w:rsidRPr="00B72B41">
        <w:rPr>
          <w:rFonts w:ascii="Arial" w:hAnsi="Arial" w:cs="Arial"/>
        </w:rPr>
        <w:t>Committee has itself, in one of its first concluding observations on a state report, signalled its understanding of the practice of disability-selective screening and abortion</w:t>
      </w:r>
      <w:r w:rsidRPr="00B72B41">
        <w:rPr>
          <w:rFonts w:ascii="Arial" w:hAnsi="Arial" w:cs="Arial"/>
        </w:rPr>
        <w:t>.  It observed that Spanish legislat</w:t>
      </w:r>
      <w:r w:rsidR="00AC2772" w:rsidRPr="00B72B41">
        <w:rPr>
          <w:rFonts w:ascii="Arial" w:hAnsi="Arial" w:cs="Arial"/>
        </w:rPr>
        <w:t xml:space="preserve">ion, Act2/2010 of 3 March 2010, </w:t>
      </w:r>
      <w:r w:rsidR="00072BDD" w:rsidRPr="00B72B41">
        <w:rPr>
          <w:rFonts w:ascii="Arial" w:hAnsi="Arial" w:cs="Arial"/>
        </w:rPr>
        <w:t>decriminalis</w:t>
      </w:r>
      <w:r w:rsidRPr="00B72B41">
        <w:rPr>
          <w:rFonts w:ascii="Arial" w:hAnsi="Arial" w:cs="Arial"/>
        </w:rPr>
        <w:t>ing voluntary termin</w:t>
      </w:r>
      <w:r w:rsidR="00072BDD" w:rsidRPr="00B72B41">
        <w:rPr>
          <w:rFonts w:ascii="Arial" w:hAnsi="Arial" w:cs="Arial"/>
        </w:rPr>
        <w:t>ation of pregnancy</w:t>
      </w:r>
      <w:r w:rsidRPr="00B72B41">
        <w:rPr>
          <w:rFonts w:ascii="Arial" w:hAnsi="Arial" w:cs="Arial"/>
        </w:rPr>
        <w:t xml:space="preserve"> incorporates a problematic distinction according to which pregnancy may be terminated beyond the regular </w:t>
      </w:r>
      <w:r w:rsidR="00AC2772" w:rsidRPr="00B72B41">
        <w:rPr>
          <w:rFonts w:ascii="Arial" w:hAnsi="Arial" w:cs="Arial"/>
        </w:rPr>
        <w:t>14-week</w:t>
      </w:r>
      <w:r w:rsidRPr="00B72B41">
        <w:rPr>
          <w:rFonts w:ascii="Arial" w:hAnsi="Arial" w:cs="Arial"/>
        </w:rPr>
        <w:t xml:space="preserve"> threshold to 22 weeks provided there is a “risk of serious anomalies in the foetus” “if the foetus has a disability” and, beyond week 22 in case of “an extremely serious and incurable </w:t>
      </w:r>
      <w:r w:rsidR="004E2059" w:rsidRPr="00B72B41">
        <w:rPr>
          <w:rFonts w:ascii="Arial" w:hAnsi="Arial" w:cs="Arial"/>
        </w:rPr>
        <w:t>illness” detected in the foetus.</w:t>
      </w:r>
      <w:r w:rsidR="004E2059" w:rsidRPr="00DF375B">
        <w:rPr>
          <w:rFonts w:ascii="Arial" w:hAnsi="Arial" w:cs="Arial"/>
          <w:vertAlign w:val="superscript"/>
        </w:rPr>
        <w:footnoteReference w:id="8"/>
      </w:r>
    </w:p>
    <w:p w14:paraId="5F34B62B" w14:textId="77777777" w:rsidR="00B72B41" w:rsidRPr="00B72B41" w:rsidRDefault="00B72B41" w:rsidP="00B72B41">
      <w:pPr>
        <w:pStyle w:val="ListParagraph"/>
        <w:jc w:val="both"/>
        <w:rPr>
          <w:rFonts w:ascii="Arial" w:hAnsi="Arial" w:cs="Arial"/>
        </w:rPr>
      </w:pPr>
    </w:p>
    <w:p w14:paraId="09A5A7A6" w14:textId="62374A53" w:rsidR="00072BDD" w:rsidRDefault="00D92409" w:rsidP="00B72B41">
      <w:pPr>
        <w:pStyle w:val="ListParagraph"/>
        <w:numPr>
          <w:ilvl w:val="0"/>
          <w:numId w:val="21"/>
        </w:numPr>
        <w:jc w:val="both"/>
        <w:rPr>
          <w:rFonts w:ascii="Arial" w:hAnsi="Arial" w:cs="Arial"/>
        </w:rPr>
      </w:pPr>
      <w:r w:rsidRPr="00B72B41">
        <w:rPr>
          <w:rFonts w:ascii="Arial" w:hAnsi="Arial" w:cs="Arial"/>
        </w:rPr>
        <w:t>In its c</w:t>
      </w:r>
      <w:r w:rsidR="00AC2772" w:rsidRPr="00B72B41">
        <w:rPr>
          <w:rFonts w:ascii="Arial" w:hAnsi="Arial" w:cs="Arial"/>
        </w:rPr>
        <w:t>oncluding observations, the</w:t>
      </w:r>
      <w:r w:rsidRPr="00B72B41">
        <w:rPr>
          <w:rFonts w:ascii="Arial" w:hAnsi="Arial" w:cs="Arial"/>
        </w:rPr>
        <w:t xml:space="preserve"> Committee recommended that Spain “abolish the distinction made in the Act 2/2010 in the period allowed under law within which a pregnancy can be termina</w:t>
      </w:r>
      <w:r w:rsidR="00AC2772" w:rsidRPr="00B72B41">
        <w:rPr>
          <w:rFonts w:ascii="Arial" w:hAnsi="Arial" w:cs="Arial"/>
        </w:rPr>
        <w:t>ted based solely on disability.”</w:t>
      </w:r>
      <w:r w:rsidR="00AC2772" w:rsidRPr="00DF375B">
        <w:rPr>
          <w:rFonts w:ascii="Arial" w:hAnsi="Arial" w:cs="Arial"/>
          <w:vertAlign w:val="superscript"/>
        </w:rPr>
        <w:footnoteReference w:id="9"/>
      </w:r>
      <w:r w:rsidR="00AC2772" w:rsidRPr="00DF375B">
        <w:rPr>
          <w:rFonts w:ascii="Arial" w:hAnsi="Arial" w:cs="Arial"/>
          <w:vertAlign w:val="superscript"/>
        </w:rPr>
        <w:t xml:space="preserve"> </w:t>
      </w:r>
      <w:r w:rsidRPr="00B72B41">
        <w:rPr>
          <w:rFonts w:ascii="Arial" w:hAnsi="Arial" w:cs="Arial"/>
        </w:rPr>
        <w:t xml:space="preserve">In this regard the Committee </w:t>
      </w:r>
      <w:r w:rsidR="00072BDD" w:rsidRPr="00B72B41">
        <w:rPr>
          <w:rFonts w:ascii="Arial" w:hAnsi="Arial" w:cs="Arial"/>
        </w:rPr>
        <w:t xml:space="preserve">recognised the </w:t>
      </w:r>
      <w:r w:rsidRPr="00B72B41">
        <w:rPr>
          <w:rFonts w:ascii="Arial" w:hAnsi="Arial" w:cs="Arial"/>
        </w:rPr>
        <w:t>implicit linkage between disability discrimination and the termination policy in Spain.</w:t>
      </w:r>
    </w:p>
    <w:p w14:paraId="79B170B0" w14:textId="77777777" w:rsidR="00DF375B" w:rsidRPr="00DF375B" w:rsidRDefault="00DF375B" w:rsidP="00DF375B">
      <w:pPr>
        <w:pStyle w:val="ListParagraph"/>
        <w:rPr>
          <w:rFonts w:ascii="Arial" w:hAnsi="Arial" w:cs="Arial"/>
        </w:rPr>
      </w:pPr>
    </w:p>
    <w:p w14:paraId="7763E20C" w14:textId="20F440F8" w:rsidR="001C289B" w:rsidRPr="00B72B41" w:rsidRDefault="3A4C78B7" w:rsidP="00B72B41">
      <w:pPr>
        <w:pStyle w:val="ListParagraph"/>
        <w:numPr>
          <w:ilvl w:val="0"/>
          <w:numId w:val="21"/>
        </w:numPr>
        <w:jc w:val="both"/>
        <w:rPr>
          <w:rFonts w:ascii="Arial" w:hAnsi="Arial" w:cs="Arial"/>
        </w:rPr>
      </w:pPr>
      <w:r w:rsidRPr="00B72B41">
        <w:rPr>
          <w:rFonts w:ascii="Arial" w:hAnsi="Arial" w:cs="Arial"/>
        </w:rPr>
        <w:t xml:space="preserve">The Commission encourages the Committee to use the General Comment on Article 5 as an opportunity to build on this recommendation by considering the linkage between disability discrimination and screening/termination policies more widely. </w:t>
      </w:r>
    </w:p>
    <w:p w14:paraId="763BB822" w14:textId="12F34D32" w:rsidR="001C289B" w:rsidRPr="00B72B41" w:rsidRDefault="001C289B" w:rsidP="00B72B41">
      <w:pPr>
        <w:jc w:val="both"/>
        <w:rPr>
          <w:rFonts w:ascii="Arial" w:hAnsi="Arial" w:cs="Arial"/>
        </w:rPr>
      </w:pPr>
    </w:p>
    <w:p w14:paraId="3275C350" w14:textId="357AB0E7" w:rsidR="004163A3" w:rsidRPr="00B72B41" w:rsidRDefault="3A4C78B7" w:rsidP="00B72B41">
      <w:pPr>
        <w:jc w:val="both"/>
        <w:rPr>
          <w:rFonts w:ascii="Arial" w:hAnsi="Arial" w:cs="Arial"/>
          <w:b/>
        </w:rPr>
      </w:pPr>
      <w:r w:rsidRPr="00B72B41">
        <w:rPr>
          <w:rFonts w:ascii="Arial" w:hAnsi="Arial" w:cs="Arial"/>
          <w:b/>
        </w:rPr>
        <w:t>Impacts for People with Down Syndrome</w:t>
      </w:r>
    </w:p>
    <w:p w14:paraId="30325F69" w14:textId="291CFF19" w:rsidR="00993905" w:rsidRDefault="3A4C78B7" w:rsidP="00B72B41">
      <w:pPr>
        <w:pStyle w:val="ListParagraph"/>
        <w:numPr>
          <w:ilvl w:val="0"/>
          <w:numId w:val="21"/>
        </w:numPr>
        <w:jc w:val="both"/>
        <w:rPr>
          <w:rFonts w:ascii="Arial" w:hAnsi="Arial" w:cs="Arial"/>
        </w:rPr>
      </w:pPr>
      <w:r w:rsidRPr="00B72B41">
        <w:rPr>
          <w:rFonts w:ascii="Arial" w:hAnsi="Arial" w:cs="Arial"/>
        </w:rPr>
        <w:t xml:space="preserve">When taking a human right approach, the voices of those affected by human rights breaches must take priority. However, to the best of our knowledge, to date, people affected by disability screening/termination policies, including with Down Syndrome, have not been given the opportunity to be heard on such issues, let alone have their views prioritised. Subsequently, their experiences have not been included in frameworks such as this General Comment. Thus, the Commission wishes to conclude its submission by highlighting some impacts of screening/termination policies on people with lived experience of Down Syndrome and their families in their own words. </w:t>
      </w:r>
    </w:p>
    <w:p w14:paraId="587324C4" w14:textId="77777777" w:rsidR="00B72B41" w:rsidRPr="00B72B41" w:rsidRDefault="00B72B41" w:rsidP="00B72B41">
      <w:pPr>
        <w:pStyle w:val="ListParagraph"/>
        <w:jc w:val="both"/>
        <w:rPr>
          <w:rFonts w:ascii="Arial" w:hAnsi="Arial" w:cs="Arial"/>
        </w:rPr>
      </w:pPr>
    </w:p>
    <w:p w14:paraId="1783008F" w14:textId="77777777" w:rsidR="00993905" w:rsidRPr="00B72B41" w:rsidRDefault="3A4C78B7" w:rsidP="00B72B41">
      <w:pPr>
        <w:pStyle w:val="ListParagraph"/>
        <w:numPr>
          <w:ilvl w:val="0"/>
          <w:numId w:val="21"/>
        </w:numPr>
        <w:jc w:val="both"/>
        <w:rPr>
          <w:rFonts w:ascii="Arial" w:hAnsi="Arial" w:cs="Arial"/>
        </w:rPr>
      </w:pPr>
      <w:r w:rsidRPr="00B72B41">
        <w:rPr>
          <w:rFonts w:ascii="Arial" w:hAnsi="Arial" w:cs="Arial"/>
        </w:rPr>
        <w:t xml:space="preserve">The Commission has received letters from mothers of children with Down Syndrome detailing the pressure to screen and terminate following a pre-diagnosis of Down Syndrome from clinicians. They talk of the only information being given to them being about potential medical conditions/limitations and the need to convince clinicians that they can “handle” a baby with Down Syndrome. This demonstrates that these issues intersect with Article 10 of the CRPD in terms of the inherent right all human beings have to life and Article 8 in terms the need for awareness raising about the capabilities and contributions of people with Down Syndrome. </w:t>
      </w:r>
    </w:p>
    <w:p w14:paraId="7C398000" w14:textId="77777777" w:rsidR="00DF375B" w:rsidRDefault="00DF375B" w:rsidP="00DF375B">
      <w:pPr>
        <w:pStyle w:val="ListParagraph"/>
        <w:jc w:val="both"/>
        <w:rPr>
          <w:rFonts w:ascii="Arial" w:hAnsi="Arial" w:cs="Arial"/>
        </w:rPr>
      </w:pPr>
    </w:p>
    <w:p w14:paraId="5E16D623" w14:textId="669EFC14" w:rsidR="004163A3" w:rsidRDefault="3A4C78B7" w:rsidP="00B72B41">
      <w:pPr>
        <w:pStyle w:val="ListParagraph"/>
        <w:numPr>
          <w:ilvl w:val="0"/>
          <w:numId w:val="21"/>
        </w:numPr>
        <w:jc w:val="both"/>
        <w:rPr>
          <w:rFonts w:ascii="Arial" w:hAnsi="Arial" w:cs="Arial"/>
        </w:rPr>
      </w:pPr>
      <w:r w:rsidRPr="00B72B41">
        <w:rPr>
          <w:rFonts w:ascii="Arial" w:hAnsi="Arial" w:cs="Arial"/>
        </w:rPr>
        <w:t>Further, a young New Zealand man with Down Syndrome was asked by his mother what he thought of the documentary “A World Without Down Syndrome” and the issues it raises. She then sent the Commission a transcript of his statements on 2 June 2017. It reads:</w:t>
      </w:r>
    </w:p>
    <w:p w14:paraId="715FD59D" w14:textId="77777777" w:rsidR="00B72B41" w:rsidRPr="00B72B41" w:rsidRDefault="00B72B41" w:rsidP="00B72B41">
      <w:pPr>
        <w:pStyle w:val="ListParagraph"/>
        <w:rPr>
          <w:rFonts w:ascii="Arial" w:hAnsi="Arial" w:cs="Arial"/>
        </w:rPr>
      </w:pPr>
    </w:p>
    <w:p w14:paraId="2D21F2E1" w14:textId="237E8F76" w:rsidR="004163A3" w:rsidRPr="00B72B41" w:rsidRDefault="3A4C78B7" w:rsidP="00B72B41">
      <w:pPr>
        <w:pStyle w:val="ListParagraph"/>
        <w:ind w:left="1440"/>
        <w:jc w:val="both"/>
        <w:rPr>
          <w:rFonts w:ascii="Arial" w:hAnsi="Arial" w:cs="Arial"/>
        </w:rPr>
      </w:pPr>
      <w:r w:rsidRPr="00B72B41">
        <w:rPr>
          <w:rFonts w:ascii="Arial" w:hAnsi="Arial" w:cs="Arial"/>
        </w:rPr>
        <w:t>“It makes me feel bad and I feel very uncomfortable and very sad to hear that parents choose not to have babies with Down Syndrome”</w:t>
      </w:r>
    </w:p>
    <w:p w14:paraId="49527569" w14:textId="77777777" w:rsidR="00A6092F" w:rsidRPr="00B72B41" w:rsidRDefault="00A6092F" w:rsidP="00B72B41">
      <w:pPr>
        <w:pStyle w:val="ListParagraph"/>
        <w:ind w:left="1440"/>
        <w:jc w:val="both"/>
        <w:rPr>
          <w:rFonts w:ascii="Arial" w:hAnsi="Arial" w:cs="Arial"/>
        </w:rPr>
      </w:pPr>
    </w:p>
    <w:p w14:paraId="0A6F6660" w14:textId="4CE0A1EA" w:rsidR="004163A3" w:rsidRPr="00B72B41" w:rsidRDefault="3A4C78B7" w:rsidP="00B72B41">
      <w:pPr>
        <w:pStyle w:val="ListParagraph"/>
        <w:ind w:left="1440"/>
        <w:jc w:val="both"/>
        <w:rPr>
          <w:rFonts w:ascii="Arial" w:hAnsi="Arial" w:cs="Arial"/>
        </w:rPr>
      </w:pPr>
      <w:r w:rsidRPr="00B72B41">
        <w:rPr>
          <w:rFonts w:ascii="Arial" w:hAnsi="Arial" w:cs="Arial"/>
        </w:rPr>
        <w:t>“I think people should let people be who they are they shouldn’t judge people or try to modify people”</w:t>
      </w:r>
    </w:p>
    <w:p w14:paraId="60B07CC0" w14:textId="77777777" w:rsidR="00A6092F" w:rsidRPr="00B72B41" w:rsidRDefault="00A6092F" w:rsidP="00B72B41">
      <w:pPr>
        <w:pStyle w:val="ListParagraph"/>
        <w:ind w:left="1440"/>
        <w:jc w:val="both"/>
        <w:rPr>
          <w:rFonts w:ascii="Arial" w:hAnsi="Arial" w:cs="Arial"/>
        </w:rPr>
      </w:pPr>
    </w:p>
    <w:p w14:paraId="7420125E" w14:textId="644951EE" w:rsidR="00B72B41" w:rsidRPr="00B72B41" w:rsidRDefault="3A4C78B7" w:rsidP="00B72B41">
      <w:pPr>
        <w:pStyle w:val="ListParagraph"/>
        <w:ind w:left="1440"/>
        <w:jc w:val="both"/>
        <w:rPr>
          <w:rFonts w:ascii="Arial" w:hAnsi="Arial" w:cs="Arial"/>
        </w:rPr>
      </w:pPr>
      <w:r w:rsidRPr="00B72B41">
        <w:rPr>
          <w:rFonts w:ascii="Arial" w:hAnsi="Arial" w:cs="Arial"/>
        </w:rPr>
        <w:t xml:space="preserve">“People should consider the rights of people with Down Syndrome. We have rights – human rights!” </w:t>
      </w:r>
    </w:p>
    <w:p w14:paraId="48859C42" w14:textId="58F2A861" w:rsidR="00020D53" w:rsidRPr="00B72B41" w:rsidRDefault="3A4C78B7" w:rsidP="00B72B41">
      <w:pPr>
        <w:ind w:left="720"/>
        <w:jc w:val="both"/>
        <w:rPr>
          <w:rFonts w:ascii="Arial" w:hAnsi="Arial" w:cs="Arial"/>
        </w:rPr>
      </w:pPr>
      <w:r w:rsidRPr="00B72B41">
        <w:rPr>
          <w:rFonts w:ascii="Arial" w:hAnsi="Arial" w:cs="Arial"/>
        </w:rPr>
        <w:t>When asked what he would say to parents who are expecting a baby with Down Syndrome, the young man stated:</w:t>
      </w:r>
    </w:p>
    <w:p w14:paraId="45E334DD" w14:textId="77777777" w:rsidR="00B72B41" w:rsidRDefault="00B72B41" w:rsidP="00B72B41">
      <w:pPr>
        <w:pStyle w:val="ListParagraph"/>
        <w:ind w:left="1440"/>
        <w:jc w:val="both"/>
        <w:rPr>
          <w:rFonts w:ascii="Arial" w:hAnsi="Arial" w:cs="Arial"/>
        </w:rPr>
      </w:pPr>
    </w:p>
    <w:p w14:paraId="4B6AEA47" w14:textId="116E0C86" w:rsidR="00595312" w:rsidRPr="00B72B41" w:rsidRDefault="3A4C78B7" w:rsidP="00B72B41">
      <w:pPr>
        <w:pStyle w:val="ListParagraph"/>
        <w:ind w:left="1440"/>
        <w:jc w:val="both"/>
        <w:rPr>
          <w:rFonts w:ascii="Arial" w:hAnsi="Arial" w:cs="Arial"/>
        </w:rPr>
      </w:pPr>
      <w:r w:rsidRPr="00B72B41">
        <w:rPr>
          <w:rFonts w:ascii="Arial" w:hAnsi="Arial" w:cs="Arial"/>
        </w:rPr>
        <w:t xml:space="preserve">“Don’t be stressed you’re having a baby with Down Syndrome, be calm and most of all love </w:t>
      </w:r>
      <w:r w:rsidR="00A6092F" w:rsidRPr="00B72B41">
        <w:rPr>
          <w:rFonts w:ascii="Arial" w:hAnsi="Arial" w:cs="Arial"/>
        </w:rPr>
        <w:t>your baby with Down Syndrome”</w:t>
      </w:r>
    </w:p>
    <w:p w14:paraId="6890993E" w14:textId="77777777" w:rsidR="00B72B41" w:rsidRDefault="00B72B41" w:rsidP="00B72B41">
      <w:pPr>
        <w:pStyle w:val="ListParagraph"/>
        <w:jc w:val="both"/>
        <w:rPr>
          <w:rFonts w:ascii="Arial" w:hAnsi="Arial" w:cs="Arial"/>
        </w:rPr>
      </w:pPr>
    </w:p>
    <w:p w14:paraId="62E66BA5" w14:textId="6384612B" w:rsidR="00020D53" w:rsidRDefault="004163A3" w:rsidP="00B72B41">
      <w:pPr>
        <w:pStyle w:val="ListParagraph"/>
        <w:numPr>
          <w:ilvl w:val="0"/>
          <w:numId w:val="21"/>
        </w:numPr>
        <w:jc w:val="both"/>
        <w:rPr>
          <w:rFonts w:ascii="Arial" w:hAnsi="Arial" w:cs="Arial"/>
        </w:rPr>
      </w:pPr>
      <w:r w:rsidRPr="00B72B41">
        <w:rPr>
          <w:rFonts w:ascii="Arial" w:hAnsi="Arial" w:cs="Arial"/>
        </w:rPr>
        <w:t>Other young people with Down Syndrome</w:t>
      </w:r>
      <w:r w:rsidR="00595312" w:rsidRPr="00B72B41">
        <w:rPr>
          <w:rFonts w:ascii="Arial" w:hAnsi="Arial" w:cs="Arial"/>
        </w:rPr>
        <w:t xml:space="preserve"> have expressed similar messages about the rights and value of people with Down Syndrome. </w:t>
      </w:r>
      <w:r w:rsidR="00AC2772" w:rsidRPr="00B72B41">
        <w:rPr>
          <w:rFonts w:ascii="Arial" w:hAnsi="Arial" w:cs="Arial"/>
        </w:rPr>
        <w:t>These have been made into two vide</w:t>
      </w:r>
      <w:r w:rsidR="006D7A50" w:rsidRPr="00B72B41">
        <w:rPr>
          <w:rFonts w:ascii="Arial" w:hAnsi="Arial" w:cs="Arial"/>
        </w:rPr>
        <w:t>o</w:t>
      </w:r>
      <w:r w:rsidR="00AC2772" w:rsidRPr="00B72B41">
        <w:rPr>
          <w:rFonts w:ascii="Arial" w:hAnsi="Arial" w:cs="Arial"/>
        </w:rPr>
        <w:t xml:space="preserve"> clips</w:t>
      </w:r>
      <w:r w:rsidR="00020D53" w:rsidRPr="00B72B41">
        <w:rPr>
          <w:rFonts w:ascii="Arial" w:hAnsi="Arial" w:cs="Arial"/>
        </w:rPr>
        <w:t xml:space="preserve"> made by the New Zealand Down Syndrome Association</w:t>
      </w:r>
      <w:r w:rsidR="00AC2772" w:rsidRPr="00B72B41">
        <w:rPr>
          <w:rFonts w:ascii="Arial" w:hAnsi="Arial" w:cs="Arial"/>
        </w:rPr>
        <w:t>:</w:t>
      </w:r>
      <w:r w:rsidR="00020D53" w:rsidRPr="00B72B41">
        <w:rPr>
          <w:rFonts w:ascii="Arial" w:hAnsi="Arial" w:cs="Arial"/>
        </w:rPr>
        <w:t xml:space="preserve"> “Dear Future Family, Whanau, and Communities”</w:t>
      </w:r>
      <w:r w:rsidR="00AC2772" w:rsidRPr="00B72B41">
        <w:rPr>
          <w:rFonts w:ascii="Arial" w:hAnsi="Arial" w:cs="Arial"/>
        </w:rPr>
        <w:footnoteReference w:id="10"/>
      </w:r>
      <w:r w:rsidR="00020D53" w:rsidRPr="00B72B41">
        <w:rPr>
          <w:rFonts w:ascii="Arial" w:hAnsi="Arial" w:cs="Arial"/>
        </w:rPr>
        <w:t xml:space="preserve"> and “Dear Community”</w:t>
      </w:r>
      <w:r w:rsidR="00AC2772" w:rsidRPr="00B72B41">
        <w:rPr>
          <w:rFonts w:ascii="Arial" w:hAnsi="Arial" w:cs="Arial"/>
        </w:rPr>
        <w:t>.</w:t>
      </w:r>
      <w:r w:rsidR="00AC2772" w:rsidRPr="00DF375B">
        <w:rPr>
          <w:rFonts w:ascii="Arial" w:hAnsi="Arial" w:cs="Arial"/>
          <w:vertAlign w:val="superscript"/>
        </w:rPr>
        <w:footnoteReference w:id="11"/>
      </w:r>
    </w:p>
    <w:p w14:paraId="21579AE0" w14:textId="77777777" w:rsidR="00B72B41" w:rsidRPr="00B72B41" w:rsidRDefault="00B72B41" w:rsidP="00B72B41">
      <w:pPr>
        <w:pStyle w:val="ListParagraph"/>
        <w:jc w:val="both"/>
        <w:rPr>
          <w:rFonts w:ascii="Arial" w:hAnsi="Arial" w:cs="Arial"/>
        </w:rPr>
      </w:pPr>
    </w:p>
    <w:p w14:paraId="565FB58C" w14:textId="74DF8597" w:rsidR="00C47CFA" w:rsidRDefault="00020D53" w:rsidP="00B72B41">
      <w:pPr>
        <w:pStyle w:val="ListParagraph"/>
        <w:numPr>
          <w:ilvl w:val="0"/>
          <w:numId w:val="21"/>
        </w:numPr>
        <w:jc w:val="both"/>
        <w:rPr>
          <w:rFonts w:ascii="Arial" w:hAnsi="Arial" w:cs="Arial"/>
        </w:rPr>
      </w:pPr>
      <w:r w:rsidRPr="00B72B41">
        <w:rPr>
          <w:rFonts w:ascii="Arial" w:hAnsi="Arial" w:cs="Arial"/>
        </w:rPr>
        <w:t xml:space="preserve">Another example is the </w:t>
      </w:r>
      <w:r w:rsidR="00595312" w:rsidRPr="00B72B41">
        <w:rPr>
          <w:rFonts w:ascii="Arial" w:hAnsi="Arial" w:cs="Arial"/>
        </w:rPr>
        <w:t xml:space="preserve">recent TED talk </w:t>
      </w:r>
      <w:r w:rsidR="0038045A" w:rsidRPr="00B72B41">
        <w:rPr>
          <w:rFonts w:ascii="Arial" w:hAnsi="Arial" w:cs="Arial"/>
        </w:rPr>
        <w:t>presented</w:t>
      </w:r>
      <w:r w:rsidRPr="00B72B41">
        <w:rPr>
          <w:rFonts w:ascii="Arial" w:hAnsi="Arial" w:cs="Arial"/>
        </w:rPr>
        <w:t xml:space="preserve"> by US-based advocate Karen Gaffney</w:t>
      </w:r>
      <w:r w:rsidR="00AC2772" w:rsidRPr="00DF375B">
        <w:rPr>
          <w:rFonts w:ascii="Arial" w:hAnsi="Arial" w:cs="Arial"/>
          <w:vertAlign w:val="superscript"/>
        </w:rPr>
        <w:footnoteReference w:id="12"/>
      </w:r>
      <w:r w:rsidRPr="00DF375B">
        <w:rPr>
          <w:rFonts w:ascii="Arial" w:hAnsi="Arial" w:cs="Arial"/>
          <w:vertAlign w:val="superscript"/>
        </w:rPr>
        <w:t xml:space="preserve"> </w:t>
      </w:r>
      <w:r w:rsidRPr="00B72B41">
        <w:rPr>
          <w:rFonts w:ascii="Arial" w:hAnsi="Arial" w:cs="Arial"/>
        </w:rPr>
        <w:t>who concluded that</w:t>
      </w:r>
      <w:r w:rsidR="00595312" w:rsidRPr="00B72B41">
        <w:rPr>
          <w:rFonts w:ascii="Arial" w:hAnsi="Arial" w:cs="Arial"/>
        </w:rPr>
        <w:t xml:space="preserve"> “Every life has value. Every life matters, regardless of the number of chromosomes we have.”</w:t>
      </w:r>
      <w:r w:rsidRPr="00B72B41">
        <w:rPr>
          <w:rFonts w:ascii="Arial" w:hAnsi="Arial" w:cs="Arial"/>
        </w:rPr>
        <w:t xml:space="preserve"> The Commission encourages the Committee to vi</w:t>
      </w:r>
      <w:r w:rsidR="00AC2772" w:rsidRPr="00B72B41">
        <w:rPr>
          <w:rFonts w:ascii="Arial" w:hAnsi="Arial" w:cs="Arial"/>
        </w:rPr>
        <w:t>ew these video clips</w:t>
      </w:r>
      <w:r w:rsidRPr="00B72B41">
        <w:rPr>
          <w:rFonts w:ascii="Arial" w:hAnsi="Arial" w:cs="Arial"/>
        </w:rPr>
        <w:t xml:space="preserve"> when examining this i</w:t>
      </w:r>
      <w:r w:rsidR="00975AA1" w:rsidRPr="00B72B41">
        <w:rPr>
          <w:rFonts w:ascii="Arial" w:hAnsi="Arial" w:cs="Arial"/>
        </w:rPr>
        <w:t xml:space="preserve">ssue and to consider the value </w:t>
      </w:r>
      <w:r w:rsidR="00143309" w:rsidRPr="00B72B41">
        <w:rPr>
          <w:rFonts w:ascii="Arial" w:hAnsi="Arial" w:cs="Arial"/>
        </w:rPr>
        <w:t xml:space="preserve">that </w:t>
      </w:r>
      <w:r w:rsidR="00975AA1" w:rsidRPr="00B72B41">
        <w:rPr>
          <w:rFonts w:ascii="Arial" w:hAnsi="Arial" w:cs="Arial"/>
        </w:rPr>
        <w:t>listening to the voices of the affected</w:t>
      </w:r>
      <w:r w:rsidRPr="00B72B41">
        <w:rPr>
          <w:rFonts w:ascii="Arial" w:hAnsi="Arial" w:cs="Arial"/>
        </w:rPr>
        <w:t xml:space="preserve"> can bring more generally. </w:t>
      </w:r>
    </w:p>
    <w:p w14:paraId="61B36679" w14:textId="77777777" w:rsidR="00B72B41" w:rsidRPr="00B72B41" w:rsidRDefault="00B72B41" w:rsidP="00B72B41">
      <w:pPr>
        <w:pStyle w:val="ListParagraph"/>
        <w:rPr>
          <w:rFonts w:ascii="Arial" w:hAnsi="Arial" w:cs="Arial"/>
        </w:rPr>
      </w:pPr>
    </w:p>
    <w:p w14:paraId="30C48F7B" w14:textId="6A38D6B7" w:rsidR="00020D53" w:rsidRPr="00B72B41" w:rsidRDefault="008C2D6B" w:rsidP="00B72B41">
      <w:pPr>
        <w:pStyle w:val="ListParagraph"/>
        <w:numPr>
          <w:ilvl w:val="0"/>
          <w:numId w:val="21"/>
        </w:numPr>
        <w:jc w:val="both"/>
        <w:rPr>
          <w:rFonts w:ascii="Arial" w:hAnsi="Arial" w:cs="Arial"/>
        </w:rPr>
      </w:pPr>
      <w:r w:rsidRPr="00B72B41">
        <w:rPr>
          <w:rFonts w:ascii="Arial" w:hAnsi="Arial" w:cs="Arial"/>
        </w:rPr>
        <w:t>While limited data</w:t>
      </w:r>
      <w:r w:rsidR="007C357F" w:rsidRPr="00B72B41">
        <w:rPr>
          <w:rFonts w:ascii="Arial" w:hAnsi="Arial" w:cs="Arial"/>
        </w:rPr>
        <w:t xml:space="preserve"> about screening/termination rates</w:t>
      </w:r>
      <w:r w:rsidRPr="00B72B41">
        <w:rPr>
          <w:rFonts w:ascii="Arial" w:hAnsi="Arial" w:cs="Arial"/>
        </w:rPr>
        <w:t xml:space="preserve"> is available in New Zealand, internationally screening/termination practices are at such a rate that Down Syndrome could</w:t>
      </w:r>
      <w:r w:rsidR="007C357F" w:rsidRPr="00B72B41">
        <w:rPr>
          <w:rFonts w:ascii="Arial" w:hAnsi="Arial" w:cs="Arial"/>
        </w:rPr>
        <w:t xml:space="preserve"> soon</w:t>
      </w:r>
      <w:r w:rsidRPr="00B72B41">
        <w:rPr>
          <w:rFonts w:ascii="Arial" w:hAnsi="Arial" w:cs="Arial"/>
        </w:rPr>
        <w:t xml:space="preserve"> be eliminated from regions of the world. Iceland, for example has</w:t>
      </w:r>
      <w:r w:rsidR="007C357F" w:rsidRPr="00B72B41">
        <w:rPr>
          <w:rFonts w:ascii="Arial" w:hAnsi="Arial" w:cs="Arial"/>
        </w:rPr>
        <w:t xml:space="preserve"> reportedly</w:t>
      </w:r>
      <w:r w:rsidRPr="00B72B41">
        <w:rPr>
          <w:rFonts w:ascii="Arial" w:hAnsi="Arial" w:cs="Arial"/>
        </w:rPr>
        <w:t xml:space="preserve"> not had any Down Syndrome births </w:t>
      </w:r>
      <w:r w:rsidR="006F3419" w:rsidRPr="00B72B41">
        <w:rPr>
          <w:rFonts w:ascii="Arial" w:hAnsi="Arial" w:cs="Arial"/>
        </w:rPr>
        <w:t>for five</w:t>
      </w:r>
      <w:r w:rsidRPr="00B72B41">
        <w:rPr>
          <w:rFonts w:ascii="Arial" w:hAnsi="Arial" w:cs="Arial"/>
        </w:rPr>
        <w:t xml:space="preserve"> years</w:t>
      </w:r>
      <w:r w:rsidR="00CF07E6" w:rsidRPr="00DF375B">
        <w:rPr>
          <w:rFonts w:ascii="Arial" w:hAnsi="Arial" w:cs="Arial"/>
          <w:vertAlign w:val="superscript"/>
        </w:rPr>
        <w:footnoteReference w:id="13"/>
      </w:r>
      <w:r w:rsidRPr="00B72B41">
        <w:rPr>
          <w:rFonts w:ascii="Arial" w:hAnsi="Arial" w:cs="Arial"/>
        </w:rPr>
        <w:t xml:space="preserve"> </w:t>
      </w:r>
      <w:r w:rsidR="001A0400" w:rsidRPr="00B72B41">
        <w:rPr>
          <w:rFonts w:ascii="Arial" w:hAnsi="Arial" w:cs="Arial"/>
        </w:rPr>
        <w:t>while in 2014,</w:t>
      </w:r>
      <w:r w:rsidRPr="00B72B41">
        <w:rPr>
          <w:rFonts w:ascii="Arial" w:hAnsi="Arial" w:cs="Arial"/>
        </w:rPr>
        <w:t xml:space="preserve"> </w:t>
      </w:r>
      <w:r w:rsidR="001A0400" w:rsidRPr="00B72B41">
        <w:rPr>
          <w:rFonts w:ascii="Arial" w:hAnsi="Arial" w:cs="Arial"/>
        </w:rPr>
        <w:t xml:space="preserve">termination rates in Denmark were reportedly 98 percent, which according to a local survey was </w:t>
      </w:r>
      <w:r w:rsidR="001A0400" w:rsidRPr="00B72B41">
        <w:rPr>
          <w:rFonts w:ascii="Arial" w:hAnsi="Arial" w:cs="Arial"/>
        </w:rPr>
        <w:lastRenderedPageBreak/>
        <w:t>considered by 60 percent of Danes to be a positive development</w:t>
      </w:r>
      <w:r w:rsidRPr="00B72B41">
        <w:rPr>
          <w:rFonts w:ascii="Arial" w:hAnsi="Arial" w:cs="Arial"/>
        </w:rPr>
        <w:t>.</w:t>
      </w:r>
      <w:r w:rsidR="00CF07E6" w:rsidRPr="00DF375B">
        <w:rPr>
          <w:rFonts w:ascii="Arial" w:hAnsi="Arial" w:cs="Arial"/>
          <w:vertAlign w:val="superscript"/>
        </w:rPr>
        <w:footnoteReference w:id="14"/>
      </w:r>
      <w:r w:rsidRPr="00DF375B">
        <w:rPr>
          <w:rFonts w:ascii="Arial" w:hAnsi="Arial" w:cs="Arial"/>
          <w:vertAlign w:val="superscript"/>
        </w:rPr>
        <w:t xml:space="preserve"> </w:t>
      </w:r>
      <w:r w:rsidRPr="00B72B41">
        <w:rPr>
          <w:rFonts w:ascii="Arial" w:hAnsi="Arial" w:cs="Arial"/>
        </w:rPr>
        <w:t xml:space="preserve">The development of </w:t>
      </w:r>
      <w:r w:rsidR="00DD5786" w:rsidRPr="00B72B41">
        <w:rPr>
          <w:rFonts w:ascii="Arial" w:hAnsi="Arial" w:cs="Arial"/>
        </w:rPr>
        <w:t>increasingly</w:t>
      </w:r>
      <w:r w:rsidRPr="00B72B41">
        <w:rPr>
          <w:rFonts w:ascii="Arial" w:hAnsi="Arial" w:cs="Arial"/>
        </w:rPr>
        <w:t xml:space="preserve"> precise screen</w:t>
      </w:r>
      <w:r w:rsidR="00480863" w:rsidRPr="00B72B41">
        <w:rPr>
          <w:rFonts w:ascii="Arial" w:hAnsi="Arial" w:cs="Arial"/>
        </w:rPr>
        <w:t>ing technologies raises the possibility</w:t>
      </w:r>
      <w:r w:rsidRPr="00B72B41">
        <w:rPr>
          <w:rFonts w:ascii="Arial" w:hAnsi="Arial" w:cs="Arial"/>
        </w:rPr>
        <w:t xml:space="preserve"> that Down Syndrome and other disabilities, or indeed other human characte</w:t>
      </w:r>
      <w:r w:rsidR="0038045A" w:rsidRPr="00B72B41">
        <w:rPr>
          <w:rFonts w:ascii="Arial" w:hAnsi="Arial" w:cs="Arial"/>
        </w:rPr>
        <w:t xml:space="preserve">ristics, could be eliminated </w:t>
      </w:r>
      <w:r w:rsidR="007C357F" w:rsidRPr="00B72B41">
        <w:rPr>
          <w:rFonts w:ascii="Arial" w:hAnsi="Arial" w:cs="Arial"/>
        </w:rPr>
        <w:t xml:space="preserve">across the world </w:t>
      </w:r>
      <w:r w:rsidRPr="00B72B41">
        <w:rPr>
          <w:rFonts w:ascii="Arial" w:hAnsi="Arial" w:cs="Arial"/>
        </w:rPr>
        <w:t xml:space="preserve">in years to come. </w:t>
      </w:r>
    </w:p>
    <w:p w14:paraId="13C2FF6B" w14:textId="77777777" w:rsidR="007C1E02" w:rsidRPr="00B72B41" w:rsidRDefault="007C1E02" w:rsidP="00B72B41">
      <w:pPr>
        <w:jc w:val="both"/>
        <w:rPr>
          <w:rFonts w:ascii="Arial" w:hAnsi="Arial" w:cs="Arial"/>
        </w:rPr>
      </w:pPr>
    </w:p>
    <w:p w14:paraId="3ACD76F3" w14:textId="77777777" w:rsidR="00975AA1" w:rsidRPr="00B72B41" w:rsidRDefault="3A4C78B7" w:rsidP="00B72B41">
      <w:pPr>
        <w:jc w:val="both"/>
        <w:rPr>
          <w:rFonts w:ascii="Arial" w:hAnsi="Arial" w:cs="Arial"/>
          <w:b/>
        </w:rPr>
      </w:pPr>
      <w:r w:rsidRPr="00B72B41">
        <w:rPr>
          <w:rFonts w:ascii="Arial" w:hAnsi="Arial" w:cs="Arial"/>
          <w:b/>
        </w:rPr>
        <w:t xml:space="preserve">Conclusion </w:t>
      </w:r>
    </w:p>
    <w:p w14:paraId="63D9A782" w14:textId="4C73BEB6" w:rsidR="3A4C78B7" w:rsidRPr="00B72B41" w:rsidRDefault="3A4C78B7" w:rsidP="00B72B41">
      <w:pPr>
        <w:pStyle w:val="ListParagraph"/>
        <w:numPr>
          <w:ilvl w:val="0"/>
          <w:numId w:val="21"/>
        </w:numPr>
        <w:jc w:val="both"/>
        <w:rPr>
          <w:rFonts w:ascii="Arial" w:hAnsi="Arial" w:cs="Arial"/>
        </w:rPr>
      </w:pPr>
      <w:r w:rsidRPr="00B72B41">
        <w:rPr>
          <w:rFonts w:ascii="Arial" w:hAnsi="Arial" w:cs="Arial"/>
        </w:rPr>
        <w:t>The Commission encourages the Committee to consider the issue of pre-birth screening practices in the context of the Article 5 discussion. In addition, the Commission strongly recommends that the Committee seek, and consider the voices and perspectives of those with Down Syndrome for the purposes of this discussion.   </w:t>
      </w:r>
    </w:p>
    <w:p w14:paraId="0E2CA3F4" w14:textId="77777777" w:rsidR="00867C74" w:rsidRDefault="00867C74" w:rsidP="00B72B41">
      <w:pPr>
        <w:pStyle w:val="NormalWeb"/>
        <w:spacing w:line="276" w:lineRule="auto"/>
        <w:jc w:val="both"/>
        <w:rPr>
          <w:rFonts w:ascii="Arial" w:hAnsi="Arial" w:cs="Arial"/>
          <w:sz w:val="22"/>
          <w:szCs w:val="22"/>
          <w:u w:val="single"/>
          <w:lang w:val="en-NZ"/>
        </w:rPr>
      </w:pPr>
    </w:p>
    <w:p w14:paraId="77E90880" w14:textId="18ABB432" w:rsidR="3A4C78B7" w:rsidRPr="00B72B41" w:rsidRDefault="3A4C78B7" w:rsidP="00B72B41">
      <w:pPr>
        <w:pStyle w:val="NormalWeb"/>
        <w:spacing w:line="276" w:lineRule="auto"/>
        <w:jc w:val="both"/>
        <w:rPr>
          <w:rFonts w:ascii="Arial" w:hAnsi="Arial" w:cs="Arial"/>
          <w:sz w:val="22"/>
          <w:szCs w:val="22"/>
          <w:u w:val="single"/>
          <w:lang w:val="en-NZ"/>
        </w:rPr>
      </w:pPr>
      <w:r w:rsidRPr="00B72B41">
        <w:rPr>
          <w:rFonts w:ascii="Arial" w:hAnsi="Arial" w:cs="Arial"/>
          <w:sz w:val="22"/>
          <w:szCs w:val="22"/>
          <w:u w:val="single"/>
          <w:lang w:val="en-NZ"/>
        </w:rPr>
        <w:t>Contact person:</w:t>
      </w:r>
    </w:p>
    <w:p w14:paraId="507ABCFA" w14:textId="64A303FE" w:rsidR="3A4C78B7" w:rsidRPr="00B72B41" w:rsidRDefault="3A4C78B7" w:rsidP="00B72B41">
      <w:pPr>
        <w:pStyle w:val="NormalWeb"/>
        <w:spacing w:line="276" w:lineRule="auto"/>
        <w:jc w:val="both"/>
        <w:rPr>
          <w:rFonts w:ascii="Arial" w:hAnsi="Arial" w:cs="Arial"/>
          <w:sz w:val="22"/>
          <w:szCs w:val="22"/>
          <w:lang w:val="en-NZ"/>
        </w:rPr>
      </w:pPr>
      <w:r w:rsidRPr="00B72B41">
        <w:rPr>
          <w:rFonts w:ascii="Arial" w:hAnsi="Arial" w:cs="Arial"/>
          <w:sz w:val="22"/>
          <w:szCs w:val="22"/>
          <w:lang w:val="en-NZ"/>
        </w:rPr>
        <w:t>Erin Gough, Human Rights Advisor</w:t>
      </w:r>
    </w:p>
    <w:p w14:paraId="6D93C67C" w14:textId="24661195" w:rsidR="3A4C78B7" w:rsidRPr="00B72B41" w:rsidRDefault="00D05712" w:rsidP="00B72B41">
      <w:pPr>
        <w:pStyle w:val="NormalWeb"/>
        <w:spacing w:line="276" w:lineRule="auto"/>
        <w:jc w:val="both"/>
        <w:rPr>
          <w:rFonts w:ascii="Arial" w:hAnsi="Arial" w:cs="Arial"/>
          <w:sz w:val="22"/>
          <w:szCs w:val="22"/>
          <w:lang w:val="en-NZ"/>
        </w:rPr>
      </w:pPr>
      <w:hyperlink r:id="rId13" w:history="1">
        <w:r w:rsidR="3A4C78B7" w:rsidRPr="00AC5770">
          <w:rPr>
            <w:rStyle w:val="Hyperlink"/>
            <w:rFonts w:ascii="Arial" w:hAnsi="Arial" w:cs="Arial"/>
            <w:sz w:val="22"/>
            <w:szCs w:val="22"/>
            <w:lang w:val="en-NZ"/>
          </w:rPr>
          <w:t>Ering@hrc.co.nz</w:t>
        </w:r>
      </w:hyperlink>
    </w:p>
    <w:sectPr w:rsidR="3A4C78B7" w:rsidRPr="00B72B41" w:rsidSect="00B07BEB">
      <w:headerReference w:type="default" r:id="rId14"/>
      <w:footerReference w:type="default" r:id="rId15"/>
      <w:headerReference w:type="first" r:id="rId16"/>
      <w:pgSz w:w="11906" w:h="16838"/>
      <w:pgMar w:top="1440" w:right="1440" w:bottom="1440" w:left="1440" w:header="170" w:footer="2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40A91" w14:textId="77777777" w:rsidR="00D34E4D" w:rsidRDefault="00D34E4D" w:rsidP="00872A47">
      <w:pPr>
        <w:spacing w:after="0" w:line="240" w:lineRule="auto"/>
      </w:pPr>
      <w:r>
        <w:separator/>
      </w:r>
    </w:p>
  </w:endnote>
  <w:endnote w:type="continuationSeparator" w:id="0">
    <w:p w14:paraId="7B8AB1FD" w14:textId="77777777" w:rsidR="00D34E4D" w:rsidRDefault="00D34E4D" w:rsidP="00872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risMacron Italic">
    <w:altName w:val="Arial"/>
    <w:panose1 w:val="00000000000000000000"/>
    <w:charset w:val="00"/>
    <w:family w:val="modern"/>
    <w:notTrueType/>
    <w:pitch w:val="variable"/>
    <w:sig w:usb0="00000001" w:usb1="4000204A" w:usb2="00000000" w:usb3="00000000" w:csb0="0000011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420976"/>
      <w:docPartObj>
        <w:docPartGallery w:val="Page Numbers (Bottom of Page)"/>
        <w:docPartUnique/>
      </w:docPartObj>
    </w:sdtPr>
    <w:sdtEndPr/>
    <w:sdtContent>
      <w:p w14:paraId="22E68ECD" w14:textId="6D9F3766" w:rsidR="00921CF7" w:rsidRDefault="00DA1EB1">
        <w:pPr>
          <w:pStyle w:val="Footer"/>
          <w:jc w:val="center"/>
        </w:pPr>
        <w:r>
          <w:fldChar w:fldCharType="begin"/>
        </w:r>
        <w:r w:rsidR="00C31490">
          <w:instrText xml:space="preserve"> PAGE   \* MERGEFORMAT </w:instrText>
        </w:r>
        <w:r>
          <w:fldChar w:fldCharType="separate"/>
        </w:r>
        <w:r w:rsidR="00D05712">
          <w:rPr>
            <w:noProof/>
          </w:rPr>
          <w:t>2</w:t>
        </w:r>
        <w:r>
          <w:rPr>
            <w:noProof/>
          </w:rPr>
          <w:fldChar w:fldCharType="end"/>
        </w:r>
      </w:p>
    </w:sdtContent>
  </w:sdt>
  <w:p w14:paraId="020109F8" w14:textId="77777777" w:rsidR="00921CF7" w:rsidRDefault="00921C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F48FA" w14:textId="77777777" w:rsidR="00D34E4D" w:rsidRDefault="00D34E4D" w:rsidP="00872A47">
      <w:pPr>
        <w:spacing w:after="0" w:line="240" w:lineRule="auto"/>
      </w:pPr>
      <w:r>
        <w:separator/>
      </w:r>
    </w:p>
  </w:footnote>
  <w:footnote w:type="continuationSeparator" w:id="0">
    <w:p w14:paraId="1ECC08A7" w14:textId="77777777" w:rsidR="00D34E4D" w:rsidRDefault="00D34E4D" w:rsidP="00872A47">
      <w:pPr>
        <w:spacing w:after="0" w:line="240" w:lineRule="auto"/>
      </w:pPr>
      <w:r>
        <w:continuationSeparator/>
      </w:r>
    </w:p>
  </w:footnote>
  <w:footnote w:id="1">
    <w:p w14:paraId="2B449CCC" w14:textId="77777777" w:rsidR="00A6092F" w:rsidRDefault="00A6092F" w:rsidP="00A6092F">
      <w:pPr>
        <w:pStyle w:val="FootnoteText"/>
      </w:pPr>
      <w:r>
        <w:rPr>
          <w:rStyle w:val="FootnoteReference"/>
        </w:rPr>
        <w:footnoteRef/>
      </w:r>
      <w:r>
        <w:t xml:space="preserve"> Lord, J.E. ‘Screened Out of Existence: The Convention on the Rights of Persons with Disabilities and Selective Screening Policies’ (2012) 12 International Journal of Disability, Rehabilitation and Community 2; Lord J.E., Stein M.A., &amp; Tolchin, D.W. (2012) Equal Access to Healthcare Under the UN Disability Rights Convention. In R. Rhodes, M. Battin, &amp; A. Silvers (Eds.), </w:t>
      </w:r>
      <w:r w:rsidRPr="3A4C78B7">
        <w:rPr>
          <w:i/>
          <w:iCs/>
        </w:rPr>
        <w:t>Medicine and Social Justice</w:t>
      </w:r>
      <w:r>
        <w:t xml:space="preserve">. Retrieved from: </w:t>
      </w:r>
      <w:hyperlink r:id="rId1" w:history="1">
        <w:r w:rsidRPr="004231F7">
          <w:rPr>
            <w:rStyle w:val="Hyperlink"/>
          </w:rPr>
          <w:t>http://oxfordindex.oup.com/view/10.1093/acprof:osobl/9780199744206.003.0020</w:t>
        </w:r>
      </w:hyperlink>
      <w:r>
        <w:t xml:space="preserve"> </w:t>
      </w:r>
    </w:p>
  </w:footnote>
  <w:footnote w:id="2">
    <w:p w14:paraId="02401481" w14:textId="47B95B6F" w:rsidR="00A6092F" w:rsidRPr="007C357F" w:rsidRDefault="00A6092F" w:rsidP="00A6092F">
      <w:pPr>
        <w:spacing w:after="0" w:line="240" w:lineRule="auto"/>
        <w:rPr>
          <w:sz w:val="20"/>
          <w:szCs w:val="20"/>
        </w:rPr>
      </w:pPr>
      <w:r w:rsidRPr="00210F43">
        <w:rPr>
          <w:rStyle w:val="FootnoteReference"/>
          <w:sz w:val="16"/>
          <w:szCs w:val="16"/>
        </w:rPr>
        <w:footnoteRef/>
      </w:r>
      <w:r w:rsidRPr="00210F43">
        <w:rPr>
          <w:sz w:val="16"/>
          <w:szCs w:val="16"/>
        </w:rPr>
        <w:t xml:space="preserve"> </w:t>
      </w:r>
      <w:r w:rsidRPr="007C357F">
        <w:rPr>
          <w:sz w:val="20"/>
          <w:szCs w:val="20"/>
        </w:rPr>
        <w:t>OHCHR ‘Monitoring the Convention on the Rights of Persons with Disabilities’</w:t>
      </w:r>
      <w:r w:rsidR="00D05712">
        <w:rPr>
          <w:sz w:val="20"/>
          <w:szCs w:val="20"/>
        </w:rPr>
        <w:t xml:space="preserve"> </w:t>
      </w:r>
      <w:r w:rsidRPr="007C357F">
        <w:rPr>
          <w:sz w:val="20"/>
          <w:szCs w:val="20"/>
        </w:rPr>
        <w:t>2010</w:t>
      </w:r>
      <w:r w:rsidR="00D05712">
        <w:rPr>
          <w:sz w:val="20"/>
          <w:szCs w:val="20"/>
        </w:rPr>
        <w:t>.</w:t>
      </w:r>
    </w:p>
  </w:footnote>
  <w:footnote w:id="3">
    <w:p w14:paraId="51DA1CD2" w14:textId="77777777" w:rsidR="00D92409" w:rsidRDefault="00D92409">
      <w:pPr>
        <w:pStyle w:val="FootnoteText"/>
      </w:pPr>
      <w:r>
        <w:rPr>
          <w:rStyle w:val="FootnoteReference"/>
        </w:rPr>
        <w:footnoteRef/>
      </w:r>
      <w:r>
        <w:t xml:space="preserve"> CRPD, 2006, Article 2</w:t>
      </w:r>
      <w:r w:rsidR="004E2059">
        <w:t>.</w:t>
      </w:r>
    </w:p>
  </w:footnote>
  <w:footnote w:id="4">
    <w:p w14:paraId="379083F9" w14:textId="77777777" w:rsidR="004E2059" w:rsidRDefault="004E2059">
      <w:pPr>
        <w:pStyle w:val="FootnoteText"/>
      </w:pPr>
      <w:r>
        <w:rPr>
          <w:rStyle w:val="FootnoteReference"/>
        </w:rPr>
        <w:footnoteRef/>
      </w:r>
      <w:r>
        <w:t xml:space="preserve"> CRPD, 2006, Articles 3 and 4(3).</w:t>
      </w:r>
    </w:p>
  </w:footnote>
  <w:footnote w:id="5">
    <w:p w14:paraId="3E23BF93" w14:textId="36A6868D" w:rsidR="008C03A5" w:rsidRDefault="008C03A5">
      <w:pPr>
        <w:pStyle w:val="FootnoteText"/>
      </w:pPr>
      <w:r>
        <w:rPr>
          <w:rStyle w:val="FootnoteReference"/>
        </w:rPr>
        <w:footnoteRef/>
      </w:r>
      <w:r w:rsidR="00D05712">
        <w:t xml:space="preserve"> UNCROC, 1990, Preamble.</w:t>
      </w:r>
      <w:bookmarkStart w:id="0" w:name="_GoBack"/>
      <w:bookmarkEnd w:id="0"/>
    </w:p>
  </w:footnote>
  <w:footnote w:id="6">
    <w:p w14:paraId="7C793541" w14:textId="77777777" w:rsidR="004E2059" w:rsidRDefault="004E2059" w:rsidP="00DF375B">
      <w:pPr>
        <w:pStyle w:val="FootnoteText"/>
        <w:spacing w:line="276" w:lineRule="auto"/>
      </w:pPr>
      <w:r>
        <w:rPr>
          <w:rStyle w:val="FootnoteReference"/>
        </w:rPr>
        <w:footnoteRef/>
      </w:r>
      <w:r>
        <w:t xml:space="preserve"> CRC Committee, General Comment No 7, Para 11. </w:t>
      </w:r>
    </w:p>
  </w:footnote>
  <w:footnote w:id="7">
    <w:p w14:paraId="50FCEA0F" w14:textId="77777777" w:rsidR="004E2059" w:rsidRDefault="004E2059" w:rsidP="00DF375B">
      <w:pPr>
        <w:pStyle w:val="FootnoteText"/>
        <w:spacing w:line="276" w:lineRule="auto"/>
      </w:pPr>
      <w:r>
        <w:rPr>
          <w:rStyle w:val="FootnoteReference"/>
        </w:rPr>
        <w:footnoteRef/>
      </w:r>
      <w:r>
        <w:t xml:space="preserve"> Beijing Platform for Action, 1995, Para 259. </w:t>
      </w:r>
    </w:p>
  </w:footnote>
  <w:footnote w:id="8">
    <w:p w14:paraId="11AC2D93" w14:textId="77777777" w:rsidR="004E2059" w:rsidRPr="00AC2772" w:rsidRDefault="004E2059" w:rsidP="00DF375B">
      <w:pPr>
        <w:spacing w:line="276" w:lineRule="auto"/>
        <w:rPr>
          <w:sz w:val="20"/>
          <w:szCs w:val="20"/>
        </w:rPr>
      </w:pPr>
      <w:r w:rsidRPr="004E2059">
        <w:rPr>
          <w:sz w:val="20"/>
          <w:szCs w:val="20"/>
          <w:vertAlign w:val="superscript"/>
        </w:rPr>
        <w:footnoteRef/>
      </w:r>
      <w:r w:rsidRPr="004E2059">
        <w:rPr>
          <w:sz w:val="20"/>
          <w:szCs w:val="20"/>
          <w:vertAlign w:val="superscript"/>
        </w:rPr>
        <w:t xml:space="preserve"> </w:t>
      </w:r>
      <w:r w:rsidRPr="004E2059">
        <w:rPr>
          <w:sz w:val="20"/>
          <w:szCs w:val="20"/>
        </w:rPr>
        <w:t>CRPD Committee, Concludin</w:t>
      </w:r>
      <w:r w:rsidR="00AC2772">
        <w:rPr>
          <w:sz w:val="20"/>
          <w:szCs w:val="20"/>
        </w:rPr>
        <w:t>g Observations, Spain, para. 17</w:t>
      </w:r>
      <w:r w:rsidRPr="004E2059">
        <w:rPr>
          <w:sz w:val="20"/>
          <w:szCs w:val="20"/>
        </w:rPr>
        <w:t xml:space="preserve">. </w:t>
      </w:r>
    </w:p>
  </w:footnote>
  <w:footnote w:id="9">
    <w:p w14:paraId="155D1801" w14:textId="77777777" w:rsidR="00AC2772" w:rsidRPr="00AC2772" w:rsidRDefault="00AC2772" w:rsidP="00DF375B">
      <w:pPr>
        <w:pStyle w:val="FootnoteText"/>
        <w:spacing w:line="276" w:lineRule="auto"/>
      </w:pPr>
      <w:r>
        <w:rPr>
          <w:rStyle w:val="FootnoteReference"/>
        </w:rPr>
        <w:footnoteRef/>
      </w:r>
      <w:r>
        <w:t xml:space="preserve"> </w:t>
      </w:r>
      <w:r w:rsidRPr="00AC2772">
        <w:rPr>
          <w:rFonts w:cs="Arial"/>
        </w:rPr>
        <w:t>CRPD Committee, Concludin</w:t>
      </w:r>
      <w:r>
        <w:rPr>
          <w:rFonts w:cs="Arial"/>
        </w:rPr>
        <w:t>g Observations, Spain, para. 18</w:t>
      </w:r>
      <w:r w:rsidRPr="00AC2772">
        <w:rPr>
          <w:rFonts w:cs="Arial"/>
        </w:rPr>
        <w:t xml:space="preserve">.   </w:t>
      </w:r>
    </w:p>
  </w:footnote>
  <w:footnote w:id="10">
    <w:p w14:paraId="2F6E894C" w14:textId="2B9F37EA" w:rsidR="00AC2772" w:rsidRDefault="00AC2772">
      <w:pPr>
        <w:pStyle w:val="FootnoteText"/>
      </w:pPr>
      <w:r>
        <w:rPr>
          <w:rStyle w:val="FootnoteReference"/>
        </w:rPr>
        <w:footnoteRef/>
      </w:r>
      <w:r>
        <w:t xml:space="preserve"> </w:t>
      </w:r>
      <w:hyperlink r:id="rId2" w:history="1">
        <w:r w:rsidRPr="009E78D1">
          <w:rPr>
            <w:rStyle w:val="Hyperlink"/>
          </w:rPr>
          <w:t>https://www.youtube.com/watch?v=YVNMw-e0ffI</w:t>
        </w:r>
      </w:hyperlink>
    </w:p>
  </w:footnote>
  <w:footnote w:id="11">
    <w:p w14:paraId="3E960585" w14:textId="77777777" w:rsidR="00AC2772" w:rsidRDefault="00AC2772">
      <w:pPr>
        <w:pStyle w:val="FootnoteText"/>
      </w:pPr>
      <w:r>
        <w:rPr>
          <w:rStyle w:val="FootnoteReference"/>
        </w:rPr>
        <w:footnoteRef/>
      </w:r>
      <w:r>
        <w:t xml:space="preserve"> </w:t>
      </w:r>
      <w:hyperlink r:id="rId3" w:history="1">
        <w:r w:rsidRPr="009E78D1">
          <w:rPr>
            <w:rStyle w:val="Hyperlink"/>
          </w:rPr>
          <w:t>https://www.youtube.com/watch?v=veIayx3KObQ&amp;t=1s</w:t>
        </w:r>
      </w:hyperlink>
      <w:r>
        <w:t xml:space="preserve"> </w:t>
      </w:r>
    </w:p>
  </w:footnote>
  <w:footnote w:id="12">
    <w:p w14:paraId="1C5EA226" w14:textId="77777777" w:rsidR="00AC2772" w:rsidRDefault="00AC2772">
      <w:pPr>
        <w:pStyle w:val="FootnoteText"/>
      </w:pPr>
      <w:r>
        <w:rPr>
          <w:rStyle w:val="FootnoteReference"/>
        </w:rPr>
        <w:footnoteRef/>
      </w:r>
      <w:r>
        <w:t xml:space="preserve"> </w:t>
      </w:r>
      <w:hyperlink r:id="rId4" w:history="1">
        <w:r w:rsidRPr="009E78D1">
          <w:rPr>
            <w:rStyle w:val="Hyperlink"/>
          </w:rPr>
          <w:t>https://www.youtube.com/watch?v=HwxjoBQdn0s&amp;t=1s</w:t>
        </w:r>
      </w:hyperlink>
      <w:r>
        <w:t xml:space="preserve"> </w:t>
      </w:r>
    </w:p>
  </w:footnote>
  <w:footnote w:id="13">
    <w:p w14:paraId="757F55AE" w14:textId="77777777" w:rsidR="00CF07E6" w:rsidRDefault="00CF07E6">
      <w:pPr>
        <w:pStyle w:val="FootnoteText"/>
      </w:pPr>
      <w:r>
        <w:rPr>
          <w:rStyle w:val="FootnoteReference"/>
        </w:rPr>
        <w:footnoteRef/>
      </w:r>
      <w:r>
        <w:t xml:space="preserve"> </w:t>
      </w:r>
      <w:hyperlink r:id="rId5" w:history="1">
        <w:r w:rsidRPr="00B46CFF">
          <w:rPr>
            <w:rStyle w:val="Hyperlink"/>
          </w:rPr>
          <w:t>http://www.bbc.com/news/magazine-37500189</w:t>
        </w:r>
      </w:hyperlink>
      <w:r>
        <w:t xml:space="preserve"> </w:t>
      </w:r>
    </w:p>
  </w:footnote>
  <w:footnote w:id="14">
    <w:p w14:paraId="3106F829" w14:textId="77777777" w:rsidR="00CF07E6" w:rsidRDefault="00CF07E6">
      <w:pPr>
        <w:pStyle w:val="FootnoteText"/>
      </w:pPr>
      <w:r>
        <w:rPr>
          <w:rStyle w:val="FootnoteReference"/>
        </w:rPr>
        <w:footnoteRef/>
      </w:r>
      <w:r>
        <w:t xml:space="preserve"> </w:t>
      </w:r>
      <w:hyperlink r:id="rId6" w:history="1">
        <w:r w:rsidR="001A0400" w:rsidRPr="00B46CFF">
          <w:rPr>
            <w:rStyle w:val="Hyperlink"/>
          </w:rPr>
          <w:t>http://cphpost.dk/news/down-syndrome-heading-for-extinction-in-denmark.html</w:t>
        </w:r>
      </w:hyperlink>
      <w:r w:rsidR="001A040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3CBEF" w14:textId="77777777" w:rsidR="003B58B6" w:rsidRDefault="003B58B6">
    <w:pPr>
      <w:pStyle w:val="Header"/>
      <w:jc w:val="center"/>
    </w:pPr>
  </w:p>
  <w:p w14:paraId="23233F8E" w14:textId="77777777" w:rsidR="00AC1B7E" w:rsidRDefault="00AC1B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ABDF8" w14:textId="77777777" w:rsidR="003B58B6" w:rsidRDefault="003B58B6">
    <w:pPr>
      <w:pStyle w:val="Header"/>
    </w:pPr>
  </w:p>
  <w:p w14:paraId="09E6BA20" w14:textId="77777777" w:rsidR="003B58B6" w:rsidRDefault="003B58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2552"/>
    <w:multiLevelType w:val="hybridMultilevel"/>
    <w:tmpl w:val="D9B0D37C"/>
    <w:lvl w:ilvl="0" w:tplc="EE62CDC6">
      <w:start w:val="1"/>
      <w:numFmt w:val="decimal"/>
      <w:lvlText w:val="%1."/>
      <w:lvlJc w:val="left"/>
      <w:pPr>
        <w:ind w:left="786" w:hanging="360"/>
      </w:pPr>
      <w:rPr>
        <w:rFonts w:ascii="Times New Roman" w:hAnsi="Times New Roman" w:cs="Times New Roman" w:hint="default"/>
        <w:b w:val="0"/>
        <w:sz w:val="22"/>
        <w:szCs w:val="22"/>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6383CCD"/>
    <w:multiLevelType w:val="hybridMultilevel"/>
    <w:tmpl w:val="789A3030"/>
    <w:lvl w:ilvl="0" w:tplc="E6CCD8F2">
      <w:start w:val="1"/>
      <w:numFmt w:val="decimal"/>
      <w:lvlText w:val="%1."/>
      <w:lvlJc w:val="left"/>
      <w:pPr>
        <w:ind w:left="1070" w:hanging="360"/>
      </w:pPr>
      <w:rPr>
        <w:rFonts w:hint="default"/>
        <w:b w:val="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DBC16FE"/>
    <w:multiLevelType w:val="hybridMultilevel"/>
    <w:tmpl w:val="921EE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D44F41"/>
    <w:multiLevelType w:val="hybridMultilevel"/>
    <w:tmpl w:val="A4003A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96F67D8"/>
    <w:multiLevelType w:val="hybridMultilevel"/>
    <w:tmpl w:val="CD945FDA"/>
    <w:lvl w:ilvl="0" w:tplc="1A7A28F6">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1D127C4F"/>
    <w:multiLevelType w:val="hybridMultilevel"/>
    <w:tmpl w:val="0E9E2F3A"/>
    <w:lvl w:ilvl="0" w:tplc="4224DDFA">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680766"/>
    <w:multiLevelType w:val="hybridMultilevel"/>
    <w:tmpl w:val="A9022D24"/>
    <w:lvl w:ilvl="0" w:tplc="EE667710">
      <w:start w:val="1"/>
      <w:numFmt w:val="decimal"/>
      <w:lvlText w:val="%1."/>
      <w:lvlJc w:val="left"/>
      <w:pPr>
        <w:ind w:left="360" w:hanging="360"/>
      </w:pPr>
      <w:rPr>
        <w:rFonts w:hint="default"/>
        <w:b w:val="0"/>
        <w:vertAlign w:val="baseline"/>
      </w:rPr>
    </w:lvl>
    <w:lvl w:ilvl="1" w:tplc="14090019">
      <w:start w:val="1"/>
      <w:numFmt w:val="lowerLetter"/>
      <w:lvlText w:val="%2."/>
      <w:lvlJc w:val="left"/>
      <w:pPr>
        <w:ind w:left="1297" w:hanging="360"/>
      </w:pPr>
    </w:lvl>
    <w:lvl w:ilvl="2" w:tplc="1409001B" w:tentative="1">
      <w:start w:val="1"/>
      <w:numFmt w:val="lowerRoman"/>
      <w:lvlText w:val="%3."/>
      <w:lvlJc w:val="right"/>
      <w:pPr>
        <w:ind w:left="2017" w:hanging="180"/>
      </w:pPr>
    </w:lvl>
    <w:lvl w:ilvl="3" w:tplc="1409000F" w:tentative="1">
      <w:start w:val="1"/>
      <w:numFmt w:val="decimal"/>
      <w:lvlText w:val="%4."/>
      <w:lvlJc w:val="left"/>
      <w:pPr>
        <w:ind w:left="2737" w:hanging="360"/>
      </w:pPr>
    </w:lvl>
    <w:lvl w:ilvl="4" w:tplc="14090019" w:tentative="1">
      <w:start w:val="1"/>
      <w:numFmt w:val="lowerLetter"/>
      <w:lvlText w:val="%5."/>
      <w:lvlJc w:val="left"/>
      <w:pPr>
        <w:ind w:left="3457" w:hanging="360"/>
      </w:pPr>
    </w:lvl>
    <w:lvl w:ilvl="5" w:tplc="1409001B" w:tentative="1">
      <w:start w:val="1"/>
      <w:numFmt w:val="lowerRoman"/>
      <w:lvlText w:val="%6."/>
      <w:lvlJc w:val="right"/>
      <w:pPr>
        <w:ind w:left="4177" w:hanging="180"/>
      </w:pPr>
    </w:lvl>
    <w:lvl w:ilvl="6" w:tplc="1409000F" w:tentative="1">
      <w:start w:val="1"/>
      <w:numFmt w:val="decimal"/>
      <w:lvlText w:val="%7."/>
      <w:lvlJc w:val="left"/>
      <w:pPr>
        <w:ind w:left="4897" w:hanging="360"/>
      </w:pPr>
    </w:lvl>
    <w:lvl w:ilvl="7" w:tplc="14090019" w:tentative="1">
      <w:start w:val="1"/>
      <w:numFmt w:val="lowerLetter"/>
      <w:lvlText w:val="%8."/>
      <w:lvlJc w:val="left"/>
      <w:pPr>
        <w:ind w:left="5617" w:hanging="360"/>
      </w:pPr>
    </w:lvl>
    <w:lvl w:ilvl="8" w:tplc="1409001B" w:tentative="1">
      <w:start w:val="1"/>
      <w:numFmt w:val="lowerRoman"/>
      <w:lvlText w:val="%9."/>
      <w:lvlJc w:val="right"/>
      <w:pPr>
        <w:ind w:left="6337" w:hanging="180"/>
      </w:pPr>
    </w:lvl>
  </w:abstractNum>
  <w:abstractNum w:abstractNumId="7" w15:restartNumberingAfterBreak="0">
    <w:nsid w:val="2AA53238"/>
    <w:multiLevelType w:val="hybridMultilevel"/>
    <w:tmpl w:val="A95CD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9E1F66"/>
    <w:multiLevelType w:val="hybridMultilevel"/>
    <w:tmpl w:val="E1842778"/>
    <w:lvl w:ilvl="0" w:tplc="BF4EA01C">
      <w:start w:val="1"/>
      <w:numFmt w:val="lowerLetter"/>
      <w:lvlText w:val="%1."/>
      <w:lvlJc w:val="left"/>
      <w:pPr>
        <w:ind w:left="1080" w:hanging="360"/>
      </w:pPr>
      <w:rPr>
        <w:rFonts w:hint="default"/>
        <w:color w:val="000000" w:themeColor="text1"/>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9" w15:restartNumberingAfterBreak="0">
    <w:nsid w:val="3FE44AF5"/>
    <w:multiLevelType w:val="hybridMultilevel"/>
    <w:tmpl w:val="A2B219BA"/>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0" w15:restartNumberingAfterBreak="0">
    <w:nsid w:val="400C4D7F"/>
    <w:multiLevelType w:val="hybridMultilevel"/>
    <w:tmpl w:val="ABB6F66C"/>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1" w15:restartNumberingAfterBreak="0">
    <w:nsid w:val="43D86962"/>
    <w:multiLevelType w:val="hybridMultilevel"/>
    <w:tmpl w:val="3F94A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C3A08D1"/>
    <w:multiLevelType w:val="multilevel"/>
    <w:tmpl w:val="D29E9CA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511258E3"/>
    <w:multiLevelType w:val="hybridMultilevel"/>
    <w:tmpl w:val="74FC75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5E57C1B"/>
    <w:multiLevelType w:val="hybridMultilevel"/>
    <w:tmpl w:val="DFB4871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5" w15:restartNumberingAfterBreak="0">
    <w:nsid w:val="56391230"/>
    <w:multiLevelType w:val="hybridMultilevel"/>
    <w:tmpl w:val="C7F6A760"/>
    <w:lvl w:ilvl="0" w:tplc="524ED894">
      <w:start w:val="1"/>
      <w:numFmt w:val="lowerLetter"/>
      <w:lvlText w:val="%1."/>
      <w:lvlJc w:val="left"/>
      <w:pPr>
        <w:ind w:left="1429" w:hanging="360"/>
      </w:pPr>
      <w:rPr>
        <w:rFonts w:ascii="Arial" w:hAnsi="Arial" w:cs="Arial" w:hint="default"/>
        <w:sz w:val="22"/>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6" w15:restartNumberingAfterBreak="0">
    <w:nsid w:val="576E6676"/>
    <w:multiLevelType w:val="hybridMultilevel"/>
    <w:tmpl w:val="77C43E6A"/>
    <w:lvl w:ilvl="0" w:tplc="31944A5E">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15:restartNumberingAfterBreak="0">
    <w:nsid w:val="5B4E06DA"/>
    <w:multiLevelType w:val="hybridMultilevel"/>
    <w:tmpl w:val="9E605BE2"/>
    <w:lvl w:ilvl="0" w:tplc="86864AEC">
      <w:start w:val="1"/>
      <w:numFmt w:val="lowerLetter"/>
      <w:lvlText w:val="%1."/>
      <w:lvlJc w:val="left"/>
      <w:pPr>
        <w:ind w:left="1080" w:hanging="360"/>
      </w:pPr>
      <w:rPr>
        <w:rFonts w:eastAsia="Times New Roman" w:cs="Times New Roman" w:hint="default"/>
        <w:b/>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8" w15:restartNumberingAfterBreak="0">
    <w:nsid w:val="5CFB6536"/>
    <w:multiLevelType w:val="hybridMultilevel"/>
    <w:tmpl w:val="0FA8EB9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9" w15:restartNumberingAfterBreak="0">
    <w:nsid w:val="5E3C6622"/>
    <w:multiLevelType w:val="multilevel"/>
    <w:tmpl w:val="30E08F3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5BF5ED3"/>
    <w:multiLevelType w:val="multilevel"/>
    <w:tmpl w:val="30E08F3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786A4DBA"/>
    <w:multiLevelType w:val="hybridMultilevel"/>
    <w:tmpl w:val="3992F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16"/>
  </w:num>
  <w:num w:numId="5">
    <w:abstractNumId w:val="17"/>
  </w:num>
  <w:num w:numId="6">
    <w:abstractNumId w:val="0"/>
  </w:num>
  <w:num w:numId="7">
    <w:abstractNumId w:val="9"/>
  </w:num>
  <w:num w:numId="8">
    <w:abstractNumId w:val="13"/>
  </w:num>
  <w:num w:numId="9">
    <w:abstractNumId w:val="14"/>
  </w:num>
  <w:num w:numId="10">
    <w:abstractNumId w:val="18"/>
  </w:num>
  <w:num w:numId="11">
    <w:abstractNumId w:val="10"/>
  </w:num>
  <w:num w:numId="12">
    <w:abstractNumId w:val="15"/>
  </w:num>
  <w:num w:numId="13">
    <w:abstractNumId w:val="1"/>
  </w:num>
  <w:num w:numId="14">
    <w:abstractNumId w:val="7"/>
  </w:num>
  <w:num w:numId="15">
    <w:abstractNumId w:val="3"/>
  </w:num>
  <w:num w:numId="16">
    <w:abstractNumId w:val="19"/>
  </w:num>
  <w:num w:numId="17">
    <w:abstractNumId w:val="12"/>
  </w:num>
  <w:num w:numId="18">
    <w:abstractNumId w:val="20"/>
  </w:num>
  <w:num w:numId="19">
    <w:abstractNumId w:val="11"/>
  </w:num>
  <w:num w:numId="20">
    <w:abstractNumId w:val="21"/>
  </w:num>
  <w:num w:numId="21">
    <w:abstractNumId w:val="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47"/>
    <w:rsid w:val="00002E18"/>
    <w:rsid w:val="0001215F"/>
    <w:rsid w:val="000152F3"/>
    <w:rsid w:val="0001659E"/>
    <w:rsid w:val="00020D53"/>
    <w:rsid w:val="00026A7E"/>
    <w:rsid w:val="00031CED"/>
    <w:rsid w:val="00041031"/>
    <w:rsid w:val="00050DFD"/>
    <w:rsid w:val="00061D38"/>
    <w:rsid w:val="00072BDD"/>
    <w:rsid w:val="00093D13"/>
    <w:rsid w:val="000A2919"/>
    <w:rsid w:val="000C0DD1"/>
    <w:rsid w:val="000C403C"/>
    <w:rsid w:val="000E365B"/>
    <w:rsid w:val="000E3917"/>
    <w:rsid w:val="000F3AF7"/>
    <w:rsid w:val="00104CB0"/>
    <w:rsid w:val="00111759"/>
    <w:rsid w:val="0012157E"/>
    <w:rsid w:val="00143309"/>
    <w:rsid w:val="001470FF"/>
    <w:rsid w:val="001646B0"/>
    <w:rsid w:val="001650DA"/>
    <w:rsid w:val="00167C6B"/>
    <w:rsid w:val="00196C0F"/>
    <w:rsid w:val="001A0400"/>
    <w:rsid w:val="001B0C53"/>
    <w:rsid w:val="001C289B"/>
    <w:rsid w:val="001E6CE7"/>
    <w:rsid w:val="001E6D03"/>
    <w:rsid w:val="00210F43"/>
    <w:rsid w:val="0022202B"/>
    <w:rsid w:val="00246538"/>
    <w:rsid w:val="002507A0"/>
    <w:rsid w:val="00253A02"/>
    <w:rsid w:val="002727F3"/>
    <w:rsid w:val="00287279"/>
    <w:rsid w:val="002A5958"/>
    <w:rsid w:val="002B7852"/>
    <w:rsid w:val="002D58E4"/>
    <w:rsid w:val="002F17BD"/>
    <w:rsid w:val="00305DBC"/>
    <w:rsid w:val="003603BF"/>
    <w:rsid w:val="003750F6"/>
    <w:rsid w:val="0038045A"/>
    <w:rsid w:val="00394621"/>
    <w:rsid w:val="003960C3"/>
    <w:rsid w:val="003B017D"/>
    <w:rsid w:val="003B05E7"/>
    <w:rsid w:val="003B58B6"/>
    <w:rsid w:val="003B5F2F"/>
    <w:rsid w:val="003B62C7"/>
    <w:rsid w:val="00400638"/>
    <w:rsid w:val="004163A3"/>
    <w:rsid w:val="0042677F"/>
    <w:rsid w:val="00450E46"/>
    <w:rsid w:val="00451AEA"/>
    <w:rsid w:val="004801CC"/>
    <w:rsid w:val="00480863"/>
    <w:rsid w:val="00480C43"/>
    <w:rsid w:val="004B36A1"/>
    <w:rsid w:val="004B6B14"/>
    <w:rsid w:val="004C4B37"/>
    <w:rsid w:val="004C631F"/>
    <w:rsid w:val="004E2059"/>
    <w:rsid w:val="004E3EA6"/>
    <w:rsid w:val="00506413"/>
    <w:rsid w:val="00511ADA"/>
    <w:rsid w:val="00514306"/>
    <w:rsid w:val="00521DEB"/>
    <w:rsid w:val="00532096"/>
    <w:rsid w:val="0053211A"/>
    <w:rsid w:val="00532695"/>
    <w:rsid w:val="00574176"/>
    <w:rsid w:val="00576332"/>
    <w:rsid w:val="005855E0"/>
    <w:rsid w:val="0059065D"/>
    <w:rsid w:val="00595312"/>
    <w:rsid w:val="005B2244"/>
    <w:rsid w:val="006018D3"/>
    <w:rsid w:val="006032F5"/>
    <w:rsid w:val="00604ACC"/>
    <w:rsid w:val="006071EE"/>
    <w:rsid w:val="00634135"/>
    <w:rsid w:val="00684376"/>
    <w:rsid w:val="00684540"/>
    <w:rsid w:val="006A76CE"/>
    <w:rsid w:val="006B0FE7"/>
    <w:rsid w:val="006D7A50"/>
    <w:rsid w:val="006E5D8C"/>
    <w:rsid w:val="006F3419"/>
    <w:rsid w:val="0070482D"/>
    <w:rsid w:val="00714A9F"/>
    <w:rsid w:val="00717A48"/>
    <w:rsid w:val="00730F25"/>
    <w:rsid w:val="007329E6"/>
    <w:rsid w:val="007442E6"/>
    <w:rsid w:val="00756D8A"/>
    <w:rsid w:val="007951B2"/>
    <w:rsid w:val="007B5512"/>
    <w:rsid w:val="007C113D"/>
    <w:rsid w:val="007C1E02"/>
    <w:rsid w:val="007C357F"/>
    <w:rsid w:val="007D58DE"/>
    <w:rsid w:val="007D69D9"/>
    <w:rsid w:val="007D718E"/>
    <w:rsid w:val="007F0E67"/>
    <w:rsid w:val="00833B00"/>
    <w:rsid w:val="00841086"/>
    <w:rsid w:val="00855C46"/>
    <w:rsid w:val="008641B5"/>
    <w:rsid w:val="00866354"/>
    <w:rsid w:val="00867C74"/>
    <w:rsid w:val="00872A47"/>
    <w:rsid w:val="0087316B"/>
    <w:rsid w:val="00881570"/>
    <w:rsid w:val="008829B5"/>
    <w:rsid w:val="00885CCE"/>
    <w:rsid w:val="00895E08"/>
    <w:rsid w:val="008A0EE9"/>
    <w:rsid w:val="008A635F"/>
    <w:rsid w:val="008A6CD8"/>
    <w:rsid w:val="008B1575"/>
    <w:rsid w:val="008B2BED"/>
    <w:rsid w:val="008B5A5A"/>
    <w:rsid w:val="008C03A5"/>
    <w:rsid w:val="008C2D6B"/>
    <w:rsid w:val="008C47B9"/>
    <w:rsid w:val="008C6B5A"/>
    <w:rsid w:val="008E2543"/>
    <w:rsid w:val="008F1738"/>
    <w:rsid w:val="008F32A1"/>
    <w:rsid w:val="009061D6"/>
    <w:rsid w:val="009133A5"/>
    <w:rsid w:val="00921CF7"/>
    <w:rsid w:val="0092216F"/>
    <w:rsid w:val="00930B0B"/>
    <w:rsid w:val="009546FE"/>
    <w:rsid w:val="009550B3"/>
    <w:rsid w:val="00971CC8"/>
    <w:rsid w:val="00975AA1"/>
    <w:rsid w:val="00985B9A"/>
    <w:rsid w:val="00993905"/>
    <w:rsid w:val="009A6ED8"/>
    <w:rsid w:val="009A74C4"/>
    <w:rsid w:val="009B1958"/>
    <w:rsid w:val="009C1B91"/>
    <w:rsid w:val="009D30C0"/>
    <w:rsid w:val="009D5BF3"/>
    <w:rsid w:val="009E07B4"/>
    <w:rsid w:val="00A0448C"/>
    <w:rsid w:val="00A1619D"/>
    <w:rsid w:val="00A22AEA"/>
    <w:rsid w:val="00A26B81"/>
    <w:rsid w:val="00A33518"/>
    <w:rsid w:val="00A36EA3"/>
    <w:rsid w:val="00A6092F"/>
    <w:rsid w:val="00A8013E"/>
    <w:rsid w:val="00AA0BCD"/>
    <w:rsid w:val="00AC1B7E"/>
    <w:rsid w:val="00AC2772"/>
    <w:rsid w:val="00AC5770"/>
    <w:rsid w:val="00AF5CC2"/>
    <w:rsid w:val="00AF6226"/>
    <w:rsid w:val="00AF674F"/>
    <w:rsid w:val="00B07BEB"/>
    <w:rsid w:val="00B522D8"/>
    <w:rsid w:val="00B71D5B"/>
    <w:rsid w:val="00B72B41"/>
    <w:rsid w:val="00BA4AB2"/>
    <w:rsid w:val="00BB2EB3"/>
    <w:rsid w:val="00BB480D"/>
    <w:rsid w:val="00BB4973"/>
    <w:rsid w:val="00BD793E"/>
    <w:rsid w:val="00BE32D6"/>
    <w:rsid w:val="00BE542A"/>
    <w:rsid w:val="00BF2ADB"/>
    <w:rsid w:val="00BF67A4"/>
    <w:rsid w:val="00C04BDD"/>
    <w:rsid w:val="00C22C9A"/>
    <w:rsid w:val="00C30806"/>
    <w:rsid w:val="00C31490"/>
    <w:rsid w:val="00C47CFA"/>
    <w:rsid w:val="00C50A02"/>
    <w:rsid w:val="00C742F2"/>
    <w:rsid w:val="00CA2C71"/>
    <w:rsid w:val="00CB4D60"/>
    <w:rsid w:val="00CD5113"/>
    <w:rsid w:val="00CE744D"/>
    <w:rsid w:val="00CF07E6"/>
    <w:rsid w:val="00D05712"/>
    <w:rsid w:val="00D06FD1"/>
    <w:rsid w:val="00D34E4D"/>
    <w:rsid w:val="00D61356"/>
    <w:rsid w:val="00D92409"/>
    <w:rsid w:val="00D92EA9"/>
    <w:rsid w:val="00DA0A2E"/>
    <w:rsid w:val="00DA1EB1"/>
    <w:rsid w:val="00DB62B4"/>
    <w:rsid w:val="00DD5786"/>
    <w:rsid w:val="00DF375B"/>
    <w:rsid w:val="00E136E9"/>
    <w:rsid w:val="00E16084"/>
    <w:rsid w:val="00E21BED"/>
    <w:rsid w:val="00E56948"/>
    <w:rsid w:val="00E65F4C"/>
    <w:rsid w:val="00E9173D"/>
    <w:rsid w:val="00EA3C98"/>
    <w:rsid w:val="00EB30E0"/>
    <w:rsid w:val="00EB3765"/>
    <w:rsid w:val="00EE04BD"/>
    <w:rsid w:val="00EF775B"/>
    <w:rsid w:val="00F039D0"/>
    <w:rsid w:val="00F20B9F"/>
    <w:rsid w:val="00F211DE"/>
    <w:rsid w:val="00F433AE"/>
    <w:rsid w:val="00F56C99"/>
    <w:rsid w:val="00F730D4"/>
    <w:rsid w:val="00F81231"/>
    <w:rsid w:val="00F8337B"/>
    <w:rsid w:val="00F83F55"/>
    <w:rsid w:val="00FB155A"/>
    <w:rsid w:val="00FC1C15"/>
    <w:rsid w:val="00FE59C5"/>
    <w:rsid w:val="3A4C78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2507C4"/>
  <w15:docId w15:val="{CB0E608A-DFE7-4DBC-9C56-AB7BE7CC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72A4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A47"/>
    <w:pPr>
      <w:ind w:left="720"/>
      <w:contextualSpacing/>
    </w:pPr>
  </w:style>
  <w:style w:type="paragraph" w:styleId="FootnoteText">
    <w:name w:val="footnote text"/>
    <w:aliases w:val="5_G,Char,Note de bas de page2,Текст сноски Знак,Footnote Text Char1 Char,Footnote Text Char Char Char,Footnote Text Char Char Char Char Char Char Char Char Char Char Char,Footnote Text Char Char Char Char Char Char Char Char, Char,FA Fu"/>
    <w:basedOn w:val="Normal"/>
    <w:link w:val="FootnoteTextChar"/>
    <w:uiPriority w:val="99"/>
    <w:unhideWhenUsed/>
    <w:qFormat/>
    <w:rsid w:val="00872A47"/>
    <w:pPr>
      <w:spacing w:after="0" w:line="240" w:lineRule="auto"/>
    </w:pPr>
    <w:rPr>
      <w:sz w:val="20"/>
      <w:szCs w:val="20"/>
    </w:rPr>
  </w:style>
  <w:style w:type="character" w:customStyle="1" w:styleId="FootnoteTextChar">
    <w:name w:val="Footnote Text Char"/>
    <w:aliases w:val="5_G Char,Char Char,Note de bas de page2 Char,Текст сноски Знак Char,Footnote Text Char1 Char Char,Footnote Text Char Char Char Char,Footnote Text Char Char Char Char Char Char Char Char Char Char Char Char, Char Char,FA Fu Char"/>
    <w:basedOn w:val="DefaultParagraphFont"/>
    <w:link w:val="FootnoteText"/>
    <w:uiPriority w:val="99"/>
    <w:rsid w:val="00872A47"/>
    <w:rPr>
      <w:rFonts w:eastAsiaTheme="minorEastAsia"/>
      <w:sz w:val="20"/>
      <w:szCs w:val="20"/>
    </w:rPr>
  </w:style>
  <w:style w:type="character" w:styleId="FootnoteReference">
    <w:name w:val="footnote reference"/>
    <w:aliases w:val="4_G,Footnote Refernece,Footnote number,Footnotes refss,16 Point,Superscript 6 Point"/>
    <w:basedOn w:val="DefaultParagraphFont"/>
    <w:unhideWhenUsed/>
    <w:qFormat/>
    <w:rsid w:val="00872A47"/>
    <w:rPr>
      <w:vertAlign w:val="superscript"/>
    </w:rPr>
  </w:style>
  <w:style w:type="paragraph" w:styleId="BalloonText">
    <w:name w:val="Balloon Text"/>
    <w:basedOn w:val="Normal"/>
    <w:link w:val="BalloonTextChar"/>
    <w:uiPriority w:val="99"/>
    <w:semiHidden/>
    <w:unhideWhenUsed/>
    <w:rsid w:val="00532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096"/>
    <w:rPr>
      <w:rFonts w:ascii="Segoe UI" w:eastAsiaTheme="minorEastAsia" w:hAnsi="Segoe UI" w:cs="Segoe UI"/>
      <w:sz w:val="18"/>
      <w:szCs w:val="18"/>
    </w:rPr>
  </w:style>
  <w:style w:type="paragraph" w:customStyle="1" w:styleId="Default">
    <w:name w:val="Default"/>
    <w:rsid w:val="00400638"/>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2D58E4"/>
    <w:rPr>
      <w:i/>
      <w:iCs/>
    </w:rPr>
  </w:style>
  <w:style w:type="character" w:styleId="Hyperlink">
    <w:name w:val="Hyperlink"/>
    <w:basedOn w:val="DefaultParagraphFont"/>
    <w:uiPriority w:val="99"/>
    <w:unhideWhenUsed/>
    <w:rsid w:val="002D58E4"/>
    <w:rPr>
      <w:color w:val="0563C1" w:themeColor="hyperlink"/>
      <w:u w:val="single"/>
    </w:rPr>
  </w:style>
  <w:style w:type="character" w:styleId="CommentReference">
    <w:name w:val="annotation reference"/>
    <w:basedOn w:val="DefaultParagraphFont"/>
    <w:uiPriority w:val="99"/>
    <w:semiHidden/>
    <w:unhideWhenUsed/>
    <w:rsid w:val="003B017D"/>
    <w:rPr>
      <w:sz w:val="16"/>
      <w:szCs w:val="16"/>
    </w:rPr>
  </w:style>
  <w:style w:type="paragraph" w:styleId="CommentText">
    <w:name w:val="annotation text"/>
    <w:basedOn w:val="Normal"/>
    <w:link w:val="CommentTextChar"/>
    <w:uiPriority w:val="99"/>
    <w:semiHidden/>
    <w:unhideWhenUsed/>
    <w:rsid w:val="003B017D"/>
    <w:pPr>
      <w:spacing w:line="240" w:lineRule="auto"/>
    </w:pPr>
    <w:rPr>
      <w:sz w:val="20"/>
      <w:szCs w:val="20"/>
    </w:rPr>
  </w:style>
  <w:style w:type="character" w:customStyle="1" w:styleId="CommentTextChar">
    <w:name w:val="Comment Text Char"/>
    <w:basedOn w:val="DefaultParagraphFont"/>
    <w:link w:val="CommentText"/>
    <w:uiPriority w:val="99"/>
    <w:semiHidden/>
    <w:rsid w:val="003B017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B017D"/>
    <w:rPr>
      <w:b/>
      <w:bCs/>
    </w:rPr>
  </w:style>
  <w:style w:type="character" w:customStyle="1" w:styleId="CommentSubjectChar">
    <w:name w:val="Comment Subject Char"/>
    <w:basedOn w:val="CommentTextChar"/>
    <w:link w:val="CommentSubject"/>
    <w:uiPriority w:val="99"/>
    <w:semiHidden/>
    <w:rsid w:val="003B017D"/>
    <w:rPr>
      <w:rFonts w:eastAsiaTheme="minorEastAsia"/>
      <w:b/>
      <w:bCs/>
      <w:sz w:val="20"/>
      <w:szCs w:val="20"/>
    </w:rPr>
  </w:style>
  <w:style w:type="character" w:customStyle="1" w:styleId="CorisITALIC">
    <w:name w:val="Coris ITALIC"/>
    <w:uiPriority w:val="99"/>
    <w:rsid w:val="00921CF7"/>
    <w:rPr>
      <w:rFonts w:ascii="CorisMacron Italic" w:hAnsi="CorisMacron Italic" w:cs="CorisMacron Italic"/>
      <w:i/>
      <w:iCs/>
    </w:rPr>
  </w:style>
  <w:style w:type="paragraph" w:styleId="Header">
    <w:name w:val="header"/>
    <w:basedOn w:val="Normal"/>
    <w:link w:val="HeaderChar"/>
    <w:uiPriority w:val="99"/>
    <w:unhideWhenUsed/>
    <w:rsid w:val="00921C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CF7"/>
    <w:rPr>
      <w:rFonts w:eastAsiaTheme="minorEastAsia"/>
    </w:rPr>
  </w:style>
  <w:style w:type="paragraph" w:styleId="Footer">
    <w:name w:val="footer"/>
    <w:basedOn w:val="Normal"/>
    <w:link w:val="FooterChar"/>
    <w:uiPriority w:val="99"/>
    <w:unhideWhenUsed/>
    <w:rsid w:val="00921C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CF7"/>
    <w:rPr>
      <w:rFonts w:eastAsiaTheme="minorEastAsia"/>
    </w:rPr>
  </w:style>
  <w:style w:type="character" w:styleId="Strong">
    <w:name w:val="Strong"/>
    <w:basedOn w:val="DefaultParagraphFont"/>
    <w:uiPriority w:val="22"/>
    <w:qFormat/>
    <w:rsid w:val="00D92409"/>
    <w:rPr>
      <w:b/>
      <w:bCs/>
    </w:rPr>
  </w:style>
  <w:style w:type="character" w:styleId="Mention">
    <w:name w:val="Mention"/>
    <w:basedOn w:val="DefaultParagraphFont"/>
    <w:uiPriority w:val="99"/>
    <w:semiHidden/>
    <w:unhideWhenUsed/>
    <w:rsid w:val="00AC2772"/>
    <w:rPr>
      <w:color w:val="2B579A"/>
      <w:shd w:val="clear" w:color="auto" w:fill="E6E6E6"/>
    </w:rPr>
  </w:style>
  <w:style w:type="paragraph" w:styleId="NormalWeb">
    <w:name w:val="Normal (Web)"/>
    <w:basedOn w:val="Normal"/>
    <w:uiPriority w:val="99"/>
    <w:unhideWhenUsed/>
    <w:rsid w:val="0038045A"/>
    <w:pPr>
      <w:spacing w:before="100" w:beforeAutospacing="1" w:after="100" w:afterAutospacing="1" w:line="240" w:lineRule="auto"/>
    </w:pPr>
    <w:rPr>
      <w:rFonts w:ascii="Times New Roman" w:eastAsiaTheme="minorHAns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34582">
      <w:bodyDiv w:val="1"/>
      <w:marLeft w:val="0"/>
      <w:marRight w:val="0"/>
      <w:marTop w:val="0"/>
      <w:marBottom w:val="0"/>
      <w:divBdr>
        <w:top w:val="none" w:sz="0" w:space="0" w:color="auto"/>
        <w:left w:val="none" w:sz="0" w:space="0" w:color="auto"/>
        <w:bottom w:val="none" w:sz="0" w:space="0" w:color="auto"/>
        <w:right w:val="none" w:sz="0" w:space="0" w:color="auto"/>
      </w:divBdr>
    </w:div>
    <w:div w:id="197355416">
      <w:bodyDiv w:val="1"/>
      <w:marLeft w:val="0"/>
      <w:marRight w:val="0"/>
      <w:marTop w:val="0"/>
      <w:marBottom w:val="0"/>
      <w:divBdr>
        <w:top w:val="none" w:sz="0" w:space="0" w:color="auto"/>
        <w:left w:val="none" w:sz="0" w:space="0" w:color="auto"/>
        <w:bottom w:val="none" w:sz="0" w:space="0" w:color="auto"/>
        <w:right w:val="none" w:sz="0" w:space="0" w:color="auto"/>
      </w:divBdr>
      <w:divsChild>
        <w:div w:id="1900750337">
          <w:marLeft w:val="0"/>
          <w:marRight w:val="0"/>
          <w:marTop w:val="0"/>
          <w:marBottom w:val="0"/>
          <w:divBdr>
            <w:top w:val="none" w:sz="0" w:space="0" w:color="auto"/>
            <w:left w:val="none" w:sz="0" w:space="0" w:color="auto"/>
            <w:bottom w:val="none" w:sz="0" w:space="0" w:color="auto"/>
            <w:right w:val="none" w:sz="0" w:space="0" w:color="auto"/>
          </w:divBdr>
          <w:divsChild>
            <w:div w:id="2051958057">
              <w:marLeft w:val="0"/>
              <w:marRight w:val="0"/>
              <w:marTop w:val="0"/>
              <w:marBottom w:val="0"/>
              <w:divBdr>
                <w:top w:val="none" w:sz="0" w:space="0" w:color="auto"/>
                <w:left w:val="none" w:sz="0" w:space="0" w:color="auto"/>
                <w:bottom w:val="none" w:sz="0" w:space="0" w:color="auto"/>
                <w:right w:val="none" w:sz="0" w:space="0" w:color="auto"/>
              </w:divBdr>
            </w:div>
            <w:div w:id="1800225902">
              <w:marLeft w:val="0"/>
              <w:marRight w:val="0"/>
              <w:marTop w:val="0"/>
              <w:marBottom w:val="0"/>
              <w:divBdr>
                <w:top w:val="none" w:sz="0" w:space="0" w:color="auto"/>
                <w:left w:val="none" w:sz="0" w:space="0" w:color="auto"/>
                <w:bottom w:val="none" w:sz="0" w:space="0" w:color="auto"/>
                <w:right w:val="none" w:sz="0" w:space="0" w:color="auto"/>
              </w:divBdr>
            </w:div>
            <w:div w:id="15985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324133">
      <w:bodyDiv w:val="1"/>
      <w:marLeft w:val="0"/>
      <w:marRight w:val="0"/>
      <w:marTop w:val="0"/>
      <w:marBottom w:val="0"/>
      <w:divBdr>
        <w:top w:val="none" w:sz="0" w:space="0" w:color="auto"/>
        <w:left w:val="none" w:sz="0" w:space="0" w:color="auto"/>
        <w:bottom w:val="none" w:sz="0" w:space="0" w:color="auto"/>
        <w:right w:val="none" w:sz="0" w:space="0" w:color="auto"/>
      </w:divBdr>
    </w:div>
    <w:div w:id="564336722">
      <w:bodyDiv w:val="1"/>
      <w:marLeft w:val="0"/>
      <w:marRight w:val="0"/>
      <w:marTop w:val="0"/>
      <w:marBottom w:val="0"/>
      <w:divBdr>
        <w:top w:val="none" w:sz="0" w:space="0" w:color="auto"/>
        <w:left w:val="none" w:sz="0" w:space="0" w:color="auto"/>
        <w:bottom w:val="none" w:sz="0" w:space="0" w:color="auto"/>
        <w:right w:val="none" w:sz="0" w:space="0" w:color="auto"/>
      </w:divBdr>
    </w:div>
    <w:div w:id="737753573">
      <w:bodyDiv w:val="1"/>
      <w:marLeft w:val="0"/>
      <w:marRight w:val="0"/>
      <w:marTop w:val="0"/>
      <w:marBottom w:val="0"/>
      <w:divBdr>
        <w:top w:val="none" w:sz="0" w:space="0" w:color="auto"/>
        <w:left w:val="none" w:sz="0" w:space="0" w:color="auto"/>
        <w:bottom w:val="none" w:sz="0" w:space="0" w:color="auto"/>
        <w:right w:val="none" w:sz="0" w:space="0" w:color="auto"/>
      </w:divBdr>
    </w:div>
    <w:div w:id="899559833">
      <w:bodyDiv w:val="1"/>
      <w:marLeft w:val="0"/>
      <w:marRight w:val="0"/>
      <w:marTop w:val="0"/>
      <w:marBottom w:val="0"/>
      <w:divBdr>
        <w:top w:val="none" w:sz="0" w:space="0" w:color="auto"/>
        <w:left w:val="none" w:sz="0" w:space="0" w:color="auto"/>
        <w:bottom w:val="none" w:sz="0" w:space="0" w:color="auto"/>
        <w:right w:val="none" w:sz="0" w:space="0" w:color="auto"/>
      </w:divBdr>
    </w:div>
    <w:div w:id="1167864329">
      <w:bodyDiv w:val="1"/>
      <w:marLeft w:val="0"/>
      <w:marRight w:val="0"/>
      <w:marTop w:val="0"/>
      <w:marBottom w:val="0"/>
      <w:divBdr>
        <w:top w:val="none" w:sz="0" w:space="0" w:color="auto"/>
        <w:left w:val="none" w:sz="0" w:space="0" w:color="auto"/>
        <w:bottom w:val="none" w:sz="0" w:space="0" w:color="auto"/>
        <w:right w:val="none" w:sz="0" w:space="0" w:color="auto"/>
      </w:divBdr>
    </w:div>
    <w:div w:id="1191650039">
      <w:bodyDiv w:val="1"/>
      <w:marLeft w:val="0"/>
      <w:marRight w:val="0"/>
      <w:marTop w:val="0"/>
      <w:marBottom w:val="0"/>
      <w:divBdr>
        <w:top w:val="none" w:sz="0" w:space="0" w:color="auto"/>
        <w:left w:val="none" w:sz="0" w:space="0" w:color="auto"/>
        <w:bottom w:val="none" w:sz="0" w:space="0" w:color="auto"/>
        <w:right w:val="none" w:sz="0" w:space="0" w:color="auto"/>
      </w:divBdr>
      <w:divsChild>
        <w:div w:id="1436485306">
          <w:marLeft w:val="0"/>
          <w:marRight w:val="0"/>
          <w:marTop w:val="0"/>
          <w:marBottom w:val="0"/>
          <w:divBdr>
            <w:top w:val="none" w:sz="0" w:space="0" w:color="auto"/>
            <w:left w:val="none" w:sz="0" w:space="0" w:color="auto"/>
            <w:bottom w:val="none" w:sz="0" w:space="0" w:color="auto"/>
            <w:right w:val="none" w:sz="0" w:space="0" w:color="auto"/>
          </w:divBdr>
        </w:div>
        <w:div w:id="184172183">
          <w:marLeft w:val="0"/>
          <w:marRight w:val="0"/>
          <w:marTop w:val="0"/>
          <w:marBottom w:val="0"/>
          <w:divBdr>
            <w:top w:val="none" w:sz="0" w:space="0" w:color="auto"/>
            <w:left w:val="none" w:sz="0" w:space="0" w:color="auto"/>
            <w:bottom w:val="none" w:sz="0" w:space="0" w:color="auto"/>
            <w:right w:val="none" w:sz="0" w:space="0" w:color="auto"/>
          </w:divBdr>
        </w:div>
        <w:div w:id="1240214933">
          <w:marLeft w:val="0"/>
          <w:marRight w:val="0"/>
          <w:marTop w:val="0"/>
          <w:marBottom w:val="0"/>
          <w:divBdr>
            <w:top w:val="none" w:sz="0" w:space="0" w:color="auto"/>
            <w:left w:val="none" w:sz="0" w:space="0" w:color="auto"/>
            <w:bottom w:val="none" w:sz="0" w:space="0" w:color="auto"/>
            <w:right w:val="none" w:sz="0" w:space="0" w:color="auto"/>
          </w:divBdr>
        </w:div>
      </w:divsChild>
    </w:div>
    <w:div w:id="1228305065">
      <w:bodyDiv w:val="1"/>
      <w:marLeft w:val="0"/>
      <w:marRight w:val="0"/>
      <w:marTop w:val="0"/>
      <w:marBottom w:val="0"/>
      <w:divBdr>
        <w:top w:val="none" w:sz="0" w:space="0" w:color="auto"/>
        <w:left w:val="none" w:sz="0" w:space="0" w:color="auto"/>
        <w:bottom w:val="none" w:sz="0" w:space="0" w:color="auto"/>
        <w:right w:val="none" w:sz="0" w:space="0" w:color="auto"/>
      </w:divBdr>
    </w:div>
    <w:div w:id="1253707090">
      <w:bodyDiv w:val="1"/>
      <w:marLeft w:val="0"/>
      <w:marRight w:val="0"/>
      <w:marTop w:val="0"/>
      <w:marBottom w:val="0"/>
      <w:divBdr>
        <w:top w:val="none" w:sz="0" w:space="0" w:color="auto"/>
        <w:left w:val="none" w:sz="0" w:space="0" w:color="auto"/>
        <w:bottom w:val="none" w:sz="0" w:space="0" w:color="auto"/>
        <w:right w:val="none" w:sz="0" w:space="0" w:color="auto"/>
      </w:divBdr>
      <w:divsChild>
        <w:div w:id="1390297822">
          <w:marLeft w:val="0"/>
          <w:marRight w:val="0"/>
          <w:marTop w:val="0"/>
          <w:marBottom w:val="0"/>
          <w:divBdr>
            <w:top w:val="none" w:sz="0" w:space="0" w:color="auto"/>
            <w:left w:val="none" w:sz="0" w:space="0" w:color="auto"/>
            <w:bottom w:val="none" w:sz="0" w:space="0" w:color="auto"/>
            <w:right w:val="none" w:sz="0" w:space="0" w:color="auto"/>
          </w:divBdr>
        </w:div>
        <w:div w:id="1527719538">
          <w:marLeft w:val="0"/>
          <w:marRight w:val="0"/>
          <w:marTop w:val="0"/>
          <w:marBottom w:val="0"/>
          <w:divBdr>
            <w:top w:val="none" w:sz="0" w:space="0" w:color="auto"/>
            <w:left w:val="none" w:sz="0" w:space="0" w:color="auto"/>
            <w:bottom w:val="none" w:sz="0" w:space="0" w:color="auto"/>
            <w:right w:val="none" w:sz="0" w:space="0" w:color="auto"/>
          </w:divBdr>
        </w:div>
        <w:div w:id="2105295230">
          <w:marLeft w:val="0"/>
          <w:marRight w:val="0"/>
          <w:marTop w:val="0"/>
          <w:marBottom w:val="0"/>
          <w:divBdr>
            <w:top w:val="none" w:sz="0" w:space="0" w:color="auto"/>
            <w:left w:val="none" w:sz="0" w:space="0" w:color="auto"/>
            <w:bottom w:val="none" w:sz="0" w:space="0" w:color="auto"/>
            <w:right w:val="none" w:sz="0" w:space="0" w:color="auto"/>
          </w:divBdr>
        </w:div>
        <w:div w:id="124550531">
          <w:marLeft w:val="0"/>
          <w:marRight w:val="0"/>
          <w:marTop w:val="0"/>
          <w:marBottom w:val="0"/>
          <w:divBdr>
            <w:top w:val="none" w:sz="0" w:space="0" w:color="auto"/>
            <w:left w:val="none" w:sz="0" w:space="0" w:color="auto"/>
            <w:bottom w:val="none" w:sz="0" w:space="0" w:color="auto"/>
            <w:right w:val="none" w:sz="0" w:space="0" w:color="auto"/>
          </w:divBdr>
        </w:div>
      </w:divsChild>
    </w:div>
    <w:div w:id="208602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Ering@hrc.co.n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veIayx3KObQ&amp;t=1s" TargetMode="External"/><Relationship Id="rId2" Type="http://schemas.openxmlformats.org/officeDocument/2006/relationships/hyperlink" Target="https://www.youtube.com/watch?v=YVNMw-e0ffI" TargetMode="External"/><Relationship Id="rId1" Type="http://schemas.openxmlformats.org/officeDocument/2006/relationships/hyperlink" Target="http://oxfordindex.oup.com/view/10.1093/acprof:osobl/9780199744206.003.0020" TargetMode="External"/><Relationship Id="rId6" Type="http://schemas.openxmlformats.org/officeDocument/2006/relationships/hyperlink" Target="http://cphpost.dk/news/down-syndrome-heading-for-extinction-in-denmark.html" TargetMode="External"/><Relationship Id="rId5" Type="http://schemas.openxmlformats.org/officeDocument/2006/relationships/hyperlink" Target="http://www.bbc.com/news/magazine-37500189" TargetMode="External"/><Relationship Id="rId4" Type="http://schemas.openxmlformats.org/officeDocument/2006/relationships/hyperlink" Target="https://www.youtube.com/watch?v=HwxjoBQdn0s&amp;t=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61750-F3E7-4103-B1BA-9B870EA72D6E}"/>
</file>

<file path=customXml/itemProps2.xml><?xml version="1.0" encoding="utf-8"?>
<ds:datastoreItem xmlns:ds="http://schemas.openxmlformats.org/officeDocument/2006/customXml" ds:itemID="{926B8625-4292-433D-8254-0F1646A1FC90}">
  <ds:schemaRefs>
    <ds:schemaRef ds:uri="http://purl.org/dc/elements/1.1/"/>
    <ds:schemaRef ds:uri="http://schemas.microsoft.com/office/2006/metadata/properties"/>
    <ds:schemaRef ds:uri="14bf6e64-41b1-4008-8b31-81e768f35d2f"/>
    <ds:schemaRef ds:uri="7fa524cd-5488-4231-a774-088743c0689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a28ad9b-b50f-45c7-9909-b90a4cda4617"/>
    <ds:schemaRef ds:uri="http://www.w3.org/XML/1998/namespace"/>
    <ds:schemaRef ds:uri="http://purl.org/dc/dcmitype/"/>
  </ds:schemaRefs>
</ds:datastoreItem>
</file>

<file path=customXml/itemProps3.xml><?xml version="1.0" encoding="utf-8"?>
<ds:datastoreItem xmlns:ds="http://schemas.openxmlformats.org/officeDocument/2006/customXml" ds:itemID="{40533357-7806-4878-9759-29FB075C735A}">
  <ds:schemaRefs>
    <ds:schemaRef ds:uri="http://schemas.microsoft.com/sharepoint/v3/contenttype/forms"/>
  </ds:schemaRefs>
</ds:datastoreItem>
</file>

<file path=customXml/itemProps4.xml><?xml version="1.0" encoding="utf-8"?>
<ds:datastoreItem xmlns:ds="http://schemas.openxmlformats.org/officeDocument/2006/customXml" ds:itemID="{269FEF80-5F57-40F5-875B-50217CDE63C6}">
  <ds:schemaRefs>
    <ds:schemaRef ds:uri="http://schemas.microsoft.com/sharepoint/events"/>
  </ds:schemaRefs>
</ds:datastoreItem>
</file>

<file path=customXml/itemProps5.xml><?xml version="1.0" encoding="utf-8"?>
<ds:datastoreItem xmlns:ds="http://schemas.openxmlformats.org/officeDocument/2006/customXml" ds:itemID="{78198FB3-E865-4291-9E26-15FF58164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1666</Words>
  <Characters>9501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Janet Anderson-Bidois</dc:creator>
  <cp:lastModifiedBy>Erin Gough</cp:lastModifiedBy>
  <cp:revision>12</cp:revision>
  <cp:lastPrinted>2017-07-07T02:24:00Z</cp:lastPrinted>
  <dcterms:created xsi:type="dcterms:W3CDTF">2017-07-05T22:43:00Z</dcterms:created>
  <dcterms:modified xsi:type="dcterms:W3CDTF">2017-07-07T02:25:00Z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_dlc_DocIdItemGuid">
    <vt:lpwstr>5991e729-ba68-4029-ab1d-969b6fa72115</vt:lpwstr>
  </property>
  <property fmtid="{D5CDD505-2E9C-101B-9397-08002B2CF9AE}" pid="4" name="RevIMBCS">
    <vt:lpwstr>6;#Unclassified|0a70c7e4-690b-4f4f-aaca-5c28ddafd865</vt:lpwstr>
  </property>
</Properties>
</file>