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F006" w14:textId="6726F33D" w:rsidR="00764207" w:rsidRDefault="00764207" w:rsidP="00AD309A">
      <w:pPr>
        <w:spacing w:after="0"/>
        <w:jc w:val="right"/>
        <w:rPr>
          <w:lang w:val="en-GB"/>
        </w:rPr>
      </w:pPr>
      <w:r>
        <w:rPr>
          <w:lang w:val="en-GB"/>
        </w:rPr>
        <w:t>Helena Kennedy Centre for International Justice</w:t>
      </w:r>
    </w:p>
    <w:p w14:paraId="2DED12C6" w14:textId="77777777" w:rsidR="00AD309A" w:rsidRPr="00AD309A" w:rsidRDefault="00AD309A" w:rsidP="00AD309A">
      <w:pPr>
        <w:spacing w:after="0"/>
        <w:jc w:val="right"/>
        <w:rPr>
          <w:lang w:val="en-GB"/>
        </w:rPr>
      </w:pPr>
      <w:r w:rsidRPr="00AD309A">
        <w:rPr>
          <w:lang w:val="en-GB"/>
        </w:rPr>
        <w:t>Sheffield Hallam University</w:t>
      </w:r>
    </w:p>
    <w:p w14:paraId="7AF5F7CA" w14:textId="77777777" w:rsidR="00AD309A" w:rsidRPr="00AD309A" w:rsidRDefault="00AD309A" w:rsidP="00AD309A">
      <w:pPr>
        <w:spacing w:after="0"/>
        <w:jc w:val="right"/>
        <w:rPr>
          <w:lang w:val="en-GB"/>
        </w:rPr>
      </w:pPr>
      <w:r w:rsidRPr="00AD309A">
        <w:rPr>
          <w:lang w:val="en-GB"/>
        </w:rPr>
        <w:t>Heart of the Campus</w:t>
      </w:r>
    </w:p>
    <w:p w14:paraId="5D1867CF" w14:textId="77777777" w:rsidR="00AD309A" w:rsidRDefault="00AD309A" w:rsidP="00AD309A">
      <w:pPr>
        <w:spacing w:after="0"/>
        <w:jc w:val="right"/>
        <w:rPr>
          <w:lang w:val="en-GB"/>
        </w:rPr>
      </w:pPr>
      <w:r>
        <w:rPr>
          <w:lang w:val="en-GB"/>
        </w:rPr>
        <w:t xml:space="preserve">Collegiate Crescent </w:t>
      </w:r>
    </w:p>
    <w:p w14:paraId="4FA20289" w14:textId="1149C759" w:rsidR="00AD309A" w:rsidRPr="00AD309A" w:rsidRDefault="00AD309A" w:rsidP="00AD309A">
      <w:pPr>
        <w:spacing w:after="0"/>
        <w:jc w:val="right"/>
        <w:rPr>
          <w:lang w:val="en-GB"/>
        </w:rPr>
      </w:pPr>
      <w:r w:rsidRPr="00AD309A">
        <w:rPr>
          <w:lang w:val="en-GB"/>
        </w:rPr>
        <w:t>Sheffield</w:t>
      </w:r>
      <w:r>
        <w:rPr>
          <w:lang w:val="en-GB"/>
        </w:rPr>
        <w:t xml:space="preserve"> </w:t>
      </w:r>
    </w:p>
    <w:p w14:paraId="6761F6D2" w14:textId="3446D538" w:rsidR="00AD309A" w:rsidRPr="00AD309A" w:rsidRDefault="00AD309A" w:rsidP="002C64CB">
      <w:pPr>
        <w:spacing w:after="0"/>
        <w:jc w:val="right"/>
        <w:rPr>
          <w:lang w:val="en-GB"/>
        </w:rPr>
      </w:pPr>
      <w:r w:rsidRPr="00AD309A">
        <w:rPr>
          <w:lang w:val="en-GB"/>
        </w:rPr>
        <w:t>S10 2BP</w:t>
      </w:r>
    </w:p>
    <w:p w14:paraId="1EED037D" w14:textId="77777777" w:rsidR="003E6FDF" w:rsidRDefault="003E6FDF" w:rsidP="002C64CB">
      <w:pPr>
        <w:spacing w:after="0"/>
        <w:rPr>
          <w:b/>
          <w:lang w:val="en-US"/>
        </w:rPr>
      </w:pPr>
    </w:p>
    <w:p w14:paraId="05AB89C9" w14:textId="77777777" w:rsidR="003E6FDF" w:rsidRDefault="003E6FDF" w:rsidP="002C64CB">
      <w:pPr>
        <w:spacing w:after="0"/>
        <w:rPr>
          <w:b/>
          <w:lang w:val="en-US"/>
        </w:rPr>
      </w:pPr>
    </w:p>
    <w:p w14:paraId="49E71775" w14:textId="3EE6DC8D" w:rsidR="00542497" w:rsidRDefault="00542497" w:rsidP="002C64CB">
      <w:pPr>
        <w:spacing w:after="0"/>
        <w:rPr>
          <w:b/>
          <w:lang w:val="en-US"/>
        </w:rPr>
      </w:pPr>
      <w:r>
        <w:rPr>
          <w:b/>
          <w:lang w:val="en-US"/>
        </w:rPr>
        <w:t>Committee</w:t>
      </w:r>
      <w:r w:rsidR="002C64CB">
        <w:rPr>
          <w:b/>
          <w:lang w:val="en-US"/>
        </w:rPr>
        <w:t xml:space="preserve"> on the Rights of Persons with Disabilities</w:t>
      </w:r>
    </w:p>
    <w:p w14:paraId="39A7D7B4" w14:textId="77777777" w:rsidR="002C64CB" w:rsidRDefault="002C64CB" w:rsidP="002C64CB">
      <w:pPr>
        <w:spacing w:after="0"/>
        <w:rPr>
          <w:b/>
          <w:lang w:val="en-US"/>
        </w:rPr>
      </w:pPr>
      <w:r>
        <w:rPr>
          <w:b/>
          <w:lang w:val="en-US"/>
        </w:rPr>
        <w:t>United Nations</w:t>
      </w:r>
    </w:p>
    <w:p w14:paraId="455D70A5" w14:textId="770ADCFE" w:rsidR="00542497" w:rsidRDefault="00542497" w:rsidP="002C64CB">
      <w:pPr>
        <w:spacing w:after="0"/>
        <w:rPr>
          <w:b/>
          <w:lang w:val="en-US"/>
        </w:rPr>
      </w:pPr>
      <w:r>
        <w:rPr>
          <w:b/>
          <w:lang w:val="en-US"/>
        </w:rPr>
        <w:t>Geneva</w:t>
      </w:r>
    </w:p>
    <w:p w14:paraId="76CCFCD9" w14:textId="310D0559" w:rsidR="002C64CB" w:rsidRDefault="002C64CB" w:rsidP="002C64CB">
      <w:pPr>
        <w:spacing w:after="0"/>
        <w:rPr>
          <w:b/>
          <w:lang w:val="en-US"/>
        </w:rPr>
      </w:pPr>
      <w:r>
        <w:rPr>
          <w:b/>
          <w:lang w:val="en-US"/>
        </w:rPr>
        <w:t>Switzerland</w:t>
      </w:r>
    </w:p>
    <w:p w14:paraId="2465684E" w14:textId="77777777" w:rsidR="002C64CB" w:rsidRDefault="002C64CB" w:rsidP="002C64CB">
      <w:pPr>
        <w:spacing w:after="0"/>
        <w:rPr>
          <w:b/>
          <w:lang w:val="en-US"/>
        </w:rPr>
      </w:pPr>
    </w:p>
    <w:p w14:paraId="0FF7A714" w14:textId="3E1167AB" w:rsidR="00542497" w:rsidRDefault="00542497" w:rsidP="002C64CB">
      <w:pPr>
        <w:spacing w:after="0"/>
        <w:jc w:val="right"/>
        <w:rPr>
          <w:b/>
          <w:lang w:val="en-US"/>
        </w:rPr>
      </w:pPr>
      <w:r>
        <w:rPr>
          <w:b/>
          <w:lang w:val="en-US"/>
        </w:rPr>
        <w:t>30 November 2017</w:t>
      </w:r>
    </w:p>
    <w:p w14:paraId="417BCC67" w14:textId="77777777" w:rsidR="00542497" w:rsidRDefault="00542497" w:rsidP="004C1E6C">
      <w:pPr>
        <w:rPr>
          <w:b/>
          <w:lang w:val="en-US"/>
        </w:rPr>
      </w:pPr>
    </w:p>
    <w:p w14:paraId="4754546D" w14:textId="77777777" w:rsidR="007A0016" w:rsidRDefault="007A0016" w:rsidP="007A0016">
      <w:pPr>
        <w:spacing w:after="0"/>
        <w:rPr>
          <w:b/>
          <w:lang w:val="en-US"/>
        </w:rPr>
      </w:pPr>
    </w:p>
    <w:p w14:paraId="41018128" w14:textId="77777777" w:rsidR="008504D2" w:rsidRPr="008531B3" w:rsidRDefault="008504D2" w:rsidP="007A0016">
      <w:pPr>
        <w:spacing w:after="0"/>
        <w:jc w:val="center"/>
        <w:rPr>
          <w:b/>
          <w:sz w:val="24"/>
          <w:lang w:val="en-US"/>
        </w:rPr>
      </w:pPr>
      <w:r w:rsidRPr="008531B3">
        <w:rPr>
          <w:b/>
          <w:sz w:val="24"/>
          <w:lang w:val="en-US"/>
        </w:rPr>
        <w:t xml:space="preserve">Remarks on        </w:t>
      </w:r>
    </w:p>
    <w:p w14:paraId="71C4A03D" w14:textId="77777777" w:rsidR="008504D2" w:rsidRPr="008531B3" w:rsidRDefault="008504D2" w:rsidP="007A0016">
      <w:pPr>
        <w:spacing w:after="0"/>
        <w:jc w:val="center"/>
        <w:rPr>
          <w:b/>
          <w:sz w:val="24"/>
          <w:lang w:val="en-GB"/>
        </w:rPr>
      </w:pPr>
      <w:r w:rsidRPr="008531B3">
        <w:rPr>
          <w:b/>
          <w:sz w:val="24"/>
          <w:lang w:val="en-US"/>
        </w:rPr>
        <w:t xml:space="preserve">  </w:t>
      </w:r>
      <w:r w:rsidRPr="008531B3">
        <w:rPr>
          <w:b/>
          <w:sz w:val="24"/>
          <w:lang w:val="en-GB"/>
        </w:rPr>
        <w:t xml:space="preserve">Draft General Comment on Equality and Non- discrimination (Article 5 CRPD) of the </w:t>
      </w:r>
    </w:p>
    <w:p w14:paraId="1F4433A8" w14:textId="77777777" w:rsidR="008504D2" w:rsidRPr="008531B3" w:rsidRDefault="008504D2" w:rsidP="007A0016">
      <w:pPr>
        <w:spacing w:after="0"/>
        <w:jc w:val="center"/>
        <w:rPr>
          <w:b/>
          <w:sz w:val="24"/>
          <w:lang w:val="en-GB"/>
        </w:rPr>
      </w:pPr>
      <w:r w:rsidRPr="008531B3">
        <w:rPr>
          <w:b/>
          <w:sz w:val="24"/>
          <w:lang w:val="en-GB"/>
        </w:rPr>
        <w:t>UN Committee on the Rights of Persons with Disabilities</w:t>
      </w:r>
    </w:p>
    <w:p w14:paraId="0AE893AA" w14:textId="77777777" w:rsidR="008531B3" w:rsidRDefault="008531B3" w:rsidP="007A0016">
      <w:pPr>
        <w:spacing w:after="0"/>
        <w:jc w:val="center"/>
        <w:rPr>
          <w:b/>
          <w:lang w:val="en-GB"/>
        </w:rPr>
      </w:pPr>
    </w:p>
    <w:p w14:paraId="484C7177" w14:textId="77777777" w:rsidR="001F3E28" w:rsidRDefault="001F3E28" w:rsidP="007A0016">
      <w:pPr>
        <w:spacing w:after="0"/>
        <w:jc w:val="center"/>
        <w:rPr>
          <w:b/>
          <w:lang w:val="en-GB"/>
        </w:rPr>
      </w:pPr>
    </w:p>
    <w:p w14:paraId="15AA8920" w14:textId="77777777" w:rsidR="008531B3" w:rsidRDefault="008531B3" w:rsidP="008531B3">
      <w:pPr>
        <w:spacing w:after="0"/>
        <w:jc w:val="center"/>
        <w:rPr>
          <w:b/>
          <w:lang w:val="en-US"/>
        </w:rPr>
      </w:pPr>
      <w:r>
        <w:rPr>
          <w:b/>
          <w:lang w:val="en-US"/>
        </w:rPr>
        <w:t>Dr Thomas Bundschuh,</w:t>
      </w:r>
    </w:p>
    <w:p w14:paraId="4A5B533C" w14:textId="3E3FA3EB" w:rsidR="008531B3" w:rsidRDefault="008531B3" w:rsidP="008531B3">
      <w:pPr>
        <w:spacing w:after="0"/>
        <w:jc w:val="center"/>
        <w:rPr>
          <w:b/>
          <w:lang w:val="en-US"/>
        </w:rPr>
      </w:pPr>
      <w:r>
        <w:rPr>
          <w:b/>
          <w:lang w:val="en-US"/>
        </w:rPr>
        <w:t>with Francesca Develin-Johnson, Sepideh Ghotbi , Jordan Hall  and Becci James,</w:t>
      </w:r>
    </w:p>
    <w:p w14:paraId="2C9510FF" w14:textId="0ACF2912" w:rsidR="008531B3" w:rsidRDefault="008531B3" w:rsidP="008531B3">
      <w:pPr>
        <w:spacing w:after="0"/>
        <w:jc w:val="center"/>
        <w:rPr>
          <w:b/>
          <w:lang w:val="en-US"/>
        </w:rPr>
      </w:pPr>
      <w:r>
        <w:rPr>
          <w:b/>
          <w:lang w:val="en-US"/>
        </w:rPr>
        <w:t>Helena Kennedy Centre for International  Justice, Sheffield Hallam University, United Kingdom</w:t>
      </w:r>
    </w:p>
    <w:p w14:paraId="17759A3B" w14:textId="77777777" w:rsidR="008531B3" w:rsidRPr="008531B3" w:rsidRDefault="008531B3" w:rsidP="007A0016">
      <w:pPr>
        <w:spacing w:after="0"/>
        <w:jc w:val="center"/>
        <w:rPr>
          <w:b/>
          <w:lang w:val="en-US"/>
        </w:rPr>
      </w:pPr>
    </w:p>
    <w:p w14:paraId="68926AF7" w14:textId="77777777" w:rsidR="00D115EE" w:rsidRPr="00702A61" w:rsidRDefault="00D115EE" w:rsidP="00D115EE">
      <w:pPr>
        <w:rPr>
          <w:lang w:val="en-GB"/>
        </w:rPr>
      </w:pPr>
    </w:p>
    <w:p w14:paraId="2DF7422F" w14:textId="49CC206A" w:rsidR="00D115EE" w:rsidRPr="00702A61" w:rsidRDefault="00D115EE" w:rsidP="00D115EE">
      <w:pPr>
        <w:pBdr>
          <w:top w:val="single" w:sz="4" w:space="1" w:color="auto"/>
          <w:left w:val="single" w:sz="4" w:space="4" w:color="auto"/>
          <w:bottom w:val="single" w:sz="4" w:space="1" w:color="auto"/>
          <w:right w:val="single" w:sz="4" w:space="4" w:color="auto"/>
        </w:pBdr>
        <w:rPr>
          <w:lang w:val="en-GB"/>
        </w:rPr>
      </w:pPr>
      <w:r w:rsidRPr="00702A61">
        <w:rPr>
          <w:b/>
          <w:lang w:val="en-GB"/>
        </w:rPr>
        <w:t>Article 5 CRPD - Equality and non-discrimination</w:t>
      </w:r>
    </w:p>
    <w:p w14:paraId="44C87812" w14:textId="77777777" w:rsidR="00D115EE" w:rsidRPr="00702A61" w:rsidRDefault="00D115EE" w:rsidP="00D115EE">
      <w:pPr>
        <w:pBdr>
          <w:top w:val="single" w:sz="4" w:space="1" w:color="auto"/>
          <w:left w:val="single" w:sz="4" w:space="4" w:color="auto"/>
          <w:bottom w:val="single" w:sz="4" w:space="1" w:color="auto"/>
          <w:right w:val="single" w:sz="4" w:space="4" w:color="auto"/>
        </w:pBdr>
        <w:rPr>
          <w:b/>
          <w:lang w:val="en-GB"/>
        </w:rPr>
      </w:pPr>
      <w:r w:rsidRPr="00702A61">
        <w:rPr>
          <w:b/>
          <w:lang w:val="en-GB"/>
        </w:rPr>
        <w:t xml:space="preserve">    1. States Parties recognize that all persons are equal before and under the law and are entitled without any discrimination to the equal protection and equal benefit of the law.</w:t>
      </w:r>
    </w:p>
    <w:p w14:paraId="4737350B" w14:textId="77777777" w:rsidR="00D115EE" w:rsidRPr="00702A61" w:rsidRDefault="00D115EE" w:rsidP="00D115EE">
      <w:pPr>
        <w:pBdr>
          <w:top w:val="single" w:sz="4" w:space="1" w:color="auto"/>
          <w:left w:val="single" w:sz="4" w:space="4" w:color="auto"/>
          <w:bottom w:val="single" w:sz="4" w:space="1" w:color="auto"/>
          <w:right w:val="single" w:sz="4" w:space="4" w:color="auto"/>
        </w:pBdr>
        <w:rPr>
          <w:b/>
          <w:lang w:val="en-GB"/>
        </w:rPr>
      </w:pPr>
      <w:r w:rsidRPr="00702A61">
        <w:rPr>
          <w:b/>
          <w:lang w:val="en-GB"/>
        </w:rPr>
        <w:t xml:space="preserve">    2. States Parties shall prohibit all discrimination on the basis of disability and guarantee to persons with disabilities equal and effective legal protection against discrimination on all grounds.</w:t>
      </w:r>
    </w:p>
    <w:p w14:paraId="4F9C0E34" w14:textId="77777777" w:rsidR="00D115EE" w:rsidRPr="00702A61" w:rsidRDefault="00D115EE" w:rsidP="00D115EE">
      <w:pPr>
        <w:pBdr>
          <w:top w:val="single" w:sz="4" w:space="1" w:color="auto"/>
          <w:left w:val="single" w:sz="4" w:space="4" w:color="auto"/>
          <w:bottom w:val="single" w:sz="4" w:space="1" w:color="auto"/>
          <w:right w:val="single" w:sz="4" w:space="4" w:color="auto"/>
        </w:pBdr>
        <w:rPr>
          <w:b/>
          <w:lang w:val="en-GB"/>
        </w:rPr>
      </w:pPr>
      <w:r w:rsidRPr="00702A61">
        <w:rPr>
          <w:b/>
          <w:lang w:val="en-GB"/>
        </w:rPr>
        <w:t xml:space="preserve">    3. In order to promote equality and eliminate discrimination, States Parties shall take all appropriate steps to ensure that reasonable accommodation is provided.</w:t>
      </w:r>
    </w:p>
    <w:p w14:paraId="2DFF9109" w14:textId="77777777" w:rsidR="00D115EE" w:rsidRPr="00702A61" w:rsidRDefault="00D115EE" w:rsidP="00D115EE">
      <w:pPr>
        <w:pBdr>
          <w:top w:val="single" w:sz="4" w:space="1" w:color="auto"/>
          <w:left w:val="single" w:sz="4" w:space="4" w:color="auto"/>
          <w:bottom w:val="single" w:sz="4" w:space="1" w:color="auto"/>
          <w:right w:val="single" w:sz="4" w:space="4" w:color="auto"/>
        </w:pBdr>
        <w:rPr>
          <w:b/>
          <w:lang w:val="en-GB"/>
        </w:rPr>
      </w:pPr>
      <w:r w:rsidRPr="00702A61">
        <w:rPr>
          <w:b/>
          <w:lang w:val="en-GB"/>
        </w:rPr>
        <w:t xml:space="preserve">    4. Specific measures which are necessary to accelerate or achieve de facto equality of persons with disabilities shall not be considered discrimination under the terms of the present Convention.</w:t>
      </w:r>
    </w:p>
    <w:p w14:paraId="2D45FD42" w14:textId="77777777" w:rsidR="00CA3623" w:rsidRDefault="00CA3623" w:rsidP="00303A6D">
      <w:pPr>
        <w:jc w:val="center"/>
        <w:rPr>
          <w:b/>
          <w:lang w:val="en-GB"/>
        </w:rPr>
      </w:pPr>
    </w:p>
    <w:p w14:paraId="20D1A06A" w14:textId="77777777" w:rsidR="003E6FDF" w:rsidRDefault="003E6FDF" w:rsidP="00303A6D">
      <w:pPr>
        <w:jc w:val="center"/>
        <w:rPr>
          <w:b/>
          <w:lang w:val="en-GB"/>
        </w:rPr>
      </w:pPr>
    </w:p>
    <w:p w14:paraId="2503C56C" w14:textId="77777777" w:rsidR="003E6FDF" w:rsidRDefault="003E6FDF" w:rsidP="00303A6D">
      <w:pPr>
        <w:jc w:val="center"/>
        <w:rPr>
          <w:b/>
          <w:lang w:val="en-GB"/>
        </w:rPr>
      </w:pPr>
    </w:p>
    <w:p w14:paraId="1CB97B94" w14:textId="77777777" w:rsidR="003E6FDF" w:rsidRDefault="003E6FDF" w:rsidP="00303A6D">
      <w:pPr>
        <w:jc w:val="center"/>
        <w:rPr>
          <w:b/>
          <w:lang w:val="en-GB"/>
        </w:rPr>
      </w:pPr>
    </w:p>
    <w:p w14:paraId="4AF71D91" w14:textId="77777777" w:rsidR="00A9787A" w:rsidRPr="000E44AA" w:rsidRDefault="00A9787A" w:rsidP="00A9787A">
      <w:pPr>
        <w:pStyle w:val="ListParagraph"/>
        <w:numPr>
          <w:ilvl w:val="0"/>
          <w:numId w:val="2"/>
        </w:numPr>
        <w:spacing w:after="0" w:line="240" w:lineRule="auto"/>
        <w:jc w:val="both"/>
        <w:rPr>
          <w:lang w:val="en-GB"/>
        </w:rPr>
      </w:pPr>
      <w:r w:rsidRPr="000E44AA">
        <w:rPr>
          <w:lang w:val="en-GB"/>
        </w:rPr>
        <w:t>Introduction</w:t>
      </w:r>
    </w:p>
    <w:p w14:paraId="4367399A" w14:textId="77777777" w:rsidR="00903287" w:rsidRPr="000E44AA" w:rsidRDefault="00903287" w:rsidP="00373A28">
      <w:pPr>
        <w:pStyle w:val="ListParagraph"/>
        <w:spacing w:after="0" w:line="240" w:lineRule="auto"/>
        <w:jc w:val="both"/>
        <w:rPr>
          <w:lang w:val="en-GB"/>
        </w:rPr>
      </w:pPr>
    </w:p>
    <w:p w14:paraId="4A2A3DAD" w14:textId="77777777" w:rsidR="0072011A" w:rsidRPr="000E44AA" w:rsidRDefault="0072011A" w:rsidP="00A9787A">
      <w:pPr>
        <w:spacing w:after="0" w:line="240" w:lineRule="auto"/>
        <w:jc w:val="both"/>
        <w:rPr>
          <w:lang w:val="en-GB"/>
        </w:rPr>
      </w:pPr>
    </w:p>
    <w:p w14:paraId="518D0125" w14:textId="77777777" w:rsidR="0072011A" w:rsidRPr="000E44AA" w:rsidRDefault="0072011A" w:rsidP="0072011A">
      <w:pPr>
        <w:pStyle w:val="ListParagraph"/>
        <w:numPr>
          <w:ilvl w:val="0"/>
          <w:numId w:val="2"/>
        </w:numPr>
        <w:spacing w:after="0" w:line="240" w:lineRule="auto"/>
        <w:jc w:val="both"/>
        <w:rPr>
          <w:lang w:val="en-GB"/>
        </w:rPr>
      </w:pPr>
      <w:r w:rsidRPr="000E44AA">
        <w:rPr>
          <w:lang w:val="en-GB"/>
        </w:rPr>
        <w:t>Equality and non-discrimination for persons with disabilities in international law</w:t>
      </w:r>
    </w:p>
    <w:p w14:paraId="2971C67A" w14:textId="77777777" w:rsidR="0072011A" w:rsidRPr="000E44AA" w:rsidRDefault="0072011A" w:rsidP="0072011A">
      <w:pPr>
        <w:pStyle w:val="ListParagraph"/>
        <w:spacing w:after="0" w:line="240" w:lineRule="auto"/>
        <w:jc w:val="both"/>
        <w:rPr>
          <w:lang w:val="en-GB"/>
        </w:rPr>
      </w:pPr>
      <w:r w:rsidRPr="000E44AA">
        <w:rPr>
          <w:lang w:val="en-GB"/>
        </w:rPr>
        <w:t xml:space="preserve"> </w:t>
      </w:r>
    </w:p>
    <w:p w14:paraId="71A8546B" w14:textId="77777777" w:rsidR="00A9787A" w:rsidRPr="000E44AA" w:rsidRDefault="00A9787A" w:rsidP="00A9787A">
      <w:pPr>
        <w:spacing w:after="0" w:line="240" w:lineRule="auto"/>
        <w:jc w:val="both"/>
        <w:rPr>
          <w:lang w:val="en-GB"/>
        </w:rPr>
      </w:pPr>
    </w:p>
    <w:p w14:paraId="61BB89ED" w14:textId="0D1039C3" w:rsidR="00A9787A" w:rsidRPr="000E44AA" w:rsidRDefault="0072011A" w:rsidP="00303A6D">
      <w:pPr>
        <w:pStyle w:val="ListParagraph"/>
        <w:numPr>
          <w:ilvl w:val="0"/>
          <w:numId w:val="2"/>
        </w:numPr>
        <w:spacing w:after="0" w:line="240" w:lineRule="auto"/>
        <w:jc w:val="both"/>
        <w:rPr>
          <w:lang w:val="en-GB"/>
        </w:rPr>
      </w:pPr>
      <w:r w:rsidRPr="000E44AA">
        <w:rPr>
          <w:lang w:val="en-GB"/>
        </w:rPr>
        <w:t xml:space="preserve">The history of article 5 and article 2 </w:t>
      </w:r>
      <w:r w:rsidR="005775D3" w:rsidRPr="000E44AA">
        <w:rPr>
          <w:lang w:val="en-GB"/>
        </w:rPr>
        <w:t>of the Convention</w:t>
      </w:r>
      <w:r w:rsidRPr="000E44AA">
        <w:rPr>
          <w:lang w:val="en-GB"/>
        </w:rPr>
        <w:t xml:space="preserve"> and the human rights model of disability</w:t>
      </w:r>
    </w:p>
    <w:p w14:paraId="4284A476" w14:textId="77777777" w:rsidR="005C7B9C" w:rsidRPr="000E44AA" w:rsidRDefault="005C7B9C" w:rsidP="001F3101">
      <w:pPr>
        <w:pStyle w:val="ListParagraph"/>
        <w:spacing w:after="0" w:line="240" w:lineRule="auto"/>
        <w:jc w:val="both"/>
        <w:rPr>
          <w:lang w:val="en-GB"/>
        </w:rPr>
      </w:pPr>
    </w:p>
    <w:p w14:paraId="11D3D8F0" w14:textId="77777777" w:rsidR="006B4F86" w:rsidRPr="000E44AA" w:rsidRDefault="006B4F86" w:rsidP="006B4F86">
      <w:pPr>
        <w:pStyle w:val="ListParagraph"/>
        <w:spacing w:after="0" w:line="240" w:lineRule="auto"/>
        <w:ind w:left="360"/>
        <w:jc w:val="both"/>
        <w:rPr>
          <w:lang w:val="en-GB"/>
        </w:rPr>
      </w:pPr>
    </w:p>
    <w:p w14:paraId="07362298" w14:textId="77777777" w:rsidR="0072011A" w:rsidRPr="000E44AA" w:rsidRDefault="0072011A" w:rsidP="00303A6D">
      <w:pPr>
        <w:pStyle w:val="ListParagraph"/>
        <w:numPr>
          <w:ilvl w:val="0"/>
          <w:numId w:val="2"/>
        </w:numPr>
        <w:spacing w:after="0" w:line="240" w:lineRule="auto"/>
        <w:jc w:val="both"/>
        <w:rPr>
          <w:lang w:val="en-GB"/>
        </w:rPr>
      </w:pPr>
      <w:r w:rsidRPr="000E44AA">
        <w:rPr>
          <w:lang w:val="en-GB"/>
        </w:rPr>
        <w:t>Legal character of non</w:t>
      </w:r>
      <w:r w:rsidR="006B4F86" w:rsidRPr="000E44AA">
        <w:rPr>
          <w:lang w:val="en-GB"/>
        </w:rPr>
        <w:t>-</w:t>
      </w:r>
      <w:r w:rsidRPr="000E44AA">
        <w:rPr>
          <w:lang w:val="en-GB"/>
        </w:rPr>
        <w:t>discrimination and equality</w:t>
      </w:r>
    </w:p>
    <w:p w14:paraId="42D9C58F" w14:textId="77777777" w:rsidR="006B4F86" w:rsidRPr="000E44AA" w:rsidRDefault="006B4F86" w:rsidP="006B4F86">
      <w:pPr>
        <w:pStyle w:val="ListParagraph"/>
        <w:spacing w:after="0" w:line="240" w:lineRule="auto"/>
        <w:jc w:val="both"/>
        <w:rPr>
          <w:lang w:val="en-GB"/>
        </w:rPr>
      </w:pPr>
    </w:p>
    <w:p w14:paraId="5F182A1E" w14:textId="77777777" w:rsidR="006B4F86" w:rsidRPr="000E44AA" w:rsidRDefault="006B4F86" w:rsidP="006B4F86">
      <w:pPr>
        <w:spacing w:after="0" w:line="240" w:lineRule="auto"/>
        <w:jc w:val="both"/>
        <w:rPr>
          <w:lang w:val="en-GB"/>
        </w:rPr>
      </w:pPr>
    </w:p>
    <w:p w14:paraId="3D14A17B" w14:textId="77777777" w:rsidR="00116BCC" w:rsidRPr="000E44AA" w:rsidRDefault="00A9787A" w:rsidP="00303A6D">
      <w:pPr>
        <w:pStyle w:val="ListParagraph"/>
        <w:numPr>
          <w:ilvl w:val="0"/>
          <w:numId w:val="2"/>
        </w:numPr>
        <w:spacing w:after="0" w:line="240" w:lineRule="auto"/>
        <w:jc w:val="both"/>
        <w:rPr>
          <w:lang w:val="en-GB"/>
        </w:rPr>
      </w:pPr>
      <w:r w:rsidRPr="000E44AA">
        <w:rPr>
          <w:lang w:val="en-GB"/>
        </w:rPr>
        <w:t>Normative Content</w:t>
      </w:r>
    </w:p>
    <w:p w14:paraId="5B83CAB1" w14:textId="77777777" w:rsidR="006B4F86" w:rsidRPr="000E44AA" w:rsidRDefault="006B4F86" w:rsidP="00303A6D">
      <w:pPr>
        <w:pStyle w:val="ListParagraph"/>
        <w:spacing w:after="0" w:line="240" w:lineRule="auto"/>
        <w:jc w:val="both"/>
        <w:rPr>
          <w:lang w:val="en-GB"/>
        </w:rPr>
      </w:pPr>
    </w:p>
    <w:p w14:paraId="6A03CE6D"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 5 (1)</w:t>
      </w:r>
      <w:r w:rsidR="00711BC8" w:rsidRPr="000E44AA">
        <w:rPr>
          <w:lang w:val="en-GB"/>
        </w:rPr>
        <w:t xml:space="preserve"> </w:t>
      </w:r>
      <w:r w:rsidR="00CD006D" w:rsidRPr="000E44AA">
        <w:rPr>
          <w:lang w:val="en-GB"/>
        </w:rPr>
        <w:t>B</w:t>
      </w:r>
      <w:r w:rsidRPr="000E44AA">
        <w:rPr>
          <w:lang w:val="en-GB"/>
        </w:rPr>
        <w:t xml:space="preserve">eing equal before and under the law </w:t>
      </w:r>
    </w:p>
    <w:p w14:paraId="2F131B8B" w14:textId="77777777" w:rsidR="006B4F86" w:rsidRPr="000E44AA" w:rsidRDefault="006B4F86" w:rsidP="0036714F">
      <w:pPr>
        <w:pStyle w:val="ListParagraph"/>
        <w:spacing w:after="0" w:line="240" w:lineRule="auto"/>
        <w:ind w:left="993"/>
        <w:jc w:val="both"/>
        <w:rPr>
          <w:lang w:val="en-GB"/>
        </w:rPr>
      </w:pPr>
    </w:p>
    <w:p w14:paraId="3F63FCFD" w14:textId="77777777" w:rsidR="00DF4AE0" w:rsidRPr="000E44AA" w:rsidRDefault="00DF4AE0" w:rsidP="00DF4AE0">
      <w:pPr>
        <w:pStyle w:val="ListParagraph"/>
        <w:spacing w:after="0" w:line="240" w:lineRule="auto"/>
        <w:ind w:left="360"/>
        <w:jc w:val="both"/>
        <w:rPr>
          <w:lang w:val="en-GB"/>
        </w:rPr>
      </w:pPr>
    </w:p>
    <w:p w14:paraId="79ED5717" w14:textId="77777777" w:rsidR="005A5960" w:rsidRPr="000E44AA" w:rsidRDefault="00711BC8" w:rsidP="00303A6D">
      <w:pPr>
        <w:pStyle w:val="ListParagraph"/>
        <w:numPr>
          <w:ilvl w:val="1"/>
          <w:numId w:val="2"/>
        </w:numPr>
        <w:spacing w:after="0" w:line="240" w:lineRule="auto"/>
        <w:jc w:val="both"/>
        <w:rPr>
          <w:lang w:val="en-GB"/>
        </w:rPr>
      </w:pPr>
      <w:r w:rsidRPr="000E44AA">
        <w:rPr>
          <w:lang w:val="en-GB"/>
        </w:rPr>
        <w:t xml:space="preserve">Art. 5 (1) </w:t>
      </w:r>
      <w:r w:rsidR="002656D7" w:rsidRPr="000E44AA">
        <w:rPr>
          <w:lang w:val="en-GB"/>
        </w:rPr>
        <w:t>E</w:t>
      </w:r>
      <w:r w:rsidR="00A9787A" w:rsidRPr="000E44AA">
        <w:rPr>
          <w:lang w:val="en-GB"/>
        </w:rPr>
        <w:t>qual protection and equal benefit of the law</w:t>
      </w:r>
    </w:p>
    <w:p w14:paraId="688BC3B1" w14:textId="77777777" w:rsidR="0036714F" w:rsidRPr="000E44AA" w:rsidRDefault="0036714F" w:rsidP="0036714F">
      <w:pPr>
        <w:pStyle w:val="ListParagraph"/>
        <w:spacing w:after="0" w:line="240" w:lineRule="auto"/>
        <w:jc w:val="both"/>
        <w:rPr>
          <w:lang w:val="en-GB"/>
        </w:rPr>
      </w:pPr>
    </w:p>
    <w:p w14:paraId="3C3D73E9" w14:textId="77777777" w:rsidR="00450433" w:rsidRPr="000E44AA" w:rsidRDefault="00450433" w:rsidP="00450433">
      <w:pPr>
        <w:pStyle w:val="ListParagraph"/>
        <w:spacing w:after="0" w:line="240" w:lineRule="auto"/>
        <w:ind w:left="360"/>
        <w:jc w:val="both"/>
        <w:rPr>
          <w:lang w:val="en-GB"/>
        </w:rPr>
      </w:pPr>
    </w:p>
    <w:p w14:paraId="1C947E39" w14:textId="4E79B3CC" w:rsidR="00A9787A" w:rsidRPr="000E44AA" w:rsidRDefault="00A9787A" w:rsidP="00303A6D">
      <w:pPr>
        <w:pStyle w:val="ListParagraph"/>
        <w:numPr>
          <w:ilvl w:val="1"/>
          <w:numId w:val="2"/>
        </w:numPr>
        <w:spacing w:after="0" w:line="240" w:lineRule="auto"/>
        <w:jc w:val="both"/>
        <w:rPr>
          <w:lang w:val="en-GB"/>
        </w:rPr>
      </w:pPr>
      <w:r w:rsidRPr="000E44AA">
        <w:rPr>
          <w:lang w:val="en-GB"/>
        </w:rPr>
        <w:t>Art. 5 (2)</w:t>
      </w:r>
      <w:r w:rsidR="00876889" w:rsidRPr="000E44AA">
        <w:rPr>
          <w:lang w:val="en-GB"/>
        </w:rPr>
        <w:t xml:space="preserve"> </w:t>
      </w:r>
      <w:r w:rsidR="00711BC8" w:rsidRPr="000E44AA">
        <w:rPr>
          <w:lang w:val="en-GB"/>
        </w:rPr>
        <w:t>Prohibition of discrimination and equal and effective legal protection</w:t>
      </w:r>
    </w:p>
    <w:p w14:paraId="2DF37CFD" w14:textId="77777777" w:rsidR="005C7B9C" w:rsidRDefault="005C7B9C" w:rsidP="001F3101">
      <w:pPr>
        <w:pStyle w:val="ListParagraph"/>
        <w:spacing w:after="0" w:line="240" w:lineRule="auto"/>
        <w:ind w:left="1785"/>
        <w:jc w:val="both"/>
        <w:rPr>
          <w:lang w:val="en-GB"/>
        </w:rPr>
      </w:pPr>
    </w:p>
    <w:p w14:paraId="4AA0F8E5" w14:textId="77777777" w:rsidR="004B03D8" w:rsidRDefault="004B03D8" w:rsidP="001F3101">
      <w:pPr>
        <w:pStyle w:val="ListParagraph"/>
        <w:spacing w:after="0" w:line="240" w:lineRule="auto"/>
        <w:ind w:left="1785"/>
        <w:jc w:val="both"/>
        <w:rPr>
          <w:lang w:val="en-GB"/>
        </w:rPr>
      </w:pPr>
    </w:p>
    <w:p w14:paraId="1C7936F8" w14:textId="0A87D626" w:rsidR="004B03D8" w:rsidRPr="001F3E28" w:rsidRDefault="001F3E28" w:rsidP="001F3101">
      <w:pPr>
        <w:pStyle w:val="ListParagraph"/>
        <w:spacing w:after="0" w:line="240" w:lineRule="auto"/>
        <w:ind w:left="1785"/>
        <w:jc w:val="both"/>
        <w:rPr>
          <w:b/>
          <w:color w:val="0070C0"/>
          <w:sz w:val="24"/>
          <w:lang w:val="en-GB"/>
        </w:rPr>
      </w:pPr>
      <w:r w:rsidRPr="001F3E28">
        <w:rPr>
          <w:b/>
          <w:color w:val="0070C0"/>
          <w:sz w:val="24"/>
          <w:lang w:val="en-GB"/>
        </w:rPr>
        <w:t>P</w:t>
      </w:r>
      <w:r w:rsidR="004B03D8" w:rsidRPr="001F3E28">
        <w:rPr>
          <w:b/>
          <w:color w:val="0070C0"/>
          <w:sz w:val="24"/>
          <w:lang w:val="en-GB"/>
        </w:rPr>
        <w:t>aragraph 23</w:t>
      </w:r>
    </w:p>
    <w:p w14:paraId="2D835A1D" w14:textId="77777777" w:rsidR="004B03D8" w:rsidRPr="001F3E28" w:rsidRDefault="004B03D8" w:rsidP="001F3101">
      <w:pPr>
        <w:pStyle w:val="ListParagraph"/>
        <w:spacing w:after="0" w:line="240" w:lineRule="auto"/>
        <w:ind w:left="1785"/>
        <w:jc w:val="both"/>
        <w:rPr>
          <w:lang w:val="en-GB"/>
        </w:rPr>
      </w:pPr>
    </w:p>
    <w:p w14:paraId="78B38364" w14:textId="77777777" w:rsidR="004B03D8" w:rsidRPr="00FF5C6C" w:rsidRDefault="004B03D8" w:rsidP="004B03D8">
      <w:pPr>
        <w:pStyle w:val="ListParagraph"/>
        <w:spacing w:after="0" w:line="240" w:lineRule="auto"/>
        <w:ind w:left="1785"/>
        <w:jc w:val="both"/>
        <w:rPr>
          <w:rFonts w:cs="Arial"/>
          <w:b/>
          <w:bCs/>
          <w:i/>
          <w:color w:val="0070C0"/>
          <w:lang w:val="en-GB"/>
        </w:rPr>
      </w:pPr>
      <w:r w:rsidRPr="00FF5C6C">
        <w:rPr>
          <w:rFonts w:cs="Arial"/>
          <w:b/>
          <w:bCs/>
          <w:i/>
          <w:color w:val="0070C0"/>
          <w:lang w:val="en-GB"/>
        </w:rPr>
        <w:t>Comment:</w:t>
      </w:r>
    </w:p>
    <w:p w14:paraId="19C48C91" w14:textId="77777777" w:rsidR="004B03D8" w:rsidRPr="00167FC0" w:rsidRDefault="004B03D8" w:rsidP="004B03D8">
      <w:pPr>
        <w:pStyle w:val="ListParagraph"/>
        <w:spacing w:after="0" w:line="240" w:lineRule="auto"/>
        <w:ind w:left="1785"/>
        <w:jc w:val="both"/>
        <w:rPr>
          <w:rFonts w:ascii="Arial" w:hAnsi="Arial" w:cs="Arial"/>
          <w:color w:val="FF0000"/>
          <w:lang w:val="en-GB"/>
        </w:rPr>
      </w:pPr>
    </w:p>
    <w:p w14:paraId="0D320E2F" w14:textId="2BDFE7DD" w:rsidR="004B03D8" w:rsidRPr="00640BDD" w:rsidRDefault="004B03D8" w:rsidP="004B03D8">
      <w:pPr>
        <w:widowControl w:val="0"/>
        <w:autoSpaceDE w:val="0"/>
        <w:autoSpaceDN w:val="0"/>
        <w:adjustRightInd w:val="0"/>
        <w:spacing w:after="240" w:line="240" w:lineRule="auto"/>
        <w:ind w:left="1785"/>
        <w:jc w:val="both"/>
        <w:rPr>
          <w:rFonts w:cs="Arial"/>
          <w:color w:val="0070C0"/>
          <w:lang w:val="en-GB"/>
        </w:rPr>
      </w:pPr>
      <w:r w:rsidRPr="00640BDD">
        <w:rPr>
          <w:rFonts w:cs="Arial"/>
          <w:color w:val="0070C0"/>
          <w:lang w:val="en-GB"/>
        </w:rPr>
        <w:t>Both asylum seekers and refugees with disabilities face real challenges in finding concrete so</w:t>
      </w:r>
      <w:r w:rsidR="003A78C9">
        <w:rPr>
          <w:rFonts w:cs="Arial"/>
          <w:color w:val="0070C0"/>
          <w:lang w:val="en-GB"/>
        </w:rPr>
        <w:t xml:space="preserve">lutions to their displacement. </w:t>
      </w:r>
      <w:r w:rsidRPr="00640BDD">
        <w:rPr>
          <w:rFonts w:cs="Arial"/>
          <w:color w:val="0070C0"/>
          <w:lang w:val="en-GB"/>
        </w:rPr>
        <w:t xml:space="preserve">Some challenges </w:t>
      </w:r>
      <w:r w:rsidR="00AC011A">
        <w:rPr>
          <w:rFonts w:cs="Arial"/>
          <w:color w:val="0070C0"/>
          <w:lang w:val="en-GB"/>
        </w:rPr>
        <w:t xml:space="preserve">may </w:t>
      </w:r>
      <w:r w:rsidRPr="00640BDD">
        <w:rPr>
          <w:rFonts w:cs="Arial"/>
          <w:color w:val="0070C0"/>
          <w:lang w:val="en-GB"/>
        </w:rPr>
        <w:t xml:space="preserve">come from discriminatory measures </w:t>
      </w:r>
      <w:r w:rsidR="00AC011A">
        <w:rPr>
          <w:rFonts w:cs="Arial"/>
          <w:color w:val="0070C0"/>
          <w:lang w:val="en-GB"/>
        </w:rPr>
        <w:t>based on immigration l</w:t>
      </w:r>
      <w:r w:rsidRPr="00640BDD">
        <w:rPr>
          <w:rFonts w:cs="Arial"/>
          <w:color w:val="0070C0"/>
          <w:lang w:val="en-GB"/>
        </w:rPr>
        <w:t>aw</w:t>
      </w:r>
      <w:r w:rsidR="00AC011A">
        <w:rPr>
          <w:rFonts w:cs="Arial"/>
          <w:color w:val="0070C0"/>
          <w:lang w:val="en-GB"/>
        </w:rPr>
        <w:t>s</w:t>
      </w:r>
      <w:r w:rsidRPr="00640BDD">
        <w:rPr>
          <w:rFonts w:cs="Arial"/>
          <w:color w:val="0070C0"/>
          <w:lang w:val="en-GB"/>
        </w:rPr>
        <w:t xml:space="preserve"> that discriminate against an individual that is disabled and may have</w:t>
      </w:r>
      <w:r w:rsidR="00AC011A">
        <w:rPr>
          <w:rFonts w:cs="Arial"/>
          <w:color w:val="0070C0"/>
          <w:lang w:val="en-GB"/>
        </w:rPr>
        <w:t xml:space="preserve"> medical needs.  In order to </w:t>
      </w:r>
      <w:r w:rsidRPr="00640BDD">
        <w:rPr>
          <w:rFonts w:cs="Arial"/>
          <w:color w:val="0070C0"/>
          <w:lang w:val="en-GB"/>
        </w:rPr>
        <w:t>realise</w:t>
      </w:r>
      <w:r w:rsidR="00AC011A">
        <w:rPr>
          <w:rFonts w:cs="Arial"/>
          <w:color w:val="0070C0"/>
          <w:lang w:val="en-GB"/>
        </w:rPr>
        <w:t xml:space="preserve"> </w:t>
      </w:r>
      <w:r w:rsidRPr="00640BDD">
        <w:rPr>
          <w:rFonts w:cs="Arial"/>
          <w:color w:val="0070C0"/>
          <w:lang w:val="en-GB"/>
        </w:rPr>
        <w:t>the right</w:t>
      </w:r>
      <w:r w:rsidR="00AC011A">
        <w:rPr>
          <w:rFonts w:cs="Arial"/>
          <w:color w:val="0070C0"/>
          <w:lang w:val="en-GB"/>
        </w:rPr>
        <w:t xml:space="preserve">s of </w:t>
      </w:r>
      <w:r w:rsidRPr="00640BDD">
        <w:rPr>
          <w:rFonts w:cs="Arial"/>
          <w:color w:val="0070C0"/>
          <w:lang w:val="en-GB"/>
        </w:rPr>
        <w:t>person</w:t>
      </w:r>
      <w:r w:rsidR="00AC011A">
        <w:rPr>
          <w:rFonts w:cs="Arial"/>
          <w:color w:val="0070C0"/>
          <w:lang w:val="en-GB"/>
        </w:rPr>
        <w:t>s</w:t>
      </w:r>
      <w:r w:rsidRPr="00640BDD">
        <w:rPr>
          <w:rFonts w:cs="Arial"/>
          <w:color w:val="0070C0"/>
          <w:lang w:val="en-GB"/>
        </w:rPr>
        <w:t xml:space="preserve"> with disabilit</w:t>
      </w:r>
      <w:r w:rsidR="00AC011A">
        <w:rPr>
          <w:rFonts w:cs="Arial"/>
          <w:color w:val="0070C0"/>
          <w:lang w:val="en-GB"/>
        </w:rPr>
        <w:t>ies</w:t>
      </w:r>
      <w:r w:rsidRPr="00640BDD">
        <w:rPr>
          <w:rFonts w:cs="Arial"/>
          <w:color w:val="0070C0"/>
          <w:lang w:val="en-GB"/>
        </w:rPr>
        <w:t xml:space="preserve">, it is vital </w:t>
      </w:r>
      <w:r w:rsidR="00AC011A">
        <w:rPr>
          <w:rFonts w:cs="Arial"/>
          <w:color w:val="0070C0"/>
          <w:lang w:val="en-GB"/>
        </w:rPr>
        <w:t>to systematically review l</w:t>
      </w:r>
      <w:r w:rsidRPr="00640BDD">
        <w:rPr>
          <w:rFonts w:cs="Arial"/>
          <w:color w:val="0070C0"/>
          <w:lang w:val="en-GB"/>
        </w:rPr>
        <w:t>aws,</w:t>
      </w:r>
      <w:r w:rsidR="00AC011A">
        <w:rPr>
          <w:rFonts w:cs="Arial"/>
          <w:color w:val="0070C0"/>
          <w:lang w:val="en-GB"/>
        </w:rPr>
        <w:t xml:space="preserve"> p</w:t>
      </w:r>
      <w:r w:rsidRPr="00640BDD">
        <w:rPr>
          <w:rFonts w:cs="Arial"/>
          <w:color w:val="0070C0"/>
          <w:lang w:val="en-GB"/>
        </w:rPr>
        <w:t>olicies and procedures that affect</w:t>
      </w:r>
      <w:r w:rsidR="00AC011A">
        <w:rPr>
          <w:rFonts w:cs="Arial"/>
          <w:color w:val="0070C0"/>
          <w:lang w:val="en-GB"/>
        </w:rPr>
        <w:t xml:space="preserve"> disabled individuals directly </w:t>
      </w:r>
      <w:r w:rsidRPr="00640BDD">
        <w:rPr>
          <w:rFonts w:cs="Arial"/>
          <w:color w:val="0070C0"/>
          <w:lang w:val="en-GB"/>
        </w:rPr>
        <w:t>to ensure that they fo</w:t>
      </w:r>
      <w:r w:rsidR="00AC011A">
        <w:rPr>
          <w:rFonts w:cs="Arial"/>
          <w:color w:val="0070C0"/>
          <w:lang w:val="en-GB"/>
        </w:rPr>
        <w:t xml:space="preserve">llow the standards of the </w:t>
      </w:r>
      <w:r w:rsidR="00640BDD">
        <w:rPr>
          <w:rFonts w:cs="Arial"/>
          <w:color w:val="0070C0"/>
          <w:lang w:val="en-GB"/>
        </w:rPr>
        <w:t>CRPD (</w:t>
      </w:r>
      <w:r w:rsidRPr="00640BDD">
        <w:rPr>
          <w:rFonts w:cs="Arial"/>
          <w:color w:val="0070C0"/>
          <w:lang w:val="en-GB"/>
        </w:rPr>
        <w:t>Crock, 2016</w:t>
      </w:r>
      <w:r w:rsidR="00640BDD">
        <w:rPr>
          <w:rFonts w:cs="Arial"/>
          <w:color w:val="0070C0"/>
          <w:lang w:val="en-GB"/>
        </w:rPr>
        <w:t>, 377</w:t>
      </w:r>
      <w:r w:rsidRPr="00640BDD">
        <w:rPr>
          <w:rFonts w:cs="Arial"/>
          <w:color w:val="0070C0"/>
          <w:lang w:val="en-GB"/>
        </w:rPr>
        <w:t>)</w:t>
      </w:r>
      <w:r w:rsidR="00F12495">
        <w:rPr>
          <w:rFonts w:cs="Arial"/>
          <w:color w:val="0070C0"/>
          <w:lang w:val="en-GB"/>
        </w:rPr>
        <w:t>.</w:t>
      </w:r>
      <w:r w:rsidRPr="00640BDD">
        <w:rPr>
          <w:rFonts w:cs="Arial"/>
          <w:color w:val="0070C0"/>
          <w:lang w:val="en-GB"/>
        </w:rPr>
        <w:t xml:space="preserve"> </w:t>
      </w:r>
    </w:p>
    <w:p w14:paraId="08367DC3" w14:textId="77777777" w:rsidR="004B03D8" w:rsidRPr="000E44AA" w:rsidRDefault="004B03D8" w:rsidP="001F3101">
      <w:pPr>
        <w:pStyle w:val="ListParagraph"/>
        <w:spacing w:after="0" w:line="240" w:lineRule="auto"/>
        <w:ind w:left="1785"/>
        <w:jc w:val="both"/>
        <w:rPr>
          <w:lang w:val="en-GB"/>
        </w:rPr>
      </w:pPr>
    </w:p>
    <w:p w14:paraId="44982293" w14:textId="7397CF22" w:rsidR="00CD1057" w:rsidRPr="000E44AA" w:rsidRDefault="008036A1" w:rsidP="00660809">
      <w:pPr>
        <w:pStyle w:val="ListParagraph"/>
        <w:spacing w:after="0" w:line="240" w:lineRule="auto"/>
        <w:jc w:val="both"/>
        <w:rPr>
          <w:lang w:val="en-GB"/>
        </w:rPr>
      </w:pPr>
      <w:r w:rsidRPr="000E44AA">
        <w:rPr>
          <w:lang w:val="en-GB"/>
        </w:rPr>
        <w:t xml:space="preserve"> </w:t>
      </w:r>
    </w:p>
    <w:p w14:paraId="2E16724F" w14:textId="5E6AF7B8" w:rsidR="00A9787A" w:rsidRPr="000E44AA" w:rsidRDefault="00A9787A" w:rsidP="00303A6D">
      <w:pPr>
        <w:pStyle w:val="ListParagraph"/>
        <w:numPr>
          <w:ilvl w:val="1"/>
          <w:numId w:val="2"/>
        </w:numPr>
        <w:spacing w:after="0" w:line="240" w:lineRule="auto"/>
        <w:jc w:val="both"/>
        <w:rPr>
          <w:lang w:val="en-GB"/>
        </w:rPr>
      </w:pPr>
      <w:r w:rsidRPr="000E44AA">
        <w:rPr>
          <w:lang w:val="en-GB"/>
        </w:rPr>
        <w:t>Art. 5 (3)</w:t>
      </w:r>
      <w:r w:rsidR="00711BC8" w:rsidRPr="000E44AA">
        <w:rPr>
          <w:lang w:val="en-GB"/>
        </w:rPr>
        <w:t xml:space="preserve"> Reasonable Accommodation</w:t>
      </w:r>
    </w:p>
    <w:p w14:paraId="48AE3625" w14:textId="77777777" w:rsidR="005C7B9C" w:rsidRDefault="005C7B9C" w:rsidP="001F3101">
      <w:pPr>
        <w:pStyle w:val="ListParagraph"/>
        <w:spacing w:after="0" w:line="240" w:lineRule="auto"/>
        <w:ind w:left="1785"/>
        <w:jc w:val="both"/>
        <w:rPr>
          <w:lang w:val="en-GB"/>
        </w:rPr>
      </w:pPr>
    </w:p>
    <w:p w14:paraId="02703ADB" w14:textId="77777777" w:rsidR="009206E8" w:rsidRPr="000E44AA" w:rsidRDefault="009206E8" w:rsidP="001F3101">
      <w:pPr>
        <w:pStyle w:val="ListParagraph"/>
        <w:spacing w:after="0" w:line="240" w:lineRule="auto"/>
        <w:ind w:left="1785"/>
        <w:jc w:val="both"/>
        <w:rPr>
          <w:lang w:val="en-GB"/>
        </w:rPr>
      </w:pPr>
    </w:p>
    <w:p w14:paraId="663F317B" w14:textId="77777777" w:rsidR="00F04C07" w:rsidRPr="000E44AA" w:rsidRDefault="00F04C07" w:rsidP="00F04C07">
      <w:pPr>
        <w:pStyle w:val="ListParagraph"/>
        <w:spacing w:after="0" w:line="240" w:lineRule="auto"/>
        <w:ind w:left="360"/>
        <w:jc w:val="both"/>
        <w:rPr>
          <w:lang w:val="en-GB"/>
        </w:rPr>
      </w:pPr>
    </w:p>
    <w:p w14:paraId="215A1886" w14:textId="76F63CD1" w:rsidR="00A9787A" w:rsidRPr="000E44AA" w:rsidRDefault="00A9787A" w:rsidP="00303A6D">
      <w:pPr>
        <w:pStyle w:val="ListParagraph"/>
        <w:numPr>
          <w:ilvl w:val="1"/>
          <w:numId w:val="2"/>
        </w:numPr>
        <w:spacing w:after="0" w:line="240" w:lineRule="auto"/>
        <w:jc w:val="both"/>
        <w:rPr>
          <w:lang w:val="en-GB"/>
        </w:rPr>
      </w:pPr>
      <w:r w:rsidRPr="000E44AA">
        <w:rPr>
          <w:lang w:val="en-GB"/>
        </w:rPr>
        <w:t>Art. 5 (4)</w:t>
      </w:r>
      <w:r w:rsidR="00711BC8" w:rsidRPr="000E44AA">
        <w:rPr>
          <w:lang w:val="en-GB"/>
        </w:rPr>
        <w:t xml:space="preserve"> Specific measures</w:t>
      </w:r>
    </w:p>
    <w:p w14:paraId="5F880972" w14:textId="77777777" w:rsidR="005C7B9C" w:rsidRPr="000E44AA" w:rsidRDefault="005C7B9C" w:rsidP="001F3101">
      <w:pPr>
        <w:pStyle w:val="ListParagraph"/>
        <w:spacing w:after="0" w:line="240" w:lineRule="auto"/>
        <w:ind w:left="1785"/>
        <w:jc w:val="both"/>
        <w:rPr>
          <w:lang w:val="en-GB"/>
        </w:rPr>
      </w:pPr>
    </w:p>
    <w:p w14:paraId="087C0A35" w14:textId="77777777" w:rsidR="00660809" w:rsidRPr="000E44AA" w:rsidRDefault="00660809" w:rsidP="001F3101">
      <w:pPr>
        <w:pStyle w:val="ListParagraph"/>
        <w:spacing w:after="0" w:line="240" w:lineRule="auto"/>
        <w:ind w:left="1785"/>
        <w:jc w:val="both"/>
        <w:rPr>
          <w:lang w:val="en-GB"/>
        </w:rPr>
      </w:pPr>
    </w:p>
    <w:p w14:paraId="5C9EBE51" w14:textId="77777777" w:rsidR="006D5BAF" w:rsidRPr="000E44AA" w:rsidRDefault="00331535" w:rsidP="00303A6D">
      <w:pPr>
        <w:pStyle w:val="ListParagraph"/>
        <w:numPr>
          <w:ilvl w:val="0"/>
          <w:numId w:val="2"/>
        </w:numPr>
        <w:spacing w:after="0" w:line="240" w:lineRule="auto"/>
        <w:jc w:val="both"/>
        <w:rPr>
          <w:lang w:val="en-GB"/>
        </w:rPr>
      </w:pPr>
      <w:r w:rsidRPr="000E44AA">
        <w:rPr>
          <w:lang w:val="en-GB"/>
        </w:rPr>
        <w:t>General o</w:t>
      </w:r>
      <w:r w:rsidR="006D5BAF" w:rsidRPr="000E44AA">
        <w:rPr>
          <w:lang w:val="en-GB"/>
        </w:rPr>
        <w:t>bligations of State</w:t>
      </w:r>
      <w:r w:rsidRPr="000E44AA">
        <w:rPr>
          <w:lang w:val="en-GB"/>
        </w:rPr>
        <w:t>s</w:t>
      </w:r>
      <w:r w:rsidR="006D5BAF" w:rsidRPr="000E44AA">
        <w:rPr>
          <w:lang w:val="en-GB"/>
        </w:rPr>
        <w:t xml:space="preserve"> </w:t>
      </w:r>
      <w:r w:rsidRPr="000E44AA">
        <w:rPr>
          <w:lang w:val="en-GB"/>
        </w:rPr>
        <w:t>p</w:t>
      </w:r>
      <w:r w:rsidR="006D5BAF" w:rsidRPr="000E44AA">
        <w:rPr>
          <w:lang w:val="en-GB"/>
        </w:rPr>
        <w:t>arties</w:t>
      </w:r>
      <w:r w:rsidRPr="000E44AA">
        <w:rPr>
          <w:lang w:val="en-GB"/>
        </w:rPr>
        <w:t xml:space="preserve"> under the Convention relating to non-discrimination and equality</w:t>
      </w:r>
    </w:p>
    <w:p w14:paraId="50F80882" w14:textId="77777777" w:rsidR="00E60C29" w:rsidRPr="000E44AA" w:rsidRDefault="00E60C29" w:rsidP="002E126D">
      <w:pPr>
        <w:pStyle w:val="ListParagraph"/>
        <w:spacing w:after="0" w:line="240" w:lineRule="auto"/>
        <w:rPr>
          <w:lang w:val="en-GB"/>
        </w:rPr>
      </w:pPr>
    </w:p>
    <w:p w14:paraId="6B190BC8" w14:textId="2ADB4616" w:rsidR="006D5BAF" w:rsidRDefault="00B00B46" w:rsidP="00673616">
      <w:pPr>
        <w:pStyle w:val="ListParagraph"/>
        <w:spacing w:after="0" w:line="240" w:lineRule="auto"/>
        <w:jc w:val="both"/>
        <w:rPr>
          <w:lang w:val="en-GB"/>
        </w:rPr>
      </w:pPr>
      <w:r w:rsidRPr="000E44AA">
        <w:rPr>
          <w:lang w:val="en-GB"/>
        </w:rPr>
        <w:t xml:space="preserve"> </w:t>
      </w:r>
      <w:r w:rsidR="00ED49B6" w:rsidRPr="000E44AA">
        <w:rPr>
          <w:lang w:val="en-GB"/>
        </w:rPr>
        <w:t xml:space="preserve"> </w:t>
      </w:r>
    </w:p>
    <w:p w14:paraId="1C52EE3F" w14:textId="77777777" w:rsidR="008A36AF" w:rsidRPr="000E44AA" w:rsidRDefault="008A36AF" w:rsidP="00673616">
      <w:pPr>
        <w:pStyle w:val="ListParagraph"/>
        <w:spacing w:after="0" w:line="240" w:lineRule="auto"/>
        <w:jc w:val="both"/>
        <w:rPr>
          <w:lang w:val="en-GB"/>
        </w:rPr>
      </w:pPr>
    </w:p>
    <w:p w14:paraId="3AE5EE91" w14:textId="77777777" w:rsidR="00A917A6" w:rsidRPr="000E44AA" w:rsidRDefault="006D5BAF" w:rsidP="00303A6D">
      <w:pPr>
        <w:pStyle w:val="ListParagraph"/>
        <w:numPr>
          <w:ilvl w:val="0"/>
          <w:numId w:val="2"/>
        </w:numPr>
        <w:spacing w:after="0" w:line="240" w:lineRule="auto"/>
        <w:jc w:val="both"/>
        <w:rPr>
          <w:lang w:val="en-GB"/>
        </w:rPr>
      </w:pPr>
      <w:r w:rsidRPr="000E44AA">
        <w:rPr>
          <w:lang w:val="en-GB"/>
        </w:rPr>
        <w:t>Relationship</w:t>
      </w:r>
      <w:r w:rsidR="00A9787A" w:rsidRPr="000E44AA">
        <w:rPr>
          <w:lang w:val="en-GB"/>
        </w:rPr>
        <w:t xml:space="preserve"> with</w:t>
      </w:r>
      <w:r w:rsidR="00122216" w:rsidRPr="000E44AA">
        <w:rPr>
          <w:lang w:val="en-GB"/>
        </w:rPr>
        <w:t xml:space="preserve"> other</w:t>
      </w:r>
      <w:r w:rsidR="00A9787A" w:rsidRPr="000E44AA">
        <w:rPr>
          <w:lang w:val="en-GB"/>
        </w:rPr>
        <w:t xml:space="preserve"> specific articles</w:t>
      </w:r>
      <w:r w:rsidRPr="000E44AA">
        <w:rPr>
          <w:lang w:val="en-GB"/>
        </w:rPr>
        <w:t xml:space="preserve"> of the Convention</w:t>
      </w:r>
      <w:r w:rsidR="002A73D3" w:rsidRPr="000E44AA">
        <w:rPr>
          <w:lang w:val="en-GB"/>
        </w:rPr>
        <w:t xml:space="preserve"> </w:t>
      </w:r>
    </w:p>
    <w:p w14:paraId="602BC066" w14:textId="77777777" w:rsidR="00093981" w:rsidRPr="000E44AA" w:rsidRDefault="00093981" w:rsidP="00093981">
      <w:pPr>
        <w:pStyle w:val="ListParagraph"/>
        <w:spacing w:after="0" w:line="240" w:lineRule="auto"/>
        <w:jc w:val="both"/>
        <w:rPr>
          <w:lang w:val="en-GB"/>
        </w:rPr>
      </w:pPr>
    </w:p>
    <w:p w14:paraId="21FE14B5"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 6 – Women with disabilities</w:t>
      </w:r>
      <w:r w:rsidR="00F90BF3" w:rsidRPr="000E44AA">
        <w:rPr>
          <w:lang w:val="en-GB"/>
        </w:rPr>
        <w:t xml:space="preserve"> </w:t>
      </w:r>
    </w:p>
    <w:p w14:paraId="30E6F946" w14:textId="77777777" w:rsidR="00687E78" w:rsidRPr="000E44AA" w:rsidRDefault="00687E78" w:rsidP="00687E78">
      <w:pPr>
        <w:pStyle w:val="ListParagraph"/>
        <w:spacing w:after="0" w:line="240" w:lineRule="auto"/>
        <w:jc w:val="both"/>
        <w:rPr>
          <w:lang w:val="en-GB"/>
        </w:rPr>
      </w:pPr>
    </w:p>
    <w:p w14:paraId="43613491" w14:textId="77777777" w:rsidR="002251DE" w:rsidRPr="000E44AA" w:rsidRDefault="002251DE" w:rsidP="00F90BF3">
      <w:pPr>
        <w:spacing w:after="0" w:line="240" w:lineRule="auto"/>
        <w:rPr>
          <w:lang w:val="en-GB"/>
        </w:rPr>
      </w:pPr>
    </w:p>
    <w:p w14:paraId="0EE86AA6"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 7 – Children with disabilities</w:t>
      </w:r>
    </w:p>
    <w:p w14:paraId="05502C7D" w14:textId="77777777" w:rsidR="0012546E" w:rsidRPr="000E44AA" w:rsidRDefault="0012546E" w:rsidP="0012546E">
      <w:pPr>
        <w:spacing w:after="0" w:line="240" w:lineRule="auto"/>
        <w:rPr>
          <w:lang w:val="en-GB"/>
        </w:rPr>
      </w:pPr>
    </w:p>
    <w:p w14:paraId="0CDE49DE" w14:textId="0D721EB6" w:rsidR="00F23E54" w:rsidRPr="00406431" w:rsidRDefault="00406431" w:rsidP="00F23E54">
      <w:pPr>
        <w:spacing w:after="0" w:line="240" w:lineRule="auto"/>
        <w:ind w:left="1785"/>
        <w:jc w:val="both"/>
        <w:rPr>
          <w:rFonts w:cs="Arial"/>
          <w:b/>
          <w:color w:val="0070C0"/>
          <w:lang w:val="en-US"/>
        </w:rPr>
      </w:pPr>
      <w:r w:rsidRPr="00406431">
        <w:rPr>
          <w:rFonts w:cs="Arial"/>
          <w:b/>
          <w:color w:val="0070C0"/>
          <w:lang w:val="en-US"/>
        </w:rPr>
        <w:t>P</w:t>
      </w:r>
      <w:r w:rsidR="00F23E54" w:rsidRPr="00406431">
        <w:rPr>
          <w:rFonts w:cs="Arial"/>
          <w:b/>
          <w:color w:val="0070C0"/>
          <w:lang w:val="en-US"/>
        </w:rPr>
        <w:t>aragraph 42</w:t>
      </w:r>
    </w:p>
    <w:p w14:paraId="7C685621" w14:textId="77777777" w:rsidR="00F23E54" w:rsidRPr="00406431" w:rsidRDefault="00F23E54" w:rsidP="00F23E54">
      <w:pPr>
        <w:spacing w:after="0" w:line="240" w:lineRule="auto"/>
        <w:ind w:left="1785"/>
        <w:jc w:val="both"/>
        <w:rPr>
          <w:rFonts w:cs="Arial"/>
          <w:color w:val="0070C0"/>
          <w:lang w:val="en-US"/>
        </w:rPr>
      </w:pPr>
    </w:p>
    <w:p w14:paraId="2F14620C" w14:textId="0E426121" w:rsidR="0036252B" w:rsidRPr="00FF5C6C" w:rsidRDefault="0036252B" w:rsidP="00F23E54">
      <w:pPr>
        <w:spacing w:after="0" w:line="240" w:lineRule="auto"/>
        <w:ind w:left="1785"/>
        <w:jc w:val="both"/>
        <w:rPr>
          <w:rFonts w:cs="Arial"/>
          <w:b/>
          <w:i/>
          <w:color w:val="0070C0"/>
          <w:lang w:val="en-US"/>
        </w:rPr>
      </w:pPr>
      <w:r w:rsidRPr="00FF5C6C">
        <w:rPr>
          <w:rFonts w:cs="Arial"/>
          <w:b/>
          <w:i/>
          <w:color w:val="0070C0"/>
          <w:lang w:val="en-US"/>
        </w:rPr>
        <w:t>Comment</w:t>
      </w:r>
      <w:r w:rsidR="00406431" w:rsidRPr="00FF5C6C">
        <w:rPr>
          <w:rFonts w:cs="Arial"/>
          <w:b/>
          <w:i/>
          <w:color w:val="0070C0"/>
          <w:lang w:val="en-US"/>
        </w:rPr>
        <w:t>:</w:t>
      </w:r>
    </w:p>
    <w:p w14:paraId="6E10DC85" w14:textId="77777777" w:rsidR="00406431" w:rsidRPr="00406431" w:rsidRDefault="00406431" w:rsidP="00F23E54">
      <w:pPr>
        <w:spacing w:after="0" w:line="240" w:lineRule="auto"/>
        <w:ind w:left="1785"/>
        <w:jc w:val="both"/>
        <w:rPr>
          <w:rFonts w:cs="Arial"/>
          <w:color w:val="0070C0"/>
          <w:lang w:val="en-US"/>
        </w:rPr>
      </w:pPr>
    </w:p>
    <w:p w14:paraId="46C4867D" w14:textId="43C11ECD" w:rsidR="00F23E54" w:rsidRPr="00406431" w:rsidRDefault="00F23E54" w:rsidP="00F23E54">
      <w:pPr>
        <w:spacing w:after="0" w:line="240" w:lineRule="auto"/>
        <w:ind w:left="1785"/>
        <w:jc w:val="both"/>
        <w:rPr>
          <w:rFonts w:cs="Arial"/>
          <w:color w:val="0070C0"/>
          <w:lang w:val="en-GB"/>
        </w:rPr>
      </w:pPr>
      <w:r w:rsidRPr="00406431">
        <w:rPr>
          <w:rFonts w:cs="Arial"/>
          <w:color w:val="0070C0"/>
          <w:lang w:val="en-US"/>
        </w:rPr>
        <w:t>A focus on children as</w:t>
      </w:r>
      <w:r w:rsidR="00406431">
        <w:rPr>
          <w:rFonts w:cs="Arial"/>
          <w:color w:val="0070C0"/>
          <w:lang w:val="en-US"/>
        </w:rPr>
        <w:t xml:space="preserve"> well as their parents and carer</w:t>
      </w:r>
      <w:r w:rsidRPr="00406431">
        <w:rPr>
          <w:rFonts w:cs="Arial"/>
          <w:color w:val="0070C0"/>
          <w:lang w:val="en-US"/>
        </w:rPr>
        <w:t>s needs to focus on providing adequate support to adults</w:t>
      </w:r>
      <w:r w:rsidR="00406431">
        <w:rPr>
          <w:rFonts w:cs="Arial"/>
          <w:color w:val="0070C0"/>
          <w:lang w:val="en-US"/>
        </w:rPr>
        <w:t xml:space="preserve"> or older siblings</w:t>
      </w:r>
      <w:r w:rsidRPr="00406431">
        <w:rPr>
          <w:rFonts w:cs="Arial"/>
          <w:color w:val="0070C0"/>
          <w:lang w:val="en-US"/>
        </w:rPr>
        <w:t xml:space="preserve"> who may be the carers of children with disabilities</w:t>
      </w:r>
      <w:r w:rsidR="00406431">
        <w:rPr>
          <w:rFonts w:cs="Arial"/>
          <w:color w:val="0070C0"/>
          <w:lang w:val="en-US"/>
        </w:rPr>
        <w:t xml:space="preserve">. </w:t>
      </w:r>
      <w:r w:rsidR="00406431">
        <w:rPr>
          <w:rFonts w:cs="Arial"/>
          <w:color w:val="0070C0"/>
          <w:lang w:val="en-GB"/>
        </w:rPr>
        <w:t xml:space="preserve">Assistance at </w:t>
      </w:r>
      <w:r w:rsidRPr="00406431">
        <w:rPr>
          <w:rFonts w:cs="Arial"/>
          <w:color w:val="0070C0"/>
          <w:lang w:val="en-GB"/>
        </w:rPr>
        <w:t>home</w:t>
      </w:r>
      <w:r w:rsidR="00406431">
        <w:rPr>
          <w:rFonts w:cs="Arial"/>
          <w:color w:val="0070C0"/>
          <w:lang w:val="en-GB"/>
        </w:rPr>
        <w:t xml:space="preserve">, including emotional </w:t>
      </w:r>
      <w:r w:rsidR="00406431" w:rsidRPr="00406431">
        <w:rPr>
          <w:rFonts w:cs="Arial"/>
          <w:color w:val="0070C0"/>
          <w:lang w:val="en-US"/>
        </w:rPr>
        <w:t>support</w:t>
      </w:r>
      <w:r w:rsidR="00263CD4">
        <w:rPr>
          <w:rFonts w:cs="Arial"/>
          <w:color w:val="0070C0"/>
          <w:lang w:val="en-US"/>
        </w:rPr>
        <w:t>,</w:t>
      </w:r>
      <w:r w:rsidRPr="00406431">
        <w:rPr>
          <w:rFonts w:cs="Arial"/>
          <w:color w:val="0070C0"/>
          <w:lang w:val="en-US"/>
        </w:rPr>
        <w:t xml:space="preserve"> should be </w:t>
      </w:r>
      <w:r w:rsidR="00406431">
        <w:rPr>
          <w:rFonts w:cs="Arial"/>
          <w:color w:val="0070C0"/>
          <w:lang w:val="en-US"/>
        </w:rPr>
        <w:t>provided</w:t>
      </w:r>
      <w:r w:rsidRPr="00406431">
        <w:rPr>
          <w:rFonts w:cs="Arial"/>
          <w:color w:val="0070C0"/>
          <w:lang w:val="en-US"/>
        </w:rPr>
        <w:t xml:space="preserve"> for parents and carers. </w:t>
      </w:r>
      <w:r w:rsidRPr="00406431">
        <w:rPr>
          <w:rFonts w:cs="Arial"/>
          <w:color w:val="0070C0"/>
          <w:lang w:val="en-GB"/>
        </w:rPr>
        <w:t xml:space="preserve">Through education, </w:t>
      </w:r>
      <w:r w:rsidRPr="00406431">
        <w:rPr>
          <w:rFonts w:cs="Arial"/>
          <w:color w:val="0070C0"/>
          <w:lang w:val="en-US"/>
        </w:rPr>
        <w:t xml:space="preserve">the levels of abandonment and </w:t>
      </w:r>
      <w:r w:rsidRPr="00406431">
        <w:rPr>
          <w:rFonts w:cs="Arial"/>
          <w:color w:val="0070C0"/>
          <w:lang w:val="en-GB"/>
        </w:rPr>
        <w:t>institutionalization</w:t>
      </w:r>
      <w:r w:rsidRPr="00406431">
        <w:rPr>
          <w:rFonts w:cs="Arial"/>
          <w:color w:val="0070C0"/>
          <w:lang w:val="en-US"/>
        </w:rPr>
        <w:t xml:space="preserve"> of children with disabilities </w:t>
      </w:r>
      <w:r w:rsidRPr="00406431">
        <w:rPr>
          <w:rFonts w:cs="Arial"/>
          <w:color w:val="0070C0"/>
          <w:lang w:val="en-GB"/>
        </w:rPr>
        <w:t>can be reduced but only through national efforts.</w:t>
      </w:r>
    </w:p>
    <w:p w14:paraId="4F59A3C7" w14:textId="5FEDDDC2" w:rsidR="0012546E" w:rsidRDefault="0012546E" w:rsidP="00F23E54">
      <w:pPr>
        <w:pStyle w:val="ListParagraph"/>
        <w:spacing w:after="0" w:line="240" w:lineRule="auto"/>
        <w:ind w:left="1785"/>
        <w:jc w:val="both"/>
        <w:rPr>
          <w:lang w:val="en-GB"/>
        </w:rPr>
      </w:pPr>
    </w:p>
    <w:p w14:paraId="3CECD5F2" w14:textId="77777777" w:rsidR="003F4602" w:rsidRPr="000E44AA" w:rsidRDefault="003F4602" w:rsidP="0012546E">
      <w:pPr>
        <w:spacing w:after="0" w:line="240" w:lineRule="auto"/>
        <w:rPr>
          <w:lang w:val="en-GB"/>
        </w:rPr>
      </w:pPr>
    </w:p>
    <w:p w14:paraId="64D877C8" w14:textId="77777777" w:rsidR="00711BC8" w:rsidRPr="000E44AA" w:rsidRDefault="00711BC8" w:rsidP="00303A6D">
      <w:pPr>
        <w:pStyle w:val="ListParagraph"/>
        <w:numPr>
          <w:ilvl w:val="1"/>
          <w:numId w:val="2"/>
        </w:numPr>
        <w:spacing w:after="0" w:line="240" w:lineRule="auto"/>
        <w:jc w:val="both"/>
        <w:rPr>
          <w:lang w:val="en-GB"/>
        </w:rPr>
      </w:pPr>
      <w:r w:rsidRPr="000E44AA">
        <w:rPr>
          <w:lang w:val="en-GB"/>
        </w:rPr>
        <w:t>Article 8 – Awareness Raising</w:t>
      </w:r>
    </w:p>
    <w:p w14:paraId="5F782FD0" w14:textId="77777777" w:rsidR="00DE2C77" w:rsidRPr="000E44AA" w:rsidRDefault="00DE2C77" w:rsidP="00DE2C77">
      <w:pPr>
        <w:spacing w:after="0" w:line="240" w:lineRule="auto"/>
        <w:rPr>
          <w:lang w:val="en-GB"/>
        </w:rPr>
      </w:pPr>
    </w:p>
    <w:p w14:paraId="31054D5E" w14:textId="70D130D3" w:rsidR="00A40F62" w:rsidRPr="00043747" w:rsidRDefault="00406431" w:rsidP="00A40F62">
      <w:pPr>
        <w:pStyle w:val="ListParagraph"/>
        <w:spacing w:after="0" w:line="240" w:lineRule="auto"/>
        <w:ind w:left="1785"/>
        <w:rPr>
          <w:b/>
          <w:color w:val="0070C0"/>
          <w:lang w:val="en-US"/>
        </w:rPr>
      </w:pPr>
      <w:r w:rsidRPr="00043747">
        <w:rPr>
          <w:b/>
          <w:color w:val="0070C0"/>
          <w:lang w:val="en-US"/>
        </w:rPr>
        <w:t>Paragraph</w:t>
      </w:r>
      <w:r w:rsidR="00A40F62" w:rsidRPr="00043747">
        <w:rPr>
          <w:b/>
          <w:color w:val="0070C0"/>
          <w:lang w:val="en-US"/>
        </w:rPr>
        <w:t xml:space="preserve"> 44</w:t>
      </w:r>
    </w:p>
    <w:p w14:paraId="3375E325" w14:textId="77777777" w:rsidR="00A40F62" w:rsidRPr="00043747" w:rsidRDefault="00A40F62" w:rsidP="00A40F62">
      <w:pPr>
        <w:pStyle w:val="ListParagraph"/>
        <w:spacing w:after="0" w:line="240" w:lineRule="auto"/>
        <w:ind w:left="1785"/>
        <w:rPr>
          <w:color w:val="0070C0"/>
          <w:lang w:val="en-US"/>
        </w:rPr>
      </w:pPr>
    </w:p>
    <w:p w14:paraId="509E4934" w14:textId="23E5B362" w:rsidR="0036252B" w:rsidRPr="00FF5C6C" w:rsidRDefault="0036252B" w:rsidP="00A40F62">
      <w:pPr>
        <w:pStyle w:val="ListParagraph"/>
        <w:spacing w:after="0" w:line="240" w:lineRule="auto"/>
        <w:ind w:left="1785"/>
        <w:rPr>
          <w:b/>
          <w:i/>
          <w:color w:val="0070C0"/>
          <w:lang w:val="en-US"/>
        </w:rPr>
      </w:pPr>
      <w:r w:rsidRPr="00FF5C6C">
        <w:rPr>
          <w:b/>
          <w:i/>
          <w:color w:val="0070C0"/>
          <w:lang w:val="en-US"/>
        </w:rPr>
        <w:t>Comment</w:t>
      </w:r>
      <w:r w:rsidR="00FF5C6C" w:rsidRPr="00FF5C6C">
        <w:rPr>
          <w:b/>
          <w:i/>
          <w:color w:val="0070C0"/>
          <w:lang w:val="en-US"/>
        </w:rPr>
        <w:t>:</w:t>
      </w:r>
    </w:p>
    <w:p w14:paraId="244AFAB3" w14:textId="77777777" w:rsidR="00406431" w:rsidRPr="00043747" w:rsidRDefault="00406431" w:rsidP="00A40F62">
      <w:pPr>
        <w:pStyle w:val="ListParagraph"/>
        <w:spacing w:after="0" w:line="240" w:lineRule="auto"/>
        <w:ind w:left="1785"/>
        <w:rPr>
          <w:color w:val="0070C0"/>
          <w:lang w:val="en-US"/>
        </w:rPr>
      </w:pPr>
    </w:p>
    <w:p w14:paraId="76BA010B" w14:textId="60D2D76F" w:rsidR="00A40F62" w:rsidRPr="00043747" w:rsidRDefault="00406431" w:rsidP="00263CD4">
      <w:pPr>
        <w:pStyle w:val="ListParagraph"/>
        <w:spacing w:after="0" w:line="240" w:lineRule="auto"/>
        <w:ind w:left="1785"/>
        <w:jc w:val="both"/>
        <w:rPr>
          <w:color w:val="0070C0"/>
          <w:lang w:val="en-US"/>
        </w:rPr>
      </w:pPr>
      <w:r w:rsidRPr="00043747">
        <w:rPr>
          <w:color w:val="0070C0"/>
          <w:lang w:val="en-US"/>
        </w:rPr>
        <w:t>Whoever works with children or adults with disabilit</w:t>
      </w:r>
      <w:r w:rsidR="00043747">
        <w:rPr>
          <w:color w:val="0070C0"/>
          <w:lang w:val="en-US"/>
        </w:rPr>
        <w:t>ies</w:t>
      </w:r>
      <w:r w:rsidRPr="00043747">
        <w:rPr>
          <w:color w:val="0070C0"/>
          <w:lang w:val="en-US"/>
        </w:rPr>
        <w:t xml:space="preserve"> needs to be aware</w:t>
      </w:r>
      <w:r w:rsidR="009A23AC" w:rsidRPr="00043747">
        <w:rPr>
          <w:color w:val="0070C0"/>
          <w:lang w:val="en-US"/>
        </w:rPr>
        <w:t xml:space="preserve"> </w:t>
      </w:r>
      <w:r w:rsidRPr="00043747">
        <w:rPr>
          <w:color w:val="0070C0"/>
          <w:lang w:val="en-US"/>
        </w:rPr>
        <w:t>of</w:t>
      </w:r>
      <w:r w:rsidR="00A40F62" w:rsidRPr="00043747">
        <w:rPr>
          <w:color w:val="0070C0"/>
          <w:lang w:val="en-US"/>
        </w:rPr>
        <w:t xml:space="preserve"> the variety of disa</w:t>
      </w:r>
      <w:r w:rsidR="009A23AC" w:rsidRPr="00043747">
        <w:rPr>
          <w:color w:val="0070C0"/>
          <w:lang w:val="en-US"/>
        </w:rPr>
        <w:t xml:space="preserve">bilities that may arise and their </w:t>
      </w:r>
      <w:r w:rsidR="00A40F62" w:rsidRPr="00043747">
        <w:rPr>
          <w:color w:val="0070C0"/>
          <w:lang w:val="en-US"/>
        </w:rPr>
        <w:t>signs</w:t>
      </w:r>
      <w:r w:rsidR="009A23AC" w:rsidRPr="00043747">
        <w:rPr>
          <w:color w:val="0070C0"/>
          <w:lang w:val="en-US"/>
        </w:rPr>
        <w:t>. There is currently a lack of understanding of the</w:t>
      </w:r>
      <w:r w:rsidR="00A40F62" w:rsidRPr="00043747">
        <w:rPr>
          <w:color w:val="0070C0"/>
          <w:lang w:val="en-US"/>
        </w:rPr>
        <w:t xml:space="preserve"> </w:t>
      </w:r>
      <w:r w:rsidR="009A23AC" w:rsidRPr="00043747">
        <w:rPr>
          <w:color w:val="0070C0"/>
          <w:lang w:val="en-US"/>
        </w:rPr>
        <w:t xml:space="preserve">intersection </w:t>
      </w:r>
      <w:r w:rsidR="00A40F62" w:rsidRPr="00043747">
        <w:rPr>
          <w:color w:val="0070C0"/>
          <w:lang w:val="en-US"/>
        </w:rPr>
        <w:t>between physical and mental disabilit</w:t>
      </w:r>
      <w:r w:rsidR="009A23AC" w:rsidRPr="00043747">
        <w:rPr>
          <w:color w:val="0070C0"/>
          <w:lang w:val="en-US"/>
        </w:rPr>
        <w:t>ies. H</w:t>
      </w:r>
      <w:r w:rsidR="00A40F62" w:rsidRPr="00043747">
        <w:rPr>
          <w:color w:val="0070C0"/>
          <w:lang w:val="en-US"/>
        </w:rPr>
        <w:t>idden mental or learning disabilit</w:t>
      </w:r>
      <w:r w:rsidR="009A23AC" w:rsidRPr="00043747">
        <w:rPr>
          <w:color w:val="0070C0"/>
          <w:lang w:val="en-US"/>
        </w:rPr>
        <w:t xml:space="preserve">ies go often unnoticed and might </w:t>
      </w:r>
      <w:r w:rsidR="00A40F62" w:rsidRPr="00043747">
        <w:rPr>
          <w:color w:val="0070C0"/>
          <w:lang w:val="en-US"/>
        </w:rPr>
        <w:t xml:space="preserve">be dismissed or misconstrued as behavioural issues. Awareness on how lack of recognition can cause further issues or incorrect treatment is </w:t>
      </w:r>
      <w:r w:rsidR="009A23AC" w:rsidRPr="00043747">
        <w:rPr>
          <w:color w:val="0070C0"/>
          <w:lang w:val="en-US"/>
        </w:rPr>
        <w:t>vital to ensure</w:t>
      </w:r>
      <w:r w:rsidR="00A40F62" w:rsidRPr="00043747">
        <w:rPr>
          <w:color w:val="0070C0"/>
          <w:lang w:val="en-US"/>
        </w:rPr>
        <w:t xml:space="preserve"> a full and happy life for individuals with disabilities. </w:t>
      </w:r>
    </w:p>
    <w:p w14:paraId="21667FA5" w14:textId="77777777" w:rsidR="0036252B" w:rsidRDefault="0036252B" w:rsidP="00A40F62">
      <w:pPr>
        <w:pStyle w:val="ListParagraph"/>
        <w:spacing w:after="0" w:line="240" w:lineRule="auto"/>
        <w:ind w:left="1785"/>
        <w:rPr>
          <w:lang w:val="en-US"/>
        </w:rPr>
      </w:pPr>
    </w:p>
    <w:p w14:paraId="0FB13A48" w14:textId="77777777" w:rsidR="008169A4" w:rsidRPr="000E44AA" w:rsidRDefault="008169A4" w:rsidP="008B266A">
      <w:pPr>
        <w:pStyle w:val="ListParagraph"/>
        <w:spacing w:after="0" w:line="240" w:lineRule="auto"/>
        <w:rPr>
          <w:lang w:val="en-GB"/>
        </w:rPr>
      </w:pPr>
    </w:p>
    <w:p w14:paraId="11E6BB62"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 9 – Accessibility</w:t>
      </w:r>
    </w:p>
    <w:p w14:paraId="5BAF6ACD" w14:textId="77777777" w:rsidR="008408FF" w:rsidRDefault="008408FF" w:rsidP="008408FF">
      <w:pPr>
        <w:spacing w:after="0" w:line="240" w:lineRule="auto"/>
        <w:rPr>
          <w:lang w:val="en-GB"/>
        </w:rPr>
      </w:pPr>
    </w:p>
    <w:p w14:paraId="1233F83A" w14:textId="77777777" w:rsidR="00406431" w:rsidRPr="000E44AA" w:rsidRDefault="00406431" w:rsidP="008408FF">
      <w:pPr>
        <w:spacing w:after="0" w:line="240" w:lineRule="auto"/>
        <w:rPr>
          <w:lang w:val="en-GB"/>
        </w:rPr>
      </w:pPr>
    </w:p>
    <w:p w14:paraId="271593CE" w14:textId="77777777" w:rsidR="0092687F" w:rsidRPr="000E44AA" w:rsidRDefault="0092687F" w:rsidP="001F3101">
      <w:pPr>
        <w:pStyle w:val="ListParagraph"/>
        <w:rPr>
          <w:lang w:val="en-GB"/>
        </w:rPr>
      </w:pPr>
    </w:p>
    <w:p w14:paraId="1EA24AB0" w14:textId="77777777" w:rsidR="00A34236" w:rsidRPr="000E44AA" w:rsidRDefault="00A34236" w:rsidP="00A34236">
      <w:pPr>
        <w:pStyle w:val="ListParagraph"/>
        <w:numPr>
          <w:ilvl w:val="1"/>
          <w:numId w:val="2"/>
        </w:numPr>
        <w:spacing w:after="0" w:line="240" w:lineRule="auto"/>
        <w:jc w:val="both"/>
        <w:rPr>
          <w:lang w:val="en-GB"/>
        </w:rPr>
      </w:pPr>
      <w:r w:rsidRPr="000E44AA">
        <w:rPr>
          <w:lang w:val="en-GB"/>
        </w:rPr>
        <w:t>Article 11 – Situations of risk and humanitarian emergencies</w:t>
      </w:r>
    </w:p>
    <w:p w14:paraId="53180F1D" w14:textId="77777777" w:rsidR="00A34236" w:rsidRPr="000E44AA" w:rsidRDefault="00A34236" w:rsidP="00A34236">
      <w:pPr>
        <w:spacing w:after="0" w:line="240" w:lineRule="auto"/>
        <w:rPr>
          <w:lang w:val="en-GB"/>
        </w:rPr>
      </w:pPr>
    </w:p>
    <w:p w14:paraId="673AE4F3" w14:textId="77777777" w:rsidR="002C092A" w:rsidRPr="000E44AA" w:rsidRDefault="002C092A" w:rsidP="001F3101">
      <w:pPr>
        <w:pStyle w:val="ListParagraph"/>
        <w:rPr>
          <w:lang w:val="en-GB"/>
        </w:rPr>
      </w:pPr>
    </w:p>
    <w:p w14:paraId="703698F0" w14:textId="77777777" w:rsidR="00F563BF" w:rsidRPr="000E44AA" w:rsidRDefault="00F563BF" w:rsidP="001F3101">
      <w:pPr>
        <w:pStyle w:val="ListParagraph"/>
        <w:rPr>
          <w:lang w:val="en-GB"/>
        </w:rPr>
      </w:pPr>
    </w:p>
    <w:p w14:paraId="50A3B5BA"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 12 – Equal recognition before the law</w:t>
      </w:r>
    </w:p>
    <w:p w14:paraId="337F70BF" w14:textId="77777777" w:rsidR="008408FF" w:rsidRPr="000E44AA" w:rsidRDefault="008408FF" w:rsidP="008408FF">
      <w:pPr>
        <w:spacing w:line="240" w:lineRule="auto"/>
        <w:rPr>
          <w:lang w:val="en-GB"/>
        </w:rPr>
      </w:pPr>
    </w:p>
    <w:p w14:paraId="4D76F66E" w14:textId="77777777" w:rsidR="008408FF" w:rsidRDefault="008408FF" w:rsidP="008408FF">
      <w:pPr>
        <w:spacing w:after="0" w:line="240" w:lineRule="auto"/>
        <w:rPr>
          <w:lang w:val="en-GB"/>
        </w:rPr>
      </w:pPr>
    </w:p>
    <w:p w14:paraId="5E15006E" w14:textId="77777777" w:rsidR="0092558D" w:rsidRPr="000E44AA" w:rsidRDefault="0092558D" w:rsidP="008408FF">
      <w:pPr>
        <w:spacing w:after="0" w:line="240" w:lineRule="auto"/>
        <w:rPr>
          <w:lang w:val="en-GB"/>
        </w:rPr>
      </w:pPr>
    </w:p>
    <w:p w14:paraId="67D8B8D1" w14:textId="5652145E" w:rsidR="00A9787A" w:rsidRPr="000E44AA" w:rsidRDefault="00A9787A" w:rsidP="00303A6D">
      <w:pPr>
        <w:pStyle w:val="ListParagraph"/>
        <w:numPr>
          <w:ilvl w:val="1"/>
          <w:numId w:val="2"/>
        </w:numPr>
        <w:spacing w:after="0" w:line="240" w:lineRule="auto"/>
        <w:jc w:val="both"/>
        <w:rPr>
          <w:lang w:val="en-GB"/>
        </w:rPr>
      </w:pPr>
      <w:r w:rsidRPr="000E44AA">
        <w:rPr>
          <w:lang w:val="en-GB"/>
        </w:rPr>
        <w:t>Article 13 – Access to justice</w:t>
      </w:r>
    </w:p>
    <w:p w14:paraId="25E438A3" w14:textId="77777777" w:rsidR="002C092A" w:rsidRDefault="002C092A" w:rsidP="001F3101">
      <w:pPr>
        <w:pStyle w:val="ListParagraph"/>
        <w:spacing w:after="0" w:line="240" w:lineRule="auto"/>
        <w:ind w:left="1785"/>
        <w:jc w:val="both"/>
        <w:rPr>
          <w:lang w:val="en-GB"/>
        </w:rPr>
      </w:pPr>
    </w:p>
    <w:p w14:paraId="348A9B90" w14:textId="77777777" w:rsidR="008A36AF" w:rsidRDefault="008A36AF" w:rsidP="001F3101">
      <w:pPr>
        <w:pStyle w:val="ListParagraph"/>
        <w:spacing w:after="0" w:line="240" w:lineRule="auto"/>
        <w:ind w:left="1785"/>
        <w:jc w:val="both"/>
        <w:rPr>
          <w:lang w:val="en-GB"/>
        </w:rPr>
      </w:pPr>
    </w:p>
    <w:p w14:paraId="447EB163" w14:textId="77777777" w:rsidR="008A36AF" w:rsidRPr="000E44AA" w:rsidRDefault="008A36AF" w:rsidP="001F3101">
      <w:pPr>
        <w:pStyle w:val="ListParagraph"/>
        <w:spacing w:after="0" w:line="240" w:lineRule="auto"/>
        <w:ind w:left="1785"/>
        <w:jc w:val="both"/>
        <w:rPr>
          <w:lang w:val="en-GB"/>
        </w:rPr>
      </w:pPr>
    </w:p>
    <w:p w14:paraId="54D0E431" w14:textId="76CB00C7" w:rsidR="008408FF" w:rsidRPr="000E44AA" w:rsidRDefault="008408FF" w:rsidP="00303A6D">
      <w:pPr>
        <w:pStyle w:val="ListParagraph"/>
        <w:numPr>
          <w:ilvl w:val="2"/>
          <w:numId w:val="2"/>
        </w:numPr>
        <w:spacing w:after="0" w:line="240" w:lineRule="auto"/>
        <w:jc w:val="both"/>
        <w:rPr>
          <w:i/>
          <w:lang w:val="en-GB"/>
        </w:rPr>
      </w:pPr>
      <w:r w:rsidRPr="000E44AA">
        <w:rPr>
          <w:i/>
          <w:lang w:val="en-GB"/>
        </w:rPr>
        <w:t>Article 13(1)</w:t>
      </w:r>
    </w:p>
    <w:p w14:paraId="64E9DACF" w14:textId="77777777" w:rsidR="002C092A" w:rsidRDefault="002C092A" w:rsidP="001F3101">
      <w:pPr>
        <w:pStyle w:val="ListParagraph"/>
        <w:spacing w:after="0" w:line="240" w:lineRule="auto"/>
        <w:ind w:left="2160"/>
        <w:jc w:val="both"/>
        <w:rPr>
          <w:i/>
          <w:lang w:val="en-GB"/>
        </w:rPr>
      </w:pPr>
    </w:p>
    <w:p w14:paraId="4192308C" w14:textId="77777777" w:rsidR="007A4F60" w:rsidRPr="000E44AA" w:rsidRDefault="007A4F60" w:rsidP="001F3101">
      <w:pPr>
        <w:pStyle w:val="ListParagraph"/>
        <w:spacing w:after="0" w:line="240" w:lineRule="auto"/>
        <w:ind w:left="2160"/>
        <w:jc w:val="both"/>
        <w:rPr>
          <w:i/>
          <w:lang w:val="en-GB"/>
        </w:rPr>
      </w:pPr>
    </w:p>
    <w:p w14:paraId="639DC959" w14:textId="7D6C5AF3" w:rsidR="008408FF" w:rsidRPr="000E44AA" w:rsidRDefault="008408FF" w:rsidP="00303A6D">
      <w:pPr>
        <w:pStyle w:val="ListParagraph"/>
        <w:numPr>
          <w:ilvl w:val="2"/>
          <w:numId w:val="2"/>
        </w:numPr>
        <w:spacing w:after="0" w:line="240" w:lineRule="auto"/>
        <w:jc w:val="both"/>
        <w:rPr>
          <w:i/>
          <w:lang w:val="en-GB"/>
        </w:rPr>
      </w:pPr>
      <w:r w:rsidRPr="000E44AA">
        <w:rPr>
          <w:i/>
          <w:lang w:val="en-GB"/>
        </w:rPr>
        <w:t>Article 13(2)</w:t>
      </w:r>
    </w:p>
    <w:p w14:paraId="40EA1FA0" w14:textId="77777777" w:rsidR="002C092A" w:rsidRPr="000E44AA" w:rsidRDefault="002C092A" w:rsidP="001F3101">
      <w:pPr>
        <w:pStyle w:val="ListParagraph"/>
        <w:spacing w:after="0" w:line="240" w:lineRule="auto"/>
        <w:ind w:left="2160"/>
        <w:jc w:val="both"/>
        <w:rPr>
          <w:i/>
          <w:lang w:val="en-GB"/>
        </w:rPr>
      </w:pPr>
    </w:p>
    <w:p w14:paraId="19D58330" w14:textId="77777777" w:rsidR="002C092A" w:rsidRDefault="002C092A" w:rsidP="001F3101">
      <w:pPr>
        <w:pStyle w:val="ListParagraph"/>
        <w:spacing w:after="0" w:line="240" w:lineRule="auto"/>
        <w:jc w:val="both"/>
        <w:rPr>
          <w:lang w:val="en-GB"/>
        </w:rPr>
      </w:pPr>
    </w:p>
    <w:p w14:paraId="71119DAC" w14:textId="77777777" w:rsidR="00CA3623" w:rsidRPr="000E44AA" w:rsidRDefault="00CA3623" w:rsidP="001F3101">
      <w:pPr>
        <w:pStyle w:val="ListParagraph"/>
        <w:spacing w:after="0" w:line="240" w:lineRule="auto"/>
        <w:jc w:val="both"/>
        <w:rPr>
          <w:lang w:val="en-GB"/>
        </w:rPr>
      </w:pPr>
    </w:p>
    <w:p w14:paraId="103207E5"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w:t>
      </w:r>
      <w:r w:rsidR="006D3F1F" w:rsidRPr="000E44AA">
        <w:rPr>
          <w:lang w:val="en-GB"/>
        </w:rPr>
        <w:t xml:space="preserve"> 14 – Liberty and security of person, article 15 – freedom from torture or cruel, inhuman or de</w:t>
      </w:r>
      <w:r w:rsidR="00196770" w:rsidRPr="000E44AA">
        <w:rPr>
          <w:lang w:val="en-GB"/>
        </w:rPr>
        <w:t>grading treatment or punishment, article</w:t>
      </w:r>
      <w:r w:rsidRPr="000E44AA">
        <w:rPr>
          <w:lang w:val="en-GB"/>
        </w:rPr>
        <w:t>16 – Freedom from exploitation, violence and abuse</w:t>
      </w:r>
      <w:r w:rsidR="00196770" w:rsidRPr="000E44AA">
        <w:rPr>
          <w:lang w:val="en-GB"/>
        </w:rPr>
        <w:t xml:space="preserve"> and article 17 </w:t>
      </w:r>
      <w:r w:rsidR="00145DC1" w:rsidRPr="000E44AA">
        <w:rPr>
          <w:lang w:val="en-GB"/>
        </w:rPr>
        <w:t>Protecting the integrity of the person</w:t>
      </w:r>
    </w:p>
    <w:p w14:paraId="6A65A758" w14:textId="77777777" w:rsidR="008408FF" w:rsidRPr="000E44AA" w:rsidRDefault="008408FF" w:rsidP="008408FF">
      <w:pPr>
        <w:spacing w:after="0" w:line="240" w:lineRule="auto"/>
        <w:rPr>
          <w:lang w:val="en-GB"/>
        </w:rPr>
      </w:pPr>
    </w:p>
    <w:p w14:paraId="5C658382" w14:textId="69DC3652" w:rsidR="00544093" w:rsidRPr="00B82C3E" w:rsidRDefault="001F3E90" w:rsidP="00544093">
      <w:pPr>
        <w:pStyle w:val="ListParagraph"/>
        <w:spacing w:after="0" w:line="240" w:lineRule="auto"/>
        <w:ind w:left="1785"/>
        <w:jc w:val="both"/>
        <w:rPr>
          <w:b/>
          <w:color w:val="00B050"/>
          <w:sz w:val="24"/>
          <w:lang w:val="en-US"/>
        </w:rPr>
      </w:pPr>
      <w:r w:rsidRPr="00B82C3E">
        <w:rPr>
          <w:b/>
          <w:color w:val="0070C0"/>
          <w:sz w:val="24"/>
          <w:lang w:val="en-US"/>
        </w:rPr>
        <w:t>P</w:t>
      </w:r>
      <w:r w:rsidR="00544093" w:rsidRPr="00B82C3E">
        <w:rPr>
          <w:b/>
          <w:color w:val="0070C0"/>
          <w:sz w:val="24"/>
          <w:lang w:val="en-US"/>
        </w:rPr>
        <w:t xml:space="preserve">aragraph 64 </w:t>
      </w:r>
    </w:p>
    <w:p w14:paraId="183E4B1C" w14:textId="77777777" w:rsidR="0036252B" w:rsidRPr="00B82C3E" w:rsidRDefault="0036252B" w:rsidP="00544093">
      <w:pPr>
        <w:pStyle w:val="ListParagraph"/>
        <w:spacing w:after="0" w:line="240" w:lineRule="auto"/>
        <w:ind w:left="1785"/>
        <w:jc w:val="both"/>
        <w:rPr>
          <w:b/>
          <w:color w:val="FF0000"/>
          <w:lang w:val="en-US"/>
        </w:rPr>
      </w:pPr>
    </w:p>
    <w:p w14:paraId="3D72E89F" w14:textId="52FCF11C" w:rsidR="00544093" w:rsidRPr="00FF5C6C" w:rsidRDefault="007A5FA8" w:rsidP="00544093">
      <w:pPr>
        <w:pStyle w:val="ListParagraph"/>
        <w:spacing w:after="0" w:line="240" w:lineRule="auto"/>
        <w:ind w:left="1785"/>
        <w:jc w:val="both"/>
        <w:rPr>
          <w:b/>
          <w:i/>
          <w:color w:val="0070C0"/>
          <w:lang w:val="en-US"/>
        </w:rPr>
      </w:pPr>
      <w:r w:rsidRPr="00FF5C6C">
        <w:rPr>
          <w:b/>
          <w:i/>
          <w:color w:val="0070C0"/>
          <w:lang w:val="en-US"/>
        </w:rPr>
        <w:t>C</w:t>
      </w:r>
      <w:r w:rsidR="0036252B" w:rsidRPr="00FF5C6C">
        <w:rPr>
          <w:b/>
          <w:i/>
          <w:color w:val="0070C0"/>
          <w:lang w:val="en-US"/>
        </w:rPr>
        <w:t>omment</w:t>
      </w:r>
      <w:r w:rsidRPr="00FF5C6C">
        <w:rPr>
          <w:b/>
          <w:i/>
          <w:color w:val="0070C0"/>
          <w:lang w:val="en-US"/>
        </w:rPr>
        <w:t>:</w:t>
      </w:r>
    </w:p>
    <w:p w14:paraId="6A8E29F0" w14:textId="77777777" w:rsidR="007A5FA8" w:rsidRDefault="007A5FA8" w:rsidP="00544093">
      <w:pPr>
        <w:pStyle w:val="ListParagraph"/>
        <w:spacing w:after="0" w:line="240" w:lineRule="auto"/>
        <w:ind w:left="1785"/>
        <w:jc w:val="both"/>
        <w:rPr>
          <w:color w:val="FF0000"/>
          <w:lang w:val="en-US"/>
        </w:rPr>
      </w:pPr>
    </w:p>
    <w:p w14:paraId="7C52DFCB" w14:textId="1072182A" w:rsidR="00544093" w:rsidRPr="001F3E90" w:rsidRDefault="001F3E90" w:rsidP="00544093">
      <w:pPr>
        <w:pStyle w:val="ListParagraph"/>
        <w:spacing w:after="0" w:line="240" w:lineRule="auto"/>
        <w:ind w:left="1785"/>
        <w:jc w:val="both"/>
        <w:rPr>
          <w:color w:val="0070C0"/>
          <w:lang w:val="en-US"/>
        </w:rPr>
      </w:pPr>
      <w:r w:rsidRPr="001F3E90">
        <w:rPr>
          <w:color w:val="0070C0"/>
          <w:lang w:val="en-US"/>
        </w:rPr>
        <w:t>W</w:t>
      </w:r>
      <w:r w:rsidR="00544093" w:rsidRPr="001F3E90">
        <w:rPr>
          <w:color w:val="0070C0"/>
          <w:lang w:val="en-US"/>
        </w:rPr>
        <w:t>omen, children, asy</w:t>
      </w:r>
      <w:r w:rsidRPr="001F3E90">
        <w:rPr>
          <w:color w:val="0070C0"/>
          <w:lang w:val="en-US"/>
        </w:rPr>
        <w:t xml:space="preserve">lum seekers are at higher risks of intersectional discrimination. </w:t>
      </w:r>
      <w:r w:rsidR="00544093" w:rsidRPr="001F3E90">
        <w:rPr>
          <w:color w:val="0070C0"/>
          <w:lang w:val="en-US"/>
        </w:rPr>
        <w:t xml:space="preserve">Article 16 </w:t>
      </w:r>
      <w:r w:rsidR="00BC7640" w:rsidRPr="001F3E90">
        <w:rPr>
          <w:color w:val="0070C0"/>
          <w:lang w:val="en-US"/>
        </w:rPr>
        <w:t xml:space="preserve">rights </w:t>
      </w:r>
      <w:r w:rsidR="00DB63EA" w:rsidRPr="001F3E90">
        <w:rPr>
          <w:color w:val="0070C0"/>
          <w:lang w:val="en-US"/>
        </w:rPr>
        <w:t>emphasizes</w:t>
      </w:r>
      <w:r w:rsidR="00544093" w:rsidRPr="001F3E90">
        <w:rPr>
          <w:color w:val="0070C0"/>
          <w:lang w:val="en-US"/>
        </w:rPr>
        <w:t xml:space="preserve"> freedom from exploitation, violence and abuse</w:t>
      </w:r>
      <w:r w:rsidR="00BC7640" w:rsidRPr="001F3E90">
        <w:rPr>
          <w:color w:val="0070C0"/>
          <w:lang w:val="en-US"/>
        </w:rPr>
        <w:t>.</w:t>
      </w:r>
      <w:r w:rsidR="00932E8A" w:rsidRPr="001F3E90">
        <w:rPr>
          <w:color w:val="0070C0"/>
          <w:lang w:val="en-US"/>
        </w:rPr>
        <w:t xml:space="preserve"> C</w:t>
      </w:r>
      <w:r w:rsidR="00BC7640" w:rsidRPr="001F3E90">
        <w:rPr>
          <w:color w:val="0070C0"/>
          <w:lang w:val="en-US"/>
        </w:rPr>
        <w:t>onsequently, a</w:t>
      </w:r>
      <w:r w:rsidR="00544093" w:rsidRPr="001F3E90">
        <w:rPr>
          <w:color w:val="0070C0"/>
          <w:lang w:val="en-US"/>
        </w:rPr>
        <w:t xml:space="preserve"> focus on those who are in the most vulnerable sectors of society e.g. women, chil</w:t>
      </w:r>
      <w:r w:rsidR="00BC7640" w:rsidRPr="001F3E90">
        <w:rPr>
          <w:color w:val="0070C0"/>
          <w:lang w:val="en-US"/>
        </w:rPr>
        <w:t>dren, asylum seekers is required to protect them</w:t>
      </w:r>
      <w:r w:rsidR="00544093" w:rsidRPr="001F3E90">
        <w:rPr>
          <w:color w:val="0070C0"/>
          <w:lang w:val="en-US"/>
        </w:rPr>
        <w:t xml:space="preserve"> against abusive situations</w:t>
      </w:r>
      <w:r w:rsidR="00932E8A" w:rsidRPr="001F3E90">
        <w:rPr>
          <w:color w:val="0070C0"/>
          <w:lang w:val="en-US"/>
        </w:rPr>
        <w:t>.</w:t>
      </w:r>
      <w:r w:rsidR="00544093" w:rsidRPr="001F3E90">
        <w:rPr>
          <w:color w:val="0070C0"/>
          <w:lang w:val="en-US"/>
        </w:rPr>
        <w:t xml:space="preserve"> Access to safe homes and online or telephone helplines must be </w:t>
      </w:r>
      <w:r w:rsidRPr="001F3E90">
        <w:rPr>
          <w:color w:val="0070C0"/>
          <w:lang w:val="en-US"/>
        </w:rPr>
        <w:t xml:space="preserve">a </w:t>
      </w:r>
      <w:r w:rsidR="00544093" w:rsidRPr="001F3E90">
        <w:rPr>
          <w:color w:val="0070C0"/>
          <w:lang w:val="en-US"/>
        </w:rPr>
        <w:t>nation</w:t>
      </w:r>
      <w:r w:rsidRPr="001F3E90">
        <w:rPr>
          <w:color w:val="0070C0"/>
          <w:lang w:val="en-US"/>
        </w:rPr>
        <w:t>'</w:t>
      </w:r>
      <w:r w:rsidR="00544093" w:rsidRPr="001F3E90">
        <w:rPr>
          <w:color w:val="0070C0"/>
          <w:lang w:val="en-US"/>
        </w:rPr>
        <w:t xml:space="preserve">s priority in order to allow individuals </w:t>
      </w:r>
      <w:r w:rsidRPr="001F3E90">
        <w:rPr>
          <w:color w:val="0070C0"/>
          <w:lang w:val="en-US"/>
        </w:rPr>
        <w:t xml:space="preserve">concerned </w:t>
      </w:r>
      <w:r w:rsidR="00544093" w:rsidRPr="001F3E90">
        <w:rPr>
          <w:color w:val="0070C0"/>
          <w:lang w:val="en-US"/>
        </w:rPr>
        <w:t xml:space="preserve">to make those who can assist aware of such cases. </w:t>
      </w:r>
      <w:r w:rsidRPr="001F3E90">
        <w:rPr>
          <w:color w:val="0070C0"/>
          <w:lang w:val="en-US"/>
        </w:rPr>
        <w:t xml:space="preserve">As </w:t>
      </w:r>
      <w:r w:rsidR="00544093" w:rsidRPr="001F3E90">
        <w:rPr>
          <w:color w:val="0070C0"/>
          <w:lang w:val="en-US"/>
        </w:rPr>
        <w:t xml:space="preserve">General Comment No. 3 on women and girls with disabilities </w:t>
      </w:r>
      <w:r w:rsidRPr="001F3E90">
        <w:rPr>
          <w:color w:val="0070C0"/>
          <w:lang w:val="en-US"/>
        </w:rPr>
        <w:t>notes: '</w:t>
      </w:r>
      <w:r w:rsidR="00544093" w:rsidRPr="001F3E90">
        <w:rPr>
          <w:color w:val="0070C0"/>
          <w:lang w:val="en-US"/>
        </w:rPr>
        <w:t xml:space="preserve">Article 6 (1) </w:t>
      </w:r>
      <w:r w:rsidR="00DB63EA" w:rsidRPr="001F3E90">
        <w:rPr>
          <w:color w:val="0070C0"/>
          <w:lang w:val="en-US"/>
        </w:rPr>
        <w:t>recognizes</w:t>
      </w:r>
      <w:r w:rsidR="00544093" w:rsidRPr="001F3E90">
        <w:rPr>
          <w:color w:val="0070C0"/>
          <w:lang w:val="en-US"/>
        </w:rPr>
        <w:t xml:space="preserve"> that women with disabilities are subject to multiple discrimination and requires that States parties take measures to ensure the full and equal enjoyment by women with disabilities of all human rights and fundamental freedoms. The Convention refers to multiple discrimination in article 5 (2), which not only requires States parties to prohibit any kind of discrimination based on disability, but also to protect against discrimination on other grounds.</w:t>
      </w:r>
      <w:r w:rsidRPr="001F3E90">
        <w:rPr>
          <w:color w:val="0070C0"/>
          <w:lang w:val="en-US"/>
        </w:rPr>
        <w:t>'</w:t>
      </w:r>
      <w:r w:rsidR="00544093" w:rsidRPr="001F3E90">
        <w:rPr>
          <w:rStyle w:val="FootnoteReference"/>
          <w:color w:val="0070C0"/>
          <w:lang w:val="en-US"/>
        </w:rPr>
        <w:footnoteReference w:id="2"/>
      </w:r>
    </w:p>
    <w:p w14:paraId="12606C41" w14:textId="77777777" w:rsidR="00544093" w:rsidRPr="001F3E90" w:rsidRDefault="00544093" w:rsidP="00544093">
      <w:pPr>
        <w:spacing w:after="0" w:line="240" w:lineRule="auto"/>
        <w:jc w:val="both"/>
        <w:rPr>
          <w:color w:val="0070C0"/>
          <w:lang w:val="en-US"/>
        </w:rPr>
      </w:pPr>
    </w:p>
    <w:p w14:paraId="428AA204" w14:textId="77777777" w:rsidR="008408FF" w:rsidRPr="00544093" w:rsidRDefault="008408FF" w:rsidP="00544093">
      <w:pPr>
        <w:spacing w:after="0" w:line="240" w:lineRule="auto"/>
        <w:ind w:left="1785"/>
        <w:rPr>
          <w:lang w:val="en-US"/>
        </w:rPr>
      </w:pPr>
    </w:p>
    <w:p w14:paraId="01E50C1D" w14:textId="77777777" w:rsidR="0002042A" w:rsidRPr="000E44AA" w:rsidRDefault="0002042A" w:rsidP="008408FF">
      <w:pPr>
        <w:spacing w:after="0" w:line="240" w:lineRule="auto"/>
        <w:rPr>
          <w:lang w:val="en-GB"/>
        </w:rPr>
      </w:pPr>
    </w:p>
    <w:p w14:paraId="5B763EE8"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 19 – Living independently and being included in the community</w:t>
      </w:r>
    </w:p>
    <w:p w14:paraId="62582C36" w14:textId="77777777" w:rsidR="00FA2554" w:rsidRPr="000E44AA" w:rsidRDefault="00FA2554" w:rsidP="00C0502F">
      <w:pPr>
        <w:spacing w:after="0" w:line="240" w:lineRule="auto"/>
        <w:rPr>
          <w:lang w:val="en-GB"/>
        </w:rPr>
      </w:pPr>
    </w:p>
    <w:p w14:paraId="39348EDB" w14:textId="77777777" w:rsidR="002C092A" w:rsidRPr="000E44AA" w:rsidRDefault="002C092A" w:rsidP="001F3101">
      <w:pPr>
        <w:pStyle w:val="ListParagraph"/>
        <w:rPr>
          <w:rFonts w:ascii="Times New Roman" w:hAnsi="Times New Roman" w:cs="Times New Roman"/>
          <w:lang w:val="en-GB"/>
        </w:rPr>
      </w:pPr>
    </w:p>
    <w:p w14:paraId="39843B14" w14:textId="77777777" w:rsidR="008455CC" w:rsidRPr="000E44AA" w:rsidRDefault="008455CC" w:rsidP="001F3101">
      <w:pPr>
        <w:pStyle w:val="ListParagraph"/>
        <w:rPr>
          <w:rFonts w:ascii="Times New Roman" w:hAnsi="Times New Roman" w:cs="Times New Roman"/>
          <w:lang w:val="en-GB"/>
        </w:rPr>
      </w:pPr>
    </w:p>
    <w:p w14:paraId="560E8003" w14:textId="77777777" w:rsidR="00C0502F" w:rsidRPr="000E44AA" w:rsidRDefault="00A9787A" w:rsidP="00303A6D">
      <w:pPr>
        <w:pStyle w:val="ListParagraph"/>
        <w:numPr>
          <w:ilvl w:val="1"/>
          <w:numId w:val="2"/>
        </w:numPr>
        <w:spacing w:after="0" w:line="240" w:lineRule="auto"/>
        <w:jc w:val="both"/>
        <w:rPr>
          <w:lang w:val="en-GB"/>
        </w:rPr>
      </w:pPr>
      <w:r w:rsidRPr="000E44AA">
        <w:rPr>
          <w:lang w:val="en-GB"/>
        </w:rPr>
        <w:t>Article 24 – Education</w:t>
      </w:r>
    </w:p>
    <w:p w14:paraId="0551D8FF" w14:textId="77777777" w:rsidR="00511A01" w:rsidRPr="000E44AA" w:rsidRDefault="00511A01" w:rsidP="00303A6D">
      <w:pPr>
        <w:pStyle w:val="ListParagraph"/>
        <w:spacing w:after="0" w:line="240" w:lineRule="auto"/>
        <w:ind w:left="1785"/>
        <w:jc w:val="both"/>
        <w:rPr>
          <w:lang w:val="en-GB"/>
        </w:rPr>
      </w:pPr>
    </w:p>
    <w:p w14:paraId="6E069D42" w14:textId="77777777" w:rsidR="00D649A7" w:rsidRPr="000E44AA" w:rsidRDefault="00D649A7" w:rsidP="00303A6D">
      <w:pPr>
        <w:pStyle w:val="ListParagraph"/>
        <w:spacing w:after="0" w:line="240" w:lineRule="auto"/>
        <w:ind w:left="1785"/>
        <w:jc w:val="both"/>
        <w:rPr>
          <w:lang w:val="en-GB"/>
        </w:rPr>
      </w:pPr>
    </w:p>
    <w:p w14:paraId="7177D168" w14:textId="77777777" w:rsidR="00C0502F" w:rsidRPr="000E44AA" w:rsidRDefault="00C0502F" w:rsidP="00C0502F">
      <w:pPr>
        <w:spacing w:after="0" w:line="240" w:lineRule="auto"/>
        <w:rPr>
          <w:lang w:val="en-GB"/>
        </w:rPr>
      </w:pPr>
    </w:p>
    <w:p w14:paraId="1CA98948" w14:textId="77777777" w:rsidR="00A9787A" w:rsidRPr="000E44AA" w:rsidRDefault="00A9787A" w:rsidP="00303A6D">
      <w:pPr>
        <w:pStyle w:val="ListParagraph"/>
        <w:numPr>
          <w:ilvl w:val="1"/>
          <w:numId w:val="2"/>
        </w:numPr>
        <w:spacing w:after="0" w:line="240" w:lineRule="auto"/>
        <w:jc w:val="both"/>
        <w:rPr>
          <w:lang w:val="en-GB"/>
        </w:rPr>
      </w:pPr>
      <w:r w:rsidRPr="000E44AA">
        <w:rPr>
          <w:lang w:val="en-GB"/>
        </w:rPr>
        <w:t>Article 27 – Work and employment</w:t>
      </w:r>
    </w:p>
    <w:p w14:paraId="29B367F4" w14:textId="77777777" w:rsidR="00703753" w:rsidRDefault="00703753" w:rsidP="00703753">
      <w:pPr>
        <w:pStyle w:val="ListParagraph"/>
        <w:spacing w:after="0" w:line="240" w:lineRule="auto"/>
        <w:ind w:left="708"/>
        <w:jc w:val="both"/>
        <w:rPr>
          <w:b/>
          <w:lang w:val="en-GB"/>
        </w:rPr>
      </w:pPr>
    </w:p>
    <w:p w14:paraId="631F377F" w14:textId="77777777" w:rsidR="005E3AF1" w:rsidRDefault="005E3AF1" w:rsidP="00703753">
      <w:pPr>
        <w:pStyle w:val="ListParagraph"/>
        <w:spacing w:after="0" w:line="240" w:lineRule="auto"/>
        <w:ind w:left="708"/>
        <w:jc w:val="both"/>
        <w:rPr>
          <w:b/>
          <w:lang w:val="en-GB"/>
        </w:rPr>
      </w:pPr>
    </w:p>
    <w:p w14:paraId="45559530" w14:textId="77777777" w:rsidR="00F073BF" w:rsidRDefault="00F073BF" w:rsidP="00703753">
      <w:pPr>
        <w:pStyle w:val="ListParagraph"/>
        <w:spacing w:after="0" w:line="240" w:lineRule="auto"/>
        <w:ind w:left="708"/>
        <w:jc w:val="both"/>
        <w:rPr>
          <w:b/>
          <w:lang w:val="en-GB"/>
        </w:rPr>
      </w:pPr>
    </w:p>
    <w:p w14:paraId="4B680725" w14:textId="77777777" w:rsidR="008A36AF" w:rsidRDefault="008A36AF" w:rsidP="00703753">
      <w:pPr>
        <w:pStyle w:val="ListParagraph"/>
        <w:spacing w:after="0" w:line="240" w:lineRule="auto"/>
        <w:ind w:left="708"/>
        <w:jc w:val="both"/>
        <w:rPr>
          <w:b/>
          <w:lang w:val="en-GB"/>
        </w:rPr>
      </w:pPr>
    </w:p>
    <w:p w14:paraId="7F493544" w14:textId="77777777" w:rsidR="00F073BF" w:rsidRDefault="00F073BF" w:rsidP="00703753">
      <w:pPr>
        <w:pStyle w:val="ListParagraph"/>
        <w:spacing w:after="0" w:line="240" w:lineRule="auto"/>
        <w:ind w:left="708"/>
        <w:jc w:val="both"/>
        <w:rPr>
          <w:b/>
          <w:lang w:val="en-GB"/>
        </w:rPr>
      </w:pPr>
    </w:p>
    <w:p w14:paraId="2B655BD9" w14:textId="22C6BB71" w:rsidR="005E3AF1" w:rsidRPr="00D34AAE" w:rsidRDefault="005E3AF1" w:rsidP="00703753">
      <w:pPr>
        <w:pStyle w:val="ListParagraph"/>
        <w:spacing w:after="0" w:line="240" w:lineRule="auto"/>
        <w:ind w:left="708"/>
        <w:jc w:val="both"/>
        <w:rPr>
          <w:b/>
          <w:i/>
          <w:color w:val="0070C0"/>
          <w:lang w:val="fr-FR"/>
        </w:rPr>
      </w:pPr>
      <w:r w:rsidRPr="00D34AAE">
        <w:rPr>
          <w:b/>
          <w:i/>
          <w:color w:val="0070C0"/>
          <w:lang w:val="fr-FR"/>
        </w:rPr>
        <w:t xml:space="preserve">COMMENT </w:t>
      </w:r>
      <w:r w:rsidR="00A06D66" w:rsidRPr="00D34AAE">
        <w:rPr>
          <w:b/>
          <w:i/>
          <w:color w:val="0070C0"/>
          <w:lang w:val="fr-FR"/>
        </w:rPr>
        <w:t xml:space="preserve">AND RECOMMENDATION </w:t>
      </w:r>
      <w:r w:rsidRPr="00D34AAE">
        <w:rPr>
          <w:b/>
          <w:i/>
          <w:color w:val="0070C0"/>
          <w:lang w:val="fr-FR"/>
        </w:rPr>
        <w:t xml:space="preserve">ON </w:t>
      </w:r>
    </w:p>
    <w:p w14:paraId="707EC358" w14:textId="77777777" w:rsidR="00036E65" w:rsidRPr="00D34AAE" w:rsidRDefault="00036E65" w:rsidP="00703753">
      <w:pPr>
        <w:pStyle w:val="ListParagraph"/>
        <w:spacing w:after="0" w:line="240" w:lineRule="auto"/>
        <w:ind w:left="708"/>
        <w:jc w:val="both"/>
        <w:rPr>
          <w:color w:val="0070C0"/>
          <w:lang w:val="fr-FR"/>
        </w:rPr>
      </w:pPr>
    </w:p>
    <w:p w14:paraId="22753B43" w14:textId="3FA0DFAC" w:rsidR="005E3AF1" w:rsidRPr="00D34AAE" w:rsidRDefault="005E3AF1" w:rsidP="00886DDE">
      <w:pPr>
        <w:pStyle w:val="ListParagraph"/>
        <w:spacing w:after="0" w:line="240" w:lineRule="auto"/>
        <w:ind w:left="709"/>
        <w:jc w:val="both"/>
        <w:rPr>
          <w:b/>
          <w:color w:val="0070C0"/>
          <w:lang w:val="en-GB"/>
        </w:rPr>
      </w:pPr>
      <w:r w:rsidRPr="00D34AAE">
        <w:rPr>
          <w:b/>
          <w:color w:val="0070C0"/>
          <w:lang w:val="en-GB"/>
        </w:rPr>
        <w:t>SECTION VII.</w:t>
      </w:r>
      <w:r w:rsidRPr="00D34AAE">
        <w:rPr>
          <w:b/>
          <w:color w:val="0070C0"/>
          <w:lang w:val="en-GB"/>
        </w:rPr>
        <w:tab/>
        <w:t>Relationship with other specific articles of the Convention</w:t>
      </w:r>
    </w:p>
    <w:p w14:paraId="077D0FD0" w14:textId="77777777" w:rsidR="00A06D66" w:rsidRPr="00D34AAE" w:rsidRDefault="00A06D66" w:rsidP="00886DDE">
      <w:pPr>
        <w:pStyle w:val="ListParagraph"/>
        <w:spacing w:after="0" w:line="240" w:lineRule="auto"/>
        <w:ind w:left="709"/>
        <w:jc w:val="both"/>
        <w:rPr>
          <w:b/>
          <w:color w:val="0070C0"/>
          <w:lang w:val="en-GB"/>
        </w:rPr>
      </w:pPr>
    </w:p>
    <w:p w14:paraId="137C4BD1" w14:textId="63E63FB1" w:rsidR="005E3AF1" w:rsidRPr="00D34AAE" w:rsidRDefault="00A06D66" w:rsidP="00886DDE">
      <w:pPr>
        <w:pStyle w:val="ListParagraph"/>
        <w:spacing w:after="0" w:line="240" w:lineRule="auto"/>
        <w:ind w:left="709"/>
        <w:jc w:val="both"/>
        <w:rPr>
          <w:b/>
          <w:i/>
          <w:color w:val="0070C0"/>
          <w:lang w:val="en-GB"/>
        </w:rPr>
      </w:pPr>
      <w:r w:rsidRPr="00D34AAE">
        <w:rPr>
          <w:b/>
          <w:i/>
          <w:color w:val="0070C0"/>
          <w:lang w:val="en-GB"/>
        </w:rPr>
        <w:t>C</w:t>
      </w:r>
      <w:r w:rsidR="00FF5C6C" w:rsidRPr="00D34AAE">
        <w:rPr>
          <w:b/>
          <w:i/>
          <w:color w:val="0070C0"/>
          <w:lang w:val="en-GB"/>
        </w:rPr>
        <w:t>omment</w:t>
      </w:r>
      <w:r w:rsidRPr="00D34AAE">
        <w:rPr>
          <w:b/>
          <w:i/>
          <w:color w:val="0070C0"/>
          <w:lang w:val="en-GB"/>
        </w:rPr>
        <w:t>:</w:t>
      </w:r>
    </w:p>
    <w:p w14:paraId="3981CEE3" w14:textId="77777777" w:rsidR="00886DDE" w:rsidRDefault="00886DDE" w:rsidP="00886DDE">
      <w:pPr>
        <w:spacing w:after="0"/>
        <w:ind w:left="709"/>
        <w:jc w:val="both"/>
        <w:rPr>
          <w:lang w:val="en-GB"/>
        </w:rPr>
      </w:pPr>
    </w:p>
    <w:p w14:paraId="21BAAC7E" w14:textId="798B5880" w:rsidR="00A06D66" w:rsidRPr="000439DD" w:rsidRDefault="00A06D66" w:rsidP="00BD0C76">
      <w:pPr>
        <w:ind w:left="708"/>
        <w:jc w:val="both"/>
        <w:rPr>
          <w:color w:val="0070C0"/>
          <w:lang w:val="en-GB"/>
        </w:rPr>
      </w:pPr>
      <w:r w:rsidRPr="000439DD">
        <w:rPr>
          <w:color w:val="0070C0"/>
          <w:lang w:val="en-GB"/>
        </w:rPr>
        <w:t>Disabled people experience disproportionately high rates of poverty while being poor dramatically increases the likelihood of becoming disabled (Yeo 2003). In other words, "[d]isability and poverty have a bidirectional relationship; meaning that disability is a cause and a consequence of poverty" (Pinilla-Roncancio 2015, 115). A recent report, for example, reveals that "people living in households with disabled members in four countries face significantly higher levels of multidimensional poverty. These households also contribute more to the national levels of multidimensional poverty than their share in the population. More worryingly, a large percentage of households are not only severely multidimensionally poor but also destitute" (</w:t>
      </w:r>
      <w:r w:rsidR="00D32CC2" w:rsidRPr="000439DD">
        <w:rPr>
          <w:color w:val="0070C0"/>
          <w:lang w:val="en-GB"/>
        </w:rPr>
        <w:t>Pinilla-Roncancio &amp; Alkire 2017, 1</w:t>
      </w:r>
      <w:r w:rsidRPr="000439DD">
        <w:rPr>
          <w:color w:val="0070C0"/>
          <w:lang w:val="en-GB"/>
        </w:rPr>
        <w:t>). The draft G</w:t>
      </w:r>
      <w:r w:rsidR="00AB7DD3" w:rsidRPr="000439DD">
        <w:rPr>
          <w:color w:val="0070C0"/>
          <w:lang w:val="en-GB"/>
        </w:rPr>
        <w:t>eneral Comment on</w:t>
      </w:r>
      <w:r w:rsidRPr="000439DD">
        <w:rPr>
          <w:color w:val="0070C0"/>
          <w:lang w:val="en-GB"/>
        </w:rPr>
        <w:t xml:space="preserve"> Art</w:t>
      </w:r>
      <w:r w:rsidR="00AB7DD3" w:rsidRPr="000439DD">
        <w:rPr>
          <w:color w:val="0070C0"/>
          <w:lang w:val="en-GB"/>
        </w:rPr>
        <w:t>icle</w:t>
      </w:r>
      <w:r w:rsidRPr="000439DD">
        <w:rPr>
          <w:color w:val="0070C0"/>
          <w:lang w:val="en-GB"/>
        </w:rPr>
        <w:t xml:space="preserve"> 5 highlights that the Convention is based on a new model of transformative or inclusive equality (para 10). Against this background, it is surprising to realise that Article 28 of the Convention is not mentioned under section VII (Relationship with other specific articles of the Convention).</w:t>
      </w:r>
      <w:r w:rsidR="00232FEC" w:rsidRPr="000439DD">
        <w:rPr>
          <w:rStyle w:val="FootnoteReference"/>
          <w:color w:val="0070C0"/>
          <w:lang w:val="en-GB"/>
        </w:rPr>
        <w:footnoteReference w:id="3"/>
      </w:r>
    </w:p>
    <w:p w14:paraId="7B7A47AA" w14:textId="185F2630" w:rsidR="00C43C75" w:rsidRPr="000439DD" w:rsidRDefault="00C43C75" w:rsidP="00C43C75">
      <w:pPr>
        <w:ind w:left="708"/>
        <w:jc w:val="both"/>
        <w:rPr>
          <w:color w:val="0070C0"/>
          <w:lang w:val="en-GB"/>
        </w:rPr>
      </w:pPr>
      <w:r w:rsidRPr="000439DD">
        <w:rPr>
          <w:color w:val="0070C0"/>
          <w:lang w:val="en-GB"/>
        </w:rPr>
        <w:t>Disabled people should not have to choose between being able to pay for me</w:t>
      </w:r>
      <w:r w:rsidR="005C0C6A" w:rsidRPr="000439DD">
        <w:rPr>
          <w:color w:val="0070C0"/>
          <w:lang w:val="en-GB"/>
        </w:rPr>
        <w:t xml:space="preserve">dication </w:t>
      </w:r>
      <w:r w:rsidR="00DB63EA" w:rsidRPr="000439DD">
        <w:rPr>
          <w:color w:val="0070C0"/>
          <w:lang w:val="en-GB"/>
        </w:rPr>
        <w:t>and</w:t>
      </w:r>
      <w:r w:rsidR="005C0C6A" w:rsidRPr="000439DD">
        <w:rPr>
          <w:color w:val="0070C0"/>
          <w:lang w:val="en-GB"/>
        </w:rPr>
        <w:t xml:space="preserve"> </w:t>
      </w:r>
      <w:r w:rsidR="00F20105" w:rsidRPr="000439DD">
        <w:rPr>
          <w:color w:val="0070C0"/>
          <w:lang w:val="en-GB"/>
        </w:rPr>
        <w:t>being able to feed</w:t>
      </w:r>
      <w:r w:rsidR="005C0C6A" w:rsidRPr="000439DD">
        <w:rPr>
          <w:color w:val="0070C0"/>
          <w:lang w:val="en-GB"/>
        </w:rPr>
        <w:t xml:space="preserve"> themselves, </w:t>
      </w:r>
      <w:r w:rsidR="00F20105" w:rsidRPr="000439DD">
        <w:rPr>
          <w:color w:val="0070C0"/>
          <w:lang w:val="en-GB"/>
        </w:rPr>
        <w:t>e</w:t>
      </w:r>
      <w:r w:rsidRPr="000439DD">
        <w:rPr>
          <w:color w:val="0070C0"/>
          <w:lang w:val="en-GB"/>
        </w:rPr>
        <w:t xml:space="preserve">specially if the medication is essential for degenerative diseases. </w:t>
      </w:r>
      <w:r w:rsidR="00F20105" w:rsidRPr="000439DD">
        <w:rPr>
          <w:color w:val="0070C0"/>
          <w:lang w:val="en-GB"/>
        </w:rPr>
        <w:t>People may</w:t>
      </w:r>
      <w:r w:rsidR="007F6B02" w:rsidRPr="000439DD">
        <w:rPr>
          <w:color w:val="0070C0"/>
          <w:lang w:val="en-GB"/>
        </w:rPr>
        <w:t xml:space="preserve"> even </w:t>
      </w:r>
      <w:r w:rsidR="00F20105" w:rsidRPr="000439DD">
        <w:rPr>
          <w:color w:val="0070C0"/>
          <w:lang w:val="en-GB"/>
        </w:rPr>
        <w:t xml:space="preserve">be </w:t>
      </w:r>
      <w:r w:rsidR="007F6B02" w:rsidRPr="000439DD">
        <w:rPr>
          <w:color w:val="0070C0"/>
          <w:lang w:val="en-GB"/>
        </w:rPr>
        <w:t>obl</w:t>
      </w:r>
      <w:r w:rsidR="00DC2922" w:rsidRPr="000439DD">
        <w:rPr>
          <w:color w:val="0070C0"/>
          <w:lang w:val="en-GB"/>
        </w:rPr>
        <w:t xml:space="preserve">iged to sell furniture or other </w:t>
      </w:r>
      <w:r w:rsidR="007F6B02" w:rsidRPr="000439DD">
        <w:rPr>
          <w:color w:val="0070C0"/>
          <w:lang w:val="en-GB"/>
        </w:rPr>
        <w:t>personal homeware to be able buy essential medication.</w:t>
      </w:r>
      <w:r w:rsidRPr="000439DD">
        <w:rPr>
          <w:color w:val="0070C0"/>
          <w:lang w:val="en-GB"/>
        </w:rPr>
        <w:t xml:space="preserve"> </w:t>
      </w:r>
    </w:p>
    <w:p w14:paraId="11782F9A" w14:textId="667D318C" w:rsidR="00A06D66" w:rsidRPr="000439DD" w:rsidRDefault="00A06D66" w:rsidP="003C66A0">
      <w:pPr>
        <w:ind w:left="708"/>
        <w:jc w:val="both"/>
        <w:rPr>
          <w:color w:val="0070C0"/>
          <w:lang w:val="en-GB"/>
        </w:rPr>
      </w:pPr>
      <w:r w:rsidRPr="000439DD">
        <w:rPr>
          <w:b/>
          <w:color w:val="0070C0"/>
          <w:lang w:val="en-GB"/>
        </w:rPr>
        <w:t xml:space="preserve">Article 28 CRPC </w:t>
      </w:r>
      <w:r w:rsidRPr="000439DD">
        <w:rPr>
          <w:color w:val="0070C0"/>
          <w:lang w:val="en-GB"/>
        </w:rPr>
        <w:t>reads:</w:t>
      </w:r>
    </w:p>
    <w:p w14:paraId="6FD59D45" w14:textId="77777777" w:rsidR="007A4F60" w:rsidRPr="000439DD" w:rsidRDefault="00A06D66" w:rsidP="00BD0C76">
      <w:pPr>
        <w:pStyle w:val="NormalWeb"/>
        <w:spacing w:line="276" w:lineRule="auto"/>
        <w:ind w:left="708"/>
        <w:jc w:val="both"/>
        <w:rPr>
          <w:rFonts w:ascii="Calibri" w:hAnsi="Calibri" w:cs="Segoe UI"/>
          <w:color w:val="0070C0"/>
          <w:sz w:val="22"/>
          <w:szCs w:val="20"/>
        </w:rPr>
      </w:pPr>
      <w:r w:rsidRPr="000439DD">
        <w:rPr>
          <w:rFonts w:ascii="Calibri" w:hAnsi="Calibri" w:cs="Segoe UI"/>
          <w:color w:val="0070C0"/>
          <w:sz w:val="22"/>
          <w:szCs w:val="20"/>
        </w:rPr>
        <w:t xml:space="preserve">"1. States Parties recognize the right of persons with disabilities to an </w:t>
      </w:r>
      <w:r w:rsidRPr="000439DD">
        <w:rPr>
          <w:rFonts w:ascii="Calibri" w:hAnsi="Calibri" w:cs="Segoe UI"/>
          <w:b/>
          <w:color w:val="0070C0"/>
          <w:sz w:val="22"/>
          <w:szCs w:val="20"/>
        </w:rPr>
        <w:t>adequate standard of living</w:t>
      </w:r>
      <w:r w:rsidRPr="000439DD">
        <w:rPr>
          <w:rFonts w:ascii="Calibri" w:hAnsi="Calibri" w:cs="Segoe UI"/>
          <w:color w:val="0070C0"/>
          <w:sz w:val="22"/>
          <w:szCs w:val="20"/>
        </w:rPr>
        <w:t xml:space="preserve"> for themselves and their families, including adequate food, clothing and housing, and to the continuous improvement of living conditions, and shall take appropriate steps to safeguard and promote the realization of this right without discrimination on the basis of disability. </w:t>
      </w:r>
    </w:p>
    <w:p w14:paraId="496E5624" w14:textId="70FF4871" w:rsidR="00A06D66" w:rsidRPr="000439DD" w:rsidRDefault="00A06D66" w:rsidP="00BD0C76">
      <w:pPr>
        <w:pStyle w:val="NormalWeb"/>
        <w:spacing w:line="276" w:lineRule="auto"/>
        <w:ind w:left="708"/>
        <w:jc w:val="both"/>
        <w:rPr>
          <w:rFonts w:ascii="Calibri" w:hAnsi="Calibri" w:cs="Segoe UI"/>
          <w:color w:val="0070C0"/>
          <w:sz w:val="22"/>
          <w:szCs w:val="20"/>
        </w:rPr>
      </w:pPr>
      <w:r w:rsidRPr="000439DD">
        <w:rPr>
          <w:rFonts w:ascii="Calibri" w:hAnsi="Calibri" w:cs="Segoe UI"/>
          <w:color w:val="0070C0"/>
          <w:sz w:val="22"/>
          <w:szCs w:val="20"/>
        </w:rPr>
        <w:t xml:space="preserve">2. States Parties recognize the right of persons with disabilities to </w:t>
      </w:r>
      <w:r w:rsidRPr="000439DD">
        <w:rPr>
          <w:rFonts w:ascii="Calibri" w:hAnsi="Calibri" w:cs="Segoe UI"/>
          <w:b/>
          <w:color w:val="0070C0"/>
          <w:sz w:val="22"/>
          <w:szCs w:val="20"/>
        </w:rPr>
        <w:t>social protection</w:t>
      </w:r>
      <w:r w:rsidRPr="000439DD">
        <w:rPr>
          <w:rFonts w:ascii="Calibri" w:hAnsi="Calibri" w:cs="Segoe UI"/>
          <w:color w:val="0070C0"/>
          <w:sz w:val="22"/>
          <w:szCs w:val="20"/>
        </w:rPr>
        <w:t xml:space="preserve"> and to the enjoyment of that right without discrimination on the basis of disability, and shall take appropriate steps to safeguard and promote the realization of this right […]" (emphasis added). </w:t>
      </w:r>
    </w:p>
    <w:p w14:paraId="3D1193A0" w14:textId="77777777" w:rsidR="00A06D66" w:rsidRDefault="00A06D66" w:rsidP="003C66A0">
      <w:pPr>
        <w:pStyle w:val="ListParagraph"/>
        <w:spacing w:after="0" w:line="240" w:lineRule="auto"/>
        <w:ind w:left="708"/>
        <w:jc w:val="both"/>
        <w:rPr>
          <w:b/>
          <w:color w:val="0000FF"/>
          <w:lang w:val="en-GB"/>
        </w:rPr>
      </w:pPr>
    </w:p>
    <w:p w14:paraId="481A5AB1" w14:textId="77777777" w:rsidR="003A1069" w:rsidRDefault="003A1069" w:rsidP="003C66A0">
      <w:pPr>
        <w:pStyle w:val="ListParagraph"/>
        <w:spacing w:after="0" w:line="240" w:lineRule="auto"/>
        <w:ind w:left="708"/>
        <w:jc w:val="both"/>
        <w:rPr>
          <w:b/>
          <w:color w:val="0000FF"/>
          <w:lang w:val="en-GB"/>
        </w:rPr>
      </w:pPr>
    </w:p>
    <w:p w14:paraId="36161789" w14:textId="77777777" w:rsidR="003A1069" w:rsidRDefault="003A1069" w:rsidP="003C66A0">
      <w:pPr>
        <w:pStyle w:val="ListParagraph"/>
        <w:spacing w:after="0" w:line="240" w:lineRule="auto"/>
        <w:ind w:left="708"/>
        <w:jc w:val="both"/>
        <w:rPr>
          <w:b/>
          <w:color w:val="0000FF"/>
          <w:lang w:val="en-GB"/>
        </w:rPr>
      </w:pPr>
    </w:p>
    <w:p w14:paraId="0891B771" w14:textId="77777777" w:rsidR="003A1069" w:rsidRDefault="003A1069" w:rsidP="003C66A0">
      <w:pPr>
        <w:pStyle w:val="ListParagraph"/>
        <w:spacing w:after="0" w:line="240" w:lineRule="auto"/>
        <w:ind w:left="708"/>
        <w:jc w:val="both"/>
        <w:rPr>
          <w:b/>
          <w:color w:val="0000FF"/>
          <w:lang w:val="en-GB"/>
        </w:rPr>
      </w:pPr>
    </w:p>
    <w:p w14:paraId="59372744" w14:textId="77777777" w:rsidR="003A1069" w:rsidRDefault="003A1069" w:rsidP="003C66A0">
      <w:pPr>
        <w:pStyle w:val="ListParagraph"/>
        <w:spacing w:after="0" w:line="240" w:lineRule="auto"/>
        <w:ind w:left="708"/>
        <w:jc w:val="both"/>
        <w:rPr>
          <w:b/>
          <w:color w:val="0000FF"/>
          <w:lang w:val="en-GB"/>
        </w:rPr>
      </w:pPr>
    </w:p>
    <w:p w14:paraId="43F954AA" w14:textId="1668EBFE" w:rsidR="00A06D66" w:rsidRPr="00D34AAE" w:rsidRDefault="00886DDE" w:rsidP="003C66A0">
      <w:pPr>
        <w:pStyle w:val="ListParagraph"/>
        <w:spacing w:after="0" w:line="240" w:lineRule="auto"/>
        <w:ind w:left="708"/>
        <w:jc w:val="both"/>
        <w:rPr>
          <w:b/>
          <w:i/>
          <w:color w:val="0070C0"/>
          <w:lang w:val="en-GB"/>
        </w:rPr>
      </w:pPr>
      <w:r w:rsidRPr="00D34AAE">
        <w:rPr>
          <w:b/>
          <w:i/>
          <w:color w:val="0070C0"/>
          <w:lang w:val="en-GB"/>
        </w:rPr>
        <w:t>PROPOSED AMENDMENTS</w:t>
      </w:r>
      <w:r w:rsidR="00875AF7" w:rsidRPr="00D34AAE">
        <w:rPr>
          <w:b/>
          <w:i/>
          <w:color w:val="0070C0"/>
          <w:lang w:val="en-GB"/>
        </w:rPr>
        <w:t>:</w:t>
      </w:r>
    </w:p>
    <w:p w14:paraId="4A18FDE1" w14:textId="77777777" w:rsidR="00036E65" w:rsidRPr="00036E65" w:rsidRDefault="00036E65" w:rsidP="003C66A0">
      <w:pPr>
        <w:pStyle w:val="ListParagraph"/>
        <w:spacing w:after="0" w:line="240" w:lineRule="auto"/>
        <w:ind w:left="708"/>
        <w:jc w:val="both"/>
        <w:rPr>
          <w:color w:val="0000FF"/>
          <w:lang w:val="en-GB"/>
        </w:rPr>
      </w:pPr>
    </w:p>
    <w:p w14:paraId="41E6EAA4" w14:textId="53031D24" w:rsidR="006D32CD" w:rsidRDefault="00875AF7" w:rsidP="003C66A0">
      <w:pPr>
        <w:pStyle w:val="ListParagraph"/>
        <w:spacing w:after="0" w:line="240" w:lineRule="auto"/>
        <w:ind w:left="708"/>
        <w:jc w:val="both"/>
        <w:rPr>
          <w:b/>
          <w:color w:val="0000FF"/>
          <w:lang w:val="en-GB"/>
        </w:rPr>
      </w:pPr>
      <w:r w:rsidRPr="00D34AAE">
        <w:rPr>
          <w:b/>
          <w:color w:val="0070C0"/>
          <w:lang w:val="en-GB"/>
        </w:rPr>
        <w:t xml:space="preserve">&gt; </w:t>
      </w:r>
      <w:r w:rsidR="00886DDE" w:rsidRPr="00D34AAE">
        <w:rPr>
          <w:b/>
          <w:color w:val="0070C0"/>
          <w:lang w:val="en-GB"/>
        </w:rPr>
        <w:t>Suggested New Sub-Section</w:t>
      </w:r>
      <w:r w:rsidR="009C34B8" w:rsidRPr="00D34AAE">
        <w:rPr>
          <w:b/>
          <w:color w:val="0070C0"/>
          <w:lang w:val="en-GB"/>
        </w:rPr>
        <w:t>:</w:t>
      </w:r>
      <w:r w:rsidR="009C34B8" w:rsidRPr="00E232DF">
        <w:rPr>
          <w:b/>
          <w:color w:val="0000FF"/>
          <w:lang w:val="en-GB"/>
        </w:rPr>
        <w:t xml:space="preserve"> </w:t>
      </w:r>
    </w:p>
    <w:p w14:paraId="62A7CAEA" w14:textId="67A603E0" w:rsidR="00703753" w:rsidRPr="00875AF7" w:rsidRDefault="006D32CD" w:rsidP="003C66A0">
      <w:pPr>
        <w:pStyle w:val="ListParagraph"/>
        <w:spacing w:after="0" w:line="240" w:lineRule="auto"/>
        <w:ind w:left="708"/>
        <w:jc w:val="both"/>
        <w:rPr>
          <w:b/>
          <w:i/>
          <w:color w:val="FF0000"/>
          <w:lang w:val="en-GB"/>
        </w:rPr>
      </w:pPr>
      <w:r>
        <w:rPr>
          <w:b/>
          <w:color w:val="0000FF"/>
          <w:lang w:val="en-GB"/>
        </w:rPr>
        <w:t xml:space="preserve">  </w:t>
      </w:r>
      <w:r w:rsidR="005E3AF1">
        <w:rPr>
          <w:b/>
          <w:color w:val="0000FF"/>
          <w:lang w:val="en-GB"/>
        </w:rPr>
        <w:tab/>
      </w:r>
      <w:r w:rsidRPr="00875AF7">
        <w:rPr>
          <w:b/>
          <w:i/>
          <w:color w:val="0000FF"/>
          <w:lang w:val="en-GB"/>
        </w:rPr>
        <w:t xml:space="preserve"> </w:t>
      </w:r>
      <w:r w:rsidR="009C34B8" w:rsidRPr="00875AF7">
        <w:rPr>
          <w:b/>
          <w:i/>
          <w:color w:val="FF0000"/>
          <w:lang w:val="en-GB"/>
        </w:rPr>
        <w:t>xi</w:t>
      </w:r>
      <w:r w:rsidR="00875AF7" w:rsidRPr="00875AF7">
        <w:rPr>
          <w:b/>
          <w:i/>
          <w:color w:val="FF0000"/>
          <w:lang w:val="en-GB"/>
        </w:rPr>
        <w:t>.a</w:t>
      </w:r>
      <w:r w:rsidR="009C34B8" w:rsidRPr="00875AF7">
        <w:rPr>
          <w:b/>
          <w:i/>
          <w:color w:val="FF0000"/>
          <w:lang w:val="en-GB"/>
        </w:rPr>
        <w:t>.</w:t>
      </w:r>
      <w:r w:rsidR="005E3AF1" w:rsidRPr="00875AF7">
        <w:rPr>
          <w:b/>
          <w:i/>
          <w:color w:val="FF0000"/>
          <w:lang w:val="en-GB"/>
        </w:rPr>
        <w:tab/>
      </w:r>
      <w:r w:rsidR="009C34B8" w:rsidRPr="00875AF7">
        <w:rPr>
          <w:b/>
          <w:i/>
          <w:color w:val="FF0000"/>
          <w:lang w:val="en-GB"/>
        </w:rPr>
        <w:t xml:space="preserve">Article 28 - </w:t>
      </w:r>
      <w:r w:rsidRPr="00875AF7">
        <w:rPr>
          <w:b/>
          <w:i/>
          <w:color w:val="FF0000"/>
          <w:lang w:val="en-GB"/>
        </w:rPr>
        <w:t>Adequate standard of living and social protection</w:t>
      </w:r>
    </w:p>
    <w:p w14:paraId="0BEEF6AA" w14:textId="77777777" w:rsidR="00950409" w:rsidRPr="00950409" w:rsidRDefault="00950409" w:rsidP="003C66A0">
      <w:pPr>
        <w:pStyle w:val="ListParagraph"/>
        <w:spacing w:after="0" w:line="240" w:lineRule="auto"/>
        <w:ind w:left="708"/>
        <w:jc w:val="both"/>
        <w:rPr>
          <w:b/>
          <w:lang w:val="en-GB"/>
        </w:rPr>
      </w:pPr>
    </w:p>
    <w:p w14:paraId="1879E0DD" w14:textId="14E782AF" w:rsidR="00950409" w:rsidRPr="00D34AAE" w:rsidRDefault="00875AF7" w:rsidP="003C66A0">
      <w:pPr>
        <w:pStyle w:val="ListParagraph"/>
        <w:spacing w:after="0" w:line="240" w:lineRule="auto"/>
        <w:ind w:left="708"/>
        <w:jc w:val="both"/>
        <w:rPr>
          <w:b/>
          <w:color w:val="0070C0"/>
          <w:lang w:val="en-GB"/>
        </w:rPr>
      </w:pPr>
      <w:r w:rsidRPr="00D34AAE">
        <w:rPr>
          <w:b/>
          <w:color w:val="0070C0"/>
          <w:lang w:val="en-GB"/>
        </w:rPr>
        <w:t xml:space="preserve">&gt; </w:t>
      </w:r>
      <w:r w:rsidR="00886DDE" w:rsidRPr="00D34AAE">
        <w:rPr>
          <w:b/>
          <w:color w:val="0070C0"/>
          <w:lang w:val="en-GB"/>
        </w:rPr>
        <w:t>Suggested New Paragraph</w:t>
      </w:r>
      <w:r w:rsidR="00014C5C" w:rsidRPr="00D34AAE">
        <w:rPr>
          <w:b/>
          <w:color w:val="0070C0"/>
          <w:lang w:val="en-GB"/>
        </w:rPr>
        <w:t>s</w:t>
      </w:r>
      <w:r w:rsidR="00950409" w:rsidRPr="00D34AAE">
        <w:rPr>
          <w:b/>
          <w:color w:val="0070C0"/>
          <w:lang w:val="en-GB"/>
        </w:rPr>
        <w:t>:</w:t>
      </w:r>
    </w:p>
    <w:p w14:paraId="7635B619" w14:textId="7266A1C4" w:rsidR="00950409" w:rsidRDefault="00950409" w:rsidP="003C66A0">
      <w:pPr>
        <w:pStyle w:val="ListParagraph"/>
        <w:spacing w:after="0" w:line="240" w:lineRule="auto"/>
        <w:ind w:left="708"/>
        <w:jc w:val="both"/>
        <w:rPr>
          <w:b/>
          <w:color w:val="FF0000"/>
          <w:lang w:val="en-GB"/>
        </w:rPr>
      </w:pPr>
      <w:r>
        <w:rPr>
          <w:b/>
          <w:color w:val="0000FF"/>
          <w:lang w:val="en-GB"/>
        </w:rPr>
        <w:tab/>
      </w:r>
    </w:p>
    <w:p w14:paraId="4BE8954B" w14:textId="627DF000" w:rsidR="00014C5C" w:rsidRPr="00871016" w:rsidRDefault="005E3AF1" w:rsidP="003C66A0">
      <w:pPr>
        <w:pStyle w:val="ListParagraph"/>
        <w:spacing w:after="0" w:line="240" w:lineRule="auto"/>
        <w:ind w:left="708" w:hanging="424"/>
        <w:jc w:val="both"/>
        <w:rPr>
          <w:i/>
          <w:color w:val="FF0000"/>
          <w:lang w:val="en-GB"/>
        </w:rPr>
      </w:pPr>
      <w:r>
        <w:rPr>
          <w:b/>
          <w:color w:val="FF0000"/>
          <w:lang w:val="en-GB"/>
        </w:rPr>
        <w:tab/>
      </w:r>
      <w:r w:rsidRPr="00875AF7">
        <w:rPr>
          <w:b/>
          <w:i/>
          <w:color w:val="FF0000"/>
          <w:lang w:val="en-GB"/>
        </w:rPr>
        <w:t>73.a.</w:t>
      </w:r>
      <w:r w:rsidRPr="005E3AF1">
        <w:rPr>
          <w:b/>
          <w:color w:val="0000FF"/>
          <w:lang w:val="en-US"/>
        </w:rPr>
        <w:tab/>
      </w:r>
      <w:r w:rsidR="00BC4C7B" w:rsidRPr="00BC4C7B">
        <w:rPr>
          <w:i/>
          <w:color w:val="FF0000"/>
          <w:lang w:val="en-US"/>
        </w:rPr>
        <w:t>'Poverty is both a compounding factor and the r</w:t>
      </w:r>
      <w:r w:rsidR="00BC4C7B">
        <w:rPr>
          <w:i/>
          <w:color w:val="FF0000"/>
          <w:lang w:val="en-US"/>
        </w:rPr>
        <w:t>esult of multiple discrimination.</w:t>
      </w:r>
      <w:r w:rsidR="00BC4C7B" w:rsidRPr="00BC4C7B">
        <w:rPr>
          <w:i/>
          <w:color w:val="FF0000"/>
          <w:lang w:val="en-US"/>
        </w:rPr>
        <w:t>'</w:t>
      </w:r>
      <w:r w:rsidR="00BC4C7B" w:rsidRPr="00BC4C7B">
        <w:rPr>
          <w:rStyle w:val="FootnoteReference"/>
          <w:i/>
          <w:color w:val="FF0000"/>
          <w:lang w:val="en-US"/>
        </w:rPr>
        <w:footnoteReference w:id="4"/>
      </w:r>
      <w:r w:rsidR="00BC4C7B">
        <w:rPr>
          <w:i/>
          <w:color w:val="FF0000"/>
          <w:lang w:val="en-US"/>
        </w:rPr>
        <w:t xml:space="preserve"> </w:t>
      </w:r>
      <w:r w:rsidR="00875AF7" w:rsidRPr="00886DDE">
        <w:rPr>
          <w:i/>
          <w:color w:val="FF0000"/>
          <w:lang w:val="en-US"/>
        </w:rPr>
        <w:t>Failure to implement the right of persons with disabilities to an adequate standard of living for t</w:t>
      </w:r>
      <w:r w:rsidR="002C5E61">
        <w:rPr>
          <w:i/>
          <w:color w:val="FF0000"/>
          <w:lang w:val="en-US"/>
        </w:rPr>
        <w:t xml:space="preserve">hemselves and their families is </w:t>
      </w:r>
      <w:r w:rsidR="00875AF7" w:rsidRPr="00886DDE">
        <w:rPr>
          <w:i/>
          <w:color w:val="FF0000"/>
          <w:lang w:val="en-US"/>
        </w:rPr>
        <w:t xml:space="preserve">contrary to the objectives of the Convention. This failure is particularly worrying with regard to persons with disabilities living in extreme poverty or in destitution. </w:t>
      </w:r>
      <w:r w:rsidR="00005C8C">
        <w:rPr>
          <w:i/>
          <w:color w:val="FF0000"/>
          <w:lang w:val="en-US"/>
        </w:rPr>
        <w:t>To reach an adequate standard of living</w:t>
      </w:r>
      <w:r w:rsidR="008402ED">
        <w:rPr>
          <w:i/>
          <w:color w:val="FF0000"/>
          <w:lang w:val="en-US"/>
        </w:rPr>
        <w:t xml:space="preserve"> comparable to others</w:t>
      </w:r>
      <w:r w:rsidR="00005C8C">
        <w:rPr>
          <w:i/>
          <w:color w:val="FF0000"/>
          <w:lang w:val="en-US"/>
        </w:rPr>
        <w:t xml:space="preserve">, persons with disabilities have </w:t>
      </w:r>
      <w:r w:rsidR="00EB0586">
        <w:rPr>
          <w:i/>
          <w:color w:val="FF0000"/>
          <w:lang w:val="en-US"/>
        </w:rPr>
        <w:t xml:space="preserve">typically </w:t>
      </w:r>
      <w:r w:rsidR="00005C8C">
        <w:rPr>
          <w:i/>
          <w:color w:val="FF0000"/>
          <w:lang w:val="en-US"/>
        </w:rPr>
        <w:t xml:space="preserve">additional expenses. </w:t>
      </w:r>
      <w:r w:rsidR="00B1046E">
        <w:rPr>
          <w:i/>
          <w:color w:val="FF0000"/>
          <w:lang w:val="en-US"/>
        </w:rPr>
        <w:t xml:space="preserve">As Amartya Sen explains, </w:t>
      </w:r>
      <w:r w:rsidR="00172514">
        <w:rPr>
          <w:i/>
          <w:color w:val="FF0000"/>
          <w:lang w:val="en-US"/>
        </w:rPr>
        <w:t>'</w:t>
      </w:r>
      <w:r w:rsidR="00011CB1">
        <w:rPr>
          <w:i/>
          <w:color w:val="FF0000"/>
          <w:lang w:val="en-US"/>
        </w:rPr>
        <w:t>[</w:t>
      </w:r>
      <w:r w:rsidR="00172514" w:rsidRPr="00172514">
        <w:rPr>
          <w:i/>
          <w:color w:val="FF0000"/>
          <w:spacing w:val="-3"/>
          <w:lang w:val="en-GB"/>
        </w:rPr>
        <w:t>T</w:t>
      </w:r>
      <w:r w:rsidR="00011CB1">
        <w:rPr>
          <w:i/>
          <w:color w:val="FF0000"/>
          <w:spacing w:val="-3"/>
          <w:lang w:val="en-GB"/>
        </w:rPr>
        <w:t>his]</w:t>
      </w:r>
      <w:r w:rsidR="00172514" w:rsidRPr="00172514">
        <w:rPr>
          <w:i/>
          <w:color w:val="FF0000"/>
          <w:spacing w:val="-3"/>
          <w:lang w:val="en-GB"/>
        </w:rPr>
        <w:t xml:space="preserve"> conversion handicap refers to the disadvantage that a disabled person has in co</w:t>
      </w:r>
      <w:r w:rsidR="00172514">
        <w:rPr>
          <w:i/>
          <w:color w:val="FF0000"/>
          <w:spacing w:val="-3"/>
          <w:lang w:val="en-GB"/>
        </w:rPr>
        <w:t>nverting money into good living</w:t>
      </w:r>
      <w:r w:rsidR="00172514" w:rsidRPr="00172514">
        <w:rPr>
          <w:i/>
          <w:color w:val="FF0000"/>
          <w:spacing w:val="-3"/>
          <w:lang w:val="en-GB"/>
        </w:rPr>
        <w:t xml:space="preserve">' (Sen 2005, 11; </w:t>
      </w:r>
      <w:r w:rsidR="00865A36">
        <w:rPr>
          <w:i/>
          <w:color w:val="FF0000"/>
          <w:spacing w:val="-3"/>
          <w:lang w:val="en-GB"/>
        </w:rPr>
        <w:t xml:space="preserve">see also Sen </w:t>
      </w:r>
      <w:r w:rsidR="00172514" w:rsidRPr="00172514">
        <w:rPr>
          <w:i/>
          <w:color w:val="FF0000"/>
          <w:spacing w:val="-3"/>
          <w:lang w:val="en-GB"/>
        </w:rPr>
        <w:t>2009, 258)</w:t>
      </w:r>
      <w:r w:rsidR="00172514">
        <w:rPr>
          <w:i/>
          <w:color w:val="FF0000"/>
          <w:spacing w:val="-3"/>
          <w:lang w:val="en-GB"/>
        </w:rPr>
        <w:t>.</w:t>
      </w:r>
      <w:r w:rsidR="00172514" w:rsidRPr="00172514">
        <w:rPr>
          <w:color w:val="FF0000"/>
          <w:spacing w:val="-3"/>
          <w:lang w:val="en-GB"/>
        </w:rPr>
        <w:t xml:space="preserve"> </w:t>
      </w:r>
      <w:r w:rsidR="008E0FBE">
        <w:rPr>
          <w:i/>
          <w:color w:val="FF0000"/>
          <w:lang w:val="en-US"/>
        </w:rPr>
        <w:t>T</w:t>
      </w:r>
      <w:r w:rsidR="00172514">
        <w:rPr>
          <w:i/>
          <w:color w:val="FF0000"/>
          <w:lang w:val="en-US"/>
        </w:rPr>
        <w:t>o avoid discrimination, States P</w:t>
      </w:r>
      <w:r w:rsidR="008E0FBE">
        <w:rPr>
          <w:i/>
          <w:color w:val="FF0000"/>
          <w:lang w:val="en-US"/>
        </w:rPr>
        <w:t xml:space="preserve">arties have to </w:t>
      </w:r>
      <w:r w:rsidR="00011CB1">
        <w:rPr>
          <w:i/>
          <w:color w:val="FF0000"/>
          <w:lang w:val="en-US"/>
        </w:rPr>
        <w:t xml:space="preserve">address the </w:t>
      </w:r>
      <w:r w:rsidR="00005C8C">
        <w:rPr>
          <w:i/>
          <w:color w:val="FF0000"/>
          <w:lang w:val="en-US"/>
        </w:rPr>
        <w:t>'conversion handicap'</w:t>
      </w:r>
      <w:r w:rsidR="008E0FBE">
        <w:rPr>
          <w:i/>
          <w:color w:val="FF0000"/>
          <w:lang w:val="en-US"/>
        </w:rPr>
        <w:t xml:space="preserve">. Accordingly, </w:t>
      </w:r>
      <w:r w:rsidR="00521F1F">
        <w:rPr>
          <w:i/>
          <w:color w:val="FF0000"/>
          <w:lang w:val="en-US"/>
        </w:rPr>
        <w:t>States P</w:t>
      </w:r>
      <w:r w:rsidR="00875AF7" w:rsidRPr="00886DDE">
        <w:rPr>
          <w:i/>
          <w:color w:val="FF0000"/>
          <w:lang w:val="en-US"/>
        </w:rPr>
        <w:t xml:space="preserve">arties </w:t>
      </w:r>
      <w:r w:rsidR="008E0FBE">
        <w:rPr>
          <w:i/>
          <w:color w:val="FF0000"/>
          <w:lang w:val="en-US"/>
        </w:rPr>
        <w:t xml:space="preserve">are required </w:t>
      </w:r>
      <w:r w:rsidR="00875AF7" w:rsidRPr="00886DDE">
        <w:rPr>
          <w:i/>
          <w:color w:val="FF0000"/>
          <w:lang w:val="en-US"/>
        </w:rPr>
        <w:t>to take immediate steps to provide persons with disabilities living in extreme poverty and destitutions with a core minimum in terms of adequate food, clothing and housing.</w:t>
      </w:r>
      <w:r w:rsidR="002F3ECE">
        <w:rPr>
          <w:rStyle w:val="FootnoteReference"/>
          <w:i/>
          <w:color w:val="FF0000"/>
          <w:lang w:val="en-US"/>
        </w:rPr>
        <w:footnoteReference w:id="5"/>
      </w:r>
      <w:r w:rsidR="00871016" w:rsidRPr="00871016">
        <w:rPr>
          <w:lang w:val="en-GB"/>
        </w:rPr>
        <w:t xml:space="preserve"> </w:t>
      </w:r>
      <w:r w:rsidR="00871016" w:rsidRPr="00871016">
        <w:rPr>
          <w:i/>
          <w:color w:val="FF0000"/>
          <w:lang w:val="en-US"/>
        </w:rPr>
        <w:t xml:space="preserve">If the </w:t>
      </w:r>
      <w:r w:rsidR="00871016">
        <w:rPr>
          <w:i/>
          <w:color w:val="FF0000"/>
          <w:lang w:val="en-US"/>
        </w:rPr>
        <w:t xml:space="preserve">CRPD </w:t>
      </w:r>
      <w:r w:rsidR="00871016" w:rsidRPr="00871016">
        <w:rPr>
          <w:i/>
          <w:color w:val="FF0000"/>
          <w:lang w:val="en-US"/>
        </w:rPr>
        <w:t xml:space="preserve">were to be read in such a way as not to </w:t>
      </w:r>
      <w:r w:rsidR="00871016">
        <w:rPr>
          <w:i/>
          <w:color w:val="FF0000"/>
          <w:lang w:val="en-US"/>
        </w:rPr>
        <w:t xml:space="preserve">require such a minimum core for persons with disability living in extreme poverty, the required 'equality under the law' </w:t>
      </w:r>
      <w:r w:rsidR="000473DE">
        <w:rPr>
          <w:i/>
          <w:color w:val="FF0000"/>
          <w:lang w:val="en-US"/>
        </w:rPr>
        <w:t xml:space="preserve">would </w:t>
      </w:r>
      <w:r w:rsidR="000A7119">
        <w:rPr>
          <w:i/>
          <w:color w:val="FF0000"/>
          <w:lang w:val="en-US"/>
        </w:rPr>
        <w:t xml:space="preserve">be </w:t>
      </w:r>
      <w:r w:rsidR="00AB1FDA">
        <w:rPr>
          <w:i/>
          <w:color w:val="FF0000"/>
          <w:lang w:val="en-US"/>
        </w:rPr>
        <w:t>in jeopardy</w:t>
      </w:r>
      <w:r w:rsidR="000A7119">
        <w:rPr>
          <w:i/>
          <w:color w:val="FF0000"/>
          <w:lang w:val="en-US"/>
        </w:rPr>
        <w:t xml:space="preserve"> </w:t>
      </w:r>
      <w:r w:rsidR="00871016">
        <w:rPr>
          <w:i/>
          <w:color w:val="FF0000"/>
          <w:lang w:val="en-US"/>
        </w:rPr>
        <w:t xml:space="preserve">(see </w:t>
      </w:r>
      <w:r w:rsidR="004F4C57">
        <w:rPr>
          <w:i/>
          <w:color w:val="FF0000"/>
          <w:lang w:val="en-US"/>
        </w:rPr>
        <w:t xml:space="preserve">this General Comment under para. </w:t>
      </w:r>
      <w:r w:rsidR="00871016">
        <w:rPr>
          <w:i/>
          <w:color w:val="FF0000"/>
          <w:lang w:val="en-US"/>
        </w:rPr>
        <w:t>16).</w:t>
      </w:r>
      <w:r w:rsidR="00971B75">
        <w:rPr>
          <w:rStyle w:val="FootnoteReference"/>
          <w:i/>
          <w:color w:val="FF0000"/>
          <w:lang w:val="en-US"/>
        </w:rPr>
        <w:footnoteReference w:id="6"/>
      </w:r>
    </w:p>
    <w:p w14:paraId="01682F34" w14:textId="77777777" w:rsidR="00014C5C" w:rsidRDefault="00014C5C" w:rsidP="003C66A0">
      <w:pPr>
        <w:pStyle w:val="ListParagraph"/>
        <w:spacing w:after="0" w:line="240" w:lineRule="auto"/>
        <w:ind w:left="708" w:hanging="424"/>
        <w:jc w:val="both"/>
        <w:rPr>
          <w:i/>
          <w:color w:val="FF0000"/>
          <w:lang w:val="en-US"/>
        </w:rPr>
      </w:pPr>
    </w:p>
    <w:p w14:paraId="06D4435E" w14:textId="0EFE78FC" w:rsidR="00875AF7" w:rsidRPr="003D0A70" w:rsidRDefault="00014C5C" w:rsidP="003C66A0">
      <w:pPr>
        <w:pStyle w:val="ListParagraph"/>
        <w:spacing w:after="0" w:line="240" w:lineRule="auto"/>
        <w:ind w:left="708" w:hanging="424"/>
        <w:jc w:val="both"/>
        <w:rPr>
          <w:i/>
          <w:color w:val="FF0000"/>
          <w:lang w:val="en-GB"/>
        </w:rPr>
      </w:pPr>
      <w:r>
        <w:rPr>
          <w:i/>
          <w:color w:val="FF0000"/>
          <w:lang w:val="en-US"/>
        </w:rPr>
        <w:tab/>
      </w:r>
      <w:r w:rsidRPr="00014C5C">
        <w:rPr>
          <w:b/>
          <w:i/>
          <w:color w:val="FF0000"/>
          <w:lang w:val="en-US"/>
        </w:rPr>
        <w:t>73.b.</w:t>
      </w:r>
      <w:r>
        <w:rPr>
          <w:i/>
          <w:color w:val="FF0000"/>
          <w:lang w:val="en-US"/>
        </w:rPr>
        <w:tab/>
        <w:t xml:space="preserve">With regard to social protection, States Parties are further required to implement a basic protection floor. </w:t>
      </w:r>
      <w:r w:rsidR="00875AF7" w:rsidRPr="00886DDE">
        <w:rPr>
          <w:i/>
          <w:color w:val="FF0000"/>
          <w:lang w:val="en-US"/>
        </w:rPr>
        <w:t>Following the Special Rapporteur on extreme poverty, "it is difficult to accept that a State has no basic protection floor in place" (A/HRC/29, 31 para</w:t>
      </w:r>
      <w:r w:rsidR="003D0A70">
        <w:rPr>
          <w:i/>
          <w:color w:val="FF0000"/>
          <w:lang w:val="en-US"/>
        </w:rPr>
        <w:t>.</w:t>
      </w:r>
      <w:r w:rsidR="00875AF7" w:rsidRPr="00886DDE">
        <w:rPr>
          <w:i/>
          <w:color w:val="FF0000"/>
          <w:lang w:val="en-US"/>
        </w:rPr>
        <w:t xml:space="preserve"> 51), </w:t>
      </w:r>
      <w:r w:rsidR="004C2662">
        <w:rPr>
          <w:i/>
          <w:color w:val="FF0000"/>
          <w:lang w:val="en-US"/>
        </w:rPr>
        <w:t>especially</w:t>
      </w:r>
      <w:r w:rsidR="00875AF7" w:rsidRPr="00886DDE">
        <w:rPr>
          <w:i/>
          <w:color w:val="FF0000"/>
          <w:lang w:val="en-US"/>
        </w:rPr>
        <w:t xml:space="preserve"> when persons with disability living in extreme poverty and destitution are concerned.</w:t>
      </w:r>
      <w:r w:rsidR="003D0A70">
        <w:rPr>
          <w:i/>
          <w:color w:val="FF0000"/>
          <w:lang w:val="en-US"/>
        </w:rPr>
        <w:t xml:space="preserve"> T</w:t>
      </w:r>
      <w:r w:rsidR="00A16D2A">
        <w:rPr>
          <w:i/>
          <w:color w:val="FF0000"/>
          <w:lang w:val="en-US"/>
        </w:rPr>
        <w:t xml:space="preserve">his represents a </w:t>
      </w:r>
      <w:r w:rsidR="003D0A70">
        <w:rPr>
          <w:i/>
          <w:color w:val="FF0000"/>
          <w:lang w:val="en-US"/>
        </w:rPr>
        <w:t xml:space="preserve">particular </w:t>
      </w:r>
      <w:r w:rsidR="00A16D2A">
        <w:rPr>
          <w:i/>
          <w:color w:val="FF0000"/>
          <w:lang w:val="en-US"/>
        </w:rPr>
        <w:t>disadvantage</w:t>
      </w:r>
      <w:r w:rsidR="003D0A70">
        <w:rPr>
          <w:i/>
          <w:color w:val="FF0000"/>
          <w:lang w:val="en-US"/>
        </w:rPr>
        <w:t xml:space="preserve"> for </w:t>
      </w:r>
      <w:r w:rsidR="00A70FD8">
        <w:rPr>
          <w:i/>
          <w:color w:val="FF0000"/>
          <w:lang w:val="en-US"/>
        </w:rPr>
        <w:t xml:space="preserve">children or </w:t>
      </w:r>
      <w:r w:rsidR="003D0A70">
        <w:rPr>
          <w:i/>
          <w:color w:val="FF0000"/>
          <w:lang w:val="en-US"/>
        </w:rPr>
        <w:t>older women</w:t>
      </w:r>
      <w:r w:rsidR="00546C4D">
        <w:rPr>
          <w:i/>
          <w:color w:val="FF0000"/>
          <w:lang w:val="en-US"/>
        </w:rPr>
        <w:t xml:space="preserve"> with disability living in extreme poverty and destitution</w:t>
      </w:r>
      <w:r w:rsidR="003D0A70">
        <w:rPr>
          <w:i/>
          <w:color w:val="FF0000"/>
          <w:lang w:val="en-US"/>
        </w:rPr>
        <w:t>. As General Comment No. 3 (2016) notes: '</w:t>
      </w:r>
      <w:r w:rsidR="003D0A70" w:rsidRPr="003D0A70">
        <w:rPr>
          <w:i/>
          <w:color w:val="FF0000"/>
          <w:lang w:val="en-US"/>
        </w:rPr>
        <w:t xml:space="preserve">Older women with disabilities especially face many difficulties in accessing adequate housing, are more likely to </w:t>
      </w:r>
      <w:r w:rsidR="003D0A70" w:rsidRPr="003D0A70">
        <w:rPr>
          <w:i/>
          <w:color w:val="FF0000"/>
          <w:lang w:val="en-US"/>
        </w:rPr>
        <w:lastRenderedPageBreak/>
        <w:t>be institutionalized and do not have equal access to social protection and poverty reduction programmes</w:t>
      </w:r>
      <w:r w:rsidR="003D0A70">
        <w:rPr>
          <w:i/>
          <w:color w:val="FF0000"/>
          <w:lang w:val="en-US"/>
        </w:rPr>
        <w:t xml:space="preserve">' (para. </w:t>
      </w:r>
      <w:r w:rsidR="00507A78">
        <w:rPr>
          <w:i/>
          <w:color w:val="FF0000"/>
          <w:lang w:val="en-US"/>
        </w:rPr>
        <w:t>59</w:t>
      </w:r>
      <w:r w:rsidR="003D0A70">
        <w:rPr>
          <w:i/>
          <w:color w:val="FF0000"/>
          <w:lang w:val="en-US"/>
        </w:rPr>
        <w:t>).</w:t>
      </w:r>
    </w:p>
    <w:p w14:paraId="135F81B8" w14:textId="77777777" w:rsidR="00875AF7" w:rsidRPr="00875AF7" w:rsidRDefault="00875AF7" w:rsidP="005E3AF1">
      <w:pPr>
        <w:pStyle w:val="ListParagraph"/>
        <w:spacing w:after="0" w:line="240" w:lineRule="auto"/>
        <w:ind w:left="708" w:hanging="424"/>
        <w:jc w:val="both"/>
        <w:rPr>
          <w:b/>
          <w:color w:val="0000FF"/>
          <w:lang w:val="en-GB"/>
        </w:rPr>
      </w:pPr>
    </w:p>
    <w:p w14:paraId="22B54179" w14:textId="77777777" w:rsidR="002C092A" w:rsidRPr="00702A61" w:rsidRDefault="002C092A" w:rsidP="001F3101">
      <w:pPr>
        <w:pStyle w:val="ListParagraph"/>
        <w:spacing w:after="0" w:line="240" w:lineRule="auto"/>
        <w:ind w:left="1080"/>
        <w:jc w:val="both"/>
        <w:rPr>
          <w:lang w:val="en-GB"/>
        </w:rPr>
      </w:pPr>
    </w:p>
    <w:p w14:paraId="6D49FA74" w14:textId="77777777" w:rsidR="00C0502F" w:rsidRPr="00702A61" w:rsidRDefault="00C0502F" w:rsidP="00C0502F">
      <w:pPr>
        <w:spacing w:after="0" w:line="240" w:lineRule="auto"/>
        <w:rPr>
          <w:lang w:val="en-GB"/>
        </w:rPr>
      </w:pPr>
    </w:p>
    <w:p w14:paraId="4A1A17A5" w14:textId="77777777" w:rsidR="00A9787A" w:rsidRPr="003A1069" w:rsidRDefault="00A9787A" w:rsidP="00303A6D">
      <w:pPr>
        <w:pStyle w:val="ListParagraph"/>
        <w:numPr>
          <w:ilvl w:val="1"/>
          <w:numId w:val="2"/>
        </w:numPr>
        <w:spacing w:after="0" w:line="240" w:lineRule="auto"/>
        <w:jc w:val="both"/>
        <w:rPr>
          <w:lang w:val="en-GB"/>
        </w:rPr>
      </w:pPr>
      <w:r w:rsidRPr="003A1069">
        <w:rPr>
          <w:lang w:val="en-GB"/>
        </w:rPr>
        <w:t>Article 29  - Participation in political and pub</w:t>
      </w:r>
      <w:r w:rsidR="004214B1" w:rsidRPr="003A1069">
        <w:rPr>
          <w:lang w:val="en-GB"/>
        </w:rPr>
        <w:t>l</w:t>
      </w:r>
      <w:r w:rsidRPr="003A1069">
        <w:rPr>
          <w:lang w:val="en-GB"/>
        </w:rPr>
        <w:t>ic life</w:t>
      </w:r>
    </w:p>
    <w:p w14:paraId="6609F72C" w14:textId="77777777" w:rsidR="009A586F" w:rsidRPr="003A1069" w:rsidRDefault="009A586F" w:rsidP="009A586F">
      <w:pPr>
        <w:spacing w:after="0" w:line="240" w:lineRule="auto"/>
        <w:rPr>
          <w:lang w:val="en-GB"/>
        </w:rPr>
      </w:pPr>
    </w:p>
    <w:p w14:paraId="4F8AAEDC" w14:textId="77777777" w:rsidR="00645E1D" w:rsidRPr="003A1069" w:rsidRDefault="00645E1D" w:rsidP="009A586F">
      <w:pPr>
        <w:spacing w:after="0" w:line="240" w:lineRule="auto"/>
        <w:rPr>
          <w:lang w:val="en-GB"/>
        </w:rPr>
      </w:pPr>
    </w:p>
    <w:p w14:paraId="0C4C2334" w14:textId="14859DA8" w:rsidR="00763661" w:rsidRPr="003A1069" w:rsidRDefault="00763661" w:rsidP="00E93CC0">
      <w:pPr>
        <w:pStyle w:val="ListParagraph"/>
        <w:numPr>
          <w:ilvl w:val="1"/>
          <w:numId w:val="2"/>
        </w:numPr>
        <w:spacing w:after="0" w:line="240" w:lineRule="auto"/>
        <w:jc w:val="both"/>
        <w:rPr>
          <w:lang w:val="en-GB"/>
        </w:rPr>
      </w:pPr>
      <w:r w:rsidRPr="003A1069">
        <w:rPr>
          <w:lang w:val="en-GB"/>
        </w:rPr>
        <w:t xml:space="preserve">Article 31 </w:t>
      </w:r>
    </w:p>
    <w:p w14:paraId="64FDF964" w14:textId="77777777" w:rsidR="002C092A" w:rsidRPr="00702A61" w:rsidRDefault="002C092A" w:rsidP="001F3101">
      <w:pPr>
        <w:pStyle w:val="ListParagraph"/>
        <w:spacing w:after="0" w:line="240" w:lineRule="auto"/>
        <w:ind w:left="1785"/>
        <w:jc w:val="both"/>
        <w:rPr>
          <w:lang w:val="en-GB"/>
        </w:rPr>
      </w:pPr>
    </w:p>
    <w:p w14:paraId="578AA0CB" w14:textId="77777777" w:rsidR="009B334D" w:rsidRDefault="009B334D" w:rsidP="009B334D">
      <w:pPr>
        <w:spacing w:after="0"/>
        <w:ind w:left="708"/>
        <w:jc w:val="both"/>
        <w:rPr>
          <w:b/>
          <w:color w:val="0070C0"/>
          <w:lang w:val="en-GB"/>
        </w:rPr>
      </w:pPr>
    </w:p>
    <w:p w14:paraId="77802193" w14:textId="1DB48168" w:rsidR="00763661" w:rsidRPr="00B82C3E" w:rsidRDefault="005073C0" w:rsidP="009B334D">
      <w:pPr>
        <w:spacing w:after="0"/>
        <w:ind w:left="708"/>
        <w:jc w:val="both"/>
        <w:rPr>
          <w:b/>
          <w:color w:val="0070C0"/>
          <w:sz w:val="24"/>
          <w:lang w:val="en-GB"/>
        </w:rPr>
      </w:pPr>
      <w:r w:rsidRPr="00B82C3E">
        <w:rPr>
          <w:b/>
          <w:color w:val="0070C0"/>
          <w:sz w:val="24"/>
          <w:lang w:val="en-GB"/>
        </w:rPr>
        <w:t>Paragraph 75</w:t>
      </w:r>
    </w:p>
    <w:p w14:paraId="30D530C0" w14:textId="77777777" w:rsidR="005073C0" w:rsidRPr="009B334D" w:rsidRDefault="005073C0" w:rsidP="009B334D">
      <w:pPr>
        <w:spacing w:after="0"/>
        <w:ind w:left="708"/>
        <w:jc w:val="both"/>
        <w:rPr>
          <w:b/>
          <w:color w:val="0070C0"/>
          <w:lang w:val="en-GB"/>
        </w:rPr>
      </w:pPr>
    </w:p>
    <w:p w14:paraId="37D415D1" w14:textId="65799BB2" w:rsidR="007050CB" w:rsidRPr="009B334D" w:rsidRDefault="007050CB" w:rsidP="009B334D">
      <w:pPr>
        <w:spacing w:after="0"/>
        <w:ind w:left="708"/>
        <w:jc w:val="both"/>
        <w:rPr>
          <w:b/>
          <w:color w:val="0070C0"/>
          <w:lang w:val="en-GB"/>
        </w:rPr>
      </w:pPr>
      <w:r w:rsidRPr="009B334D">
        <w:rPr>
          <w:b/>
          <w:color w:val="0070C0"/>
          <w:lang w:val="en-GB"/>
        </w:rPr>
        <w:t>Recommendation:</w:t>
      </w:r>
      <w:bookmarkStart w:id="0" w:name="_GoBack"/>
    </w:p>
    <w:bookmarkEnd w:id="0"/>
    <w:p w14:paraId="5E55D30F" w14:textId="77777777" w:rsidR="007050CB" w:rsidRPr="009B334D" w:rsidRDefault="007050CB" w:rsidP="009B334D">
      <w:pPr>
        <w:spacing w:after="0"/>
        <w:ind w:left="708"/>
        <w:jc w:val="both"/>
        <w:rPr>
          <w:color w:val="0070C0"/>
          <w:lang w:val="en-GB"/>
        </w:rPr>
      </w:pPr>
    </w:p>
    <w:p w14:paraId="29F19D59" w14:textId="05990AB9" w:rsidR="00B4577E" w:rsidRPr="009B334D" w:rsidRDefault="00B4577E" w:rsidP="00DC3A5F">
      <w:pPr>
        <w:ind w:left="708"/>
        <w:jc w:val="both"/>
        <w:rPr>
          <w:rFonts w:ascii="Calibri" w:hAnsi="Calibri" w:cs="Arial"/>
          <w:color w:val="0070C0"/>
          <w:lang w:val="en-GB"/>
        </w:rPr>
      </w:pPr>
      <w:r w:rsidRPr="009B334D">
        <w:rPr>
          <w:rFonts w:cs="Arial"/>
          <w:color w:val="0070C0"/>
          <w:lang w:val="en-GB"/>
        </w:rPr>
        <w:t>As paragraph 75 is concerned with data collection and analysis, it can be expected that this General Comment also provides more detailed guidance on how these data could be collected by applying the United Nations guide on human rights measurement.</w:t>
      </w:r>
      <w:r w:rsidRPr="009B334D">
        <w:rPr>
          <w:rStyle w:val="FootnoteReference"/>
          <w:rFonts w:cs="Arial"/>
          <w:color w:val="0070C0"/>
          <w:lang w:val="en-GB"/>
        </w:rPr>
        <w:footnoteReference w:id="7"/>
      </w:r>
      <w:r w:rsidRPr="009B334D">
        <w:rPr>
          <w:rFonts w:cs="Arial"/>
          <w:color w:val="0070C0"/>
          <w:lang w:val="en-GB"/>
        </w:rPr>
        <w:t xml:space="preserve"> </w:t>
      </w:r>
      <w:r w:rsidR="00F53B0B" w:rsidRPr="009B334D">
        <w:rPr>
          <w:rFonts w:cs="Arial"/>
          <w:color w:val="0070C0"/>
          <w:lang w:val="en-GB"/>
        </w:rPr>
        <w:t xml:space="preserve">A human rights approach can be combined with </w:t>
      </w:r>
      <w:r w:rsidR="003A1069">
        <w:rPr>
          <w:rFonts w:cs="Arial"/>
          <w:color w:val="0070C0"/>
          <w:lang w:val="en-GB"/>
        </w:rPr>
        <w:t xml:space="preserve">the </w:t>
      </w:r>
      <w:r w:rsidR="00F53B0B" w:rsidRPr="009B334D">
        <w:rPr>
          <w:rFonts w:cs="Arial"/>
          <w:color w:val="0070C0"/>
          <w:lang w:val="en-GB"/>
        </w:rPr>
        <w:t>use of the</w:t>
      </w:r>
      <w:r w:rsidR="00F53B0B" w:rsidRPr="009B334D">
        <w:rPr>
          <w:lang w:val="en-GB"/>
        </w:rPr>
        <w:t xml:space="preserve"> </w:t>
      </w:r>
      <w:r w:rsidR="00F53B0B" w:rsidRPr="009B334D">
        <w:rPr>
          <w:rFonts w:cs="Arial"/>
          <w:color w:val="0070C0"/>
          <w:lang w:val="en-GB"/>
        </w:rPr>
        <w:t>International Classification of Functioning, Disability and Health (ICF).</w:t>
      </w:r>
      <w:r w:rsidR="00F53B0B" w:rsidRPr="009B334D">
        <w:rPr>
          <w:rStyle w:val="FootnoteReference"/>
          <w:rFonts w:cs="Arial"/>
          <w:color w:val="0070C0"/>
          <w:lang w:val="en-GB"/>
        </w:rPr>
        <w:footnoteReference w:id="8"/>
      </w:r>
      <w:r w:rsidR="00F53B0B" w:rsidRPr="009B334D">
        <w:rPr>
          <w:rFonts w:cs="Arial"/>
          <w:color w:val="0070C0"/>
          <w:lang w:val="en-GB"/>
        </w:rPr>
        <w:t xml:space="preserve"> In this context</w:t>
      </w:r>
      <w:r w:rsidR="003A1069">
        <w:rPr>
          <w:rFonts w:cs="Arial"/>
          <w:color w:val="0070C0"/>
          <w:lang w:val="en-GB"/>
        </w:rPr>
        <w:t>,</w:t>
      </w:r>
      <w:r w:rsidR="00F53B0B" w:rsidRPr="009B334D">
        <w:rPr>
          <w:rFonts w:cs="Arial"/>
          <w:color w:val="0070C0"/>
          <w:lang w:val="en-GB"/>
        </w:rPr>
        <w:t xml:space="preserve"> the 'Gold Indicators' </w:t>
      </w:r>
      <w:r w:rsidR="003A1069">
        <w:rPr>
          <w:rFonts w:cs="Arial"/>
          <w:color w:val="0070C0"/>
          <w:lang w:val="en-GB"/>
        </w:rPr>
        <w:t xml:space="preserve">are also noteworthy </w:t>
      </w:r>
      <w:r w:rsidR="00F53B0B" w:rsidRPr="009B334D">
        <w:rPr>
          <w:rFonts w:cs="Arial"/>
          <w:color w:val="0070C0"/>
          <w:lang w:val="en-GB"/>
        </w:rPr>
        <w:t xml:space="preserve">as a tool to measure the progress of the implementation of </w:t>
      </w:r>
      <w:r w:rsidR="00F53B0B" w:rsidRPr="009B334D">
        <w:rPr>
          <w:rFonts w:ascii="Calibri" w:hAnsi="Calibri" w:cs="Arial"/>
          <w:color w:val="0070C0"/>
          <w:lang w:val="en-GB"/>
        </w:rPr>
        <w:t xml:space="preserve">the CRPD. The </w:t>
      </w:r>
      <w:r w:rsidR="003A1069">
        <w:rPr>
          <w:rFonts w:ascii="Calibri" w:hAnsi="Calibri" w:cs="Arial"/>
          <w:color w:val="0070C0"/>
          <w:lang w:val="en-GB"/>
        </w:rPr>
        <w:t>'</w:t>
      </w:r>
      <w:r w:rsidR="00F53B0B" w:rsidRPr="009B334D">
        <w:rPr>
          <w:rFonts w:ascii="Calibri" w:hAnsi="Calibri" w:cs="Arial"/>
          <w:color w:val="0070C0"/>
          <w:lang w:val="en-GB"/>
        </w:rPr>
        <w:t>Gold Indicators</w:t>
      </w:r>
      <w:r w:rsidR="003A1069">
        <w:rPr>
          <w:rFonts w:ascii="Calibri" w:hAnsi="Calibri" w:cs="Arial"/>
          <w:color w:val="0070C0"/>
          <w:lang w:val="en-GB"/>
        </w:rPr>
        <w:t>'</w:t>
      </w:r>
      <w:r w:rsidR="00F53B0B" w:rsidRPr="009B334D">
        <w:rPr>
          <w:rFonts w:ascii="Calibri" w:hAnsi="Calibri" w:cs="Arial"/>
          <w:color w:val="0070C0"/>
          <w:lang w:val="en-GB"/>
        </w:rPr>
        <w:t xml:space="preserve"> have been developed by the Danish Institute for Human Rights.</w:t>
      </w:r>
      <w:r w:rsidR="00F53B0B" w:rsidRPr="009B334D">
        <w:rPr>
          <w:rStyle w:val="FootnoteReference"/>
          <w:rFonts w:ascii="Calibri" w:hAnsi="Calibri" w:cs="Arial"/>
          <w:color w:val="0070C0"/>
          <w:lang w:val="en-GB"/>
        </w:rPr>
        <w:footnoteReference w:id="9"/>
      </w:r>
      <w:r w:rsidR="00F53B0B" w:rsidRPr="009B334D">
        <w:rPr>
          <w:rFonts w:ascii="Calibri" w:hAnsi="Calibri" w:cs="Arial"/>
          <w:color w:val="0070C0"/>
          <w:lang w:val="en-GB"/>
        </w:rPr>
        <w:t xml:space="preserve"> 'The Gold Indicators</w:t>
      </w:r>
      <w:r w:rsidR="003A1069">
        <w:rPr>
          <w:rFonts w:ascii="Calibri" w:hAnsi="Calibri" w:cs="Arial"/>
          <w:color w:val="0070C0"/>
          <w:lang w:val="en-GB"/>
        </w:rPr>
        <w:t>'</w:t>
      </w:r>
      <w:r w:rsidR="00F53B0B" w:rsidRPr="009B334D">
        <w:rPr>
          <w:rFonts w:ascii="Calibri" w:hAnsi="Calibri" w:cs="Arial"/>
          <w:color w:val="0070C0"/>
          <w:lang w:val="en-GB"/>
        </w:rPr>
        <w:t xml:space="preserve"> are a set of 10 statistical outcome indicators which compare the situation of persons with and without disabilities in relation to 10 key thematic areas of the UN Convention on the Rights of Persons with Disabilities (CRPD)'.</w:t>
      </w:r>
      <w:r w:rsidR="00F53B0B" w:rsidRPr="009B334D">
        <w:rPr>
          <w:rStyle w:val="FootnoteReference"/>
          <w:rFonts w:ascii="Calibri" w:hAnsi="Calibri" w:cs="Arial"/>
          <w:color w:val="0070C0"/>
          <w:lang w:val="en-GB"/>
        </w:rPr>
        <w:footnoteReference w:id="10"/>
      </w:r>
      <w:r w:rsidR="00F53B0B" w:rsidRPr="009B334D">
        <w:rPr>
          <w:rFonts w:ascii="Calibri" w:hAnsi="Calibri" w:cs="Arial"/>
          <w:color w:val="0070C0"/>
          <w:lang w:val="en-GB"/>
        </w:rPr>
        <w:t xml:space="preserve"> A focus on the l</w:t>
      </w:r>
      <w:r w:rsidR="009B334D" w:rsidRPr="009B334D">
        <w:rPr>
          <w:rFonts w:ascii="Calibri" w:hAnsi="Calibri" w:cs="Arial"/>
          <w:color w:val="0070C0"/>
          <w:lang w:val="en-GB"/>
        </w:rPr>
        <w:t xml:space="preserve">ived experience combined with a </w:t>
      </w:r>
      <w:r w:rsidR="00D34AAE">
        <w:rPr>
          <w:rFonts w:ascii="Calibri" w:hAnsi="Calibri" w:cs="Arial"/>
          <w:color w:val="0070C0"/>
          <w:lang w:val="en-GB"/>
        </w:rPr>
        <w:t>social-determinants-of-</w:t>
      </w:r>
      <w:r w:rsidR="009B334D">
        <w:rPr>
          <w:rFonts w:ascii="Calibri" w:hAnsi="Calibri" w:cs="Arial"/>
          <w:color w:val="0070C0"/>
          <w:lang w:val="en-GB"/>
        </w:rPr>
        <w:t>disability</w:t>
      </w:r>
      <w:r w:rsidR="00F53B0B" w:rsidRPr="009B334D">
        <w:rPr>
          <w:rFonts w:ascii="Calibri" w:hAnsi="Calibri" w:cs="Arial"/>
          <w:color w:val="0070C0"/>
          <w:lang w:val="en-GB"/>
        </w:rPr>
        <w:t xml:space="preserve"> approach has also been proposed as a starting point to advance measurement of disability-based disadvantage,</w:t>
      </w:r>
      <w:r w:rsidR="009B334D" w:rsidRPr="009B334D">
        <w:rPr>
          <w:rFonts w:ascii="Calibri" w:hAnsi="Calibri" w:cs="Arial"/>
          <w:color w:val="0070C0"/>
          <w:lang w:val="en-GB"/>
        </w:rPr>
        <w:t xml:space="preserve"> </w:t>
      </w:r>
      <w:r w:rsidR="00F53B0B" w:rsidRPr="009B334D">
        <w:rPr>
          <w:rFonts w:ascii="Calibri" w:hAnsi="Calibri" w:cs="Arial"/>
          <w:color w:val="0070C0"/>
          <w:lang w:val="en-GB"/>
        </w:rPr>
        <w:t>inequality and poverty, particularly in low</w:t>
      </w:r>
      <w:r w:rsidR="009B334D" w:rsidRPr="009B334D">
        <w:rPr>
          <w:rFonts w:ascii="Calibri" w:hAnsi="Calibri" w:cs="Arial"/>
          <w:color w:val="0070C0"/>
          <w:lang w:val="en-GB"/>
        </w:rPr>
        <w:t xml:space="preserve"> </w:t>
      </w:r>
      <w:r w:rsidR="00F53B0B" w:rsidRPr="009B334D">
        <w:rPr>
          <w:rFonts w:ascii="Calibri" w:hAnsi="Calibri" w:cs="Arial"/>
          <w:color w:val="0070C0"/>
          <w:lang w:val="en-GB"/>
        </w:rPr>
        <w:t>income</w:t>
      </w:r>
      <w:r w:rsidR="009B334D" w:rsidRPr="009B334D">
        <w:rPr>
          <w:rFonts w:ascii="Calibri" w:hAnsi="Calibri" w:cs="Arial"/>
          <w:color w:val="0070C0"/>
          <w:lang w:val="en-GB"/>
        </w:rPr>
        <w:t xml:space="preserve"> </w:t>
      </w:r>
      <w:r w:rsidR="00F53B0B" w:rsidRPr="009B334D">
        <w:rPr>
          <w:rFonts w:ascii="Calibri" w:hAnsi="Calibri" w:cs="Arial"/>
          <w:color w:val="0070C0"/>
          <w:lang w:val="en-GB"/>
        </w:rPr>
        <w:t>countries.</w:t>
      </w:r>
      <w:r w:rsidR="009B334D" w:rsidRPr="009B334D">
        <w:rPr>
          <w:rStyle w:val="FootnoteReference"/>
          <w:rFonts w:ascii="Calibri" w:hAnsi="Calibri" w:cs="Arial"/>
          <w:color w:val="0070C0"/>
          <w:lang w:val="en-GB"/>
        </w:rPr>
        <w:footnoteReference w:id="11"/>
      </w:r>
    </w:p>
    <w:p w14:paraId="16631C98" w14:textId="77777777" w:rsidR="00645E1D" w:rsidRPr="00702A61" w:rsidRDefault="00645E1D" w:rsidP="009A586F">
      <w:pPr>
        <w:spacing w:after="0" w:line="240" w:lineRule="auto"/>
        <w:rPr>
          <w:lang w:val="en-GB"/>
        </w:rPr>
      </w:pPr>
    </w:p>
    <w:p w14:paraId="0995038F" w14:textId="77777777" w:rsidR="00B00B46" w:rsidRPr="00702A61" w:rsidRDefault="00B00B46" w:rsidP="00303A6D">
      <w:pPr>
        <w:pStyle w:val="ListParagraph"/>
        <w:numPr>
          <w:ilvl w:val="0"/>
          <w:numId w:val="2"/>
        </w:numPr>
        <w:spacing w:after="0" w:line="240" w:lineRule="auto"/>
        <w:jc w:val="both"/>
        <w:rPr>
          <w:b/>
          <w:lang w:val="en-GB"/>
        </w:rPr>
      </w:pPr>
      <w:r w:rsidRPr="00702A61">
        <w:rPr>
          <w:b/>
          <w:lang w:val="en-GB"/>
        </w:rPr>
        <w:t>Implementation at the national level</w:t>
      </w:r>
      <w:r w:rsidR="00145A9C" w:rsidRPr="00702A61">
        <w:rPr>
          <w:b/>
          <w:lang w:val="en-GB"/>
        </w:rPr>
        <w:t xml:space="preserve"> </w:t>
      </w:r>
    </w:p>
    <w:p w14:paraId="34B641DE" w14:textId="77777777" w:rsidR="00B00B46" w:rsidRPr="00702A61" w:rsidRDefault="00B00B46" w:rsidP="00B00B46">
      <w:pPr>
        <w:spacing w:after="0" w:line="240" w:lineRule="auto"/>
        <w:rPr>
          <w:lang w:val="en-GB"/>
        </w:rPr>
      </w:pPr>
    </w:p>
    <w:p w14:paraId="2F3460E1" w14:textId="77777777" w:rsidR="002C092A" w:rsidRPr="00702A61" w:rsidRDefault="002C092A" w:rsidP="001F3101">
      <w:pPr>
        <w:pStyle w:val="ListParagraph"/>
        <w:spacing w:after="0" w:line="240" w:lineRule="auto"/>
        <w:ind w:left="1080"/>
        <w:jc w:val="both"/>
        <w:rPr>
          <w:rFonts w:eastAsia="Malgun Gothic"/>
          <w:lang w:val="en-GB"/>
        </w:rPr>
      </w:pPr>
    </w:p>
    <w:p w14:paraId="4D754016" w14:textId="6278FB50" w:rsidR="0051235B" w:rsidRDefault="0051235B" w:rsidP="00377CE5">
      <w:pPr>
        <w:pStyle w:val="ListParagraph"/>
        <w:spacing w:after="0" w:line="240" w:lineRule="auto"/>
        <w:ind w:left="1080"/>
        <w:jc w:val="both"/>
        <w:rPr>
          <w:rFonts w:eastAsia="Malgun Gothic"/>
          <w:lang w:val="en-GB"/>
        </w:rPr>
      </w:pPr>
      <w:r w:rsidRPr="00702A61">
        <w:rPr>
          <w:rFonts w:eastAsia="Malgun Gothic"/>
          <w:lang w:val="en-GB"/>
        </w:rPr>
        <w:t>______________</w:t>
      </w:r>
    </w:p>
    <w:p w14:paraId="4617AC31" w14:textId="77777777" w:rsidR="007B17DE" w:rsidRDefault="007B17DE" w:rsidP="00377CE5">
      <w:pPr>
        <w:pStyle w:val="ListParagraph"/>
        <w:spacing w:after="0" w:line="240" w:lineRule="auto"/>
        <w:ind w:left="1080"/>
        <w:jc w:val="both"/>
        <w:rPr>
          <w:rFonts w:eastAsia="Malgun Gothic"/>
          <w:lang w:val="en-GB"/>
        </w:rPr>
      </w:pPr>
    </w:p>
    <w:p w14:paraId="1535B31D" w14:textId="77777777" w:rsidR="007B17DE" w:rsidRDefault="007B17DE" w:rsidP="00377CE5">
      <w:pPr>
        <w:pStyle w:val="ListParagraph"/>
        <w:spacing w:after="0" w:line="240" w:lineRule="auto"/>
        <w:ind w:left="1080"/>
        <w:jc w:val="both"/>
        <w:rPr>
          <w:rFonts w:eastAsia="Malgun Gothic"/>
          <w:lang w:val="en-GB"/>
        </w:rPr>
      </w:pPr>
    </w:p>
    <w:p w14:paraId="482514CF" w14:textId="77777777" w:rsidR="007B17DE" w:rsidRDefault="007B17DE" w:rsidP="00377CE5">
      <w:pPr>
        <w:pStyle w:val="ListParagraph"/>
        <w:spacing w:after="0" w:line="240" w:lineRule="auto"/>
        <w:ind w:left="1080"/>
        <w:jc w:val="both"/>
        <w:rPr>
          <w:rFonts w:eastAsia="Malgun Gothic"/>
          <w:lang w:val="en-GB"/>
        </w:rPr>
      </w:pPr>
    </w:p>
    <w:p w14:paraId="70E6EAA8" w14:textId="77777777" w:rsidR="008A36AF" w:rsidRDefault="008A36AF" w:rsidP="00377CE5">
      <w:pPr>
        <w:pStyle w:val="ListParagraph"/>
        <w:spacing w:after="0" w:line="240" w:lineRule="auto"/>
        <w:ind w:left="1080"/>
        <w:jc w:val="both"/>
        <w:rPr>
          <w:rFonts w:eastAsia="Malgun Gothic"/>
          <w:lang w:val="en-GB"/>
        </w:rPr>
      </w:pPr>
    </w:p>
    <w:p w14:paraId="65C53587" w14:textId="77777777" w:rsidR="008A36AF" w:rsidRDefault="008A36AF" w:rsidP="00377CE5">
      <w:pPr>
        <w:pStyle w:val="ListParagraph"/>
        <w:spacing w:after="0" w:line="240" w:lineRule="auto"/>
        <w:ind w:left="1080"/>
        <w:jc w:val="both"/>
        <w:rPr>
          <w:rFonts w:eastAsia="Malgun Gothic"/>
          <w:lang w:val="en-GB"/>
        </w:rPr>
      </w:pPr>
    </w:p>
    <w:p w14:paraId="519C28A8" w14:textId="77777777" w:rsidR="007B17DE" w:rsidRDefault="00024C98" w:rsidP="008A36AF">
      <w:pPr>
        <w:ind w:left="284"/>
        <w:rPr>
          <w:rFonts w:eastAsia="Malgun Gothic"/>
          <w:b/>
          <w:color w:val="0000FF"/>
          <w:lang w:val="en-GB"/>
        </w:rPr>
      </w:pPr>
      <w:r>
        <w:rPr>
          <w:rFonts w:eastAsia="Malgun Gothic"/>
          <w:b/>
          <w:color w:val="0000FF"/>
          <w:lang w:val="en-GB"/>
        </w:rPr>
        <w:br w:type="page"/>
      </w:r>
      <w:r w:rsidR="007B17DE" w:rsidRPr="00DB63EA">
        <w:rPr>
          <w:rFonts w:eastAsia="Malgun Gothic"/>
          <w:b/>
          <w:color w:val="0070C0"/>
          <w:lang w:val="en-GB"/>
        </w:rPr>
        <w:lastRenderedPageBreak/>
        <w:t>REFERENCES:</w:t>
      </w:r>
    </w:p>
    <w:p w14:paraId="60F1B0FF" w14:textId="35707160" w:rsidR="00640BDD" w:rsidRDefault="00640BDD" w:rsidP="005F59D2">
      <w:pPr>
        <w:pStyle w:val="ListParagraph"/>
        <w:spacing w:after="0"/>
        <w:ind w:left="708"/>
        <w:rPr>
          <w:rFonts w:eastAsia="Malgun Gothic"/>
          <w:lang w:val="en-GB"/>
        </w:rPr>
      </w:pPr>
      <w:r w:rsidRPr="00640BDD">
        <w:rPr>
          <w:rFonts w:eastAsia="Malgun Gothic"/>
          <w:lang w:val="en-GB"/>
        </w:rPr>
        <w:t>Crock, M</w:t>
      </w:r>
      <w:r>
        <w:rPr>
          <w:rFonts w:eastAsia="Malgun Gothic"/>
          <w:lang w:val="en-GB"/>
        </w:rPr>
        <w:t xml:space="preserve">. (2016). </w:t>
      </w:r>
      <w:r w:rsidRPr="00640BDD">
        <w:rPr>
          <w:rFonts w:eastAsia="Malgun Gothic"/>
          <w:i/>
          <w:lang w:val="en-GB"/>
        </w:rPr>
        <w:t>Refugees and Rights</w:t>
      </w:r>
      <w:r>
        <w:rPr>
          <w:rFonts w:eastAsia="Malgun Gothic"/>
          <w:lang w:val="en-GB"/>
        </w:rPr>
        <w:t xml:space="preserve"> </w:t>
      </w:r>
      <w:r w:rsidRPr="00640BDD">
        <w:rPr>
          <w:rFonts w:eastAsia="Malgun Gothic"/>
          <w:lang w:val="en-GB"/>
        </w:rPr>
        <w:t>(</w:t>
      </w:r>
      <w:r w:rsidR="00DB63EA" w:rsidRPr="00640BDD">
        <w:rPr>
          <w:rFonts w:eastAsia="Malgun Gothic"/>
          <w:lang w:val="en-GB"/>
        </w:rPr>
        <w:t>2</w:t>
      </w:r>
      <w:r w:rsidR="00DB63EA" w:rsidRPr="00640BDD">
        <w:rPr>
          <w:rFonts w:eastAsia="Malgun Gothic"/>
          <w:vertAlign w:val="superscript"/>
          <w:lang w:val="en-GB"/>
        </w:rPr>
        <w:t>nd</w:t>
      </w:r>
      <w:r w:rsidR="00DB63EA">
        <w:rPr>
          <w:rFonts w:eastAsia="Malgun Gothic"/>
          <w:lang w:val="en-GB"/>
        </w:rPr>
        <w:t xml:space="preserve"> </w:t>
      </w:r>
      <w:r w:rsidR="00DB63EA" w:rsidRPr="00640BDD">
        <w:rPr>
          <w:rFonts w:eastAsia="Malgun Gothic"/>
          <w:lang w:val="en-GB"/>
        </w:rPr>
        <w:t>edn</w:t>
      </w:r>
      <w:r>
        <w:rPr>
          <w:rFonts w:eastAsia="Malgun Gothic"/>
          <w:lang w:val="en-GB"/>
        </w:rPr>
        <w:t xml:space="preserve">). </w:t>
      </w:r>
      <w:r w:rsidRPr="00640BDD">
        <w:rPr>
          <w:rFonts w:eastAsia="Malgun Gothic"/>
          <w:lang w:val="en-GB"/>
        </w:rPr>
        <w:t>Routledge 2016</w:t>
      </w:r>
    </w:p>
    <w:p w14:paraId="19DA6AC3" w14:textId="63629212" w:rsidR="009B334D" w:rsidRDefault="009B334D" w:rsidP="005F59D2">
      <w:pPr>
        <w:pStyle w:val="ListParagraph"/>
        <w:spacing w:after="0"/>
        <w:ind w:left="708"/>
        <w:rPr>
          <w:rFonts w:eastAsia="Malgun Gothic"/>
          <w:lang w:val="en-GB"/>
        </w:rPr>
      </w:pPr>
      <w:r>
        <w:rPr>
          <w:rFonts w:eastAsia="Malgun Gothic"/>
          <w:lang w:val="en-GB"/>
        </w:rPr>
        <w:t xml:space="preserve">Gartell, A. </w:t>
      </w:r>
      <w:r w:rsidRPr="009B334D">
        <w:rPr>
          <w:rFonts w:eastAsia="Malgun Gothic"/>
          <w:lang w:val="en-GB"/>
        </w:rPr>
        <w:t xml:space="preserve">et al (2016), 'Social determinants of disability-based disadvantage in Solomon </w:t>
      </w:r>
      <w:r>
        <w:rPr>
          <w:rFonts w:eastAsia="Malgun Gothic"/>
          <w:lang w:val="en-GB"/>
        </w:rPr>
        <w:tab/>
      </w:r>
      <w:r w:rsidRPr="009B334D">
        <w:rPr>
          <w:rFonts w:eastAsia="Malgun Gothic"/>
          <w:lang w:val="en-GB"/>
        </w:rPr>
        <w:t xml:space="preserve">islands', </w:t>
      </w:r>
      <w:r w:rsidRPr="009B334D">
        <w:rPr>
          <w:rFonts w:eastAsia="Malgun Gothic"/>
          <w:i/>
          <w:lang w:val="en-GB"/>
        </w:rPr>
        <w:t>Health Promotion International</w:t>
      </w:r>
      <w:r w:rsidRPr="009B334D">
        <w:rPr>
          <w:rFonts w:eastAsia="Malgun Gothic"/>
          <w:lang w:val="en-GB"/>
        </w:rPr>
        <w:t>, 1–11</w:t>
      </w:r>
      <w:r>
        <w:rPr>
          <w:rFonts w:eastAsia="Malgun Gothic"/>
          <w:lang w:val="en-GB"/>
        </w:rPr>
        <w:t xml:space="preserve">. </w:t>
      </w:r>
      <w:r w:rsidRPr="009B334D">
        <w:rPr>
          <w:rFonts w:eastAsia="Malgun Gothic"/>
          <w:lang w:val="en-GB"/>
        </w:rPr>
        <w:t>doi: 10.1093/heapro/daw071</w:t>
      </w:r>
    </w:p>
    <w:p w14:paraId="649710AE" w14:textId="49E5D253" w:rsidR="00D32CC2" w:rsidRPr="005F59D2" w:rsidRDefault="00D32CC2" w:rsidP="005F59D2">
      <w:pPr>
        <w:pStyle w:val="ListParagraph"/>
        <w:spacing w:after="0"/>
        <w:ind w:left="708"/>
        <w:rPr>
          <w:rFonts w:eastAsia="Malgun Gothic"/>
          <w:lang w:val="en-GB"/>
        </w:rPr>
      </w:pPr>
      <w:r w:rsidRPr="005F59D2">
        <w:rPr>
          <w:rFonts w:eastAsia="Malgun Gothic"/>
          <w:lang w:val="en-GB"/>
        </w:rPr>
        <w:t>Pinilla-Roncancio</w:t>
      </w:r>
      <w:r w:rsidR="00024C98" w:rsidRPr="005F59D2">
        <w:rPr>
          <w:rFonts w:eastAsia="Malgun Gothic"/>
          <w:lang w:val="en-GB"/>
        </w:rPr>
        <w:t xml:space="preserve">, M. </w:t>
      </w:r>
      <w:r w:rsidRPr="005F59D2">
        <w:rPr>
          <w:rFonts w:eastAsia="Malgun Gothic"/>
          <w:lang w:val="en-GB"/>
        </w:rPr>
        <w:t>(2015)</w:t>
      </w:r>
      <w:r w:rsidR="00AC3646" w:rsidRPr="005F59D2">
        <w:rPr>
          <w:rFonts w:eastAsia="Malgun Gothic"/>
          <w:lang w:val="en-GB"/>
        </w:rPr>
        <w:t>.</w:t>
      </w:r>
      <w:r w:rsidR="00024C98" w:rsidRPr="005F59D2">
        <w:rPr>
          <w:rFonts w:eastAsia="Malgun Gothic"/>
          <w:lang w:val="en-GB"/>
        </w:rPr>
        <w:t xml:space="preserve"> 'Disability and poverty: two related conditions.</w:t>
      </w:r>
      <w:r w:rsidR="003266F1">
        <w:rPr>
          <w:rFonts w:eastAsia="Malgun Gothic"/>
          <w:lang w:val="en-GB"/>
        </w:rPr>
        <w:t xml:space="preserve"> </w:t>
      </w:r>
      <w:r w:rsidR="00024C98" w:rsidRPr="005F59D2">
        <w:rPr>
          <w:rFonts w:eastAsia="Malgun Gothic"/>
          <w:lang w:val="en-GB"/>
        </w:rPr>
        <w:t xml:space="preserve">A review of the </w:t>
      </w:r>
      <w:r w:rsidR="003266F1">
        <w:rPr>
          <w:rFonts w:eastAsia="Malgun Gothic"/>
          <w:lang w:val="en-GB"/>
        </w:rPr>
        <w:tab/>
      </w:r>
      <w:r w:rsidR="00024C98" w:rsidRPr="005F59D2">
        <w:rPr>
          <w:rFonts w:eastAsia="Malgun Gothic"/>
          <w:lang w:val="en-GB"/>
        </w:rPr>
        <w:t xml:space="preserve">literature', </w:t>
      </w:r>
      <w:r w:rsidR="00024C98" w:rsidRPr="005F59D2">
        <w:rPr>
          <w:rFonts w:eastAsia="Malgun Gothic"/>
          <w:i/>
          <w:lang w:val="en-GB"/>
        </w:rPr>
        <w:t>Rev. Fac. Med.</w:t>
      </w:r>
      <w:r w:rsidR="00024C98" w:rsidRPr="005F59D2">
        <w:rPr>
          <w:rFonts w:eastAsia="Malgun Gothic"/>
          <w:lang w:val="en-GB"/>
        </w:rPr>
        <w:t xml:space="preserve"> 63, Sup</w:t>
      </w:r>
      <w:r w:rsidR="0099769D">
        <w:rPr>
          <w:rFonts w:eastAsia="Malgun Gothic"/>
          <w:lang w:val="en-GB"/>
        </w:rPr>
        <w:t>p</w:t>
      </w:r>
      <w:r w:rsidR="00024C98" w:rsidRPr="005F59D2">
        <w:rPr>
          <w:rFonts w:eastAsia="Malgun Gothic"/>
          <w:lang w:val="en-GB"/>
        </w:rPr>
        <w:t>l. 1, S113-23</w:t>
      </w:r>
    </w:p>
    <w:p w14:paraId="39D3143E" w14:textId="68B56E78" w:rsidR="00B3617E" w:rsidRDefault="00B3617E" w:rsidP="005F59D2">
      <w:pPr>
        <w:pStyle w:val="ListParagraph"/>
        <w:spacing w:after="0"/>
        <w:ind w:left="708"/>
        <w:rPr>
          <w:lang w:val="en-GB"/>
        </w:rPr>
      </w:pPr>
      <w:r w:rsidRPr="00551E69">
        <w:rPr>
          <w:lang w:val="en-GB"/>
        </w:rPr>
        <w:t xml:space="preserve">Pinilla-Roncancio, M. and Alkire, S. (2017). </w:t>
      </w:r>
      <w:r w:rsidRPr="005F59D2">
        <w:rPr>
          <w:lang w:val="en-GB"/>
        </w:rPr>
        <w:t xml:space="preserve">'How poor are people with disabilities around the </w:t>
      </w:r>
      <w:r w:rsidR="00B72714">
        <w:rPr>
          <w:lang w:val="en-GB"/>
        </w:rPr>
        <w:tab/>
      </w:r>
      <w:r w:rsidRPr="005F59D2">
        <w:rPr>
          <w:lang w:val="en-GB"/>
        </w:rPr>
        <w:t xml:space="preserve">globe? A multidimensional perspective.' </w:t>
      </w:r>
      <w:r w:rsidRPr="005F59D2">
        <w:rPr>
          <w:i/>
          <w:iCs/>
          <w:lang w:val="en-GB"/>
        </w:rPr>
        <w:t xml:space="preserve">OPHI Research in Progress </w:t>
      </w:r>
      <w:r w:rsidRPr="005F59D2">
        <w:rPr>
          <w:lang w:val="en-GB"/>
        </w:rPr>
        <w:t xml:space="preserve">48a, University of </w:t>
      </w:r>
      <w:r w:rsidR="00B72714">
        <w:rPr>
          <w:lang w:val="en-GB"/>
        </w:rPr>
        <w:tab/>
      </w:r>
      <w:r w:rsidRPr="005F59D2">
        <w:rPr>
          <w:lang w:val="en-GB"/>
        </w:rPr>
        <w:t>Oxford.</w:t>
      </w:r>
    </w:p>
    <w:p w14:paraId="7BC8F53E" w14:textId="248A6D4A" w:rsidR="00CA68DF" w:rsidRPr="005F59D2" w:rsidRDefault="00CA68DF" w:rsidP="00CA68DF">
      <w:pPr>
        <w:pStyle w:val="ListParagraph"/>
        <w:spacing w:after="0"/>
        <w:ind w:left="708" w:right="-142"/>
        <w:rPr>
          <w:rFonts w:eastAsia="Malgun Gothic"/>
          <w:lang w:val="en-GB"/>
        </w:rPr>
      </w:pPr>
      <w:r w:rsidRPr="00CA68DF">
        <w:rPr>
          <w:rFonts w:eastAsia="Malgun Gothic"/>
          <w:lang w:val="en-GB"/>
        </w:rPr>
        <w:t>Raut, L. K. and Pal, M. and Bharati, P.</w:t>
      </w:r>
      <w:r>
        <w:rPr>
          <w:rFonts w:eastAsia="Malgun Gothic"/>
          <w:lang w:val="en-GB"/>
        </w:rPr>
        <w:t xml:space="preserve"> (2014).</w:t>
      </w:r>
      <w:r w:rsidRPr="00CA68DF">
        <w:rPr>
          <w:rFonts w:eastAsia="Malgun Gothic"/>
          <w:lang w:val="en-GB"/>
        </w:rPr>
        <w:t xml:space="preserve"> </w:t>
      </w:r>
      <w:r w:rsidRPr="00CA68DF">
        <w:rPr>
          <w:rFonts w:eastAsia="Malgun Gothic"/>
          <w:i/>
          <w:lang w:val="en-GB"/>
        </w:rPr>
        <w:t xml:space="preserve">The Economic Burden of Disability in India: </w:t>
      </w:r>
      <w:r>
        <w:rPr>
          <w:rFonts w:eastAsia="Malgun Gothic"/>
          <w:i/>
          <w:lang w:val="en-GB"/>
        </w:rPr>
        <w:tab/>
      </w:r>
      <w:r w:rsidRPr="00CA68DF">
        <w:rPr>
          <w:rFonts w:eastAsia="Malgun Gothic"/>
          <w:i/>
          <w:lang w:val="en-GB"/>
        </w:rPr>
        <w:t>Estimates from the NSS Data</w:t>
      </w:r>
      <w:r w:rsidRPr="00CA68DF">
        <w:rPr>
          <w:rFonts w:eastAsia="Malgun Gothic"/>
          <w:lang w:val="en-GB"/>
        </w:rPr>
        <w:t xml:space="preserve"> (F</w:t>
      </w:r>
      <w:r>
        <w:rPr>
          <w:rFonts w:eastAsia="Malgun Gothic"/>
          <w:lang w:val="en-GB"/>
        </w:rPr>
        <w:t xml:space="preserve">ebruary 24, 2014), </w:t>
      </w:r>
      <w:hyperlink r:id="rId12" w:history="1">
        <w:r w:rsidRPr="00A008FA">
          <w:rPr>
            <w:rStyle w:val="Hyperlink"/>
            <w:rFonts w:eastAsia="Malgun Gothic"/>
            <w:lang w:val="en-GB"/>
          </w:rPr>
          <w:t>https://ssrn.com/abstract=2432546</w:t>
        </w:r>
      </w:hyperlink>
      <w:r>
        <w:rPr>
          <w:rFonts w:eastAsia="Malgun Gothic"/>
          <w:lang w:val="en-GB"/>
        </w:rPr>
        <w:t xml:space="preserve"> </w:t>
      </w:r>
    </w:p>
    <w:p w14:paraId="6122B336" w14:textId="5192512E" w:rsidR="00172514" w:rsidRPr="005F59D2" w:rsidRDefault="00172514" w:rsidP="005F59D2">
      <w:pPr>
        <w:pStyle w:val="Default"/>
        <w:spacing w:line="276" w:lineRule="auto"/>
        <w:ind w:left="708"/>
        <w:rPr>
          <w:rFonts w:asciiTheme="minorHAnsi" w:eastAsia="Malgun Gothic" w:hAnsiTheme="minorHAnsi"/>
          <w:sz w:val="22"/>
          <w:szCs w:val="22"/>
        </w:rPr>
      </w:pPr>
      <w:r w:rsidRPr="005F59D2">
        <w:rPr>
          <w:rFonts w:asciiTheme="minorHAnsi" w:eastAsia="Malgun Gothic" w:hAnsiTheme="minorHAnsi"/>
          <w:sz w:val="22"/>
          <w:szCs w:val="22"/>
        </w:rPr>
        <w:t xml:space="preserve">Sen, A. (2005). 'Disability and Justice'. In The World Bank (2005), </w:t>
      </w:r>
      <w:r w:rsidRPr="005F59D2">
        <w:rPr>
          <w:rFonts w:asciiTheme="minorHAnsi" w:eastAsia="Malgun Gothic" w:hAnsiTheme="minorHAnsi"/>
          <w:i/>
          <w:sz w:val="22"/>
          <w:szCs w:val="22"/>
        </w:rPr>
        <w:t xml:space="preserve">Disability and Development </w:t>
      </w:r>
      <w:r w:rsidR="00B72714">
        <w:rPr>
          <w:rFonts w:asciiTheme="minorHAnsi" w:eastAsia="Malgun Gothic" w:hAnsiTheme="minorHAnsi"/>
          <w:i/>
          <w:sz w:val="22"/>
          <w:szCs w:val="22"/>
        </w:rPr>
        <w:tab/>
      </w:r>
      <w:r w:rsidRPr="005F59D2">
        <w:rPr>
          <w:rFonts w:asciiTheme="minorHAnsi" w:eastAsia="Malgun Gothic" w:hAnsiTheme="minorHAnsi"/>
          <w:i/>
          <w:sz w:val="22"/>
          <w:szCs w:val="22"/>
        </w:rPr>
        <w:t xml:space="preserve">and The World Bank. </w:t>
      </w:r>
      <w:r w:rsidR="00C97DDB">
        <w:rPr>
          <w:rFonts w:asciiTheme="minorHAnsi" w:eastAsia="Malgun Gothic" w:hAnsiTheme="minorHAnsi"/>
          <w:i/>
          <w:sz w:val="22"/>
          <w:szCs w:val="22"/>
        </w:rPr>
        <w:t>A Briefing Summary</w:t>
      </w:r>
      <w:r w:rsidRPr="005F59D2">
        <w:rPr>
          <w:rFonts w:asciiTheme="minorHAnsi" w:eastAsia="Malgun Gothic" w:hAnsiTheme="minorHAnsi"/>
          <w:sz w:val="22"/>
          <w:szCs w:val="22"/>
        </w:rPr>
        <w:t xml:space="preserve"> (Attachment 2)</w:t>
      </w:r>
    </w:p>
    <w:p w14:paraId="1F2622A2" w14:textId="5A5B5337" w:rsidR="00B53A3F" w:rsidRPr="005F59D2" w:rsidRDefault="00B53A3F" w:rsidP="005F59D2">
      <w:pPr>
        <w:pStyle w:val="Default"/>
        <w:spacing w:line="276" w:lineRule="auto"/>
        <w:ind w:left="708"/>
        <w:rPr>
          <w:rFonts w:asciiTheme="minorHAnsi" w:eastAsia="Malgun Gothic" w:hAnsiTheme="minorHAnsi"/>
          <w:sz w:val="22"/>
          <w:szCs w:val="22"/>
        </w:rPr>
      </w:pPr>
      <w:r w:rsidRPr="005F59D2">
        <w:rPr>
          <w:rFonts w:asciiTheme="minorHAnsi" w:eastAsia="Malgun Gothic" w:hAnsiTheme="minorHAnsi"/>
          <w:sz w:val="22"/>
          <w:szCs w:val="22"/>
        </w:rPr>
        <w:t>Sen, A. (2009).</w:t>
      </w:r>
      <w:r w:rsidRPr="005F59D2">
        <w:rPr>
          <w:rFonts w:asciiTheme="minorHAnsi" w:eastAsia="Malgun Gothic" w:hAnsiTheme="minorHAnsi"/>
          <w:i/>
          <w:sz w:val="22"/>
          <w:szCs w:val="22"/>
        </w:rPr>
        <w:t>The Idea of Justice</w:t>
      </w:r>
      <w:r w:rsidRPr="005F59D2">
        <w:rPr>
          <w:rFonts w:asciiTheme="minorHAnsi" w:eastAsia="Malgun Gothic" w:hAnsiTheme="minorHAnsi"/>
          <w:sz w:val="22"/>
          <w:szCs w:val="22"/>
        </w:rPr>
        <w:t>. London: Allan Lane/Penguin Books.</w:t>
      </w:r>
      <w:r w:rsidR="00604AC0">
        <w:rPr>
          <w:rFonts w:asciiTheme="minorHAnsi" w:eastAsia="Malgun Gothic" w:hAnsiTheme="minorHAnsi"/>
          <w:sz w:val="22"/>
          <w:szCs w:val="22"/>
        </w:rPr>
        <w:t xml:space="preserve"> </w:t>
      </w:r>
    </w:p>
    <w:p w14:paraId="2E42D009" w14:textId="7C944CD4" w:rsidR="00B3617E" w:rsidRPr="005F59D2" w:rsidRDefault="00D32CC2" w:rsidP="005F59D2">
      <w:pPr>
        <w:pStyle w:val="Default"/>
        <w:spacing w:line="276" w:lineRule="auto"/>
        <w:ind w:left="708"/>
        <w:rPr>
          <w:rFonts w:asciiTheme="minorHAnsi" w:hAnsiTheme="minorHAnsi" w:cs="Times New Roman"/>
          <w:sz w:val="22"/>
          <w:szCs w:val="22"/>
        </w:rPr>
      </w:pPr>
      <w:r w:rsidRPr="005F59D2">
        <w:rPr>
          <w:rFonts w:asciiTheme="minorHAnsi" w:eastAsia="Malgun Gothic" w:hAnsiTheme="minorHAnsi"/>
          <w:sz w:val="22"/>
          <w:szCs w:val="22"/>
        </w:rPr>
        <w:t>U</w:t>
      </w:r>
      <w:r w:rsidR="00B3617E" w:rsidRPr="005F59D2">
        <w:rPr>
          <w:rFonts w:asciiTheme="minorHAnsi" w:eastAsia="Malgun Gothic" w:hAnsiTheme="minorHAnsi"/>
          <w:sz w:val="22"/>
          <w:szCs w:val="22"/>
        </w:rPr>
        <w:t xml:space="preserve">nited Nations Human Rights Council </w:t>
      </w:r>
      <w:r w:rsidRPr="005F59D2">
        <w:rPr>
          <w:rFonts w:asciiTheme="minorHAnsi" w:eastAsia="Malgun Gothic" w:hAnsiTheme="minorHAnsi"/>
          <w:sz w:val="22"/>
          <w:szCs w:val="22"/>
        </w:rPr>
        <w:t>(2015)</w:t>
      </w:r>
      <w:r w:rsidR="00AC3646" w:rsidRPr="005F59D2">
        <w:rPr>
          <w:rFonts w:asciiTheme="minorHAnsi" w:eastAsia="Malgun Gothic" w:hAnsiTheme="minorHAnsi"/>
          <w:sz w:val="22"/>
          <w:szCs w:val="22"/>
        </w:rPr>
        <w:t>.</w:t>
      </w:r>
      <w:r w:rsidRPr="005F59D2">
        <w:rPr>
          <w:rFonts w:asciiTheme="minorHAnsi" w:eastAsia="Malgun Gothic" w:hAnsiTheme="minorHAnsi"/>
          <w:sz w:val="22"/>
          <w:szCs w:val="22"/>
        </w:rPr>
        <w:t xml:space="preserve"> </w:t>
      </w:r>
      <w:r w:rsidR="00B3617E" w:rsidRPr="005F59D2">
        <w:rPr>
          <w:rFonts w:asciiTheme="minorHAnsi" w:eastAsia="Malgun Gothic" w:hAnsiTheme="minorHAnsi"/>
          <w:i/>
          <w:sz w:val="22"/>
          <w:szCs w:val="22"/>
        </w:rPr>
        <w:t xml:space="preserve">Report of the Special Rapporteur on </w:t>
      </w:r>
      <w:r w:rsidR="00B72714">
        <w:rPr>
          <w:rFonts w:asciiTheme="minorHAnsi" w:eastAsia="Malgun Gothic" w:hAnsiTheme="minorHAnsi"/>
          <w:i/>
          <w:sz w:val="22"/>
          <w:szCs w:val="22"/>
        </w:rPr>
        <w:tab/>
      </w:r>
      <w:r w:rsidR="00B3617E" w:rsidRPr="005F59D2">
        <w:rPr>
          <w:rFonts w:asciiTheme="minorHAnsi" w:eastAsia="Malgun Gothic" w:hAnsiTheme="minorHAnsi"/>
          <w:i/>
          <w:sz w:val="22"/>
          <w:szCs w:val="22"/>
        </w:rPr>
        <w:t>extreme poverty and human rights, Philip Alston</w:t>
      </w:r>
      <w:r w:rsidR="00B3617E" w:rsidRPr="005F59D2">
        <w:rPr>
          <w:rFonts w:asciiTheme="minorHAnsi" w:eastAsia="Malgun Gothic" w:hAnsiTheme="minorHAnsi"/>
          <w:sz w:val="22"/>
          <w:szCs w:val="22"/>
        </w:rPr>
        <w:t>. A/HRC/29/31 (27 May 2015)</w:t>
      </w:r>
    </w:p>
    <w:p w14:paraId="5D1429B2" w14:textId="6BE785ED" w:rsidR="00024C98" w:rsidRPr="005F59D2" w:rsidRDefault="00AC3646" w:rsidP="005F59D2">
      <w:pPr>
        <w:pStyle w:val="ListParagraph"/>
        <w:spacing w:after="0"/>
        <w:ind w:left="708"/>
        <w:rPr>
          <w:rFonts w:eastAsia="Malgun Gothic"/>
          <w:lang w:val="en-GB"/>
        </w:rPr>
      </w:pPr>
      <w:r w:rsidRPr="005F59D2">
        <w:rPr>
          <w:rFonts w:eastAsia="Malgun Gothic"/>
          <w:lang w:val="en-GB"/>
        </w:rPr>
        <w:t>Yeo, R. and Moore, K. (2003). '</w:t>
      </w:r>
      <w:r w:rsidR="00024C98" w:rsidRPr="005F59D2">
        <w:rPr>
          <w:rFonts w:eastAsia="Malgun Gothic"/>
          <w:lang w:val="en-GB"/>
        </w:rPr>
        <w:t>Inclu</w:t>
      </w:r>
      <w:r w:rsidR="005F59D2" w:rsidRPr="005F59D2">
        <w:rPr>
          <w:rFonts w:eastAsia="Malgun Gothic"/>
          <w:lang w:val="en-GB"/>
        </w:rPr>
        <w:t xml:space="preserve">ding Disabled People in Poverty </w:t>
      </w:r>
      <w:r w:rsidR="00024C98" w:rsidRPr="005F59D2">
        <w:rPr>
          <w:rFonts w:eastAsia="Malgun Gothic"/>
          <w:lang w:val="en-GB"/>
        </w:rPr>
        <w:t xml:space="preserve">Reduction Work: </w:t>
      </w:r>
      <w:r w:rsidR="00B72714">
        <w:rPr>
          <w:rFonts w:eastAsia="Malgun Gothic"/>
          <w:lang w:val="en-GB"/>
        </w:rPr>
        <w:tab/>
      </w:r>
      <w:r w:rsidR="00024C98" w:rsidRPr="005F59D2">
        <w:rPr>
          <w:rFonts w:eastAsia="Malgun Gothic"/>
          <w:lang w:val="en-GB"/>
        </w:rPr>
        <w:t>“Nothing About Us, Without Us</w:t>
      </w:r>
      <w:r w:rsidRPr="005F59D2">
        <w:rPr>
          <w:rFonts w:eastAsia="Malgun Gothic"/>
          <w:lang w:val="en-GB"/>
        </w:rPr>
        <w:t>."'</w:t>
      </w:r>
      <w:r w:rsidR="00024C98" w:rsidRPr="005F59D2">
        <w:rPr>
          <w:rFonts w:eastAsia="Malgun Gothic"/>
          <w:lang w:val="en-GB"/>
        </w:rPr>
        <w:t xml:space="preserve"> </w:t>
      </w:r>
      <w:r w:rsidR="00024C98" w:rsidRPr="005F59D2">
        <w:rPr>
          <w:rFonts w:eastAsia="Malgun Gothic"/>
          <w:i/>
          <w:lang w:val="en-GB"/>
        </w:rPr>
        <w:t>World Development</w:t>
      </w:r>
      <w:r w:rsidR="00024C98" w:rsidRPr="005F59D2">
        <w:rPr>
          <w:rFonts w:eastAsia="Malgun Gothic"/>
          <w:lang w:val="en-GB"/>
        </w:rPr>
        <w:t xml:space="preserve"> 31(3)</w:t>
      </w:r>
      <w:r w:rsidR="00730099" w:rsidRPr="005F59D2">
        <w:rPr>
          <w:rFonts w:eastAsia="Malgun Gothic"/>
          <w:lang w:val="en-GB"/>
        </w:rPr>
        <w:t>,</w:t>
      </w:r>
      <w:r w:rsidR="00024C98" w:rsidRPr="005F59D2">
        <w:rPr>
          <w:rFonts w:eastAsia="Malgun Gothic"/>
          <w:lang w:val="en-GB"/>
        </w:rPr>
        <w:t xml:space="preserve"> 571-590.</w:t>
      </w:r>
    </w:p>
    <w:p w14:paraId="699089FF" w14:textId="593C7FB5" w:rsidR="00024C98" w:rsidRPr="00024C98" w:rsidRDefault="00024C98" w:rsidP="00024C98">
      <w:pPr>
        <w:pStyle w:val="ListParagraph"/>
        <w:spacing w:after="0"/>
        <w:ind w:left="708"/>
        <w:jc w:val="both"/>
        <w:rPr>
          <w:rFonts w:eastAsia="Malgun Gothic"/>
          <w:lang w:val="en-GB"/>
        </w:rPr>
      </w:pPr>
      <w:r w:rsidRPr="00024C98">
        <w:rPr>
          <w:rFonts w:eastAsia="Malgun Gothic"/>
          <w:lang w:val="en-GB"/>
        </w:rPr>
        <w:tab/>
      </w:r>
    </w:p>
    <w:sectPr w:rsidR="00024C98" w:rsidRPr="00024C9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FA793" w14:textId="77777777" w:rsidR="00B14C17" w:rsidRDefault="00B14C17" w:rsidP="00A42FCF">
      <w:pPr>
        <w:spacing w:after="0" w:line="240" w:lineRule="auto"/>
      </w:pPr>
      <w:r>
        <w:separator/>
      </w:r>
    </w:p>
  </w:endnote>
  <w:endnote w:type="continuationSeparator" w:id="0">
    <w:p w14:paraId="40C37AC8" w14:textId="77777777" w:rsidR="00B14C17" w:rsidRDefault="00B14C17" w:rsidP="00A42FCF">
      <w:pPr>
        <w:spacing w:after="0" w:line="240" w:lineRule="auto"/>
      </w:pPr>
      <w:r>
        <w:continuationSeparator/>
      </w:r>
    </w:p>
  </w:endnote>
  <w:endnote w:type="continuationNotice" w:id="1">
    <w:p w14:paraId="0635E480" w14:textId="77777777" w:rsidR="00B14C17" w:rsidRDefault="00B14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JDHKEK+TimesNewRoman">
    <w:altName w:val="Times New Roman"/>
    <w:panose1 w:val="00000000000000000000"/>
    <w:charset w:val="4D"/>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08590"/>
      <w:docPartObj>
        <w:docPartGallery w:val="Page Numbers (Bottom of Page)"/>
        <w:docPartUnique/>
      </w:docPartObj>
    </w:sdtPr>
    <w:sdtEndPr/>
    <w:sdtContent>
      <w:p w14:paraId="18640FF5" w14:textId="3ED4874C" w:rsidR="008F7902" w:rsidRDefault="008F7902">
        <w:pPr>
          <w:pStyle w:val="Footer"/>
          <w:jc w:val="right"/>
        </w:pPr>
        <w:r>
          <w:fldChar w:fldCharType="begin"/>
        </w:r>
        <w:r>
          <w:instrText>PAGE   \* MERGEFORMAT</w:instrText>
        </w:r>
        <w:r>
          <w:fldChar w:fldCharType="separate"/>
        </w:r>
        <w:r w:rsidR="00DC3A5F">
          <w:rPr>
            <w:noProof/>
          </w:rPr>
          <w:t>7</w:t>
        </w:r>
        <w:r>
          <w:fldChar w:fldCharType="end"/>
        </w:r>
      </w:p>
    </w:sdtContent>
  </w:sdt>
  <w:p w14:paraId="51C4E712" w14:textId="77777777" w:rsidR="008F7902" w:rsidRDefault="008F7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7F86A" w14:textId="77777777" w:rsidR="00B14C17" w:rsidRDefault="00B14C17" w:rsidP="00A42FCF">
      <w:pPr>
        <w:spacing w:after="0" w:line="240" w:lineRule="auto"/>
      </w:pPr>
      <w:r>
        <w:separator/>
      </w:r>
    </w:p>
  </w:footnote>
  <w:footnote w:type="continuationSeparator" w:id="0">
    <w:p w14:paraId="4EAE748A" w14:textId="77777777" w:rsidR="00B14C17" w:rsidRDefault="00B14C17" w:rsidP="00A42FCF">
      <w:pPr>
        <w:spacing w:after="0" w:line="240" w:lineRule="auto"/>
      </w:pPr>
      <w:r>
        <w:continuationSeparator/>
      </w:r>
    </w:p>
  </w:footnote>
  <w:footnote w:type="continuationNotice" w:id="1">
    <w:p w14:paraId="0F7A3BF6" w14:textId="77777777" w:rsidR="00B14C17" w:rsidRDefault="00B14C17">
      <w:pPr>
        <w:spacing w:after="0" w:line="240" w:lineRule="auto"/>
      </w:pPr>
    </w:p>
  </w:footnote>
  <w:footnote w:id="2">
    <w:p w14:paraId="1825B6AF" w14:textId="525EAEC0" w:rsidR="00544093" w:rsidRPr="00263CD4" w:rsidRDefault="00544093" w:rsidP="00263CD4">
      <w:pPr>
        <w:pStyle w:val="Footer"/>
        <w:ind w:left="284"/>
        <w:rPr>
          <w:i/>
          <w:color w:val="0070C0"/>
          <w:sz w:val="20"/>
          <w:lang w:val="en-GB"/>
        </w:rPr>
      </w:pPr>
      <w:r w:rsidRPr="00263CD4">
        <w:rPr>
          <w:rStyle w:val="FootnoteReference"/>
          <w:i/>
          <w:color w:val="0070C0"/>
          <w:sz w:val="20"/>
        </w:rPr>
        <w:footnoteRef/>
      </w:r>
      <w:r w:rsidRPr="00263CD4">
        <w:rPr>
          <w:i/>
          <w:color w:val="0070C0"/>
          <w:sz w:val="20"/>
          <w:lang w:val="en-GB"/>
        </w:rPr>
        <w:t xml:space="preserve"> General Comment No. 3 </w:t>
      </w:r>
      <w:r w:rsidR="001F3E90" w:rsidRPr="00263CD4">
        <w:rPr>
          <w:i/>
          <w:color w:val="0070C0"/>
          <w:sz w:val="20"/>
          <w:lang w:val="en-GB"/>
        </w:rPr>
        <w:t xml:space="preserve">(2016) </w:t>
      </w:r>
      <w:r w:rsidRPr="00263CD4">
        <w:rPr>
          <w:i/>
          <w:color w:val="0070C0"/>
          <w:sz w:val="20"/>
          <w:lang w:val="en-GB"/>
        </w:rPr>
        <w:t>on Women and Girls with Disabilities</w:t>
      </w:r>
    </w:p>
    <w:p w14:paraId="79DE0C78" w14:textId="77777777" w:rsidR="00544093" w:rsidRPr="00155440" w:rsidRDefault="00544093" w:rsidP="00544093">
      <w:pPr>
        <w:pStyle w:val="FootnoteText"/>
        <w:rPr>
          <w:lang w:val="en-GB"/>
        </w:rPr>
      </w:pPr>
    </w:p>
  </w:footnote>
  <w:footnote w:id="3">
    <w:p w14:paraId="6369B093" w14:textId="12DFB633" w:rsidR="00232FEC" w:rsidRPr="000D0B10" w:rsidRDefault="00232FEC" w:rsidP="003F22E7">
      <w:pPr>
        <w:pStyle w:val="FootnoteText"/>
        <w:ind w:left="284"/>
        <w:rPr>
          <w:i/>
          <w:color w:val="FF0000"/>
          <w:lang w:val="en-GB"/>
        </w:rPr>
      </w:pPr>
      <w:r w:rsidRPr="0098208C">
        <w:rPr>
          <w:rStyle w:val="FootnoteReference"/>
          <w:i/>
          <w:color w:val="0070C0"/>
        </w:rPr>
        <w:footnoteRef/>
      </w:r>
      <w:r w:rsidRPr="0098208C">
        <w:rPr>
          <w:i/>
          <w:color w:val="0070C0"/>
          <w:lang w:val="en-GB"/>
        </w:rPr>
        <w:t xml:space="preserve"> See, however, Committee on the Rights of Persons with Disabilities, General Comment No. 3 (2016) on women and girls with disabilities, para. 59.</w:t>
      </w:r>
    </w:p>
  </w:footnote>
  <w:footnote w:id="4">
    <w:p w14:paraId="3452CCE6" w14:textId="3D1C6D92" w:rsidR="00BC4C7B" w:rsidRPr="0098208C" w:rsidRDefault="00BC4C7B" w:rsidP="003F22E7">
      <w:pPr>
        <w:pStyle w:val="FootnoteText"/>
        <w:ind w:left="284"/>
        <w:jc w:val="both"/>
        <w:rPr>
          <w:color w:val="0070C0"/>
          <w:lang w:val="en-GB"/>
        </w:rPr>
      </w:pPr>
      <w:r w:rsidRPr="0098208C">
        <w:rPr>
          <w:rStyle w:val="FootnoteReference"/>
          <w:i/>
          <w:color w:val="0070C0"/>
        </w:rPr>
        <w:footnoteRef/>
      </w:r>
      <w:r w:rsidRPr="0098208C">
        <w:rPr>
          <w:i/>
          <w:color w:val="0070C0"/>
          <w:lang w:val="en-GB"/>
        </w:rPr>
        <w:t xml:space="preserve"> Committee on the Rights of Persons with Disabilities, General Comment No. 3 (2016) on women and girls with disabilities, para. 59. </w:t>
      </w:r>
    </w:p>
  </w:footnote>
  <w:footnote w:id="5">
    <w:p w14:paraId="569765AE" w14:textId="342BFC12" w:rsidR="002F3ECE" w:rsidRPr="002F3ECE" w:rsidRDefault="002F3ECE" w:rsidP="003F22E7">
      <w:pPr>
        <w:pStyle w:val="FootnoteText"/>
        <w:ind w:left="284"/>
        <w:jc w:val="both"/>
        <w:rPr>
          <w:lang w:val="en-GB"/>
        </w:rPr>
      </w:pPr>
      <w:r w:rsidRPr="0098208C">
        <w:rPr>
          <w:rStyle w:val="FootnoteReference"/>
          <w:i/>
          <w:color w:val="0070C0"/>
        </w:rPr>
        <w:footnoteRef/>
      </w:r>
      <w:r w:rsidRPr="0098208C">
        <w:rPr>
          <w:i/>
          <w:color w:val="0070C0"/>
          <w:lang w:val="en-GB"/>
        </w:rPr>
        <w:t xml:space="preserve"> </w:t>
      </w:r>
      <w:r w:rsidR="00EB5D1B" w:rsidRPr="0098208C">
        <w:rPr>
          <w:i/>
          <w:color w:val="0070C0"/>
          <w:lang w:val="en-GB"/>
        </w:rPr>
        <w:t xml:space="preserve">See also </w:t>
      </w:r>
      <w:r w:rsidR="00845B2A" w:rsidRPr="0098208C">
        <w:rPr>
          <w:i/>
          <w:color w:val="0070C0"/>
          <w:lang w:val="en-GB"/>
        </w:rPr>
        <w:t>Committee on Economic, Social and Cultural Right, General Comment No. 3</w:t>
      </w:r>
      <w:r w:rsidR="00BC4C7B" w:rsidRPr="0098208C">
        <w:rPr>
          <w:i/>
          <w:color w:val="0070C0"/>
          <w:lang w:val="en-GB"/>
        </w:rPr>
        <w:t xml:space="preserve"> (199</w:t>
      </w:r>
      <w:r w:rsidR="00E475A1" w:rsidRPr="0098208C">
        <w:rPr>
          <w:i/>
          <w:color w:val="0070C0"/>
          <w:lang w:val="en-GB"/>
        </w:rPr>
        <w:t>0</w:t>
      </w:r>
      <w:r w:rsidR="00BC4C7B" w:rsidRPr="0098208C">
        <w:rPr>
          <w:i/>
          <w:color w:val="0070C0"/>
          <w:lang w:val="en-GB"/>
        </w:rPr>
        <w:t>)</w:t>
      </w:r>
      <w:r w:rsidR="00845B2A" w:rsidRPr="0098208C">
        <w:rPr>
          <w:i/>
          <w:color w:val="0070C0"/>
          <w:lang w:val="en-GB"/>
        </w:rPr>
        <w:t xml:space="preserve">: The nature of States parties’ obligations, para. 10: </w:t>
      </w:r>
      <w:r w:rsidRPr="0098208C">
        <w:rPr>
          <w:i/>
          <w:color w:val="0070C0"/>
          <w:lang w:val="en-GB"/>
        </w:rPr>
        <w:t>'On the basis of the extensive experience gained by the Committee, as well as by the body that preceded it, over a period of more than a decade of examining States parties’ reports the Committee is of the view that a minimum core obligation to ensure the satisfaction of, at the very least, minimum essential levels of each of the rights is incumbent upon every State party. Thus, for example, a State party in which any significant number of individuals is deprived of essential foodstuffs, of essential primary health care, of basic shelter and housing, or of the most basic forms of education is, prima facie, failing to discharge its obligations under the Covenant. If the Covenant were to be read in such a way as not to establish such a minimum core obligation, it would be largely deprived of its raison d’être. By the same token, it must be noted that any assessment as to whether a State has discharged its minimum core obligation must also take account of resource constraints applying within the country concerned. Article 2 (1) obligates each State party to take the necessary steps “to the maximum of its available resources”. In order for a State party to be able to attribute its failure to meet at least its minimum core obligations to a lack of available resources it must demonstrate that every effort has been made to use all resources that are at its disposition in an effort to satisfy, as a matter of priority, those minimum obligations</w:t>
      </w:r>
      <w:r w:rsidR="00845B2A" w:rsidRPr="0098208C">
        <w:rPr>
          <w:i/>
          <w:color w:val="0070C0"/>
          <w:lang w:val="en-GB"/>
        </w:rPr>
        <w:t>.'</w:t>
      </w:r>
    </w:p>
  </w:footnote>
  <w:footnote w:id="6">
    <w:p w14:paraId="3B0FFD89" w14:textId="517F7122" w:rsidR="00971B75" w:rsidRPr="00971B75" w:rsidRDefault="00971B75" w:rsidP="003F22E7">
      <w:pPr>
        <w:pStyle w:val="FootnoteText"/>
        <w:ind w:left="284"/>
        <w:rPr>
          <w:i/>
          <w:color w:val="FF0000"/>
          <w:lang w:val="en"/>
        </w:rPr>
      </w:pPr>
      <w:r w:rsidRPr="0098208C">
        <w:rPr>
          <w:rStyle w:val="FootnoteReference"/>
          <w:i/>
          <w:color w:val="0070C0"/>
        </w:rPr>
        <w:footnoteRef/>
      </w:r>
      <w:r w:rsidRPr="0098208C">
        <w:rPr>
          <w:i/>
          <w:color w:val="0070C0"/>
          <w:lang w:val="en-GB"/>
        </w:rPr>
        <w:t xml:space="preserve"> For an applicatio</w:t>
      </w:r>
      <w:r w:rsidR="00026E66" w:rsidRPr="0098208C">
        <w:rPr>
          <w:i/>
          <w:color w:val="0070C0"/>
          <w:lang w:val="en-GB"/>
        </w:rPr>
        <w:t>n of the 'conversion handicap' i</w:t>
      </w:r>
      <w:r w:rsidRPr="0098208C">
        <w:rPr>
          <w:i/>
          <w:color w:val="0070C0"/>
          <w:lang w:val="en-GB"/>
        </w:rPr>
        <w:t>n case of job loss</w:t>
      </w:r>
      <w:r w:rsidR="00026E66" w:rsidRPr="0098208C">
        <w:rPr>
          <w:i/>
          <w:color w:val="0070C0"/>
          <w:lang w:val="en-GB"/>
        </w:rPr>
        <w:t xml:space="preserve"> due to onset of disability</w:t>
      </w:r>
      <w:r w:rsidRPr="0098208C">
        <w:rPr>
          <w:i/>
          <w:color w:val="0070C0"/>
          <w:lang w:val="en-GB"/>
        </w:rPr>
        <w:t>, see Raut, L. K. and Pal, M. and Bharati, P., The Economic Burden of Disability in India: Estimates from the NSS Data (February 24, 2014). Available at SSRN:</w:t>
      </w:r>
      <w:r w:rsidRPr="00971B75">
        <w:rPr>
          <w:i/>
          <w:color w:val="FF0000"/>
          <w:lang w:val="en-GB"/>
        </w:rPr>
        <w:t xml:space="preserve"> </w:t>
      </w:r>
      <w:hyperlink r:id="rId1" w:history="1">
        <w:r w:rsidRPr="00A008FA">
          <w:rPr>
            <w:rStyle w:val="Hyperlink"/>
            <w:i/>
            <w:lang w:val="en-GB"/>
          </w:rPr>
          <w:t>https://ssrn.com/abstract=2432546</w:t>
        </w:r>
      </w:hyperlink>
      <w:r>
        <w:rPr>
          <w:i/>
          <w:color w:val="FF0000"/>
          <w:lang w:val="en-GB"/>
        </w:rPr>
        <w:t xml:space="preserve"> </w:t>
      </w:r>
    </w:p>
  </w:footnote>
  <w:footnote w:id="7">
    <w:p w14:paraId="0156D253" w14:textId="4473CFA4" w:rsidR="00B4577E" w:rsidRPr="00B4577E" w:rsidRDefault="00B4577E" w:rsidP="00B4577E">
      <w:pPr>
        <w:pStyle w:val="FootnoteText"/>
        <w:ind w:left="284"/>
        <w:rPr>
          <w:lang w:val="en-GB"/>
        </w:rPr>
      </w:pPr>
      <w:r w:rsidRPr="00B4577E">
        <w:rPr>
          <w:rStyle w:val="FootnoteReference"/>
          <w:i/>
          <w:color w:val="0070C0"/>
        </w:rPr>
        <w:footnoteRef/>
      </w:r>
      <w:r w:rsidRPr="00B4577E">
        <w:rPr>
          <w:i/>
          <w:color w:val="0070C0"/>
          <w:lang w:val="en-GB"/>
        </w:rPr>
        <w:t xml:space="preserve"> United Nations (2012), Human Rights Indicators: A Guide to Measurement and Implementation, </w:t>
      </w:r>
      <w:hyperlink r:id="rId2" w:history="1">
        <w:r w:rsidRPr="00AD6876">
          <w:rPr>
            <w:rStyle w:val="Hyperlink"/>
            <w:i/>
            <w:lang w:val="en-GB"/>
          </w:rPr>
          <w:t>http://www.ohchr.org/EN/Issues/Indicators/Pages/HRIndicatorsIndex.aspx</w:t>
        </w:r>
      </w:hyperlink>
      <w:r>
        <w:rPr>
          <w:i/>
          <w:color w:val="0070C0"/>
          <w:lang w:val="en-GB"/>
        </w:rPr>
        <w:t xml:space="preserve"> </w:t>
      </w:r>
    </w:p>
  </w:footnote>
  <w:footnote w:id="8">
    <w:p w14:paraId="50A2E704" w14:textId="01DBCF54" w:rsidR="00F53B0B" w:rsidRPr="00F53B0B" w:rsidRDefault="00F53B0B" w:rsidP="00F53B0B">
      <w:pPr>
        <w:pStyle w:val="FootnoteText"/>
        <w:ind w:left="284"/>
        <w:rPr>
          <w:lang w:val="en-GB"/>
        </w:rPr>
      </w:pPr>
      <w:r w:rsidRPr="00F53B0B">
        <w:rPr>
          <w:rStyle w:val="FootnoteReference"/>
          <w:i/>
          <w:color w:val="0070C0"/>
        </w:rPr>
        <w:footnoteRef/>
      </w:r>
      <w:r w:rsidRPr="00F53B0B">
        <w:rPr>
          <w:i/>
          <w:color w:val="0070C0"/>
          <w:lang w:val="en-GB"/>
        </w:rPr>
        <w:t xml:space="preserve"> WHO, International Classification of Functioning, Disability and Health (ICF),  </w:t>
      </w:r>
      <w:hyperlink r:id="rId3" w:history="1">
        <w:r w:rsidRPr="00AD6876">
          <w:rPr>
            <w:rStyle w:val="Hyperlink"/>
            <w:lang w:val="en-GB"/>
          </w:rPr>
          <w:t>http://www.who.int/classifications/icf/en/</w:t>
        </w:r>
      </w:hyperlink>
      <w:r>
        <w:rPr>
          <w:lang w:val="en-GB"/>
        </w:rPr>
        <w:t xml:space="preserve"> </w:t>
      </w:r>
    </w:p>
  </w:footnote>
  <w:footnote w:id="9">
    <w:p w14:paraId="72CDCF9F" w14:textId="6A261F9C" w:rsidR="00F53B0B" w:rsidRPr="00F53B0B" w:rsidRDefault="00F53B0B" w:rsidP="00F53B0B">
      <w:pPr>
        <w:pStyle w:val="FootnoteText"/>
        <w:ind w:left="284"/>
        <w:rPr>
          <w:lang w:val="en-GB"/>
        </w:rPr>
      </w:pPr>
      <w:r w:rsidRPr="00F53B0B">
        <w:rPr>
          <w:rStyle w:val="FootnoteReference"/>
          <w:i/>
          <w:color w:val="0070C0"/>
        </w:rPr>
        <w:footnoteRef/>
      </w:r>
      <w:r w:rsidRPr="00F53B0B">
        <w:rPr>
          <w:lang w:val="en-GB"/>
        </w:rPr>
        <w:t xml:space="preserve"> </w:t>
      </w:r>
      <w:hyperlink r:id="rId4" w:history="1">
        <w:r w:rsidRPr="00AD6876">
          <w:rPr>
            <w:rStyle w:val="Hyperlink"/>
            <w:lang w:val="en-GB"/>
          </w:rPr>
          <w:t>https://www.humanrights.dk/publications/gold-indicators</w:t>
        </w:r>
      </w:hyperlink>
      <w:r>
        <w:rPr>
          <w:lang w:val="en-GB"/>
        </w:rPr>
        <w:t xml:space="preserve"> </w:t>
      </w:r>
    </w:p>
  </w:footnote>
  <w:footnote w:id="10">
    <w:p w14:paraId="764C5589" w14:textId="65101AB4" w:rsidR="00F53B0B" w:rsidRPr="00F53B0B" w:rsidRDefault="00F53B0B" w:rsidP="00F53B0B">
      <w:pPr>
        <w:pStyle w:val="FootnoteText"/>
        <w:ind w:left="284"/>
        <w:rPr>
          <w:i/>
          <w:lang w:val="en-GB"/>
        </w:rPr>
      </w:pPr>
      <w:r w:rsidRPr="00F53B0B">
        <w:rPr>
          <w:rStyle w:val="FootnoteReference"/>
          <w:i/>
          <w:color w:val="0070C0"/>
        </w:rPr>
        <w:footnoteRef/>
      </w:r>
      <w:r w:rsidRPr="00263CD4">
        <w:rPr>
          <w:i/>
          <w:color w:val="0070C0"/>
          <w:lang w:val="en-GB"/>
        </w:rPr>
        <w:t xml:space="preserve"> </w:t>
      </w:r>
      <w:r w:rsidRPr="00F53B0B">
        <w:rPr>
          <w:i/>
          <w:color w:val="0070C0"/>
          <w:lang w:val="en-GB"/>
        </w:rPr>
        <w:t>Ibid.</w:t>
      </w:r>
    </w:p>
  </w:footnote>
  <w:footnote w:id="11">
    <w:p w14:paraId="59823DD1" w14:textId="2ECE337E" w:rsidR="009B334D" w:rsidRPr="009B334D" w:rsidRDefault="009B334D" w:rsidP="009B334D">
      <w:pPr>
        <w:pStyle w:val="FootnoteText"/>
        <w:ind w:left="284"/>
        <w:rPr>
          <w:i/>
          <w:lang w:val="en-GB"/>
        </w:rPr>
      </w:pPr>
      <w:r w:rsidRPr="009B334D">
        <w:rPr>
          <w:rStyle w:val="FootnoteReference"/>
          <w:i/>
          <w:color w:val="0070C0"/>
        </w:rPr>
        <w:footnoteRef/>
      </w:r>
      <w:r w:rsidRPr="009B334D">
        <w:rPr>
          <w:i/>
          <w:color w:val="0070C0"/>
          <w:lang w:val="en-GB"/>
        </w:rPr>
        <w:t xml:space="preserve"> Gartell et al (2016), 'Social determinants of disability-based disadvantage in Solomon islands', Health Promotion International,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1859" w14:textId="33434714" w:rsidR="00982565" w:rsidRDefault="00982565">
    <w:pPr>
      <w:pStyle w:val="Header"/>
    </w:pPr>
    <w:r>
      <w:rPr>
        <w:noProof/>
        <w:lang w:val="en-GB" w:eastAsia="en-GB"/>
      </w:rPr>
      <mc:AlternateContent>
        <mc:Choice Requires="wps">
          <w:drawing>
            <wp:anchor distT="0" distB="0" distL="114300" distR="114300" simplePos="0" relativeHeight="251661312" behindDoc="0" locked="0" layoutInCell="1" allowOverlap="1" wp14:anchorId="72A30E16" wp14:editId="1ABB1AEA">
              <wp:simplePos x="0" y="0"/>
              <wp:positionH relativeFrom="column">
                <wp:posOffset>5448299</wp:posOffset>
              </wp:positionH>
              <wp:positionV relativeFrom="paragraph">
                <wp:posOffset>-530861</wp:posOffset>
              </wp:positionV>
              <wp:extent cx="1143000" cy="1296670"/>
              <wp:effectExtent l="0" t="635" r="18415" b="18415"/>
              <wp:wrapNone/>
              <wp:docPr id="2" name="Isosceles Triangle 2"/>
              <wp:cNvGraphicFramePr/>
              <a:graphic xmlns:a="http://schemas.openxmlformats.org/drawingml/2006/main">
                <a:graphicData uri="http://schemas.microsoft.com/office/word/2010/wordprocessingShape">
                  <wps:wsp>
                    <wps:cNvSpPr/>
                    <wps:spPr>
                      <a:xfrm rot="16200000">
                        <a:off x="0" y="0"/>
                        <a:ext cx="1143000" cy="1296670"/>
                      </a:xfrm>
                      <a:prstGeom prst="triangle">
                        <a:avLst>
                          <a:gd name="adj" fmla="val 100000"/>
                        </a:avLst>
                      </a:prstGeom>
                      <a:solidFill>
                        <a:srgbClr val="B70D50"/>
                      </a:solidFill>
                      <a:ln>
                        <a:solidFill>
                          <a:srgbClr val="B70D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29pt;margin-top:-41.8pt;width:90pt;height:102.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" adj="21600" fillcolor="#b70d50" strokecolor="#b70d50" strokeweight="2pt"/>
          </w:pict>
        </mc:Fallback>
      </mc:AlternateContent>
    </w:r>
    <w:r>
      <w:rPr>
        <w:noProof/>
        <w:lang w:val="en-GB" w:eastAsia="en-GB"/>
      </w:rPr>
      <w:drawing>
        <wp:anchor distT="0" distB="0" distL="114300" distR="114300" simplePos="0" relativeHeight="251659264" behindDoc="0" locked="0" layoutInCell="1" allowOverlap="1" wp14:anchorId="623D3FA5" wp14:editId="0FB22DB9">
          <wp:simplePos x="0" y="0"/>
          <wp:positionH relativeFrom="column">
            <wp:posOffset>-381635</wp:posOffset>
          </wp:positionH>
          <wp:positionV relativeFrom="paragraph">
            <wp:posOffset>-276860</wp:posOffset>
          </wp:positionV>
          <wp:extent cx="3395980"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 HKCJ.jpg"/>
                  <pic:cNvPicPr/>
                </pic:nvPicPr>
                <pic:blipFill>
                  <a:blip r:embed="rId1">
                    <a:extLst>
                      <a:ext uri="{28A0092B-C50C-407E-A947-70E740481C1C}">
                        <a14:useLocalDpi xmlns:a14="http://schemas.microsoft.com/office/drawing/2010/main" val="0"/>
                      </a:ext>
                    </a:extLst>
                  </a:blip>
                  <a:stretch>
                    <a:fillRect/>
                  </a:stretch>
                </pic:blipFill>
                <pic:spPr>
                  <a:xfrm>
                    <a:off x="0" y="0"/>
                    <a:ext cx="3395980" cy="771525"/>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01DED58" w14:textId="77777777" w:rsidR="00982565" w:rsidRDefault="00982565">
    <w:pPr>
      <w:pStyle w:val="Header"/>
    </w:pPr>
  </w:p>
  <w:p w14:paraId="170455E2" w14:textId="77777777" w:rsidR="00982565" w:rsidRDefault="00982565">
    <w:pPr>
      <w:pStyle w:val="Header"/>
    </w:pPr>
  </w:p>
  <w:p w14:paraId="2C970B13" w14:textId="66D63F33" w:rsidR="00982565" w:rsidRDefault="00982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F22"/>
    <w:multiLevelType w:val="hybridMultilevel"/>
    <w:tmpl w:val="8F3C87A2"/>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687AFB"/>
    <w:multiLevelType w:val="hybridMultilevel"/>
    <w:tmpl w:val="9D7298E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1164A8"/>
    <w:multiLevelType w:val="hybridMultilevel"/>
    <w:tmpl w:val="9B3E45EC"/>
    <w:lvl w:ilvl="0" w:tplc="B41C15DC">
      <w:numFmt w:val="bullet"/>
      <w:lvlText w:val="•"/>
      <w:lvlJc w:val="left"/>
      <w:pPr>
        <w:ind w:left="1440" w:hanging="720"/>
      </w:pPr>
      <w:rPr>
        <w:rFonts w:ascii="Cambria" w:eastAsia="Calibri" w:hAnsi="Cambri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5EB271D"/>
    <w:multiLevelType w:val="hybridMultilevel"/>
    <w:tmpl w:val="56FA2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6F7A26"/>
    <w:multiLevelType w:val="hybridMultilevel"/>
    <w:tmpl w:val="B4082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CD20009"/>
    <w:multiLevelType w:val="hybridMultilevel"/>
    <w:tmpl w:val="2E50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771447"/>
    <w:multiLevelType w:val="hybridMultilevel"/>
    <w:tmpl w:val="1FC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904A8A"/>
    <w:multiLevelType w:val="hybridMultilevel"/>
    <w:tmpl w:val="C294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CF6D93"/>
    <w:multiLevelType w:val="hybridMultilevel"/>
    <w:tmpl w:val="2128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9E4762"/>
    <w:multiLevelType w:val="hybridMultilevel"/>
    <w:tmpl w:val="9376A8CC"/>
    <w:lvl w:ilvl="0" w:tplc="19226FCE">
      <w:start w:val="1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6917628"/>
    <w:multiLevelType w:val="hybridMultilevel"/>
    <w:tmpl w:val="4E941D1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8E54BDD"/>
    <w:multiLevelType w:val="hybridMultilevel"/>
    <w:tmpl w:val="7CECFF1A"/>
    <w:lvl w:ilvl="0" w:tplc="BDCCC78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B1A67A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720E80"/>
    <w:multiLevelType w:val="hybridMultilevel"/>
    <w:tmpl w:val="EE409F1E"/>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D443B4"/>
    <w:multiLevelType w:val="hybridMultilevel"/>
    <w:tmpl w:val="D7D22FEE"/>
    <w:lvl w:ilvl="0" w:tplc="AFA00F52">
      <w:start w:val="1"/>
      <w:numFmt w:val="decimal"/>
      <w:lvlText w:val="%1."/>
      <w:lvlJc w:val="left"/>
      <w:pPr>
        <w:ind w:left="360" w:hanging="360"/>
      </w:pPr>
      <w:rPr>
        <w:rFonts w:asciiTheme="minorHAnsi" w:hAnsiTheme="minorHAnsi" w:cstheme="minorHAnsi" w:hint="default"/>
      </w:rPr>
    </w:lvl>
    <w:lvl w:ilvl="1" w:tplc="341C9BB0">
      <w:start w:val="1"/>
      <w:numFmt w:val="lowerLetter"/>
      <w:lvlText w:val="%2."/>
      <w:lvlJc w:val="left"/>
      <w:pPr>
        <w:ind w:left="1080" w:hanging="360"/>
      </w:pPr>
      <w:rPr>
        <w:rFonts w:asciiTheme="minorHAnsi" w:hAnsiTheme="minorHAnsi" w:cstheme="minorHAnsi"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FD43F71"/>
    <w:multiLevelType w:val="hybridMultilevel"/>
    <w:tmpl w:val="A5A8D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4D82787"/>
    <w:multiLevelType w:val="hybridMultilevel"/>
    <w:tmpl w:val="E0B07DE4"/>
    <w:lvl w:ilvl="0" w:tplc="43DEFCEA">
      <w:start w:val="1"/>
      <w:numFmt w:val="decimal"/>
      <w:lvlText w:val="Paragraph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B61C40"/>
    <w:multiLevelType w:val="hybridMultilevel"/>
    <w:tmpl w:val="0C22B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C449B5"/>
    <w:multiLevelType w:val="hybridMultilevel"/>
    <w:tmpl w:val="CFB01B5E"/>
    <w:lvl w:ilvl="0" w:tplc="A62A458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F4716D"/>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85416B"/>
    <w:multiLevelType w:val="hybridMultilevel"/>
    <w:tmpl w:val="F0DEF956"/>
    <w:lvl w:ilvl="0" w:tplc="F9E09ED2">
      <w:start w:val="1"/>
      <w:numFmt w:val="lowerLetter"/>
      <w:lvlText w:val="%1)"/>
      <w:lvlJc w:val="left"/>
      <w:pPr>
        <w:ind w:left="720" w:hanging="360"/>
      </w:pPr>
      <w:rPr>
        <w:b/>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1D7D2E"/>
    <w:multiLevelType w:val="hybridMultilevel"/>
    <w:tmpl w:val="4A589918"/>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904A3B"/>
    <w:multiLevelType w:val="hybridMultilevel"/>
    <w:tmpl w:val="42005A0A"/>
    <w:lvl w:ilvl="0" w:tplc="952E73F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2C9E716A"/>
    <w:multiLevelType w:val="singleLevel"/>
    <w:tmpl w:val="F2A0A424"/>
    <w:lvl w:ilvl="0">
      <w:start w:val="1"/>
      <w:numFmt w:val="decimal"/>
      <w:lvlText w:val="%1."/>
      <w:lvlJc w:val="left"/>
      <w:pPr>
        <w:tabs>
          <w:tab w:val="num" w:pos="360"/>
        </w:tabs>
        <w:ind w:left="360" w:hanging="360"/>
      </w:pPr>
      <w:rPr>
        <w:rFonts w:ascii="Times New Roman" w:hAnsi="Times New Roman" w:hint="default"/>
      </w:rPr>
    </w:lvl>
  </w:abstractNum>
  <w:abstractNum w:abstractNumId="26">
    <w:nsid w:val="354602F9"/>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B866D0"/>
    <w:multiLevelType w:val="hybridMultilevel"/>
    <w:tmpl w:val="F61ADD40"/>
    <w:lvl w:ilvl="0" w:tplc="AB2E7E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77E089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7EB70AB"/>
    <w:multiLevelType w:val="hybridMultilevel"/>
    <w:tmpl w:val="590CA5C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3026850"/>
    <w:multiLevelType w:val="hybridMultilevel"/>
    <w:tmpl w:val="C016B9A0"/>
    <w:lvl w:ilvl="0" w:tplc="6980B62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2B1B91"/>
    <w:multiLevelType w:val="hybridMultilevel"/>
    <w:tmpl w:val="E6B422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36114E6"/>
    <w:multiLevelType w:val="hybridMultilevel"/>
    <w:tmpl w:val="F23A4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95A4582"/>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E9D1B80"/>
    <w:multiLevelType w:val="hybridMultilevel"/>
    <w:tmpl w:val="620CF3C6"/>
    <w:lvl w:ilvl="0" w:tplc="8FD09932">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EA67960"/>
    <w:multiLevelType w:val="hybridMultilevel"/>
    <w:tmpl w:val="58227418"/>
    <w:lvl w:ilvl="0" w:tplc="8FD0993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23464D1"/>
    <w:multiLevelType w:val="hybridMultilevel"/>
    <w:tmpl w:val="C016B9A0"/>
    <w:lvl w:ilvl="0" w:tplc="6980B62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4A63D6"/>
    <w:multiLevelType w:val="hybridMultilevel"/>
    <w:tmpl w:val="C696134C"/>
    <w:lvl w:ilvl="0" w:tplc="68306E7A">
      <w:start w:val="1"/>
      <w:numFmt w:val="decimal"/>
      <w:lvlText w:val="%1."/>
      <w:lvlJc w:val="left"/>
      <w:pPr>
        <w:ind w:left="62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5822877"/>
    <w:multiLevelType w:val="hybridMultilevel"/>
    <w:tmpl w:val="A1C806A0"/>
    <w:lvl w:ilvl="0" w:tplc="3C6C8B5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59E48A3"/>
    <w:multiLevelType w:val="hybridMultilevel"/>
    <w:tmpl w:val="91668F42"/>
    <w:lvl w:ilvl="0" w:tplc="8FD0993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5C7547AC"/>
    <w:multiLevelType w:val="hybridMultilevel"/>
    <w:tmpl w:val="CEBC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2F106AF"/>
    <w:multiLevelType w:val="hybridMultilevel"/>
    <w:tmpl w:val="1846877A"/>
    <w:lvl w:ilvl="0" w:tplc="AB2E7E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57E6649"/>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34476B"/>
    <w:multiLevelType w:val="hybridMultilevel"/>
    <w:tmpl w:val="13BEDD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1318B2"/>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A6327F"/>
    <w:multiLevelType w:val="hybridMultilevel"/>
    <w:tmpl w:val="EE3E3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61C6289"/>
    <w:multiLevelType w:val="hybridMultilevel"/>
    <w:tmpl w:val="AA8433BC"/>
    <w:lvl w:ilvl="0" w:tplc="487884F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AB84309"/>
    <w:multiLevelType w:val="hybridMultilevel"/>
    <w:tmpl w:val="03DEA4D0"/>
    <w:lvl w:ilvl="0" w:tplc="AB2E7E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810D4C"/>
    <w:multiLevelType w:val="hybridMultilevel"/>
    <w:tmpl w:val="9A6EF450"/>
    <w:lvl w:ilvl="0" w:tplc="AB2E7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20304F"/>
    <w:multiLevelType w:val="hybridMultilevel"/>
    <w:tmpl w:val="21AAC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46"/>
  </w:num>
  <w:num w:numId="4">
    <w:abstractNumId w:val="24"/>
  </w:num>
  <w:num w:numId="5">
    <w:abstractNumId w:val="34"/>
  </w:num>
  <w:num w:numId="6">
    <w:abstractNumId w:val="45"/>
  </w:num>
  <w:num w:numId="7">
    <w:abstractNumId w:val="35"/>
  </w:num>
  <w:num w:numId="8">
    <w:abstractNumId w:val="39"/>
  </w:num>
  <w:num w:numId="9">
    <w:abstractNumId w:val="1"/>
  </w:num>
  <w:num w:numId="10">
    <w:abstractNumId w:val="31"/>
  </w:num>
  <w:num w:numId="11">
    <w:abstractNumId w:val="22"/>
  </w:num>
  <w:num w:numId="12">
    <w:abstractNumId w:val="38"/>
  </w:num>
  <w:num w:numId="13">
    <w:abstractNumId w:val="17"/>
  </w:num>
  <w:num w:numId="14">
    <w:abstractNumId w:val="32"/>
  </w:num>
  <w:num w:numId="15">
    <w:abstractNumId w:val="8"/>
  </w:num>
  <w:num w:numId="16">
    <w:abstractNumId w:val="49"/>
  </w:num>
  <w:num w:numId="17">
    <w:abstractNumId w:val="19"/>
  </w:num>
  <w:num w:numId="18">
    <w:abstractNumId w:val="40"/>
  </w:num>
  <w:num w:numId="19">
    <w:abstractNumId w:val="5"/>
  </w:num>
  <w:num w:numId="20">
    <w:abstractNumId w:val="23"/>
  </w:num>
  <w:num w:numId="21">
    <w:abstractNumId w:val="0"/>
  </w:num>
  <w:num w:numId="22">
    <w:abstractNumId w:val="14"/>
  </w:num>
  <w:num w:numId="23">
    <w:abstractNumId w:val="9"/>
  </w:num>
  <w:num w:numId="24">
    <w:abstractNumId w:val="4"/>
  </w:num>
  <w:num w:numId="25">
    <w:abstractNumId w:val="41"/>
  </w:num>
  <w:num w:numId="26">
    <w:abstractNumId w:val="27"/>
  </w:num>
  <w:num w:numId="27">
    <w:abstractNumId w:val="3"/>
  </w:num>
  <w:num w:numId="28">
    <w:abstractNumId w:val="47"/>
  </w:num>
  <w:num w:numId="29">
    <w:abstractNumId w:val="7"/>
  </w:num>
  <w:num w:numId="30">
    <w:abstractNumId w:val="48"/>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7"/>
  </w:num>
  <w:num w:numId="35">
    <w:abstractNumId w:val="25"/>
  </w:num>
  <w:num w:numId="36">
    <w:abstractNumId w:val="36"/>
  </w:num>
  <w:num w:numId="37">
    <w:abstractNumId w:val="30"/>
  </w:num>
  <w:num w:numId="38">
    <w:abstractNumId w:val="20"/>
  </w:num>
  <w:num w:numId="39">
    <w:abstractNumId w:val="43"/>
  </w:num>
  <w:num w:numId="40">
    <w:abstractNumId w:val="15"/>
  </w:num>
  <w:num w:numId="41">
    <w:abstractNumId w:val="6"/>
  </w:num>
  <w:num w:numId="42">
    <w:abstractNumId w:val="18"/>
  </w:num>
  <w:num w:numId="43">
    <w:abstractNumId w:val="42"/>
  </w:num>
  <w:num w:numId="44">
    <w:abstractNumId w:val="26"/>
  </w:num>
  <w:num w:numId="45">
    <w:abstractNumId w:val="13"/>
  </w:num>
  <w:num w:numId="46">
    <w:abstractNumId w:val="33"/>
  </w:num>
  <w:num w:numId="47">
    <w:abstractNumId w:val="21"/>
  </w:num>
  <w:num w:numId="48">
    <w:abstractNumId w:val="44"/>
  </w:num>
  <w:num w:numId="49">
    <w:abstractNumId w:val="2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A84A901-EB51-438A-A986-022623F86479}"/>
    <w:docVar w:name="dgnword-eventsink" w:val="167747680"/>
  </w:docVars>
  <w:rsids>
    <w:rsidRoot w:val="00A9787A"/>
    <w:rsid w:val="00000402"/>
    <w:rsid w:val="00003C00"/>
    <w:rsid w:val="00005C8C"/>
    <w:rsid w:val="00007AE6"/>
    <w:rsid w:val="000109CB"/>
    <w:rsid w:val="0001182A"/>
    <w:rsid w:val="00011CB1"/>
    <w:rsid w:val="0001385E"/>
    <w:rsid w:val="00014C5C"/>
    <w:rsid w:val="00016B7B"/>
    <w:rsid w:val="00017490"/>
    <w:rsid w:val="0002042A"/>
    <w:rsid w:val="00024766"/>
    <w:rsid w:val="00024C98"/>
    <w:rsid w:val="00026E66"/>
    <w:rsid w:val="00036E65"/>
    <w:rsid w:val="00041390"/>
    <w:rsid w:val="000414C4"/>
    <w:rsid w:val="00043747"/>
    <w:rsid w:val="000439DD"/>
    <w:rsid w:val="00044A3C"/>
    <w:rsid w:val="000473DE"/>
    <w:rsid w:val="00047C3A"/>
    <w:rsid w:val="00050FFC"/>
    <w:rsid w:val="00053D24"/>
    <w:rsid w:val="00054EB5"/>
    <w:rsid w:val="000551CE"/>
    <w:rsid w:val="00066071"/>
    <w:rsid w:val="000716A8"/>
    <w:rsid w:val="00077E4E"/>
    <w:rsid w:val="00082B98"/>
    <w:rsid w:val="00083D10"/>
    <w:rsid w:val="0008583F"/>
    <w:rsid w:val="00086805"/>
    <w:rsid w:val="00093981"/>
    <w:rsid w:val="0009660C"/>
    <w:rsid w:val="000A28D5"/>
    <w:rsid w:val="000A3F96"/>
    <w:rsid w:val="000A5189"/>
    <w:rsid w:val="000A7119"/>
    <w:rsid w:val="000B7BE3"/>
    <w:rsid w:val="000C3026"/>
    <w:rsid w:val="000C321C"/>
    <w:rsid w:val="000C3857"/>
    <w:rsid w:val="000C58B4"/>
    <w:rsid w:val="000C6027"/>
    <w:rsid w:val="000D0B10"/>
    <w:rsid w:val="000D0FF8"/>
    <w:rsid w:val="000D433A"/>
    <w:rsid w:val="000D4F06"/>
    <w:rsid w:val="000E44AA"/>
    <w:rsid w:val="000F1BB7"/>
    <w:rsid w:val="000F3FCF"/>
    <w:rsid w:val="000F4B6E"/>
    <w:rsid w:val="000F4ECE"/>
    <w:rsid w:val="000F5251"/>
    <w:rsid w:val="001055F0"/>
    <w:rsid w:val="00107A79"/>
    <w:rsid w:val="00110FA1"/>
    <w:rsid w:val="00114D89"/>
    <w:rsid w:val="001163B3"/>
    <w:rsid w:val="00116BCC"/>
    <w:rsid w:val="00116EEC"/>
    <w:rsid w:val="0012151A"/>
    <w:rsid w:val="00121653"/>
    <w:rsid w:val="00122216"/>
    <w:rsid w:val="001240C0"/>
    <w:rsid w:val="0012546E"/>
    <w:rsid w:val="00127FE2"/>
    <w:rsid w:val="00136080"/>
    <w:rsid w:val="00136994"/>
    <w:rsid w:val="00143300"/>
    <w:rsid w:val="00143720"/>
    <w:rsid w:val="00143E25"/>
    <w:rsid w:val="00145A9C"/>
    <w:rsid w:val="00145DC1"/>
    <w:rsid w:val="0014630C"/>
    <w:rsid w:val="00147115"/>
    <w:rsid w:val="00147A48"/>
    <w:rsid w:val="00162540"/>
    <w:rsid w:val="00166EB8"/>
    <w:rsid w:val="001672E1"/>
    <w:rsid w:val="001708E1"/>
    <w:rsid w:val="00172514"/>
    <w:rsid w:val="00173A98"/>
    <w:rsid w:val="00176637"/>
    <w:rsid w:val="00180EC0"/>
    <w:rsid w:val="00182BBE"/>
    <w:rsid w:val="00183C2E"/>
    <w:rsid w:val="00196770"/>
    <w:rsid w:val="001973C1"/>
    <w:rsid w:val="001B5F62"/>
    <w:rsid w:val="001B7D14"/>
    <w:rsid w:val="001C3B45"/>
    <w:rsid w:val="001C4DBC"/>
    <w:rsid w:val="001C539F"/>
    <w:rsid w:val="001D0FAE"/>
    <w:rsid w:val="001E7BDD"/>
    <w:rsid w:val="001E7E5C"/>
    <w:rsid w:val="001F3101"/>
    <w:rsid w:val="001F3E28"/>
    <w:rsid w:val="001F3E90"/>
    <w:rsid w:val="001F43E8"/>
    <w:rsid w:val="001F7E3C"/>
    <w:rsid w:val="002068BA"/>
    <w:rsid w:val="002069AE"/>
    <w:rsid w:val="0021377C"/>
    <w:rsid w:val="00214110"/>
    <w:rsid w:val="0021434D"/>
    <w:rsid w:val="00214F04"/>
    <w:rsid w:val="00215335"/>
    <w:rsid w:val="0021655B"/>
    <w:rsid w:val="002177F6"/>
    <w:rsid w:val="0022375F"/>
    <w:rsid w:val="002251DE"/>
    <w:rsid w:val="0023206E"/>
    <w:rsid w:val="00232FEC"/>
    <w:rsid w:val="002379B7"/>
    <w:rsid w:val="00237DCF"/>
    <w:rsid w:val="00244F1C"/>
    <w:rsid w:val="00247212"/>
    <w:rsid w:val="00251A24"/>
    <w:rsid w:val="00263CD4"/>
    <w:rsid w:val="002656D7"/>
    <w:rsid w:val="00266AFA"/>
    <w:rsid w:val="002700BB"/>
    <w:rsid w:val="00270213"/>
    <w:rsid w:val="00291FCA"/>
    <w:rsid w:val="00292FB2"/>
    <w:rsid w:val="00296BBA"/>
    <w:rsid w:val="002A1CEF"/>
    <w:rsid w:val="002A2828"/>
    <w:rsid w:val="002A4F47"/>
    <w:rsid w:val="002A73D3"/>
    <w:rsid w:val="002B3FD1"/>
    <w:rsid w:val="002B7FF9"/>
    <w:rsid w:val="002C092A"/>
    <w:rsid w:val="002C5E61"/>
    <w:rsid w:val="002C64CB"/>
    <w:rsid w:val="002D007B"/>
    <w:rsid w:val="002D09A0"/>
    <w:rsid w:val="002D135D"/>
    <w:rsid w:val="002D1CB3"/>
    <w:rsid w:val="002E126D"/>
    <w:rsid w:val="002E2939"/>
    <w:rsid w:val="002E5615"/>
    <w:rsid w:val="002F3ECE"/>
    <w:rsid w:val="002F3F24"/>
    <w:rsid w:val="002F5FC9"/>
    <w:rsid w:val="002F7E69"/>
    <w:rsid w:val="0030369D"/>
    <w:rsid w:val="00303A6D"/>
    <w:rsid w:val="003058C7"/>
    <w:rsid w:val="00312403"/>
    <w:rsid w:val="00315DE4"/>
    <w:rsid w:val="00315F7A"/>
    <w:rsid w:val="00317B5D"/>
    <w:rsid w:val="00317FF2"/>
    <w:rsid w:val="003266F1"/>
    <w:rsid w:val="003272BC"/>
    <w:rsid w:val="003311EA"/>
    <w:rsid w:val="00331535"/>
    <w:rsid w:val="00334D63"/>
    <w:rsid w:val="00336BCF"/>
    <w:rsid w:val="00347658"/>
    <w:rsid w:val="003512BF"/>
    <w:rsid w:val="0035231B"/>
    <w:rsid w:val="00352CF5"/>
    <w:rsid w:val="00353AC4"/>
    <w:rsid w:val="003613EB"/>
    <w:rsid w:val="0036252B"/>
    <w:rsid w:val="003662B3"/>
    <w:rsid w:val="0036714F"/>
    <w:rsid w:val="00367B38"/>
    <w:rsid w:val="00372F81"/>
    <w:rsid w:val="00373542"/>
    <w:rsid w:val="00373A28"/>
    <w:rsid w:val="00374B86"/>
    <w:rsid w:val="003779C7"/>
    <w:rsid w:val="00377CE5"/>
    <w:rsid w:val="00381478"/>
    <w:rsid w:val="00386782"/>
    <w:rsid w:val="00386EA5"/>
    <w:rsid w:val="00387B32"/>
    <w:rsid w:val="00390A7F"/>
    <w:rsid w:val="003932F0"/>
    <w:rsid w:val="003A1069"/>
    <w:rsid w:val="003A78C9"/>
    <w:rsid w:val="003B0F1A"/>
    <w:rsid w:val="003C66A0"/>
    <w:rsid w:val="003D0A70"/>
    <w:rsid w:val="003D2A7B"/>
    <w:rsid w:val="003D3AB6"/>
    <w:rsid w:val="003D3CF4"/>
    <w:rsid w:val="003D467B"/>
    <w:rsid w:val="003D6A9D"/>
    <w:rsid w:val="003E4BAF"/>
    <w:rsid w:val="003E5995"/>
    <w:rsid w:val="003E6FDF"/>
    <w:rsid w:val="003F186A"/>
    <w:rsid w:val="003F22E7"/>
    <w:rsid w:val="003F3E8F"/>
    <w:rsid w:val="003F4602"/>
    <w:rsid w:val="003F7D5A"/>
    <w:rsid w:val="00402738"/>
    <w:rsid w:val="00406431"/>
    <w:rsid w:val="00411B02"/>
    <w:rsid w:val="00412D38"/>
    <w:rsid w:val="00415943"/>
    <w:rsid w:val="00416B16"/>
    <w:rsid w:val="00417184"/>
    <w:rsid w:val="00417844"/>
    <w:rsid w:val="00420B21"/>
    <w:rsid w:val="004214B1"/>
    <w:rsid w:val="0042276F"/>
    <w:rsid w:val="004243B3"/>
    <w:rsid w:val="004349B1"/>
    <w:rsid w:val="00434C77"/>
    <w:rsid w:val="00435D19"/>
    <w:rsid w:val="0043774A"/>
    <w:rsid w:val="004466E0"/>
    <w:rsid w:val="004472A1"/>
    <w:rsid w:val="00450433"/>
    <w:rsid w:val="00451435"/>
    <w:rsid w:val="00454EB4"/>
    <w:rsid w:val="00456DD2"/>
    <w:rsid w:val="004669DC"/>
    <w:rsid w:val="00467054"/>
    <w:rsid w:val="00474B60"/>
    <w:rsid w:val="00476FC3"/>
    <w:rsid w:val="00483A48"/>
    <w:rsid w:val="00491565"/>
    <w:rsid w:val="00491E19"/>
    <w:rsid w:val="00493AA8"/>
    <w:rsid w:val="004A0180"/>
    <w:rsid w:val="004A3372"/>
    <w:rsid w:val="004A7DBD"/>
    <w:rsid w:val="004B03D8"/>
    <w:rsid w:val="004B0A7E"/>
    <w:rsid w:val="004B3D38"/>
    <w:rsid w:val="004B3FAC"/>
    <w:rsid w:val="004B7110"/>
    <w:rsid w:val="004C1E6C"/>
    <w:rsid w:val="004C2662"/>
    <w:rsid w:val="004C61AD"/>
    <w:rsid w:val="004C67BC"/>
    <w:rsid w:val="004C7828"/>
    <w:rsid w:val="004D04F9"/>
    <w:rsid w:val="004D3C56"/>
    <w:rsid w:val="004D539A"/>
    <w:rsid w:val="004D67F9"/>
    <w:rsid w:val="004D6E5F"/>
    <w:rsid w:val="004E056A"/>
    <w:rsid w:val="004E1371"/>
    <w:rsid w:val="004E1825"/>
    <w:rsid w:val="004E3CCB"/>
    <w:rsid w:val="004E57FE"/>
    <w:rsid w:val="004F17B0"/>
    <w:rsid w:val="004F24CC"/>
    <w:rsid w:val="004F4C57"/>
    <w:rsid w:val="00500143"/>
    <w:rsid w:val="00503055"/>
    <w:rsid w:val="00503EE6"/>
    <w:rsid w:val="00506EDB"/>
    <w:rsid w:val="005073C0"/>
    <w:rsid w:val="00507A78"/>
    <w:rsid w:val="00511A01"/>
    <w:rsid w:val="0051235B"/>
    <w:rsid w:val="0052004D"/>
    <w:rsid w:val="00521F1F"/>
    <w:rsid w:val="00523952"/>
    <w:rsid w:val="00530B8D"/>
    <w:rsid w:val="005349D9"/>
    <w:rsid w:val="00535626"/>
    <w:rsid w:val="005362B1"/>
    <w:rsid w:val="00536E98"/>
    <w:rsid w:val="00537847"/>
    <w:rsid w:val="00542497"/>
    <w:rsid w:val="00542D08"/>
    <w:rsid w:val="00544093"/>
    <w:rsid w:val="00545B20"/>
    <w:rsid w:val="00546C4D"/>
    <w:rsid w:val="00551E69"/>
    <w:rsid w:val="005545D5"/>
    <w:rsid w:val="00554C2B"/>
    <w:rsid w:val="00555771"/>
    <w:rsid w:val="00555FDE"/>
    <w:rsid w:val="0057212F"/>
    <w:rsid w:val="005727E3"/>
    <w:rsid w:val="0057471E"/>
    <w:rsid w:val="0057694C"/>
    <w:rsid w:val="005775D3"/>
    <w:rsid w:val="0058019C"/>
    <w:rsid w:val="00583C61"/>
    <w:rsid w:val="00585005"/>
    <w:rsid w:val="00591283"/>
    <w:rsid w:val="005916BF"/>
    <w:rsid w:val="00591B87"/>
    <w:rsid w:val="00595E94"/>
    <w:rsid w:val="00596B35"/>
    <w:rsid w:val="005979E3"/>
    <w:rsid w:val="005A08AB"/>
    <w:rsid w:val="005A5960"/>
    <w:rsid w:val="005B524F"/>
    <w:rsid w:val="005B52E1"/>
    <w:rsid w:val="005B6D30"/>
    <w:rsid w:val="005B7E40"/>
    <w:rsid w:val="005C06DE"/>
    <w:rsid w:val="005C0C6A"/>
    <w:rsid w:val="005C2D50"/>
    <w:rsid w:val="005C7B9C"/>
    <w:rsid w:val="005D00E6"/>
    <w:rsid w:val="005D3408"/>
    <w:rsid w:val="005D3A63"/>
    <w:rsid w:val="005E1C90"/>
    <w:rsid w:val="005E3AF1"/>
    <w:rsid w:val="005E3D9C"/>
    <w:rsid w:val="005F464B"/>
    <w:rsid w:val="005F59D2"/>
    <w:rsid w:val="0060180F"/>
    <w:rsid w:val="0060448B"/>
    <w:rsid w:val="00604AC0"/>
    <w:rsid w:val="00610754"/>
    <w:rsid w:val="00612D5B"/>
    <w:rsid w:val="00617328"/>
    <w:rsid w:val="006270AB"/>
    <w:rsid w:val="00631EDA"/>
    <w:rsid w:val="00632278"/>
    <w:rsid w:val="00636FDC"/>
    <w:rsid w:val="006378B2"/>
    <w:rsid w:val="00640BDD"/>
    <w:rsid w:val="006421AE"/>
    <w:rsid w:val="00642605"/>
    <w:rsid w:val="00645DA4"/>
    <w:rsid w:val="00645E1D"/>
    <w:rsid w:val="00655227"/>
    <w:rsid w:val="00660809"/>
    <w:rsid w:val="006635AD"/>
    <w:rsid w:val="00665B26"/>
    <w:rsid w:val="00670B01"/>
    <w:rsid w:val="00671E62"/>
    <w:rsid w:val="00673616"/>
    <w:rsid w:val="00675943"/>
    <w:rsid w:val="006847D8"/>
    <w:rsid w:val="00687E78"/>
    <w:rsid w:val="006A10E1"/>
    <w:rsid w:val="006A7CDB"/>
    <w:rsid w:val="006B1AD8"/>
    <w:rsid w:val="006B383E"/>
    <w:rsid w:val="006B4ACF"/>
    <w:rsid w:val="006B4F86"/>
    <w:rsid w:val="006B537E"/>
    <w:rsid w:val="006B57A6"/>
    <w:rsid w:val="006B64C9"/>
    <w:rsid w:val="006C3B7E"/>
    <w:rsid w:val="006C4010"/>
    <w:rsid w:val="006C72B8"/>
    <w:rsid w:val="006C74F1"/>
    <w:rsid w:val="006D32CD"/>
    <w:rsid w:val="006D3F1F"/>
    <w:rsid w:val="006D5BAF"/>
    <w:rsid w:val="006D76C6"/>
    <w:rsid w:val="006E2577"/>
    <w:rsid w:val="0070239D"/>
    <w:rsid w:val="00702A61"/>
    <w:rsid w:val="00703753"/>
    <w:rsid w:val="007050CB"/>
    <w:rsid w:val="00706E87"/>
    <w:rsid w:val="0071034F"/>
    <w:rsid w:val="00711BC8"/>
    <w:rsid w:val="00712C5B"/>
    <w:rsid w:val="0072011A"/>
    <w:rsid w:val="0072447B"/>
    <w:rsid w:val="00725B08"/>
    <w:rsid w:val="00727333"/>
    <w:rsid w:val="00727C12"/>
    <w:rsid w:val="00727FA4"/>
    <w:rsid w:val="00730099"/>
    <w:rsid w:val="0073125C"/>
    <w:rsid w:val="007318D5"/>
    <w:rsid w:val="007332FA"/>
    <w:rsid w:val="00734875"/>
    <w:rsid w:val="00740082"/>
    <w:rsid w:val="007406B5"/>
    <w:rsid w:val="00744957"/>
    <w:rsid w:val="00745ABD"/>
    <w:rsid w:val="00747754"/>
    <w:rsid w:val="007513AB"/>
    <w:rsid w:val="0075437E"/>
    <w:rsid w:val="00755377"/>
    <w:rsid w:val="00760E91"/>
    <w:rsid w:val="00763661"/>
    <w:rsid w:val="00764207"/>
    <w:rsid w:val="00764BD7"/>
    <w:rsid w:val="00771340"/>
    <w:rsid w:val="00775BB2"/>
    <w:rsid w:val="00776285"/>
    <w:rsid w:val="00781D7F"/>
    <w:rsid w:val="00785815"/>
    <w:rsid w:val="00786F5A"/>
    <w:rsid w:val="00792336"/>
    <w:rsid w:val="007A0016"/>
    <w:rsid w:val="007A0DDE"/>
    <w:rsid w:val="007A4F60"/>
    <w:rsid w:val="007A5037"/>
    <w:rsid w:val="007A5FA8"/>
    <w:rsid w:val="007A697B"/>
    <w:rsid w:val="007B17DE"/>
    <w:rsid w:val="007B1986"/>
    <w:rsid w:val="007B2679"/>
    <w:rsid w:val="007C3A63"/>
    <w:rsid w:val="007C6BF4"/>
    <w:rsid w:val="007D016A"/>
    <w:rsid w:val="007D1EE7"/>
    <w:rsid w:val="007D7F15"/>
    <w:rsid w:val="007E4902"/>
    <w:rsid w:val="007E7495"/>
    <w:rsid w:val="007E7770"/>
    <w:rsid w:val="007F501B"/>
    <w:rsid w:val="007F6B02"/>
    <w:rsid w:val="007F7AD3"/>
    <w:rsid w:val="008000CB"/>
    <w:rsid w:val="008036A1"/>
    <w:rsid w:val="0080498B"/>
    <w:rsid w:val="008061F0"/>
    <w:rsid w:val="00807882"/>
    <w:rsid w:val="008119F9"/>
    <w:rsid w:val="00811A04"/>
    <w:rsid w:val="00814E06"/>
    <w:rsid w:val="008169A4"/>
    <w:rsid w:val="00823CA1"/>
    <w:rsid w:val="00831AF9"/>
    <w:rsid w:val="00833828"/>
    <w:rsid w:val="00835C28"/>
    <w:rsid w:val="00837920"/>
    <w:rsid w:val="008402ED"/>
    <w:rsid w:val="008408FF"/>
    <w:rsid w:val="008455CC"/>
    <w:rsid w:val="00845802"/>
    <w:rsid w:val="00845B2A"/>
    <w:rsid w:val="008504D2"/>
    <w:rsid w:val="008531B3"/>
    <w:rsid w:val="0085363A"/>
    <w:rsid w:val="0085421D"/>
    <w:rsid w:val="00865A36"/>
    <w:rsid w:val="00871016"/>
    <w:rsid w:val="00875AF7"/>
    <w:rsid w:val="0087668D"/>
    <w:rsid w:val="00876889"/>
    <w:rsid w:val="008775CB"/>
    <w:rsid w:val="00882E31"/>
    <w:rsid w:val="008850B3"/>
    <w:rsid w:val="00886DDE"/>
    <w:rsid w:val="00887ACB"/>
    <w:rsid w:val="0089420F"/>
    <w:rsid w:val="0089695A"/>
    <w:rsid w:val="008A0788"/>
    <w:rsid w:val="008A1F18"/>
    <w:rsid w:val="008A36AF"/>
    <w:rsid w:val="008B266A"/>
    <w:rsid w:val="008B2AA2"/>
    <w:rsid w:val="008C2974"/>
    <w:rsid w:val="008E0A0E"/>
    <w:rsid w:val="008E0FBE"/>
    <w:rsid w:val="008E1A55"/>
    <w:rsid w:val="008E30CE"/>
    <w:rsid w:val="008E7C2F"/>
    <w:rsid w:val="008E7C63"/>
    <w:rsid w:val="008F4C95"/>
    <w:rsid w:val="008F7902"/>
    <w:rsid w:val="00903287"/>
    <w:rsid w:val="009206E8"/>
    <w:rsid w:val="00921719"/>
    <w:rsid w:val="00922861"/>
    <w:rsid w:val="0092558D"/>
    <w:rsid w:val="0092687F"/>
    <w:rsid w:val="009308F0"/>
    <w:rsid w:val="00932912"/>
    <w:rsid w:val="00932E8A"/>
    <w:rsid w:val="0094734B"/>
    <w:rsid w:val="00950409"/>
    <w:rsid w:val="00956B17"/>
    <w:rsid w:val="00957323"/>
    <w:rsid w:val="00967473"/>
    <w:rsid w:val="00971B75"/>
    <w:rsid w:val="00977826"/>
    <w:rsid w:val="009802E0"/>
    <w:rsid w:val="0098208C"/>
    <w:rsid w:val="00982565"/>
    <w:rsid w:val="009851CC"/>
    <w:rsid w:val="00987A7A"/>
    <w:rsid w:val="0099281A"/>
    <w:rsid w:val="0099769D"/>
    <w:rsid w:val="009A23AC"/>
    <w:rsid w:val="009A2B62"/>
    <w:rsid w:val="009A586F"/>
    <w:rsid w:val="009B334D"/>
    <w:rsid w:val="009B4719"/>
    <w:rsid w:val="009B474C"/>
    <w:rsid w:val="009B6D75"/>
    <w:rsid w:val="009C1052"/>
    <w:rsid w:val="009C34B8"/>
    <w:rsid w:val="009C50FF"/>
    <w:rsid w:val="009C65EA"/>
    <w:rsid w:val="009C74AF"/>
    <w:rsid w:val="009D1AA1"/>
    <w:rsid w:val="009D2E8B"/>
    <w:rsid w:val="009D3653"/>
    <w:rsid w:val="009D7266"/>
    <w:rsid w:val="009D780C"/>
    <w:rsid w:val="009E2D2C"/>
    <w:rsid w:val="009E6748"/>
    <w:rsid w:val="009E70C6"/>
    <w:rsid w:val="009F74ED"/>
    <w:rsid w:val="00A04738"/>
    <w:rsid w:val="00A06D66"/>
    <w:rsid w:val="00A12A09"/>
    <w:rsid w:val="00A14044"/>
    <w:rsid w:val="00A14AAE"/>
    <w:rsid w:val="00A16D2A"/>
    <w:rsid w:val="00A25555"/>
    <w:rsid w:val="00A26FEB"/>
    <w:rsid w:val="00A327B9"/>
    <w:rsid w:val="00A34236"/>
    <w:rsid w:val="00A3455F"/>
    <w:rsid w:val="00A40F62"/>
    <w:rsid w:val="00A417FE"/>
    <w:rsid w:val="00A42FCF"/>
    <w:rsid w:val="00A45538"/>
    <w:rsid w:val="00A54A27"/>
    <w:rsid w:val="00A62513"/>
    <w:rsid w:val="00A62DDB"/>
    <w:rsid w:val="00A63455"/>
    <w:rsid w:val="00A70FD8"/>
    <w:rsid w:val="00A74439"/>
    <w:rsid w:val="00A756E6"/>
    <w:rsid w:val="00A84021"/>
    <w:rsid w:val="00A864AC"/>
    <w:rsid w:val="00A87C97"/>
    <w:rsid w:val="00A917A6"/>
    <w:rsid w:val="00A9590F"/>
    <w:rsid w:val="00A9787A"/>
    <w:rsid w:val="00AA48E3"/>
    <w:rsid w:val="00AA6F2F"/>
    <w:rsid w:val="00AA7EF3"/>
    <w:rsid w:val="00AB000E"/>
    <w:rsid w:val="00AB1FDA"/>
    <w:rsid w:val="00AB351D"/>
    <w:rsid w:val="00AB41B2"/>
    <w:rsid w:val="00AB7DD3"/>
    <w:rsid w:val="00AC011A"/>
    <w:rsid w:val="00AC0E44"/>
    <w:rsid w:val="00AC3646"/>
    <w:rsid w:val="00AC4241"/>
    <w:rsid w:val="00AC627F"/>
    <w:rsid w:val="00AD0F07"/>
    <w:rsid w:val="00AD309A"/>
    <w:rsid w:val="00AD374A"/>
    <w:rsid w:val="00AE125C"/>
    <w:rsid w:val="00AE6CE9"/>
    <w:rsid w:val="00AE7A6F"/>
    <w:rsid w:val="00AF2CE2"/>
    <w:rsid w:val="00AF33D7"/>
    <w:rsid w:val="00AF439C"/>
    <w:rsid w:val="00AF4871"/>
    <w:rsid w:val="00AF58FB"/>
    <w:rsid w:val="00AF5C99"/>
    <w:rsid w:val="00AF71DF"/>
    <w:rsid w:val="00B00B46"/>
    <w:rsid w:val="00B03FE9"/>
    <w:rsid w:val="00B0718A"/>
    <w:rsid w:val="00B072D4"/>
    <w:rsid w:val="00B1046E"/>
    <w:rsid w:val="00B11D6A"/>
    <w:rsid w:val="00B11E24"/>
    <w:rsid w:val="00B13851"/>
    <w:rsid w:val="00B14C17"/>
    <w:rsid w:val="00B17259"/>
    <w:rsid w:val="00B21410"/>
    <w:rsid w:val="00B2525C"/>
    <w:rsid w:val="00B26505"/>
    <w:rsid w:val="00B314CC"/>
    <w:rsid w:val="00B352C7"/>
    <w:rsid w:val="00B352E5"/>
    <w:rsid w:val="00B3617E"/>
    <w:rsid w:val="00B36360"/>
    <w:rsid w:val="00B45253"/>
    <w:rsid w:val="00B452DA"/>
    <w:rsid w:val="00B4577E"/>
    <w:rsid w:val="00B53A3F"/>
    <w:rsid w:val="00B55B5C"/>
    <w:rsid w:val="00B72714"/>
    <w:rsid w:val="00B73C12"/>
    <w:rsid w:val="00B75147"/>
    <w:rsid w:val="00B77603"/>
    <w:rsid w:val="00B82215"/>
    <w:rsid w:val="00B82C3E"/>
    <w:rsid w:val="00B873B4"/>
    <w:rsid w:val="00B9005C"/>
    <w:rsid w:val="00B91287"/>
    <w:rsid w:val="00B91FEF"/>
    <w:rsid w:val="00B94EAC"/>
    <w:rsid w:val="00BA0413"/>
    <w:rsid w:val="00BA17EA"/>
    <w:rsid w:val="00BA51F8"/>
    <w:rsid w:val="00BA6C8F"/>
    <w:rsid w:val="00BB042F"/>
    <w:rsid w:val="00BB43E6"/>
    <w:rsid w:val="00BB78FE"/>
    <w:rsid w:val="00BC34B2"/>
    <w:rsid w:val="00BC4C7B"/>
    <w:rsid w:val="00BC73DE"/>
    <w:rsid w:val="00BC7640"/>
    <w:rsid w:val="00BD04AB"/>
    <w:rsid w:val="00BD0C76"/>
    <w:rsid w:val="00BD0FB4"/>
    <w:rsid w:val="00BD1AF1"/>
    <w:rsid w:val="00BD400C"/>
    <w:rsid w:val="00BE0054"/>
    <w:rsid w:val="00BE309C"/>
    <w:rsid w:val="00BE3ED8"/>
    <w:rsid w:val="00BE78CD"/>
    <w:rsid w:val="00BE7E2A"/>
    <w:rsid w:val="00BF3A90"/>
    <w:rsid w:val="00BF4C1A"/>
    <w:rsid w:val="00BF5E1A"/>
    <w:rsid w:val="00BF6D92"/>
    <w:rsid w:val="00C008EE"/>
    <w:rsid w:val="00C0502F"/>
    <w:rsid w:val="00C14AD6"/>
    <w:rsid w:val="00C17C92"/>
    <w:rsid w:val="00C2301F"/>
    <w:rsid w:val="00C26339"/>
    <w:rsid w:val="00C318EB"/>
    <w:rsid w:val="00C32EBD"/>
    <w:rsid w:val="00C3491B"/>
    <w:rsid w:val="00C405B7"/>
    <w:rsid w:val="00C43C75"/>
    <w:rsid w:val="00C45C6B"/>
    <w:rsid w:val="00C46429"/>
    <w:rsid w:val="00C46EE4"/>
    <w:rsid w:val="00C47C5B"/>
    <w:rsid w:val="00C53DA7"/>
    <w:rsid w:val="00C53F76"/>
    <w:rsid w:val="00C55857"/>
    <w:rsid w:val="00C5690A"/>
    <w:rsid w:val="00C671E3"/>
    <w:rsid w:val="00C72B8B"/>
    <w:rsid w:val="00C767B0"/>
    <w:rsid w:val="00C76AC7"/>
    <w:rsid w:val="00C772D9"/>
    <w:rsid w:val="00C77FB0"/>
    <w:rsid w:val="00C81385"/>
    <w:rsid w:val="00C86B30"/>
    <w:rsid w:val="00C90C56"/>
    <w:rsid w:val="00C948F0"/>
    <w:rsid w:val="00C97DDB"/>
    <w:rsid w:val="00CA06AE"/>
    <w:rsid w:val="00CA3623"/>
    <w:rsid w:val="00CA68DF"/>
    <w:rsid w:val="00CB194B"/>
    <w:rsid w:val="00CB336D"/>
    <w:rsid w:val="00CB4427"/>
    <w:rsid w:val="00CB58D1"/>
    <w:rsid w:val="00CB6AA6"/>
    <w:rsid w:val="00CC0A9C"/>
    <w:rsid w:val="00CC236C"/>
    <w:rsid w:val="00CD006D"/>
    <w:rsid w:val="00CD1057"/>
    <w:rsid w:val="00CD1FA5"/>
    <w:rsid w:val="00CD5564"/>
    <w:rsid w:val="00CE1A72"/>
    <w:rsid w:val="00CF0A28"/>
    <w:rsid w:val="00CF6FDA"/>
    <w:rsid w:val="00D01579"/>
    <w:rsid w:val="00D115EE"/>
    <w:rsid w:val="00D11C6A"/>
    <w:rsid w:val="00D1735D"/>
    <w:rsid w:val="00D178D7"/>
    <w:rsid w:val="00D24097"/>
    <w:rsid w:val="00D25C66"/>
    <w:rsid w:val="00D277B4"/>
    <w:rsid w:val="00D32CC2"/>
    <w:rsid w:val="00D348B7"/>
    <w:rsid w:val="00D34AAE"/>
    <w:rsid w:val="00D44A28"/>
    <w:rsid w:val="00D45D0D"/>
    <w:rsid w:val="00D551F5"/>
    <w:rsid w:val="00D56870"/>
    <w:rsid w:val="00D60FA0"/>
    <w:rsid w:val="00D6299A"/>
    <w:rsid w:val="00D649A7"/>
    <w:rsid w:val="00D64A97"/>
    <w:rsid w:val="00D70B4A"/>
    <w:rsid w:val="00D71E7E"/>
    <w:rsid w:val="00D8387A"/>
    <w:rsid w:val="00D86F60"/>
    <w:rsid w:val="00D93B95"/>
    <w:rsid w:val="00D946A4"/>
    <w:rsid w:val="00D94C93"/>
    <w:rsid w:val="00DA5B86"/>
    <w:rsid w:val="00DB104B"/>
    <w:rsid w:val="00DB3EA7"/>
    <w:rsid w:val="00DB5AA4"/>
    <w:rsid w:val="00DB63EA"/>
    <w:rsid w:val="00DC0226"/>
    <w:rsid w:val="00DC2922"/>
    <w:rsid w:val="00DC3A5F"/>
    <w:rsid w:val="00DC4B6C"/>
    <w:rsid w:val="00DD3B76"/>
    <w:rsid w:val="00DE2C77"/>
    <w:rsid w:val="00DE5FA3"/>
    <w:rsid w:val="00DF2EEB"/>
    <w:rsid w:val="00DF3C78"/>
    <w:rsid w:val="00DF4AE0"/>
    <w:rsid w:val="00DF62D2"/>
    <w:rsid w:val="00DF6F30"/>
    <w:rsid w:val="00E03933"/>
    <w:rsid w:val="00E05AD8"/>
    <w:rsid w:val="00E10EC7"/>
    <w:rsid w:val="00E12561"/>
    <w:rsid w:val="00E150AD"/>
    <w:rsid w:val="00E15406"/>
    <w:rsid w:val="00E17196"/>
    <w:rsid w:val="00E21FCA"/>
    <w:rsid w:val="00E232DF"/>
    <w:rsid w:val="00E23A4C"/>
    <w:rsid w:val="00E3085A"/>
    <w:rsid w:val="00E35144"/>
    <w:rsid w:val="00E41A46"/>
    <w:rsid w:val="00E4355B"/>
    <w:rsid w:val="00E475A1"/>
    <w:rsid w:val="00E5058D"/>
    <w:rsid w:val="00E527BA"/>
    <w:rsid w:val="00E539EB"/>
    <w:rsid w:val="00E53A50"/>
    <w:rsid w:val="00E53C57"/>
    <w:rsid w:val="00E548E0"/>
    <w:rsid w:val="00E56467"/>
    <w:rsid w:val="00E601DA"/>
    <w:rsid w:val="00E6052E"/>
    <w:rsid w:val="00E60C29"/>
    <w:rsid w:val="00E65CE2"/>
    <w:rsid w:val="00E76761"/>
    <w:rsid w:val="00E80AA8"/>
    <w:rsid w:val="00E820E1"/>
    <w:rsid w:val="00E872AB"/>
    <w:rsid w:val="00E91D35"/>
    <w:rsid w:val="00E93CC0"/>
    <w:rsid w:val="00E94830"/>
    <w:rsid w:val="00EA0D93"/>
    <w:rsid w:val="00EB0586"/>
    <w:rsid w:val="00EB1A03"/>
    <w:rsid w:val="00EB2906"/>
    <w:rsid w:val="00EB3E2A"/>
    <w:rsid w:val="00EB5D1B"/>
    <w:rsid w:val="00EC171B"/>
    <w:rsid w:val="00EC2EC2"/>
    <w:rsid w:val="00EC36FF"/>
    <w:rsid w:val="00EC3D58"/>
    <w:rsid w:val="00EC4677"/>
    <w:rsid w:val="00EC6253"/>
    <w:rsid w:val="00ED0994"/>
    <w:rsid w:val="00ED142A"/>
    <w:rsid w:val="00ED49B6"/>
    <w:rsid w:val="00EE07A1"/>
    <w:rsid w:val="00EE0966"/>
    <w:rsid w:val="00EE2300"/>
    <w:rsid w:val="00EE2CCF"/>
    <w:rsid w:val="00EE5101"/>
    <w:rsid w:val="00EE6215"/>
    <w:rsid w:val="00EE7189"/>
    <w:rsid w:val="00EF08B0"/>
    <w:rsid w:val="00EF7295"/>
    <w:rsid w:val="00F01AF6"/>
    <w:rsid w:val="00F0351C"/>
    <w:rsid w:val="00F04C07"/>
    <w:rsid w:val="00F073BF"/>
    <w:rsid w:val="00F10591"/>
    <w:rsid w:val="00F11996"/>
    <w:rsid w:val="00F12495"/>
    <w:rsid w:val="00F12773"/>
    <w:rsid w:val="00F20105"/>
    <w:rsid w:val="00F23E54"/>
    <w:rsid w:val="00F255A2"/>
    <w:rsid w:val="00F30612"/>
    <w:rsid w:val="00F3120C"/>
    <w:rsid w:val="00F317E2"/>
    <w:rsid w:val="00F35F3C"/>
    <w:rsid w:val="00F367CE"/>
    <w:rsid w:val="00F4112C"/>
    <w:rsid w:val="00F4333A"/>
    <w:rsid w:val="00F43872"/>
    <w:rsid w:val="00F51AF9"/>
    <w:rsid w:val="00F53088"/>
    <w:rsid w:val="00F53B0B"/>
    <w:rsid w:val="00F554A6"/>
    <w:rsid w:val="00F563BF"/>
    <w:rsid w:val="00F56F11"/>
    <w:rsid w:val="00F65DE0"/>
    <w:rsid w:val="00F6731C"/>
    <w:rsid w:val="00F72762"/>
    <w:rsid w:val="00F732B9"/>
    <w:rsid w:val="00F737BA"/>
    <w:rsid w:val="00F80E20"/>
    <w:rsid w:val="00F85F13"/>
    <w:rsid w:val="00F866EA"/>
    <w:rsid w:val="00F87EB8"/>
    <w:rsid w:val="00F906E7"/>
    <w:rsid w:val="00F90BF3"/>
    <w:rsid w:val="00F92847"/>
    <w:rsid w:val="00F92A5B"/>
    <w:rsid w:val="00F94D05"/>
    <w:rsid w:val="00F95631"/>
    <w:rsid w:val="00FA1213"/>
    <w:rsid w:val="00FA2554"/>
    <w:rsid w:val="00FB0F40"/>
    <w:rsid w:val="00FB3382"/>
    <w:rsid w:val="00FB747D"/>
    <w:rsid w:val="00FC57A8"/>
    <w:rsid w:val="00FC7089"/>
    <w:rsid w:val="00FD0955"/>
    <w:rsid w:val="00FD0E1B"/>
    <w:rsid w:val="00FD59E0"/>
    <w:rsid w:val="00FE77F1"/>
    <w:rsid w:val="00FF5C6C"/>
    <w:rsid w:val="00FF6709"/>
    <w:rsid w:val="00FF69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4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06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787A"/>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A42FCF"/>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A42FCF"/>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A42FCF"/>
    <w:rPr>
      <w:vertAlign w:val="superscript"/>
    </w:rPr>
  </w:style>
  <w:style w:type="character" w:styleId="CommentReference">
    <w:name w:val="annotation reference"/>
    <w:basedOn w:val="DefaultParagraphFont"/>
    <w:uiPriority w:val="99"/>
    <w:semiHidden/>
    <w:unhideWhenUsed/>
    <w:rsid w:val="00315DE4"/>
    <w:rPr>
      <w:sz w:val="16"/>
      <w:szCs w:val="16"/>
    </w:rPr>
  </w:style>
  <w:style w:type="paragraph" w:styleId="CommentText">
    <w:name w:val="annotation text"/>
    <w:basedOn w:val="Normal"/>
    <w:link w:val="CommentTextChar"/>
    <w:uiPriority w:val="99"/>
    <w:semiHidden/>
    <w:unhideWhenUsed/>
    <w:rsid w:val="00315DE4"/>
    <w:pPr>
      <w:spacing w:line="240" w:lineRule="auto"/>
    </w:pPr>
    <w:rPr>
      <w:sz w:val="20"/>
      <w:szCs w:val="20"/>
    </w:rPr>
  </w:style>
  <w:style w:type="character" w:customStyle="1" w:styleId="CommentTextChar">
    <w:name w:val="Comment Text Char"/>
    <w:basedOn w:val="DefaultParagraphFont"/>
    <w:link w:val="CommentText"/>
    <w:uiPriority w:val="99"/>
    <w:semiHidden/>
    <w:rsid w:val="00315DE4"/>
    <w:rPr>
      <w:sz w:val="20"/>
      <w:szCs w:val="20"/>
    </w:rPr>
  </w:style>
  <w:style w:type="paragraph" w:styleId="CommentSubject">
    <w:name w:val="annotation subject"/>
    <w:basedOn w:val="CommentText"/>
    <w:next w:val="CommentText"/>
    <w:link w:val="CommentSubjectChar"/>
    <w:uiPriority w:val="99"/>
    <w:semiHidden/>
    <w:unhideWhenUsed/>
    <w:rsid w:val="00315DE4"/>
    <w:rPr>
      <w:b/>
      <w:bCs/>
    </w:rPr>
  </w:style>
  <w:style w:type="character" w:customStyle="1" w:styleId="CommentSubjectChar">
    <w:name w:val="Comment Subject Char"/>
    <w:basedOn w:val="CommentTextChar"/>
    <w:link w:val="CommentSubject"/>
    <w:uiPriority w:val="99"/>
    <w:semiHidden/>
    <w:rsid w:val="00315DE4"/>
    <w:rPr>
      <w:b/>
      <w:bCs/>
      <w:sz w:val="20"/>
      <w:szCs w:val="20"/>
    </w:rPr>
  </w:style>
  <w:style w:type="paragraph" w:styleId="BalloonText">
    <w:name w:val="Balloon Text"/>
    <w:basedOn w:val="Normal"/>
    <w:link w:val="BalloonTextChar"/>
    <w:uiPriority w:val="99"/>
    <w:semiHidden/>
    <w:unhideWhenUsed/>
    <w:rsid w:val="0031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E4"/>
    <w:rPr>
      <w:rFonts w:ascii="Tahoma" w:hAnsi="Tahoma" w:cs="Tahoma"/>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1A72"/>
    <w:pPr>
      <w:spacing w:after="160" w:line="240" w:lineRule="exact"/>
      <w:jc w:val="both"/>
    </w:pPr>
    <w:rPr>
      <w:vertAlign w:val="superscript"/>
    </w:rPr>
  </w:style>
  <w:style w:type="paragraph" w:customStyle="1" w:styleId="SingleTxt">
    <w:name w:val="__Single Txt"/>
    <w:basedOn w:val="Normal"/>
    <w:next w:val="Normal"/>
    <w:uiPriority w:val="99"/>
    <w:rsid w:val="00A417FE"/>
    <w:pPr>
      <w:widowControl w:val="0"/>
      <w:autoSpaceDE w:val="0"/>
      <w:autoSpaceDN w:val="0"/>
      <w:adjustRightInd w:val="0"/>
      <w:spacing w:after="0" w:line="240" w:lineRule="auto"/>
    </w:pPr>
    <w:rPr>
      <w:rFonts w:ascii="JDHKEK+TimesNewRoman" w:eastAsia="Calibri" w:hAnsi="JDHKEK+TimesNewRoman" w:cs="Times New Roman"/>
      <w:sz w:val="24"/>
      <w:szCs w:val="24"/>
      <w:lang w:val="en-US" w:eastAsia="en-GB"/>
    </w:rPr>
  </w:style>
  <w:style w:type="paragraph" w:styleId="Header">
    <w:name w:val="header"/>
    <w:basedOn w:val="Normal"/>
    <w:link w:val="HeaderChar"/>
    <w:uiPriority w:val="99"/>
    <w:unhideWhenUsed/>
    <w:rsid w:val="000F4E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4ECE"/>
  </w:style>
  <w:style w:type="paragraph" w:styleId="Footer">
    <w:name w:val="footer"/>
    <w:basedOn w:val="Normal"/>
    <w:link w:val="FooterChar"/>
    <w:uiPriority w:val="99"/>
    <w:unhideWhenUsed/>
    <w:rsid w:val="000F4E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4ECE"/>
  </w:style>
  <w:style w:type="paragraph" w:customStyle="1" w:styleId="AppelnotedebasdepageCharCharCharCharCharCharChar">
    <w:name w:val="Appel note de bas de page Char Char Char Char Char Char Char"/>
    <w:basedOn w:val="Normal"/>
    <w:rsid w:val="00196770"/>
    <w:pPr>
      <w:spacing w:after="120" w:line="264" w:lineRule="auto"/>
      <w:jc w:val="both"/>
    </w:pPr>
    <w:rPr>
      <w:rFonts w:ascii="Calibri" w:eastAsia="Calibri" w:hAnsi="Calibri" w:cs="Arial"/>
      <w:vertAlign w:val="superscript"/>
      <w:lang w:val="en-GB"/>
    </w:rPr>
  </w:style>
  <w:style w:type="paragraph" w:styleId="Revision">
    <w:name w:val="Revision"/>
    <w:hidden/>
    <w:uiPriority w:val="99"/>
    <w:semiHidden/>
    <w:rsid w:val="00C5690A"/>
    <w:pPr>
      <w:spacing w:after="0" w:line="240" w:lineRule="auto"/>
    </w:pPr>
  </w:style>
  <w:style w:type="character" w:customStyle="1" w:styleId="Heading3Char">
    <w:name w:val="Heading 3 Char"/>
    <w:basedOn w:val="DefaultParagraphFont"/>
    <w:link w:val="Heading3"/>
    <w:uiPriority w:val="9"/>
    <w:rsid w:val="002068B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311EA"/>
    <w:rPr>
      <w:color w:val="0000FF" w:themeColor="hyperlink"/>
      <w:u w:val="single"/>
    </w:rPr>
  </w:style>
  <w:style w:type="character" w:styleId="FollowedHyperlink">
    <w:name w:val="FollowedHyperlink"/>
    <w:basedOn w:val="DefaultParagraphFont"/>
    <w:uiPriority w:val="99"/>
    <w:semiHidden/>
    <w:unhideWhenUsed/>
    <w:rsid w:val="003311EA"/>
    <w:rPr>
      <w:color w:val="800080" w:themeColor="followedHyperlink"/>
      <w:u w:val="single"/>
    </w:rPr>
  </w:style>
  <w:style w:type="paragraph" w:styleId="NormalWeb">
    <w:name w:val="Normal (Web)"/>
    <w:basedOn w:val="Normal"/>
    <w:uiPriority w:val="99"/>
    <w:semiHidden/>
    <w:unhideWhenUsed/>
    <w:rsid w:val="00A06D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B3617E"/>
    <w:pPr>
      <w:autoSpaceDE w:val="0"/>
      <w:autoSpaceDN w:val="0"/>
      <w:adjustRightInd w:val="0"/>
      <w:spacing w:after="0" w:line="240" w:lineRule="auto"/>
    </w:pPr>
    <w:rPr>
      <w:rFonts w:ascii="Garamond" w:hAnsi="Garamond" w:cs="Garamond"/>
      <w:color w:val="000000"/>
      <w:sz w:val="24"/>
      <w:szCs w:val="24"/>
      <w:lang w:val="en-GB"/>
    </w:rPr>
  </w:style>
  <w:style w:type="paragraph" w:customStyle="1" w:styleId="Body">
    <w:name w:val="Body"/>
    <w:rsid w:val="0071034F"/>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06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787A"/>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A42FCF"/>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A42FCF"/>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A42FCF"/>
    <w:rPr>
      <w:vertAlign w:val="superscript"/>
    </w:rPr>
  </w:style>
  <w:style w:type="character" w:styleId="CommentReference">
    <w:name w:val="annotation reference"/>
    <w:basedOn w:val="DefaultParagraphFont"/>
    <w:uiPriority w:val="99"/>
    <w:semiHidden/>
    <w:unhideWhenUsed/>
    <w:rsid w:val="00315DE4"/>
    <w:rPr>
      <w:sz w:val="16"/>
      <w:szCs w:val="16"/>
    </w:rPr>
  </w:style>
  <w:style w:type="paragraph" w:styleId="CommentText">
    <w:name w:val="annotation text"/>
    <w:basedOn w:val="Normal"/>
    <w:link w:val="CommentTextChar"/>
    <w:uiPriority w:val="99"/>
    <w:semiHidden/>
    <w:unhideWhenUsed/>
    <w:rsid w:val="00315DE4"/>
    <w:pPr>
      <w:spacing w:line="240" w:lineRule="auto"/>
    </w:pPr>
    <w:rPr>
      <w:sz w:val="20"/>
      <w:szCs w:val="20"/>
    </w:rPr>
  </w:style>
  <w:style w:type="character" w:customStyle="1" w:styleId="CommentTextChar">
    <w:name w:val="Comment Text Char"/>
    <w:basedOn w:val="DefaultParagraphFont"/>
    <w:link w:val="CommentText"/>
    <w:uiPriority w:val="99"/>
    <w:semiHidden/>
    <w:rsid w:val="00315DE4"/>
    <w:rPr>
      <w:sz w:val="20"/>
      <w:szCs w:val="20"/>
    </w:rPr>
  </w:style>
  <w:style w:type="paragraph" w:styleId="CommentSubject">
    <w:name w:val="annotation subject"/>
    <w:basedOn w:val="CommentText"/>
    <w:next w:val="CommentText"/>
    <w:link w:val="CommentSubjectChar"/>
    <w:uiPriority w:val="99"/>
    <w:semiHidden/>
    <w:unhideWhenUsed/>
    <w:rsid w:val="00315DE4"/>
    <w:rPr>
      <w:b/>
      <w:bCs/>
    </w:rPr>
  </w:style>
  <w:style w:type="character" w:customStyle="1" w:styleId="CommentSubjectChar">
    <w:name w:val="Comment Subject Char"/>
    <w:basedOn w:val="CommentTextChar"/>
    <w:link w:val="CommentSubject"/>
    <w:uiPriority w:val="99"/>
    <w:semiHidden/>
    <w:rsid w:val="00315DE4"/>
    <w:rPr>
      <w:b/>
      <w:bCs/>
      <w:sz w:val="20"/>
      <w:szCs w:val="20"/>
    </w:rPr>
  </w:style>
  <w:style w:type="paragraph" w:styleId="BalloonText">
    <w:name w:val="Balloon Text"/>
    <w:basedOn w:val="Normal"/>
    <w:link w:val="BalloonTextChar"/>
    <w:uiPriority w:val="99"/>
    <w:semiHidden/>
    <w:unhideWhenUsed/>
    <w:rsid w:val="0031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E4"/>
    <w:rPr>
      <w:rFonts w:ascii="Tahoma" w:hAnsi="Tahoma" w:cs="Tahoma"/>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1A72"/>
    <w:pPr>
      <w:spacing w:after="160" w:line="240" w:lineRule="exact"/>
      <w:jc w:val="both"/>
    </w:pPr>
    <w:rPr>
      <w:vertAlign w:val="superscript"/>
    </w:rPr>
  </w:style>
  <w:style w:type="paragraph" w:customStyle="1" w:styleId="SingleTxt">
    <w:name w:val="__Single Txt"/>
    <w:basedOn w:val="Normal"/>
    <w:next w:val="Normal"/>
    <w:uiPriority w:val="99"/>
    <w:rsid w:val="00A417FE"/>
    <w:pPr>
      <w:widowControl w:val="0"/>
      <w:autoSpaceDE w:val="0"/>
      <w:autoSpaceDN w:val="0"/>
      <w:adjustRightInd w:val="0"/>
      <w:spacing w:after="0" w:line="240" w:lineRule="auto"/>
    </w:pPr>
    <w:rPr>
      <w:rFonts w:ascii="JDHKEK+TimesNewRoman" w:eastAsia="Calibri" w:hAnsi="JDHKEK+TimesNewRoman" w:cs="Times New Roman"/>
      <w:sz w:val="24"/>
      <w:szCs w:val="24"/>
      <w:lang w:val="en-US" w:eastAsia="en-GB"/>
    </w:rPr>
  </w:style>
  <w:style w:type="paragraph" w:styleId="Header">
    <w:name w:val="header"/>
    <w:basedOn w:val="Normal"/>
    <w:link w:val="HeaderChar"/>
    <w:uiPriority w:val="99"/>
    <w:unhideWhenUsed/>
    <w:rsid w:val="000F4E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4ECE"/>
  </w:style>
  <w:style w:type="paragraph" w:styleId="Footer">
    <w:name w:val="footer"/>
    <w:basedOn w:val="Normal"/>
    <w:link w:val="FooterChar"/>
    <w:uiPriority w:val="99"/>
    <w:unhideWhenUsed/>
    <w:rsid w:val="000F4E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4ECE"/>
  </w:style>
  <w:style w:type="paragraph" w:customStyle="1" w:styleId="AppelnotedebasdepageCharCharCharCharCharCharChar">
    <w:name w:val="Appel note de bas de page Char Char Char Char Char Char Char"/>
    <w:basedOn w:val="Normal"/>
    <w:rsid w:val="00196770"/>
    <w:pPr>
      <w:spacing w:after="120" w:line="264" w:lineRule="auto"/>
      <w:jc w:val="both"/>
    </w:pPr>
    <w:rPr>
      <w:rFonts w:ascii="Calibri" w:eastAsia="Calibri" w:hAnsi="Calibri" w:cs="Arial"/>
      <w:vertAlign w:val="superscript"/>
      <w:lang w:val="en-GB"/>
    </w:rPr>
  </w:style>
  <w:style w:type="paragraph" w:styleId="Revision">
    <w:name w:val="Revision"/>
    <w:hidden/>
    <w:uiPriority w:val="99"/>
    <w:semiHidden/>
    <w:rsid w:val="00C5690A"/>
    <w:pPr>
      <w:spacing w:after="0" w:line="240" w:lineRule="auto"/>
    </w:pPr>
  </w:style>
  <w:style w:type="character" w:customStyle="1" w:styleId="Heading3Char">
    <w:name w:val="Heading 3 Char"/>
    <w:basedOn w:val="DefaultParagraphFont"/>
    <w:link w:val="Heading3"/>
    <w:uiPriority w:val="9"/>
    <w:rsid w:val="002068B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311EA"/>
    <w:rPr>
      <w:color w:val="0000FF" w:themeColor="hyperlink"/>
      <w:u w:val="single"/>
    </w:rPr>
  </w:style>
  <w:style w:type="character" w:styleId="FollowedHyperlink">
    <w:name w:val="FollowedHyperlink"/>
    <w:basedOn w:val="DefaultParagraphFont"/>
    <w:uiPriority w:val="99"/>
    <w:semiHidden/>
    <w:unhideWhenUsed/>
    <w:rsid w:val="003311EA"/>
    <w:rPr>
      <w:color w:val="800080" w:themeColor="followedHyperlink"/>
      <w:u w:val="single"/>
    </w:rPr>
  </w:style>
  <w:style w:type="paragraph" w:styleId="NormalWeb">
    <w:name w:val="Normal (Web)"/>
    <w:basedOn w:val="Normal"/>
    <w:uiPriority w:val="99"/>
    <w:semiHidden/>
    <w:unhideWhenUsed/>
    <w:rsid w:val="00A06D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B3617E"/>
    <w:pPr>
      <w:autoSpaceDE w:val="0"/>
      <w:autoSpaceDN w:val="0"/>
      <w:adjustRightInd w:val="0"/>
      <w:spacing w:after="0" w:line="240" w:lineRule="auto"/>
    </w:pPr>
    <w:rPr>
      <w:rFonts w:ascii="Garamond" w:hAnsi="Garamond" w:cs="Garamond"/>
      <w:color w:val="000000"/>
      <w:sz w:val="24"/>
      <w:szCs w:val="24"/>
      <w:lang w:val="en-GB"/>
    </w:rPr>
  </w:style>
  <w:style w:type="paragraph" w:customStyle="1" w:styleId="Body">
    <w:name w:val="Body"/>
    <w:rsid w:val="0071034F"/>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635">
      <w:bodyDiv w:val="1"/>
      <w:marLeft w:val="0"/>
      <w:marRight w:val="0"/>
      <w:marTop w:val="0"/>
      <w:marBottom w:val="0"/>
      <w:divBdr>
        <w:top w:val="none" w:sz="0" w:space="0" w:color="auto"/>
        <w:left w:val="none" w:sz="0" w:space="0" w:color="auto"/>
        <w:bottom w:val="none" w:sz="0" w:space="0" w:color="auto"/>
        <w:right w:val="none" w:sz="0" w:space="0" w:color="auto"/>
      </w:divBdr>
      <w:divsChild>
        <w:div w:id="327711836">
          <w:marLeft w:val="0"/>
          <w:marRight w:val="0"/>
          <w:marTop w:val="0"/>
          <w:marBottom w:val="0"/>
          <w:divBdr>
            <w:top w:val="none" w:sz="0" w:space="0" w:color="auto"/>
            <w:left w:val="none" w:sz="0" w:space="0" w:color="auto"/>
            <w:bottom w:val="none" w:sz="0" w:space="0" w:color="auto"/>
            <w:right w:val="none" w:sz="0" w:space="0" w:color="auto"/>
          </w:divBdr>
          <w:divsChild>
            <w:div w:id="224948833">
              <w:marLeft w:val="0"/>
              <w:marRight w:val="0"/>
              <w:marTop w:val="0"/>
              <w:marBottom w:val="0"/>
              <w:divBdr>
                <w:top w:val="none" w:sz="0" w:space="0" w:color="auto"/>
                <w:left w:val="none" w:sz="0" w:space="0" w:color="auto"/>
                <w:bottom w:val="none" w:sz="0" w:space="0" w:color="auto"/>
                <w:right w:val="none" w:sz="0" w:space="0" w:color="auto"/>
              </w:divBdr>
              <w:divsChild>
                <w:div w:id="1754932020">
                  <w:marLeft w:val="0"/>
                  <w:marRight w:val="0"/>
                  <w:marTop w:val="0"/>
                  <w:marBottom w:val="0"/>
                  <w:divBdr>
                    <w:top w:val="none" w:sz="0" w:space="0" w:color="auto"/>
                    <w:left w:val="none" w:sz="0" w:space="0" w:color="auto"/>
                    <w:bottom w:val="none" w:sz="0" w:space="0" w:color="auto"/>
                    <w:right w:val="none" w:sz="0" w:space="0" w:color="auto"/>
                  </w:divBdr>
                  <w:divsChild>
                    <w:div w:id="1315062134">
                      <w:marLeft w:val="0"/>
                      <w:marRight w:val="0"/>
                      <w:marTop w:val="0"/>
                      <w:marBottom w:val="0"/>
                      <w:divBdr>
                        <w:top w:val="none" w:sz="0" w:space="0" w:color="auto"/>
                        <w:left w:val="none" w:sz="0" w:space="0" w:color="auto"/>
                        <w:bottom w:val="none" w:sz="0" w:space="0" w:color="auto"/>
                        <w:right w:val="none" w:sz="0" w:space="0" w:color="auto"/>
                      </w:divBdr>
                      <w:divsChild>
                        <w:div w:id="12062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srn.com/abstract=24325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classifications/icf/en/" TargetMode="External"/><Relationship Id="rId2" Type="http://schemas.openxmlformats.org/officeDocument/2006/relationships/hyperlink" Target="https://www.ohchr.org/EN/Issues/Indicators/Pages/HRIndicatorsIndex.aspx" TargetMode="External"/><Relationship Id="rId1" Type="http://schemas.openxmlformats.org/officeDocument/2006/relationships/hyperlink" Target="https://ssrn.com/abstract=2432546" TargetMode="External"/><Relationship Id="rId4" Type="http://schemas.openxmlformats.org/officeDocument/2006/relationships/hyperlink" Target="https://www.humanrights.dk/publications/gold-indic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F5C3-78EF-4132-A23C-6DD497F4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F0DC0-48A0-4D19-ACC6-BAAF3B196CCE}">
  <ds:schemaRefs>
    <ds:schemaRef ds:uri="http://schemas.microsoft.com/sharepoint/v3/contenttype/forms"/>
  </ds:schemaRefs>
</ds:datastoreItem>
</file>

<file path=customXml/itemProps3.xml><?xml version="1.0" encoding="utf-8"?>
<ds:datastoreItem xmlns:ds="http://schemas.openxmlformats.org/officeDocument/2006/customXml" ds:itemID="{4B1CC0F5-5632-4CFB-886A-928555B95FE1}">
  <ds:schemaRefs>
    <ds:schemaRef ds:uri="http://schemas.openxmlformats.org/package/2006/metadata/core-properties"/>
    <ds:schemaRef ds:uri="http://schemas.microsoft.com/sharepoint/v3"/>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7EECBAF-57BB-41AF-95D2-53184622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1862</Words>
  <Characters>10596</Characters>
  <Application>Microsoft Office Word</Application>
  <DocSecurity>0</DocSecurity>
  <Lines>321</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Sheffield Hallam University</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dstb1@exchange.shu.ac.uk</dc:creator>
  <cp:lastModifiedBy>Thomas Bundschuh</cp:lastModifiedBy>
  <cp:revision>9</cp:revision>
  <cp:lastPrinted>2017-11-29T15:19:00Z</cp:lastPrinted>
  <dcterms:created xsi:type="dcterms:W3CDTF">2017-11-30T23:20:00Z</dcterms:created>
  <dcterms:modified xsi:type="dcterms:W3CDTF">2017-11-30T23:29:00Z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