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5082A" w14:textId="77777777" w:rsidR="00A9247F" w:rsidRDefault="00236D0D" w:rsidP="00236D0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Observaciones presentadas por el Centro de Estudios de Derechos Humanos de la Universidad Autónoma de Yucatán</w:t>
      </w:r>
    </w:p>
    <w:p w14:paraId="25971CD5" w14:textId="77777777" w:rsidR="004C0DA4" w:rsidRPr="00CF3952" w:rsidRDefault="006B0C33" w:rsidP="009C11F7">
      <w:pPr>
        <w:spacing w:line="360" w:lineRule="auto"/>
        <w:jc w:val="both"/>
        <w:rPr>
          <w:rFonts w:ascii="Times New Roman" w:hAnsi="Times New Roman" w:cs="Times New Roman"/>
          <w:b/>
          <w:sz w:val="24"/>
          <w:szCs w:val="24"/>
        </w:rPr>
      </w:pPr>
      <w:r w:rsidRPr="00CF3952">
        <w:rPr>
          <w:rFonts w:ascii="Times New Roman" w:hAnsi="Times New Roman" w:cs="Times New Roman"/>
          <w:b/>
          <w:sz w:val="24"/>
          <w:szCs w:val="24"/>
        </w:rPr>
        <w:t xml:space="preserve">I. Interseccionalidad y discriminación </w:t>
      </w:r>
    </w:p>
    <w:p w14:paraId="3139EE99" w14:textId="77777777" w:rsidR="00B94422" w:rsidRPr="00CF3952" w:rsidRDefault="00B94422" w:rsidP="009C11F7">
      <w:pPr>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 xml:space="preserve">La discriminación que sufren </w:t>
      </w:r>
      <w:r w:rsidR="00E15560" w:rsidRPr="00CF3952">
        <w:rPr>
          <w:rFonts w:ascii="Times New Roman" w:hAnsi="Times New Roman" w:cs="Times New Roman"/>
          <w:sz w:val="24"/>
          <w:szCs w:val="24"/>
        </w:rPr>
        <w:t xml:space="preserve">las personas con discapacidad se enmarca con los estereotipos asociados a las diversos tipos de discapacidad, sin embargo, se encuentra agravada por las limitaciones relacionadas con la falta de </w:t>
      </w:r>
      <w:r w:rsidR="00E15560" w:rsidRPr="00CF3952">
        <w:rPr>
          <w:rFonts w:ascii="Times New Roman" w:eastAsia="Times New Roman" w:hAnsi="Times New Roman" w:cs="Times New Roman"/>
          <w:sz w:val="24"/>
          <w:szCs w:val="24"/>
          <w:lang w:eastAsia="es-MX"/>
        </w:rPr>
        <w:t xml:space="preserve">modificaciones y adaptaciones –siempre que se requieran en un caso particular– para garantizar a las personas con discapacidad el goce o ejercicio de sus derechos, en igualdad de condiciones con las demás personas. </w:t>
      </w:r>
      <w:r w:rsidR="00E15560" w:rsidRPr="00CF3952">
        <w:rPr>
          <w:rFonts w:ascii="Times New Roman" w:hAnsi="Times New Roman" w:cs="Times New Roman"/>
          <w:sz w:val="24"/>
          <w:szCs w:val="24"/>
        </w:rPr>
        <w:t xml:space="preserve"> </w:t>
      </w:r>
    </w:p>
    <w:p w14:paraId="1683278B" w14:textId="77777777" w:rsidR="00D24522" w:rsidRPr="00CF3952" w:rsidRDefault="00E15560" w:rsidP="009C11F7">
      <w:pPr>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 xml:space="preserve">Por otro lado, antes de </w:t>
      </w:r>
      <w:r w:rsidR="0097210D" w:rsidRPr="00CF3952">
        <w:rPr>
          <w:rFonts w:ascii="Times New Roman" w:hAnsi="Times New Roman" w:cs="Times New Roman"/>
          <w:sz w:val="24"/>
          <w:szCs w:val="24"/>
        </w:rPr>
        <w:t>hablar de</w:t>
      </w:r>
      <w:r w:rsidRPr="00CF3952">
        <w:rPr>
          <w:rFonts w:ascii="Times New Roman" w:hAnsi="Times New Roman" w:cs="Times New Roman"/>
          <w:sz w:val="24"/>
          <w:szCs w:val="24"/>
        </w:rPr>
        <w:t xml:space="preserve"> la</w:t>
      </w:r>
      <w:r w:rsidR="0097210D" w:rsidRPr="00CF3952">
        <w:rPr>
          <w:rFonts w:ascii="Times New Roman" w:hAnsi="Times New Roman" w:cs="Times New Roman"/>
          <w:sz w:val="24"/>
          <w:szCs w:val="24"/>
        </w:rPr>
        <w:t xml:space="preserve"> discriminación </w:t>
      </w:r>
      <w:r w:rsidRPr="00CF3952">
        <w:rPr>
          <w:rFonts w:ascii="Times New Roman" w:hAnsi="Times New Roman" w:cs="Times New Roman"/>
          <w:sz w:val="24"/>
          <w:szCs w:val="24"/>
        </w:rPr>
        <w:t xml:space="preserve">que sufren las </w:t>
      </w:r>
      <w:r w:rsidR="0097210D" w:rsidRPr="00CF3952">
        <w:rPr>
          <w:rFonts w:ascii="Times New Roman" w:hAnsi="Times New Roman" w:cs="Times New Roman"/>
          <w:sz w:val="24"/>
          <w:szCs w:val="24"/>
        </w:rPr>
        <w:t>personas con discapacidad resulta necesario definir “interseccionalidad”, término que fue introducido por Kimberlee Crenshaw para referirse a las desventajas específicas que sufrían las mujeres afroamericanas en comparación al resto de las mujeres</w:t>
      </w:r>
      <w:r w:rsidR="0097210D" w:rsidRPr="00CF3952">
        <w:rPr>
          <w:rStyle w:val="Refdenotaalpie"/>
          <w:rFonts w:ascii="Times New Roman" w:hAnsi="Times New Roman" w:cs="Times New Roman"/>
          <w:sz w:val="24"/>
          <w:szCs w:val="24"/>
        </w:rPr>
        <w:footnoteReference w:id="1"/>
      </w:r>
      <w:r w:rsidR="0097210D" w:rsidRPr="00CF3952">
        <w:rPr>
          <w:rFonts w:ascii="Times New Roman" w:hAnsi="Times New Roman" w:cs="Times New Roman"/>
          <w:sz w:val="24"/>
          <w:szCs w:val="24"/>
        </w:rPr>
        <w:t>. Así, la interseccionalidad</w:t>
      </w:r>
      <w:r w:rsidRPr="00CF3952">
        <w:rPr>
          <w:rFonts w:ascii="Times New Roman" w:hAnsi="Times New Roman" w:cs="Times New Roman"/>
          <w:sz w:val="24"/>
          <w:szCs w:val="24"/>
        </w:rPr>
        <w:t xml:space="preserve"> reconoce </w:t>
      </w:r>
      <w:r w:rsidR="00B94422" w:rsidRPr="00CF3952">
        <w:rPr>
          <w:rFonts w:ascii="Times New Roman" w:hAnsi="Times New Roman" w:cs="Times New Roman"/>
          <w:sz w:val="24"/>
          <w:szCs w:val="24"/>
        </w:rPr>
        <w:t>que las personas no experimentan la discriminación en un vacío, sino dentro de un contexto social, económico y cultural determinado, en donde se construyen y reproducen los privilegios y las desventajas.</w:t>
      </w:r>
    </w:p>
    <w:p w14:paraId="4090CFAB" w14:textId="77777777" w:rsidR="0097210D" w:rsidRPr="00CF3952" w:rsidRDefault="00D24522" w:rsidP="009C11F7">
      <w:pPr>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 xml:space="preserve">Ignorar en la discapacidad el factor de la interseccionalidad es obviar unas de las causas de desigualdad y exclusión más común, así como un retroceso en la heterogeneidad de las políticas existentes, reforzando las barreras que socialmente han favorecido a los grupos dominantes. </w:t>
      </w:r>
      <w:r w:rsidR="00E15560" w:rsidRPr="00CF3952">
        <w:rPr>
          <w:rFonts w:ascii="Times New Roman" w:hAnsi="Times New Roman" w:cs="Times New Roman"/>
          <w:sz w:val="24"/>
          <w:szCs w:val="24"/>
        </w:rPr>
        <w:t>La interseccionalidad en la discriminación que sufren las personas con discapacidad implica reconoce</w:t>
      </w:r>
      <w:r w:rsidR="00985B50" w:rsidRPr="00CF3952">
        <w:rPr>
          <w:rFonts w:ascii="Times New Roman" w:hAnsi="Times New Roman" w:cs="Times New Roman"/>
          <w:sz w:val="24"/>
          <w:szCs w:val="24"/>
        </w:rPr>
        <w:t xml:space="preserve">r que las atribuciones personales como edad, </w:t>
      </w:r>
      <w:r w:rsidR="00901939" w:rsidRPr="00CF3952">
        <w:rPr>
          <w:rFonts w:ascii="Times New Roman" w:hAnsi="Times New Roman" w:cs="Times New Roman"/>
          <w:sz w:val="24"/>
          <w:szCs w:val="24"/>
        </w:rPr>
        <w:t>género</w:t>
      </w:r>
      <w:r w:rsidR="00985B50" w:rsidRPr="00CF3952">
        <w:rPr>
          <w:rFonts w:ascii="Times New Roman" w:hAnsi="Times New Roman" w:cs="Times New Roman"/>
          <w:sz w:val="24"/>
          <w:szCs w:val="24"/>
        </w:rPr>
        <w:t xml:space="preserve">, origen étnico, nacionalidad, orientación sexual, religión o cualquier otra, pueden agravar el impacto de la discriminación </w:t>
      </w:r>
      <w:r w:rsidR="00901939" w:rsidRPr="00CF3952">
        <w:rPr>
          <w:rFonts w:ascii="Times New Roman" w:hAnsi="Times New Roman" w:cs="Times New Roman"/>
          <w:sz w:val="24"/>
          <w:szCs w:val="24"/>
        </w:rPr>
        <w:t xml:space="preserve">en una persona. </w:t>
      </w:r>
      <w:r w:rsidR="00985B50" w:rsidRPr="00CF3952">
        <w:rPr>
          <w:rFonts w:ascii="Times New Roman" w:hAnsi="Times New Roman" w:cs="Times New Roman"/>
          <w:sz w:val="24"/>
          <w:szCs w:val="24"/>
        </w:rPr>
        <w:t xml:space="preserve">Consecuentemente, </w:t>
      </w:r>
      <w:r w:rsidR="00901939" w:rsidRPr="00CF3952">
        <w:rPr>
          <w:rFonts w:ascii="Times New Roman" w:hAnsi="Times New Roman" w:cs="Times New Roman"/>
          <w:sz w:val="24"/>
          <w:szCs w:val="24"/>
        </w:rPr>
        <w:t xml:space="preserve">una persona que experimenta dos o más motivos de discriminación sufre una discriminación compleja o agravada -discriminación múltiple-. </w:t>
      </w:r>
    </w:p>
    <w:p w14:paraId="0E7BBA9A" w14:textId="77777777" w:rsidR="004C0DA4" w:rsidRPr="00CF3952" w:rsidRDefault="004C0DA4" w:rsidP="009C11F7">
      <w:pPr>
        <w:spacing w:line="360" w:lineRule="auto"/>
        <w:jc w:val="both"/>
        <w:rPr>
          <w:rFonts w:ascii="Times New Roman" w:hAnsi="Times New Roman" w:cs="Times New Roman"/>
          <w:b/>
          <w:sz w:val="24"/>
          <w:szCs w:val="24"/>
        </w:rPr>
      </w:pPr>
      <w:r w:rsidRPr="00CF3952">
        <w:rPr>
          <w:rFonts w:ascii="Times New Roman" w:hAnsi="Times New Roman" w:cs="Times New Roman"/>
          <w:b/>
          <w:sz w:val="24"/>
          <w:szCs w:val="24"/>
        </w:rPr>
        <w:t>II. Atención de la salud mental en el Estado de Yucatán</w:t>
      </w:r>
    </w:p>
    <w:p w14:paraId="3BB25381" w14:textId="77777777" w:rsidR="00F769E2" w:rsidRPr="00CF3952" w:rsidRDefault="00F902D5" w:rsidP="009C11F7">
      <w:pPr>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 xml:space="preserve">En octubre de 2007 el Gobierno del Estado de Yucatán mediante decreto legislativo presentado ante el Congreso Estatal manifestaba su compromiso en destinar presupuesto hacia la Asociación Civil “Fundación Teletón”. Dichas aportaciones consistirían en </w:t>
      </w:r>
      <w:r w:rsidRPr="00CF3952">
        <w:rPr>
          <w:rFonts w:ascii="Times New Roman" w:hAnsi="Times New Roman" w:cs="Times New Roman"/>
          <w:sz w:val="24"/>
          <w:szCs w:val="24"/>
        </w:rPr>
        <w:lastRenderedPageBreak/>
        <w:t xml:space="preserve">aportaciones equivalentes a ocho millones de UDIS (Unidades de Inversión) a partir del ejercicio fiscal 2008 y durante un periodo de diez años. </w:t>
      </w:r>
    </w:p>
    <w:p w14:paraId="433A4020" w14:textId="77777777" w:rsidR="00F902D5" w:rsidRPr="00CF3952" w:rsidRDefault="00F902D5" w:rsidP="009C11F7">
      <w:pPr>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 xml:space="preserve">De acuerdo a la información pública, el gobierno del estado ha destinado </w:t>
      </w:r>
      <w:r w:rsidRPr="00CF3952">
        <w:rPr>
          <w:rFonts w:ascii="Times New Roman" w:hAnsi="Times New Roman" w:cs="Times New Roman"/>
          <w:b/>
          <w:sz w:val="24"/>
          <w:szCs w:val="24"/>
        </w:rPr>
        <w:t>$44,294, 280</w:t>
      </w:r>
      <w:r w:rsidRPr="00CF3952">
        <w:rPr>
          <w:rFonts w:ascii="Times New Roman" w:hAnsi="Times New Roman" w:cs="Times New Roman"/>
          <w:sz w:val="24"/>
          <w:szCs w:val="24"/>
        </w:rPr>
        <w:t xml:space="preserve"> en 2017</w:t>
      </w:r>
      <w:r w:rsidR="009E7FAD" w:rsidRPr="00CF3952">
        <w:rPr>
          <w:rStyle w:val="Refdenotaalpie"/>
          <w:rFonts w:ascii="Times New Roman" w:hAnsi="Times New Roman" w:cs="Times New Roman"/>
          <w:sz w:val="24"/>
          <w:szCs w:val="24"/>
        </w:rPr>
        <w:footnoteReference w:id="2"/>
      </w:r>
      <w:r w:rsidRPr="00CF3952">
        <w:rPr>
          <w:rFonts w:ascii="Times New Roman" w:hAnsi="Times New Roman" w:cs="Times New Roman"/>
          <w:sz w:val="24"/>
          <w:szCs w:val="24"/>
        </w:rPr>
        <w:t xml:space="preserve">; </w:t>
      </w:r>
      <w:r w:rsidRPr="00CF3952">
        <w:rPr>
          <w:rFonts w:ascii="Times New Roman" w:hAnsi="Times New Roman" w:cs="Times New Roman"/>
          <w:b/>
          <w:sz w:val="24"/>
          <w:szCs w:val="24"/>
        </w:rPr>
        <w:t>$42, 799, 736</w:t>
      </w:r>
      <w:r w:rsidR="009E7FAD" w:rsidRPr="00CF3952">
        <w:rPr>
          <w:rStyle w:val="Refdenotaalpie"/>
          <w:rFonts w:ascii="Times New Roman" w:hAnsi="Times New Roman" w:cs="Times New Roman"/>
          <w:b/>
          <w:sz w:val="24"/>
          <w:szCs w:val="24"/>
        </w:rPr>
        <w:footnoteReference w:id="3"/>
      </w:r>
      <w:r w:rsidRPr="00CF3952">
        <w:rPr>
          <w:rFonts w:ascii="Times New Roman" w:hAnsi="Times New Roman" w:cs="Times New Roman"/>
          <w:sz w:val="24"/>
          <w:szCs w:val="24"/>
        </w:rPr>
        <w:t xml:space="preserve"> en 2016 y $</w:t>
      </w:r>
      <w:r w:rsidRPr="00CF3952">
        <w:rPr>
          <w:rFonts w:ascii="Times New Roman" w:hAnsi="Times New Roman" w:cs="Times New Roman"/>
          <w:b/>
          <w:sz w:val="24"/>
          <w:szCs w:val="24"/>
        </w:rPr>
        <w:t>42, 329, 128</w:t>
      </w:r>
      <w:r w:rsidR="009E7FAD" w:rsidRPr="00CF3952">
        <w:rPr>
          <w:rStyle w:val="Refdenotaalpie"/>
          <w:rFonts w:ascii="Times New Roman" w:hAnsi="Times New Roman" w:cs="Times New Roman"/>
          <w:b/>
          <w:sz w:val="24"/>
          <w:szCs w:val="24"/>
        </w:rPr>
        <w:footnoteReference w:id="4"/>
      </w:r>
      <w:r w:rsidRPr="00CF3952">
        <w:rPr>
          <w:rFonts w:ascii="Times New Roman" w:hAnsi="Times New Roman" w:cs="Times New Roman"/>
          <w:sz w:val="24"/>
          <w:szCs w:val="24"/>
        </w:rPr>
        <w:t xml:space="preserve"> en 2015, sumando un total de </w:t>
      </w:r>
      <w:r w:rsidR="00C25EF7" w:rsidRPr="00CF3952">
        <w:rPr>
          <w:rFonts w:ascii="Times New Roman" w:hAnsi="Times New Roman" w:cs="Times New Roman"/>
          <w:b/>
          <w:sz w:val="24"/>
          <w:szCs w:val="24"/>
        </w:rPr>
        <w:t>$1,294, 231, 440</w:t>
      </w:r>
      <w:r w:rsidR="00C25EF7" w:rsidRPr="00CF3952">
        <w:rPr>
          <w:rFonts w:ascii="Times New Roman" w:hAnsi="Times New Roman" w:cs="Times New Roman"/>
          <w:sz w:val="24"/>
          <w:szCs w:val="24"/>
        </w:rPr>
        <w:t xml:space="preserve"> durante los últimos tres años frente a los </w:t>
      </w:r>
      <w:r w:rsidR="00C25EF7" w:rsidRPr="00CF3952">
        <w:rPr>
          <w:rFonts w:ascii="Times New Roman" w:hAnsi="Times New Roman" w:cs="Times New Roman"/>
          <w:b/>
          <w:sz w:val="24"/>
          <w:szCs w:val="24"/>
        </w:rPr>
        <w:t>$16, 437, 613</w:t>
      </w:r>
      <w:r w:rsidR="00C25EF7" w:rsidRPr="00CF3952">
        <w:rPr>
          <w:rFonts w:ascii="Times New Roman" w:hAnsi="Times New Roman" w:cs="Times New Roman"/>
          <w:sz w:val="24"/>
          <w:szCs w:val="24"/>
        </w:rPr>
        <w:t xml:space="preserve"> que ha destinado al rubro de salud mental en el presupuesto público. Cabe mencionar que hasta la fecha</w:t>
      </w:r>
      <w:bookmarkStart w:id="0" w:name="_GoBack"/>
      <w:bookmarkEnd w:id="0"/>
      <w:r w:rsidR="00C25EF7" w:rsidRPr="00CF3952">
        <w:rPr>
          <w:rFonts w:ascii="Times New Roman" w:hAnsi="Times New Roman" w:cs="Times New Roman"/>
          <w:sz w:val="24"/>
          <w:szCs w:val="24"/>
        </w:rPr>
        <w:t xml:space="preserve"> no existe una institución pública especializada que atienda a las personas con discapacidad</w:t>
      </w:r>
      <w:r w:rsidR="004C0DA4" w:rsidRPr="00CF3952">
        <w:rPr>
          <w:rFonts w:ascii="Times New Roman" w:hAnsi="Times New Roman" w:cs="Times New Roman"/>
          <w:sz w:val="24"/>
          <w:szCs w:val="24"/>
        </w:rPr>
        <w:t xml:space="preserve"> de forma adecuada</w:t>
      </w:r>
      <w:r w:rsidR="00C25EF7" w:rsidRPr="00CF3952">
        <w:rPr>
          <w:rFonts w:ascii="Times New Roman" w:hAnsi="Times New Roman" w:cs="Times New Roman"/>
          <w:sz w:val="24"/>
          <w:szCs w:val="24"/>
        </w:rPr>
        <w:t xml:space="preserve">, por otro lado, la medida </w:t>
      </w:r>
      <w:r w:rsidR="004C0DA4" w:rsidRPr="00CF3952">
        <w:rPr>
          <w:rFonts w:ascii="Times New Roman" w:hAnsi="Times New Roman" w:cs="Times New Roman"/>
          <w:i/>
          <w:sz w:val="24"/>
          <w:szCs w:val="24"/>
        </w:rPr>
        <w:t xml:space="preserve">más común </w:t>
      </w:r>
      <w:r w:rsidR="00C25EF7" w:rsidRPr="00CF3952">
        <w:rPr>
          <w:rFonts w:ascii="Times New Roman" w:hAnsi="Times New Roman" w:cs="Times New Roman"/>
          <w:sz w:val="24"/>
          <w:szCs w:val="24"/>
        </w:rPr>
        <w:t xml:space="preserve">ha sido el internamiento en </w:t>
      </w:r>
      <w:r w:rsidR="004C0DA4" w:rsidRPr="00CF3952">
        <w:rPr>
          <w:rFonts w:ascii="Times New Roman" w:hAnsi="Times New Roman" w:cs="Times New Roman"/>
          <w:sz w:val="24"/>
          <w:szCs w:val="24"/>
        </w:rPr>
        <w:t>el Hospital Psiquiátrico de Yucatán, en contravención de las recomendaciones realizadas por el Comité a México en 2014</w:t>
      </w:r>
      <w:r w:rsidR="004C0DA4" w:rsidRPr="00CF3952">
        <w:rPr>
          <w:rStyle w:val="Refdenotaalpie"/>
          <w:rFonts w:ascii="Times New Roman" w:hAnsi="Times New Roman" w:cs="Times New Roman"/>
          <w:sz w:val="24"/>
          <w:szCs w:val="24"/>
        </w:rPr>
        <w:footnoteReference w:id="5"/>
      </w:r>
      <w:r w:rsidR="004C0DA4" w:rsidRPr="00CF3952">
        <w:rPr>
          <w:rFonts w:ascii="Times New Roman" w:hAnsi="Times New Roman" w:cs="Times New Roman"/>
          <w:sz w:val="24"/>
          <w:szCs w:val="24"/>
        </w:rPr>
        <w:t xml:space="preserve">. </w:t>
      </w:r>
    </w:p>
    <w:p w14:paraId="2CBAD14F" w14:textId="77777777" w:rsidR="0097210D" w:rsidRPr="00CF3952" w:rsidRDefault="004C0DA4" w:rsidP="009C11F7">
      <w:pPr>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El incumplimiento de las recomendaciones así como el enfoque erróneo que se la ha dado a la atención de personas con discapacidades psicosociales y/o cognitivas en Yucatán es preocupante, en primer lugar porque continua destinando recursos públicos a la “Fundación Teletón” que promueve estereotipos sobre las personas con discapacidad</w:t>
      </w:r>
      <w:r w:rsidRPr="00CF3952">
        <w:rPr>
          <w:rStyle w:val="Refdenotaalpie"/>
          <w:rFonts w:ascii="Times New Roman" w:hAnsi="Times New Roman" w:cs="Times New Roman"/>
          <w:sz w:val="24"/>
          <w:szCs w:val="24"/>
        </w:rPr>
        <w:footnoteReference w:id="6"/>
      </w:r>
      <w:r w:rsidRPr="00CF3952">
        <w:rPr>
          <w:rFonts w:ascii="Times New Roman" w:hAnsi="Times New Roman" w:cs="Times New Roman"/>
          <w:sz w:val="24"/>
          <w:szCs w:val="24"/>
        </w:rPr>
        <w:t xml:space="preserve"> y además no está siendo debidamente fiscalizada sobre el manejo de los recursos q</w:t>
      </w:r>
      <w:r w:rsidR="0097210D" w:rsidRPr="00CF3952">
        <w:rPr>
          <w:rFonts w:ascii="Times New Roman" w:hAnsi="Times New Roman" w:cs="Times New Roman"/>
          <w:sz w:val="24"/>
          <w:szCs w:val="24"/>
        </w:rPr>
        <w:t>ue recibe.</w:t>
      </w:r>
    </w:p>
    <w:p w14:paraId="15FC9AB2" w14:textId="77777777" w:rsidR="00E379AA" w:rsidRPr="00CF3952" w:rsidRDefault="00901939" w:rsidP="00E379AA">
      <w:pPr>
        <w:spacing w:line="360" w:lineRule="auto"/>
        <w:jc w:val="both"/>
        <w:rPr>
          <w:rFonts w:ascii="Times New Roman" w:hAnsi="Times New Roman" w:cs="Times New Roman"/>
          <w:b/>
          <w:sz w:val="24"/>
          <w:szCs w:val="24"/>
        </w:rPr>
      </w:pPr>
      <w:r w:rsidRPr="00CF3952">
        <w:rPr>
          <w:rFonts w:ascii="Times New Roman" w:hAnsi="Times New Roman" w:cs="Times New Roman"/>
          <w:b/>
          <w:sz w:val="24"/>
          <w:szCs w:val="24"/>
        </w:rPr>
        <w:t xml:space="preserve">III. Hospital Psiquiátrico de Yucatán </w:t>
      </w:r>
    </w:p>
    <w:p w14:paraId="16C74DB9" w14:textId="77777777" w:rsidR="00E379AA" w:rsidRPr="00CF3952" w:rsidRDefault="00E379AA" w:rsidP="00E379AA">
      <w:pPr>
        <w:shd w:val="clear" w:color="auto" w:fill="FFFFFF"/>
        <w:spacing w:line="360" w:lineRule="auto"/>
        <w:jc w:val="both"/>
        <w:rPr>
          <w:rFonts w:ascii="Times New Roman" w:eastAsia="Times New Roman" w:hAnsi="Times New Roman" w:cs="Times New Roman"/>
          <w:sz w:val="24"/>
          <w:szCs w:val="24"/>
          <w:lang w:eastAsia="es-MX"/>
        </w:rPr>
      </w:pPr>
      <w:r w:rsidRPr="00CF3952">
        <w:rPr>
          <w:rFonts w:ascii="Times New Roman" w:hAnsi="Times New Roman" w:cs="Times New Roman"/>
          <w:sz w:val="24"/>
          <w:szCs w:val="24"/>
          <w:shd w:val="clear" w:color="auto" w:fill="FFFFFF"/>
        </w:rPr>
        <w:t>El Hospital Psiquiátrico “Yucatán” es la única institución pública que se especializa en proporcionar atención médico-psiquiátrica en el estado y depende a nivel estatal del organismo público descentralizado denominado “Servicios de Salud de Yucatán” y a nivel federal la Secretaría de Salud.</w:t>
      </w:r>
    </w:p>
    <w:p w14:paraId="76FD6861" w14:textId="77777777" w:rsidR="00E379AA" w:rsidRPr="00CF3952" w:rsidRDefault="00E379AA" w:rsidP="00E379AA">
      <w:pPr>
        <w:shd w:val="clear" w:color="auto" w:fill="FFFFFF"/>
        <w:spacing w:line="360" w:lineRule="auto"/>
        <w:jc w:val="both"/>
        <w:rPr>
          <w:rFonts w:ascii="Times New Roman" w:hAnsi="Times New Roman" w:cs="Times New Roman"/>
          <w:sz w:val="24"/>
          <w:szCs w:val="24"/>
        </w:rPr>
      </w:pPr>
      <w:r w:rsidRPr="00CF3952">
        <w:rPr>
          <w:rFonts w:ascii="Times New Roman" w:hAnsi="Times New Roman" w:cs="Times New Roman"/>
          <w:sz w:val="24"/>
          <w:szCs w:val="24"/>
          <w:shd w:val="clear" w:color="auto" w:fill="FFFFFF"/>
        </w:rPr>
        <w:t>Entre los servicios que proporciona el Hospital Psiquiátrico “Yucatán”</w:t>
      </w:r>
      <w:r w:rsidRPr="00CF3952">
        <w:rPr>
          <w:rStyle w:val="Refdenotaalpie"/>
          <w:rFonts w:ascii="Times New Roman" w:hAnsi="Times New Roman" w:cs="Times New Roman"/>
          <w:sz w:val="24"/>
          <w:szCs w:val="24"/>
          <w:shd w:val="clear" w:color="auto" w:fill="FFFFFF"/>
        </w:rPr>
        <w:footnoteReference w:id="7"/>
      </w:r>
      <w:r w:rsidRPr="00CF3952">
        <w:rPr>
          <w:rFonts w:ascii="Times New Roman" w:hAnsi="Times New Roman" w:cs="Times New Roman"/>
          <w:sz w:val="24"/>
          <w:szCs w:val="24"/>
          <w:shd w:val="clear" w:color="auto" w:fill="FFFFFF"/>
        </w:rPr>
        <w:t xml:space="preserve">, se encuentran consultas externas, hospitalización, cuidados intensivos psiquiátricos intrahospitalarios, clínica de psicología para pacientes hospitalizados y de seguimiento externo, rehabilitación </w:t>
      </w:r>
      <w:r w:rsidRPr="00CF3952">
        <w:rPr>
          <w:rFonts w:ascii="Times New Roman" w:hAnsi="Times New Roman" w:cs="Times New Roman"/>
          <w:sz w:val="24"/>
          <w:szCs w:val="24"/>
          <w:shd w:val="clear" w:color="auto" w:fill="FFFFFF"/>
        </w:rPr>
        <w:lastRenderedPageBreak/>
        <w:t>psicosocial, terapia electroconvulsiva intrahospitalaria y ambulatoria, electroencefalografía intrahospitalaria, odontología integral intrahospitalaria, así como a</w:t>
      </w:r>
      <w:r w:rsidRPr="00CF3952">
        <w:rPr>
          <w:rFonts w:ascii="Times New Roman" w:eastAsia="Times New Roman" w:hAnsi="Times New Roman" w:cs="Times New Roman"/>
          <w:sz w:val="24"/>
          <w:szCs w:val="24"/>
          <w:lang w:eastAsia="es-MX"/>
        </w:rPr>
        <w:t xml:space="preserve">tención de pacientes de seguro popular, población abierta y subrogados del Instituto Mexicano del Seguro Social (IMSS),Instituto de Seguridad y Servicios Sociales de los Trabajadores del Estado (ISSSTE), entre otros. </w:t>
      </w:r>
      <w:r w:rsidRPr="00CF3952">
        <w:rPr>
          <w:rFonts w:ascii="Times New Roman" w:hAnsi="Times New Roman" w:cs="Times New Roman"/>
          <w:sz w:val="24"/>
          <w:szCs w:val="24"/>
        </w:rPr>
        <w:t>De acuerdo a la información proporcionada por la institución, sus registros muestran que el promedio mensual de consultas externas es de 8999. Adicionalmente a los servicios antes mencionados se encuentra el área de urgencias, la cual proporciona 300 consultas mensuales en promedio</w:t>
      </w:r>
    </w:p>
    <w:p w14:paraId="729A3796" w14:textId="77777777" w:rsidR="00E379AA" w:rsidRPr="00CF3952" w:rsidRDefault="00E379AA" w:rsidP="00E379AA">
      <w:pPr>
        <w:pStyle w:val="Prrafodelista"/>
        <w:numPr>
          <w:ilvl w:val="0"/>
          <w:numId w:val="10"/>
        </w:numPr>
        <w:shd w:val="clear" w:color="auto" w:fill="FFFFFF"/>
        <w:spacing w:line="360" w:lineRule="auto"/>
        <w:jc w:val="both"/>
        <w:rPr>
          <w:rFonts w:ascii="Times New Roman" w:eastAsia="Times New Roman" w:hAnsi="Times New Roman" w:cs="Times New Roman"/>
          <w:sz w:val="24"/>
          <w:szCs w:val="24"/>
          <w:lang w:eastAsia="es-MX"/>
        </w:rPr>
      </w:pPr>
      <w:r w:rsidRPr="00CF3952">
        <w:rPr>
          <w:rFonts w:ascii="Times New Roman" w:eastAsia="Times New Roman" w:hAnsi="Times New Roman" w:cs="Times New Roman"/>
          <w:sz w:val="24"/>
          <w:szCs w:val="24"/>
          <w:lang w:eastAsia="es-MX"/>
        </w:rPr>
        <w:t>Condiciones</w:t>
      </w:r>
    </w:p>
    <w:p w14:paraId="21537A7E" w14:textId="77777777" w:rsidR="00E379AA" w:rsidRPr="00CF3952" w:rsidRDefault="00E379AA" w:rsidP="00E379AA">
      <w:pPr>
        <w:shd w:val="clear" w:color="auto" w:fill="FFFFFF"/>
        <w:spacing w:line="360" w:lineRule="auto"/>
        <w:jc w:val="both"/>
        <w:rPr>
          <w:rFonts w:ascii="Times New Roman" w:hAnsi="Times New Roman" w:cs="Times New Roman"/>
          <w:sz w:val="24"/>
          <w:szCs w:val="24"/>
        </w:rPr>
      </w:pPr>
      <w:r w:rsidRPr="00CF3952">
        <w:rPr>
          <w:rFonts w:ascii="Times New Roman" w:eastAsia="Times New Roman" w:hAnsi="Times New Roman" w:cs="Times New Roman"/>
          <w:sz w:val="24"/>
          <w:szCs w:val="24"/>
          <w:lang w:eastAsia="es-MX"/>
        </w:rPr>
        <w:t xml:space="preserve">Múltiples organismos como la Comisión de Derechos Humanos del Estado de Yucatán (CODHEY), a través </w:t>
      </w:r>
      <w:r w:rsidRPr="00CF3952">
        <w:rPr>
          <w:rFonts w:ascii="Times New Roman" w:hAnsi="Times New Roman" w:cs="Times New Roman"/>
          <w:sz w:val="24"/>
          <w:szCs w:val="24"/>
        </w:rPr>
        <w:t>de su Centro de Supervisión Permanente a Organismos Públicos y con fundamento en ley que rige a dicho organismo</w:t>
      </w:r>
      <w:r w:rsidRPr="00CF3952">
        <w:rPr>
          <w:rStyle w:val="Refdenotaalpie"/>
          <w:rFonts w:ascii="Times New Roman" w:hAnsi="Times New Roman" w:cs="Times New Roman"/>
          <w:sz w:val="24"/>
          <w:szCs w:val="24"/>
        </w:rPr>
        <w:footnoteReference w:id="8"/>
      </w:r>
      <w:r w:rsidRPr="00CF3952">
        <w:rPr>
          <w:rFonts w:ascii="Times New Roman" w:hAnsi="Times New Roman" w:cs="Times New Roman"/>
          <w:sz w:val="24"/>
          <w:szCs w:val="24"/>
        </w:rPr>
        <w:t>, ha presentado diversos informes sobre las condiciones en las que se encuentra el Hospital Psiquiátrico Yucatán en sus Informes sobre Supervisión a Centros de Salud y Hospitales del Estado de Yucatán de los años 2013</w:t>
      </w:r>
      <w:r w:rsidRPr="00CF3952">
        <w:rPr>
          <w:rStyle w:val="Refdenotaalpie"/>
          <w:rFonts w:ascii="Times New Roman" w:hAnsi="Times New Roman" w:cs="Times New Roman"/>
          <w:sz w:val="24"/>
          <w:szCs w:val="24"/>
        </w:rPr>
        <w:footnoteReference w:id="9"/>
      </w:r>
      <w:r w:rsidRPr="00CF3952">
        <w:rPr>
          <w:rFonts w:ascii="Times New Roman" w:hAnsi="Times New Roman" w:cs="Times New Roman"/>
          <w:sz w:val="24"/>
          <w:szCs w:val="24"/>
        </w:rPr>
        <w:t xml:space="preserve"> y 2015</w:t>
      </w:r>
      <w:r w:rsidRPr="00CF3952">
        <w:rPr>
          <w:rStyle w:val="Refdenotaalpie"/>
          <w:rFonts w:ascii="Times New Roman" w:hAnsi="Times New Roman" w:cs="Times New Roman"/>
          <w:sz w:val="24"/>
          <w:szCs w:val="24"/>
        </w:rPr>
        <w:footnoteReference w:id="10"/>
      </w:r>
      <w:r w:rsidRPr="00CF3952">
        <w:rPr>
          <w:rFonts w:ascii="Times New Roman" w:hAnsi="Times New Roman" w:cs="Times New Roman"/>
          <w:sz w:val="24"/>
          <w:szCs w:val="24"/>
        </w:rPr>
        <w:t>, así como su Informe anual de actividades 2016</w:t>
      </w:r>
      <w:r w:rsidRPr="00CF3952">
        <w:rPr>
          <w:rStyle w:val="Refdenotaalpie"/>
          <w:rFonts w:ascii="Times New Roman" w:hAnsi="Times New Roman" w:cs="Times New Roman"/>
          <w:sz w:val="24"/>
          <w:szCs w:val="24"/>
        </w:rPr>
        <w:footnoteReference w:id="11"/>
      </w:r>
      <w:r w:rsidRPr="00CF3952">
        <w:rPr>
          <w:rFonts w:ascii="Times New Roman" w:hAnsi="Times New Roman" w:cs="Times New Roman"/>
          <w:sz w:val="24"/>
          <w:szCs w:val="24"/>
        </w:rPr>
        <w:t>, en los cuales se hace referencia a dicho hospital.</w:t>
      </w:r>
    </w:p>
    <w:p w14:paraId="1A8EF723" w14:textId="77777777" w:rsidR="00E379AA" w:rsidRPr="00CF3952" w:rsidRDefault="00E379AA" w:rsidP="00E379AA">
      <w:pPr>
        <w:shd w:val="clear" w:color="auto" w:fill="FFFFFF"/>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 xml:space="preserve">En ese sentido, las condiciones del Hospital Psiquiátrico Yucatán se encuentran alejadas de los estándares de derechos humanos de las personas pacientes del mismo, de los informes antes referidos, se desprende que en las instalaciones se encuentran deterioradas y entre otras cosas: los techos tienen signos de filtraciones, humedad y moho, la iluminación es insuficiente, paredes derribadas y pisos desgastados. Asimismo, la higiene en el lugar no es la adecuada, pues tanto el agua de las regaderas y los baños, así como los artículos de higiene personal que utilizan los pacientes se encuentran controlados por el personal de enfermería, </w:t>
      </w:r>
      <w:r w:rsidRPr="00CF3952">
        <w:rPr>
          <w:rFonts w:ascii="Times New Roman" w:hAnsi="Times New Roman" w:cs="Times New Roman"/>
          <w:sz w:val="24"/>
          <w:szCs w:val="24"/>
        </w:rPr>
        <w:lastRenderedPageBreak/>
        <w:t>lo que reduce tanto la higiene como la privacidad de las personas que requieren la utilización de estos servicios básico.</w:t>
      </w:r>
    </w:p>
    <w:p w14:paraId="79ABB880" w14:textId="77777777" w:rsidR="00E379AA" w:rsidRPr="00CF3952" w:rsidRDefault="00E379AA" w:rsidP="00E379AA">
      <w:pPr>
        <w:pStyle w:val="Prrafodelista"/>
        <w:numPr>
          <w:ilvl w:val="0"/>
          <w:numId w:val="10"/>
        </w:numPr>
        <w:shd w:val="clear" w:color="auto" w:fill="FFFFFF"/>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 xml:space="preserve">Violencia sexual </w:t>
      </w:r>
    </w:p>
    <w:p w14:paraId="4BD20EF2" w14:textId="77777777" w:rsidR="00E379AA" w:rsidRPr="00CF3952" w:rsidRDefault="00E379AA" w:rsidP="00E379AA">
      <w:pPr>
        <w:shd w:val="clear" w:color="auto" w:fill="FFFFFF"/>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El pabellón para personas adultas mayores no se encuentra separado por género, lo cual ha suscitado, incidentes de violencia sexual contra las mujeres adultas mayores que ahí se encuentran, visibilizando de esta forma la interseccionalidad de la discriminación hacia estas mujeres adultas mayores y con una discapacidad intelectual o psicosocial, lo cual las hace más vulnerables a ser víctimas de violencia</w:t>
      </w:r>
      <w:r w:rsidRPr="00CF3952">
        <w:rPr>
          <w:rStyle w:val="Refdenotaalpie"/>
          <w:rFonts w:ascii="Times New Roman" w:hAnsi="Times New Roman" w:cs="Times New Roman"/>
          <w:sz w:val="24"/>
          <w:szCs w:val="24"/>
        </w:rPr>
        <w:footnoteReference w:id="12"/>
      </w:r>
      <w:r w:rsidRPr="00CF3952">
        <w:rPr>
          <w:rFonts w:ascii="Times New Roman" w:hAnsi="Times New Roman" w:cs="Times New Roman"/>
          <w:sz w:val="24"/>
          <w:szCs w:val="24"/>
        </w:rPr>
        <w:t>, por lo cual se deben adoptar medidas positivas específicas cuyo objetivo sean protección y garantía de sus derechos humanos.</w:t>
      </w:r>
    </w:p>
    <w:p w14:paraId="54942AE9" w14:textId="77777777" w:rsidR="00E379AA" w:rsidRPr="00CF3952" w:rsidRDefault="00E379AA" w:rsidP="00E379AA">
      <w:pPr>
        <w:pStyle w:val="Prrafodelista"/>
        <w:numPr>
          <w:ilvl w:val="0"/>
          <w:numId w:val="10"/>
        </w:numPr>
        <w:shd w:val="clear" w:color="auto" w:fill="FFFFFF"/>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 xml:space="preserve">Aplicación de la terapia electrocovulsiva </w:t>
      </w:r>
    </w:p>
    <w:p w14:paraId="533F140B" w14:textId="77777777" w:rsidR="00E379AA" w:rsidRPr="00CF3952" w:rsidRDefault="00E379AA" w:rsidP="00E379AA">
      <w:pPr>
        <w:shd w:val="clear" w:color="auto" w:fill="FFFFFF"/>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 xml:space="preserve">Uno de los servicios que proporciona el hospital es </w:t>
      </w:r>
      <w:r w:rsidRPr="00CF3952">
        <w:rPr>
          <w:rFonts w:ascii="Times New Roman" w:hAnsi="Times New Roman" w:cs="Times New Roman"/>
          <w:sz w:val="24"/>
          <w:szCs w:val="24"/>
          <w:shd w:val="clear" w:color="auto" w:fill="FFFFFF"/>
        </w:rPr>
        <w:t xml:space="preserve">terapia electroconvulsiva intrahospitalaria y ambulatoria, </w:t>
      </w:r>
      <w:r w:rsidRPr="00CF3952">
        <w:rPr>
          <w:rFonts w:ascii="Times New Roman" w:hAnsi="Times New Roman" w:cs="Times New Roman"/>
          <w:sz w:val="24"/>
          <w:szCs w:val="24"/>
        </w:rPr>
        <w:t xml:space="preserve">que se da en promedio a cuatro pacientes por día. Esta terapia, </w:t>
      </w:r>
      <w:r w:rsidRPr="00CF3952">
        <w:rPr>
          <w:rFonts w:ascii="Times New Roman" w:hAnsi="Times New Roman" w:cs="Times New Roman"/>
          <w:sz w:val="24"/>
          <w:szCs w:val="24"/>
          <w:shd w:val="clear" w:color="auto" w:fill="FFFFFF"/>
        </w:rPr>
        <w:t>a pesar de ser un método controversial, sigue siendo usada para ciertos trastornos mentales y de acuerdo con la Organización Mundial de la Salud (OMS)</w:t>
      </w:r>
      <w:r w:rsidRPr="00CF3952">
        <w:rPr>
          <w:rStyle w:val="Refdenotaalpie"/>
          <w:rFonts w:ascii="Times New Roman" w:hAnsi="Times New Roman" w:cs="Times New Roman"/>
          <w:sz w:val="24"/>
          <w:szCs w:val="24"/>
          <w:shd w:val="clear" w:color="auto" w:fill="FFFFFF"/>
        </w:rPr>
        <w:footnoteReference w:id="13"/>
      </w:r>
      <w:r w:rsidRPr="00CF3952">
        <w:rPr>
          <w:rFonts w:ascii="Times New Roman" w:hAnsi="Times New Roman" w:cs="Times New Roman"/>
          <w:sz w:val="24"/>
          <w:szCs w:val="24"/>
        </w:rPr>
        <w:t xml:space="preserve"> sólo debe administrarse previa obtención del consentimiento informado, y en su forma modificada, es decir, con el uso de anestesia y relajantes musculares y cuando un órgano externo independiente compruebe que el tratamiento es el más conveniente para las necesidades de salud del paciente. Además, no debe utilizarse sobre menores de edad ni debe incluirse en los tratamientos considerados de emergencia.</w:t>
      </w:r>
    </w:p>
    <w:p w14:paraId="35F0DD50" w14:textId="77777777" w:rsidR="00E379AA" w:rsidRPr="00CF3952" w:rsidRDefault="00E379AA" w:rsidP="00E379AA">
      <w:pPr>
        <w:shd w:val="clear" w:color="auto" w:fill="FFFFFF"/>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Contrario a ello, de acuerdo a la Comisión Nacional de Derechos Humanos (CNDH)</w:t>
      </w:r>
      <w:r w:rsidRPr="00CF3952">
        <w:rPr>
          <w:rStyle w:val="Refdenotaalpie"/>
          <w:rFonts w:ascii="Times New Roman" w:hAnsi="Times New Roman" w:cs="Times New Roman"/>
          <w:sz w:val="24"/>
          <w:szCs w:val="24"/>
        </w:rPr>
        <w:footnoteReference w:id="14"/>
      </w:r>
      <w:r w:rsidRPr="00CF3952">
        <w:rPr>
          <w:rFonts w:ascii="Times New Roman" w:hAnsi="Times New Roman" w:cs="Times New Roman"/>
          <w:sz w:val="24"/>
          <w:szCs w:val="24"/>
        </w:rPr>
        <w:t xml:space="preserve">, en el Hospital Psiquiátrico Yucatán se han registrado deficiencias en la integración de los expedientes clínicos relacionadas con la falta de constancias del consentimiento informado cuando se aplica la terapia electroconvulsiva. </w:t>
      </w:r>
    </w:p>
    <w:p w14:paraId="74670E71" w14:textId="77777777" w:rsidR="00E379AA" w:rsidRPr="00CF3952" w:rsidRDefault="00E379AA" w:rsidP="00E379AA">
      <w:pPr>
        <w:shd w:val="clear" w:color="auto" w:fill="FFFFFF"/>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lastRenderedPageBreak/>
        <w:t>Tales deficiencias, son especialmente preocupantes, pues la Relatoría Especial sobre la tortura y otros tratos crueles, inhumanos y degradantes, ha expresado con anterioridad, la especial vulnerabilidad de las personas con discapacidad psicosocial o intelectual de ser sometidas a este tipo de tratamientos médicos sin su consentimiento, pues cuando no se realiza adecuadamente puede provocar un fuerte dolor y sufrimiento y suele tener secuelas</w:t>
      </w:r>
      <w:r w:rsidRPr="00CF3952">
        <w:rPr>
          <w:rStyle w:val="Refdenotaalpie"/>
          <w:rFonts w:ascii="Times New Roman" w:hAnsi="Times New Roman" w:cs="Times New Roman"/>
          <w:sz w:val="24"/>
          <w:szCs w:val="24"/>
        </w:rPr>
        <w:footnoteReference w:id="15"/>
      </w:r>
      <w:r w:rsidRPr="00CF3952">
        <w:rPr>
          <w:rFonts w:ascii="Times New Roman" w:hAnsi="Times New Roman" w:cs="Times New Roman"/>
          <w:sz w:val="24"/>
          <w:szCs w:val="24"/>
        </w:rPr>
        <w:t>, como fracturas de huesos, de ligamentos y de la columna vertebral, discapacidad cognitiva y posible pérdida de memoria</w:t>
      </w:r>
      <w:r w:rsidRPr="00CF3952">
        <w:rPr>
          <w:rStyle w:val="Refdenotaalpie"/>
          <w:rFonts w:ascii="Times New Roman" w:hAnsi="Times New Roman" w:cs="Times New Roman"/>
          <w:sz w:val="24"/>
          <w:szCs w:val="24"/>
        </w:rPr>
        <w:footnoteReference w:id="16"/>
      </w:r>
      <w:r w:rsidRPr="00CF3952">
        <w:rPr>
          <w:rFonts w:ascii="Times New Roman" w:hAnsi="Times New Roman" w:cs="Times New Roman"/>
          <w:sz w:val="24"/>
          <w:szCs w:val="24"/>
        </w:rPr>
        <w:t>, por lo que sólo debe realizarse con el consentimiento libre e informado de la persona interesada, y una vez que se le haya informado de los efectos secundarios y riesgos que conlleva.</w:t>
      </w:r>
    </w:p>
    <w:p w14:paraId="30A1F0B9" w14:textId="77777777" w:rsidR="00E379AA" w:rsidRPr="00CF3952" w:rsidRDefault="00E379AA" w:rsidP="00E379AA">
      <w:pPr>
        <w:pStyle w:val="Prrafodelista"/>
        <w:numPr>
          <w:ilvl w:val="0"/>
          <w:numId w:val="10"/>
        </w:numPr>
        <w:shd w:val="clear" w:color="auto" w:fill="FFFFFF"/>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Coerción física y aislamiento</w:t>
      </w:r>
    </w:p>
    <w:p w14:paraId="4F9CC3CB" w14:textId="77777777" w:rsidR="00E379AA" w:rsidRPr="00CF3952" w:rsidRDefault="00E379AA" w:rsidP="00E379AA">
      <w:pPr>
        <w:shd w:val="clear" w:color="auto" w:fill="FFFFFF"/>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 xml:space="preserve">A su vez, en el hospital se utilizan método de sujeción mecánica e inmovilización a los pacientes, así como un pabellón denominado “aislado”, de los cuales se hace uso sobre todo por las noches, justificando el procedimiento por los motivos de seguridad e integridad de los pacientes y del personal del lugar, pues tal método es utilizado en las personas que se encuentran por disposición de la autoridad judicial cumpliendo una sentencia y que comparten la estancia con los demás usuarios. </w:t>
      </w:r>
    </w:p>
    <w:p w14:paraId="4C1033BD" w14:textId="77777777" w:rsidR="00E379AA" w:rsidRPr="00CF3952" w:rsidRDefault="00E379AA" w:rsidP="00E379AA">
      <w:pPr>
        <w:shd w:val="clear" w:color="auto" w:fill="FFFFFF"/>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La coerción física y el aislamiento de personas con discapacidad internadas en hospitales psiquiátricos, pueden incluso, constituir actos de tortura y tratos crueles, inhumanos o degradantes</w:t>
      </w:r>
      <w:r w:rsidRPr="00CF3952">
        <w:rPr>
          <w:rStyle w:val="Refdenotaalpie"/>
          <w:rFonts w:ascii="Times New Roman" w:hAnsi="Times New Roman" w:cs="Times New Roman"/>
          <w:sz w:val="24"/>
          <w:szCs w:val="24"/>
        </w:rPr>
        <w:footnoteReference w:id="17"/>
      </w:r>
      <w:r w:rsidRPr="00CF3952">
        <w:rPr>
          <w:rFonts w:ascii="Times New Roman" w:hAnsi="Times New Roman" w:cs="Times New Roman"/>
          <w:sz w:val="24"/>
          <w:szCs w:val="24"/>
        </w:rPr>
        <w:t>; de acuerdo a la OMS se debe desalentar su empleo en instituciones de salud mental y se debe desarrollar infraestructura en la materia, dado que es habitualmente la falta de recursos la que genera el empleo de estas formas de intervención por parte del personal, tal como es el caso, pues en el Hospital Psiquiátrico Yucatán se presentan deficiencias en cuanto a recursos humanos y materiales, además de que no se estipulan las circunstancias excepcionales en las que se autorizan estas intervenciones, sino que la única condicionante es que el usuario bajo este tipo de medida quedará al cuidado y vigilancia de personal.</w:t>
      </w:r>
    </w:p>
    <w:p w14:paraId="249DB034" w14:textId="77777777" w:rsidR="00E379AA" w:rsidRPr="00CF3952" w:rsidRDefault="00E379AA" w:rsidP="00E379AA">
      <w:pPr>
        <w:pStyle w:val="Prrafodelista"/>
        <w:numPr>
          <w:ilvl w:val="0"/>
          <w:numId w:val="10"/>
        </w:numPr>
        <w:shd w:val="clear" w:color="auto" w:fill="FFFFFF"/>
        <w:spacing w:line="360" w:lineRule="auto"/>
        <w:jc w:val="both"/>
        <w:rPr>
          <w:rFonts w:ascii="Times New Roman" w:eastAsia="Times New Roman" w:hAnsi="Times New Roman" w:cs="Times New Roman"/>
          <w:sz w:val="24"/>
          <w:szCs w:val="24"/>
          <w:lang w:eastAsia="es-MX"/>
        </w:rPr>
      </w:pPr>
      <w:r w:rsidRPr="00CF3952">
        <w:rPr>
          <w:rFonts w:ascii="Times New Roman" w:hAnsi="Times New Roman" w:cs="Times New Roman"/>
          <w:sz w:val="24"/>
          <w:szCs w:val="24"/>
        </w:rPr>
        <w:lastRenderedPageBreak/>
        <w:t>Internamiento involuntario</w:t>
      </w:r>
    </w:p>
    <w:p w14:paraId="507D8CDD" w14:textId="77777777" w:rsidR="00E379AA" w:rsidRPr="00CF3952" w:rsidRDefault="00E379AA" w:rsidP="00E379AA">
      <w:pPr>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A pesar de que casi la totalidad de los ingresos al hospital se realizan de manera voluntaria, tanto la CODHEY</w:t>
      </w:r>
      <w:r w:rsidRPr="00CF3952">
        <w:rPr>
          <w:rStyle w:val="Refdenotaalpie"/>
          <w:rFonts w:ascii="Times New Roman" w:hAnsi="Times New Roman" w:cs="Times New Roman"/>
          <w:sz w:val="24"/>
          <w:szCs w:val="24"/>
        </w:rPr>
        <w:footnoteReference w:id="18"/>
      </w:r>
      <w:r w:rsidRPr="00CF3952">
        <w:rPr>
          <w:rFonts w:ascii="Times New Roman" w:hAnsi="Times New Roman" w:cs="Times New Roman"/>
          <w:sz w:val="24"/>
          <w:szCs w:val="24"/>
        </w:rPr>
        <w:t xml:space="preserve"> como la CNDH</w:t>
      </w:r>
      <w:r w:rsidRPr="00CF3952">
        <w:rPr>
          <w:rStyle w:val="Refdenotaalpie"/>
          <w:rFonts w:ascii="Times New Roman" w:hAnsi="Times New Roman" w:cs="Times New Roman"/>
          <w:sz w:val="24"/>
          <w:szCs w:val="24"/>
        </w:rPr>
        <w:footnoteReference w:id="19"/>
      </w:r>
      <w:r w:rsidRPr="00CF3952">
        <w:rPr>
          <w:rFonts w:ascii="Times New Roman" w:hAnsi="Times New Roman" w:cs="Times New Roman"/>
          <w:sz w:val="24"/>
          <w:szCs w:val="24"/>
        </w:rPr>
        <w:t>, se han referido en cuanto a que en los casos en donde el paciente deba ser hospitalizado en contra de su voluntad, el hospital no lleva a cabo actualmente un procedimiento específico de aviso a la autoridad ministerial, esto a pesar de que en el Manual de Procedimientos del Hospital Psiquiátrico Yucatán ya se encuentra detallado el procedimiento que deben seguir los servidores públicos durante el ingreso, estancia y egreso de los pacientes. Este documento fue autorizado el 14 de diciembre de 2009 por la Dirección de Desarrollo Institucional, la Oficialía Mayor y la Secretaría de Salud, todas del estado de Yucatán</w:t>
      </w:r>
      <w:r w:rsidRPr="00CF3952">
        <w:rPr>
          <w:rStyle w:val="Refdenotaalpie"/>
          <w:rFonts w:ascii="Times New Roman" w:hAnsi="Times New Roman" w:cs="Times New Roman"/>
          <w:sz w:val="24"/>
          <w:szCs w:val="24"/>
        </w:rPr>
        <w:footnoteReference w:id="20"/>
      </w:r>
      <w:r w:rsidRPr="00CF3952">
        <w:rPr>
          <w:rFonts w:ascii="Times New Roman" w:hAnsi="Times New Roman" w:cs="Times New Roman"/>
          <w:sz w:val="24"/>
          <w:szCs w:val="24"/>
        </w:rPr>
        <w:t>.</w:t>
      </w:r>
    </w:p>
    <w:p w14:paraId="7B91C92E" w14:textId="77777777" w:rsidR="00E379AA" w:rsidRPr="00CF3952" w:rsidRDefault="00E379AA" w:rsidP="00E379AA">
      <w:pPr>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Lo anterior, está dispuesto también por la Norma Oficial Mexicana NOM-025-SSA2-1994, que en su numeral 4.4.2, dispone que el ingreso en forma involuntaria se presenta únicamente en casos de pacientes con trastornos mentales severos, que requieran atención urgente o representen un peligro grave o inmediato para sí mismos o para los demás; que para ello se requiere la indicación de un médico psiquiatra y la solicitud de un familiar responsable, tutor o representante legal, ambas por escrito, y que sólo en caso de extrema urgencia, un paciente puede ingresar por indicación escrita del médico a cargo del servicio de admisión de la unidad hospitalaria.</w:t>
      </w:r>
    </w:p>
    <w:p w14:paraId="22DFF42E" w14:textId="77777777" w:rsidR="00901939" w:rsidRPr="00CF3952" w:rsidRDefault="00E379AA" w:rsidP="009C11F7">
      <w:pPr>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 xml:space="preserve">Esto, debe realizarse con el propósito de prevenir irregularidades o abusos en el ingreso involuntario de los pacientes, pues el artículo antes citado ordena expresamente que se notifique al Ministerio Público del domicilio del paciente y a las autoridades judiciales, de todo internamiento involuntario y su evolución. Lo anterior, a efecto de que la representación social verifique que la hospitalización se lleve a cabo cumpliendo con los requisitos que establece el referido artículo, teniendo en cuenta la importancia de los instrumentos esenciales como medio para prevenir el maltrato, ya que favorece la salvaguarda de los derechos relacionados con el ingreso y representan un elemento de prueba que puede ser </w:t>
      </w:r>
      <w:r w:rsidRPr="00CF3952">
        <w:rPr>
          <w:rFonts w:ascii="Times New Roman" w:hAnsi="Times New Roman" w:cs="Times New Roman"/>
          <w:sz w:val="24"/>
          <w:szCs w:val="24"/>
        </w:rPr>
        <w:lastRenderedPageBreak/>
        <w:t xml:space="preserve">utilizado por las propias autoridades cuando se les atribuya alguna responsabilidad al respecto. </w:t>
      </w:r>
    </w:p>
    <w:p w14:paraId="04A755F7" w14:textId="77777777" w:rsidR="004C0DA4" w:rsidRPr="00CF3952" w:rsidRDefault="00901939" w:rsidP="009C11F7">
      <w:pPr>
        <w:spacing w:line="360" w:lineRule="auto"/>
        <w:jc w:val="both"/>
        <w:rPr>
          <w:rFonts w:ascii="Times New Roman" w:hAnsi="Times New Roman" w:cs="Times New Roman"/>
          <w:b/>
          <w:sz w:val="24"/>
          <w:szCs w:val="24"/>
        </w:rPr>
      </w:pPr>
      <w:r w:rsidRPr="00CF3952">
        <w:rPr>
          <w:rFonts w:ascii="Times New Roman" w:hAnsi="Times New Roman" w:cs="Times New Roman"/>
          <w:b/>
          <w:sz w:val="24"/>
          <w:szCs w:val="24"/>
        </w:rPr>
        <w:t xml:space="preserve">IV. Inimputabilidad en el proceso penal  </w:t>
      </w:r>
    </w:p>
    <w:p w14:paraId="2299A2A0" w14:textId="77777777" w:rsidR="009C11F7" w:rsidRPr="00CF3952" w:rsidRDefault="009C11F7" w:rsidP="009C11F7">
      <w:pPr>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 xml:space="preserve">El presente revisa las garantías judiciales contenidas en la legislación nacional, la jurisprudencia de la Suprema Corte de Justicia de la Nación así como de tribunales de circuito y demás pertenecientes a las entidades federativas del Estado Mexicano en relación con las obligaciones internacionales contraídas por el mismo en materia de derechos humanos de las personas con discapacidad psicosocial o intelectual. </w:t>
      </w:r>
    </w:p>
    <w:p w14:paraId="7B0088F2" w14:textId="77777777" w:rsidR="009C11F7" w:rsidRPr="00CF3952" w:rsidRDefault="009C11F7" w:rsidP="009C11F7">
      <w:pPr>
        <w:pStyle w:val="Prrafodelista"/>
        <w:numPr>
          <w:ilvl w:val="0"/>
          <w:numId w:val="1"/>
        </w:numPr>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 xml:space="preserve">Legislación nacional </w:t>
      </w:r>
    </w:p>
    <w:p w14:paraId="5E92AE4A" w14:textId="77777777" w:rsidR="009C11F7" w:rsidRPr="00CF3952" w:rsidRDefault="009C11F7" w:rsidP="009C11F7">
      <w:pPr>
        <w:pStyle w:val="Prrafodelista"/>
        <w:numPr>
          <w:ilvl w:val="0"/>
          <w:numId w:val="2"/>
        </w:numPr>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 xml:space="preserve">Código Nacional de Procedimientos Penales </w:t>
      </w:r>
    </w:p>
    <w:p w14:paraId="3C3528D2" w14:textId="77777777" w:rsidR="009C11F7" w:rsidRPr="00CF3952" w:rsidRDefault="009C11F7" w:rsidP="009C11F7">
      <w:pPr>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 xml:space="preserve">El Estado Mexicano cuenta con el Código Nacional de Procedimientos Penales el cual entró en vigor el 5 de marzo de 2014, de sus 490 artículos únicamente  cuatro se refieren expresamente a las personas con discapacidad: en los artículos 145, párrafo tercero, el artículo 84, párrafo segundo, el artículo 113, inciso XVI y el artículo 270, párrafo cuarto. Sin embargo el Título IX denominado las “Personas inimputables” contiene un capítulo único del artículo 414 al 419 que se versa sobre el procedimiento para personas inimputables, el artículo 414 establece se deben considerar los supuestos de inimputabilidad previstos en la Parte General del Código Penal aplicable </w:t>
      </w:r>
      <w:r w:rsidR="00D525CC" w:rsidRPr="00CF3952">
        <w:rPr>
          <w:rFonts w:ascii="Times New Roman" w:hAnsi="Times New Roman" w:cs="Times New Roman"/>
          <w:sz w:val="24"/>
          <w:szCs w:val="24"/>
        </w:rPr>
        <w:t xml:space="preserve">de acuerdo a la </w:t>
      </w:r>
      <w:r w:rsidRPr="00CF3952">
        <w:rPr>
          <w:rFonts w:ascii="Times New Roman" w:hAnsi="Times New Roman" w:cs="Times New Roman"/>
          <w:sz w:val="24"/>
          <w:szCs w:val="24"/>
        </w:rPr>
        <w:t>enti</w:t>
      </w:r>
      <w:r w:rsidR="00D525CC" w:rsidRPr="00CF3952">
        <w:rPr>
          <w:rFonts w:ascii="Times New Roman" w:hAnsi="Times New Roman" w:cs="Times New Roman"/>
          <w:sz w:val="24"/>
          <w:szCs w:val="24"/>
        </w:rPr>
        <w:t xml:space="preserve">dad federativa correspondiente. </w:t>
      </w:r>
    </w:p>
    <w:p w14:paraId="5E6BD542" w14:textId="77777777" w:rsidR="009C11F7" w:rsidRPr="00CF3952" w:rsidRDefault="009C11F7" w:rsidP="009C11F7">
      <w:pPr>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 xml:space="preserve">Con respecto a los derechos humanos de las personas con discapacidad protegidos en el código adjetivo penal se encuentran reconocidos los ajustes razonables, el acceso a la información así como </w:t>
      </w:r>
      <w:r w:rsidR="00D525CC" w:rsidRPr="00CF3952">
        <w:rPr>
          <w:rFonts w:ascii="Times New Roman" w:hAnsi="Times New Roman" w:cs="Times New Roman"/>
          <w:sz w:val="24"/>
          <w:szCs w:val="24"/>
        </w:rPr>
        <w:t>consideraciones referentes a un</w:t>
      </w:r>
      <w:r w:rsidRPr="00CF3952">
        <w:rPr>
          <w:rFonts w:ascii="Times New Roman" w:hAnsi="Times New Roman" w:cs="Times New Roman"/>
          <w:sz w:val="24"/>
          <w:szCs w:val="24"/>
        </w:rPr>
        <w:t xml:space="preserve"> plazo razonable para las notificaciones</w:t>
      </w:r>
      <w:r w:rsidR="00D525CC" w:rsidRPr="00CF3952">
        <w:rPr>
          <w:rFonts w:ascii="Times New Roman" w:hAnsi="Times New Roman" w:cs="Times New Roman"/>
          <w:sz w:val="24"/>
          <w:szCs w:val="24"/>
        </w:rPr>
        <w:t xml:space="preserve"> en sentido que ha referido la Corte Interamericana de Derechos Humanos</w:t>
      </w:r>
      <w:r w:rsidR="00D525CC" w:rsidRPr="00CF3952">
        <w:rPr>
          <w:rStyle w:val="Refdenotaalpie"/>
          <w:rFonts w:ascii="Times New Roman" w:hAnsi="Times New Roman" w:cs="Times New Roman"/>
          <w:sz w:val="24"/>
          <w:szCs w:val="24"/>
        </w:rPr>
        <w:footnoteReference w:id="21"/>
      </w:r>
      <w:r w:rsidRPr="00CF3952">
        <w:rPr>
          <w:rFonts w:ascii="Times New Roman" w:hAnsi="Times New Roman" w:cs="Times New Roman"/>
          <w:sz w:val="24"/>
          <w:szCs w:val="24"/>
        </w:rPr>
        <w:t xml:space="preserve">. </w:t>
      </w:r>
    </w:p>
    <w:p w14:paraId="69E11E10" w14:textId="77777777" w:rsidR="009C11F7" w:rsidRPr="00CF3952" w:rsidRDefault="00F02CF7" w:rsidP="009C11F7">
      <w:pPr>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L</w:t>
      </w:r>
      <w:r w:rsidR="009C11F7" w:rsidRPr="00CF3952">
        <w:rPr>
          <w:rFonts w:ascii="Times New Roman" w:hAnsi="Times New Roman" w:cs="Times New Roman"/>
          <w:sz w:val="24"/>
          <w:szCs w:val="24"/>
        </w:rPr>
        <w:t xml:space="preserve">os </w:t>
      </w:r>
      <w:r w:rsidR="009C11F7" w:rsidRPr="00CF3952">
        <w:rPr>
          <w:rFonts w:ascii="Times New Roman" w:hAnsi="Times New Roman" w:cs="Times New Roman"/>
          <w:i/>
          <w:sz w:val="24"/>
          <w:szCs w:val="24"/>
        </w:rPr>
        <w:t>ajustes razonables</w:t>
      </w:r>
      <w:r w:rsidR="009C11F7" w:rsidRPr="00CF3952">
        <w:rPr>
          <w:rFonts w:ascii="Times New Roman" w:hAnsi="Times New Roman" w:cs="Times New Roman"/>
          <w:sz w:val="24"/>
          <w:szCs w:val="24"/>
        </w:rPr>
        <w:t xml:space="preserve"> se encuentran garantizados en los siguientes apartados: sobre la Igualdad ante la ley</w:t>
      </w:r>
      <w:r w:rsidR="009C11F7" w:rsidRPr="00CF3952">
        <w:rPr>
          <w:rStyle w:val="Refdenotaalpie"/>
          <w:rFonts w:ascii="Times New Roman" w:hAnsi="Times New Roman" w:cs="Times New Roman"/>
          <w:sz w:val="24"/>
          <w:szCs w:val="24"/>
        </w:rPr>
        <w:footnoteReference w:id="22"/>
      </w:r>
      <w:r w:rsidR="009C11F7" w:rsidRPr="00CF3952">
        <w:rPr>
          <w:rFonts w:ascii="Times New Roman" w:hAnsi="Times New Roman" w:cs="Times New Roman"/>
          <w:sz w:val="24"/>
          <w:szCs w:val="24"/>
        </w:rPr>
        <w:t xml:space="preserve"> (artículo 10), el idioma (artículo 45, párrafo tercero) –aunque no menciona el concepto de “ajuste razonable” sí hace alusión a sus características</w:t>
      </w:r>
      <w:r w:rsidR="00D525CC" w:rsidRPr="00CF3952">
        <w:rPr>
          <w:rFonts w:ascii="Times New Roman" w:hAnsi="Times New Roman" w:cs="Times New Roman"/>
          <w:sz w:val="24"/>
          <w:szCs w:val="24"/>
        </w:rPr>
        <w:t>–</w:t>
      </w:r>
      <w:r w:rsidR="009C11F7" w:rsidRPr="00CF3952">
        <w:rPr>
          <w:rFonts w:ascii="Times New Roman" w:hAnsi="Times New Roman" w:cs="Times New Roman"/>
          <w:sz w:val="24"/>
          <w:szCs w:val="24"/>
        </w:rPr>
        <w:t xml:space="preserve">, los derechos de la víctima u ofendido (artículo 109, fracción XII), en el seguimiento de medidas </w:t>
      </w:r>
      <w:r w:rsidR="009C11F7" w:rsidRPr="00CF3952">
        <w:rPr>
          <w:rFonts w:ascii="Times New Roman" w:hAnsi="Times New Roman" w:cs="Times New Roman"/>
          <w:sz w:val="24"/>
          <w:szCs w:val="24"/>
        </w:rPr>
        <w:lastRenderedPageBreak/>
        <w:t xml:space="preserve">cautelares en caso de suspensión del proceso (artículo 181, párrafo tercero), el procedimiento para la aplicación de ajustes razonables en la audiencia inicial (artículo 414) y los ajustes al procedimiento (artículo 416). </w:t>
      </w:r>
      <w:r w:rsidR="00D525CC" w:rsidRPr="00CF3952">
        <w:rPr>
          <w:rFonts w:ascii="Times New Roman" w:hAnsi="Times New Roman" w:cs="Times New Roman"/>
          <w:sz w:val="24"/>
          <w:szCs w:val="24"/>
        </w:rPr>
        <w:t xml:space="preserve">Por otro lado, como derechos del imputado se encuentra el solicitar desde el momento de su detención, asistencia social para los menores de edad o personas con discapacidad cuyo cuidado personal tenga a su cargo (artículo 270, párrafo XVI). </w:t>
      </w:r>
    </w:p>
    <w:p w14:paraId="7C4B4AE3" w14:textId="77777777" w:rsidR="009C11F7" w:rsidRPr="00CF3952" w:rsidRDefault="00D525CC" w:rsidP="009C11F7">
      <w:pPr>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En segundo lugar, sobre el</w:t>
      </w:r>
      <w:r w:rsidR="009C11F7" w:rsidRPr="00CF3952">
        <w:rPr>
          <w:rFonts w:ascii="Times New Roman" w:hAnsi="Times New Roman" w:cs="Times New Roman"/>
          <w:sz w:val="24"/>
          <w:szCs w:val="24"/>
        </w:rPr>
        <w:t xml:space="preserve"> </w:t>
      </w:r>
      <w:r w:rsidR="009C11F7" w:rsidRPr="00CF3952">
        <w:rPr>
          <w:rFonts w:ascii="Times New Roman" w:hAnsi="Times New Roman" w:cs="Times New Roman"/>
          <w:i/>
          <w:sz w:val="24"/>
          <w:szCs w:val="24"/>
        </w:rPr>
        <w:t>acceso a la información</w:t>
      </w:r>
      <w:r w:rsidR="009C11F7" w:rsidRPr="00CF3952">
        <w:rPr>
          <w:rFonts w:ascii="Times New Roman" w:hAnsi="Times New Roman" w:cs="Times New Roman"/>
          <w:sz w:val="24"/>
          <w:szCs w:val="24"/>
        </w:rPr>
        <w:t xml:space="preserve"> se menciona</w:t>
      </w:r>
      <w:r w:rsidRPr="00CF3952">
        <w:rPr>
          <w:rFonts w:ascii="Times New Roman" w:hAnsi="Times New Roman" w:cs="Times New Roman"/>
          <w:sz w:val="24"/>
          <w:szCs w:val="24"/>
        </w:rPr>
        <w:t>n</w:t>
      </w:r>
      <w:r w:rsidR="009C11F7" w:rsidRPr="00CF3952">
        <w:rPr>
          <w:rFonts w:ascii="Times New Roman" w:hAnsi="Times New Roman" w:cs="Times New Roman"/>
          <w:sz w:val="24"/>
          <w:szCs w:val="24"/>
        </w:rPr>
        <w:t xml:space="preserve"> expresamente </w:t>
      </w:r>
      <w:r w:rsidRPr="00CF3952">
        <w:rPr>
          <w:rFonts w:ascii="Times New Roman" w:hAnsi="Times New Roman" w:cs="Times New Roman"/>
          <w:sz w:val="24"/>
          <w:szCs w:val="24"/>
        </w:rPr>
        <w:t xml:space="preserve">consideraciones sobre </w:t>
      </w:r>
      <w:r w:rsidR="009C11F7" w:rsidRPr="00CF3952">
        <w:rPr>
          <w:rFonts w:ascii="Times New Roman" w:hAnsi="Times New Roman" w:cs="Times New Roman"/>
          <w:sz w:val="24"/>
          <w:szCs w:val="24"/>
        </w:rPr>
        <w:t>las personas con disca</w:t>
      </w:r>
      <w:r w:rsidRPr="00CF3952">
        <w:rPr>
          <w:rFonts w:ascii="Times New Roman" w:hAnsi="Times New Roman" w:cs="Times New Roman"/>
          <w:sz w:val="24"/>
          <w:szCs w:val="24"/>
        </w:rPr>
        <w:t>pacidad los siguientes aspectos</w:t>
      </w:r>
      <w:r w:rsidR="009C11F7" w:rsidRPr="00CF3952">
        <w:rPr>
          <w:rFonts w:ascii="Times New Roman" w:hAnsi="Times New Roman" w:cs="Times New Roman"/>
          <w:sz w:val="24"/>
          <w:szCs w:val="24"/>
        </w:rPr>
        <w:t>: el idioma (artículo 45, párrafo tercero), regla general sobre notificaciones (artículo 84) y la toma de muestras cuando la persona requerida se niegue a proporcionarlas</w:t>
      </w:r>
      <w:r w:rsidR="00F02CF7" w:rsidRPr="00CF3952">
        <w:rPr>
          <w:rFonts w:ascii="Times New Roman" w:hAnsi="Times New Roman" w:cs="Times New Roman"/>
          <w:sz w:val="24"/>
          <w:szCs w:val="24"/>
        </w:rPr>
        <w:t xml:space="preserve"> (artículo 270, párrafo cuarto)</w:t>
      </w:r>
      <w:r w:rsidRPr="00CF3952">
        <w:rPr>
          <w:rFonts w:ascii="Times New Roman" w:hAnsi="Times New Roman" w:cs="Times New Roman"/>
          <w:sz w:val="24"/>
          <w:szCs w:val="24"/>
        </w:rPr>
        <w:t xml:space="preserve">. </w:t>
      </w:r>
    </w:p>
    <w:p w14:paraId="6F84E910" w14:textId="77777777" w:rsidR="009C11F7" w:rsidRPr="00CF3952" w:rsidRDefault="009C11F7" w:rsidP="009C11F7">
      <w:pPr>
        <w:pStyle w:val="Prrafodelista"/>
        <w:numPr>
          <w:ilvl w:val="0"/>
          <w:numId w:val="2"/>
        </w:numPr>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Ley General para la Inclusión de las Personas con Discapacidad</w:t>
      </w:r>
      <w:r w:rsidR="00F02CF7" w:rsidRPr="00CF3952">
        <w:rPr>
          <w:rStyle w:val="Refdenotaalpie"/>
          <w:rFonts w:ascii="Times New Roman" w:hAnsi="Times New Roman" w:cs="Times New Roman"/>
          <w:sz w:val="24"/>
          <w:szCs w:val="24"/>
        </w:rPr>
        <w:footnoteReference w:id="23"/>
      </w:r>
      <w:r w:rsidRPr="00CF3952">
        <w:rPr>
          <w:rFonts w:ascii="Times New Roman" w:hAnsi="Times New Roman" w:cs="Times New Roman"/>
          <w:sz w:val="24"/>
          <w:szCs w:val="24"/>
        </w:rPr>
        <w:t xml:space="preserve"> </w:t>
      </w:r>
    </w:p>
    <w:p w14:paraId="58EDFBBA" w14:textId="77777777" w:rsidR="009C11F7" w:rsidRPr="00CF3952" w:rsidRDefault="00F02CF7" w:rsidP="009C11F7">
      <w:pPr>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E</w:t>
      </w:r>
      <w:r w:rsidR="009C11F7" w:rsidRPr="00CF3952">
        <w:rPr>
          <w:rFonts w:ascii="Times New Roman" w:hAnsi="Times New Roman" w:cs="Times New Roman"/>
          <w:sz w:val="24"/>
          <w:szCs w:val="24"/>
        </w:rPr>
        <w:t xml:space="preserve">n su capítulo IX </w:t>
      </w:r>
      <w:r w:rsidRPr="00CF3952">
        <w:rPr>
          <w:rFonts w:ascii="Times New Roman" w:hAnsi="Times New Roman" w:cs="Times New Roman"/>
          <w:sz w:val="24"/>
          <w:szCs w:val="24"/>
        </w:rPr>
        <w:t xml:space="preserve">denominado “acceso a la justicia” esta ley </w:t>
      </w:r>
      <w:r w:rsidR="009C11F7" w:rsidRPr="00CF3952">
        <w:rPr>
          <w:rFonts w:ascii="Times New Roman" w:hAnsi="Times New Roman" w:cs="Times New Roman"/>
          <w:sz w:val="24"/>
          <w:szCs w:val="24"/>
        </w:rPr>
        <w:t>dispone que las personas con discapacidad deben recibir un trato digno y apropiado tanto en los procedimientos administrativos como judiciales en que sean parte, -incluyendo los procesos penales en los que sean alguna de las partes involucradas, ya sea como sujeto pasivo o sujeto pasivo-, así como a recibir asesoría y representación jurídica en forma gratuita</w:t>
      </w:r>
      <w:r w:rsidR="009C11F7" w:rsidRPr="00CF3952">
        <w:rPr>
          <w:rStyle w:val="Refdenotaalpie"/>
          <w:rFonts w:ascii="Times New Roman" w:hAnsi="Times New Roman" w:cs="Times New Roman"/>
          <w:sz w:val="24"/>
          <w:szCs w:val="24"/>
        </w:rPr>
        <w:footnoteReference w:id="24"/>
      </w:r>
      <w:r w:rsidR="009C11F7" w:rsidRPr="00CF3952">
        <w:rPr>
          <w:rFonts w:ascii="Times New Roman" w:hAnsi="Times New Roman" w:cs="Times New Roman"/>
          <w:sz w:val="24"/>
          <w:szCs w:val="24"/>
        </w:rPr>
        <w:t>. Por otro lado, las instituciones de administración e impartición de justicia deberán contar con peritos especializados</w:t>
      </w:r>
      <w:r w:rsidRPr="00CF3952">
        <w:rPr>
          <w:rFonts w:ascii="Times New Roman" w:hAnsi="Times New Roman" w:cs="Times New Roman"/>
          <w:sz w:val="24"/>
          <w:szCs w:val="24"/>
        </w:rPr>
        <w:t xml:space="preserve"> en las diversas discapacidades</w:t>
      </w:r>
      <w:r w:rsidR="009C11F7" w:rsidRPr="00CF3952">
        <w:rPr>
          <w:rStyle w:val="Refdenotaalpie"/>
          <w:rFonts w:ascii="Times New Roman" w:hAnsi="Times New Roman" w:cs="Times New Roman"/>
          <w:sz w:val="24"/>
          <w:szCs w:val="24"/>
        </w:rPr>
        <w:footnoteReference w:id="25"/>
      </w:r>
      <w:r w:rsidRPr="00CF3952">
        <w:rPr>
          <w:rFonts w:ascii="Times New Roman" w:hAnsi="Times New Roman" w:cs="Times New Roman"/>
          <w:sz w:val="24"/>
          <w:szCs w:val="24"/>
        </w:rPr>
        <w:t xml:space="preserve">. </w:t>
      </w:r>
      <w:r w:rsidR="009C11F7" w:rsidRPr="00CF3952">
        <w:rPr>
          <w:rFonts w:ascii="Times New Roman" w:hAnsi="Times New Roman" w:cs="Times New Roman"/>
          <w:sz w:val="24"/>
          <w:szCs w:val="24"/>
        </w:rPr>
        <w:t xml:space="preserve"> </w:t>
      </w:r>
    </w:p>
    <w:p w14:paraId="3CDF0495" w14:textId="77777777" w:rsidR="009C11F7" w:rsidRPr="00CF3952" w:rsidRDefault="009C11F7" w:rsidP="009C11F7">
      <w:pPr>
        <w:pStyle w:val="Prrafodelista"/>
        <w:numPr>
          <w:ilvl w:val="0"/>
          <w:numId w:val="1"/>
        </w:numPr>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 xml:space="preserve">Observaciones del Comité sobre los Derechos de Personas con Discapacidad </w:t>
      </w:r>
    </w:p>
    <w:p w14:paraId="52BFA530" w14:textId="77777777" w:rsidR="009C11F7" w:rsidRPr="00CF3952" w:rsidRDefault="009C11F7" w:rsidP="00F02CF7">
      <w:pPr>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El 27 de octubre de 2014 el Comité sobre los Derechos de las Personas con Discapacidad mando sus observaciones finales sobre el informe inicial de México</w:t>
      </w:r>
      <w:r w:rsidRPr="00CF3952">
        <w:rPr>
          <w:rStyle w:val="Refdenotaalpie"/>
          <w:rFonts w:ascii="Times New Roman" w:hAnsi="Times New Roman" w:cs="Times New Roman"/>
          <w:sz w:val="24"/>
          <w:szCs w:val="24"/>
        </w:rPr>
        <w:footnoteReference w:id="26"/>
      </w:r>
      <w:r w:rsidRPr="00CF3952">
        <w:rPr>
          <w:rFonts w:ascii="Times New Roman" w:hAnsi="Times New Roman" w:cs="Times New Roman"/>
          <w:sz w:val="24"/>
          <w:szCs w:val="24"/>
        </w:rPr>
        <w:t xml:space="preserve"> en el que señaló como preocupación con respecto al acceso a la justicia la situación de las personas con discapacidad de: a) comunidades indígenas, b) de mujeres y niñas con discapacidad víctimas de violencia </w:t>
      </w:r>
      <w:r w:rsidRPr="00CF3952">
        <w:rPr>
          <w:rFonts w:ascii="Times New Roman" w:hAnsi="Times New Roman" w:cs="Times New Roman"/>
          <w:sz w:val="24"/>
          <w:szCs w:val="24"/>
        </w:rPr>
        <w:lastRenderedPageBreak/>
        <w:t>y abuso, así como aquellas que c) se encuentran institucionalizadas; y d) de</w:t>
      </w:r>
      <w:r w:rsidR="00F02CF7" w:rsidRPr="00CF3952">
        <w:rPr>
          <w:rFonts w:ascii="Times New Roman" w:hAnsi="Times New Roman" w:cs="Times New Roman"/>
          <w:sz w:val="24"/>
          <w:szCs w:val="24"/>
        </w:rPr>
        <w:t xml:space="preserve"> niños y niñas con discapacidad</w:t>
      </w:r>
      <w:r w:rsidRPr="00CF3952">
        <w:rPr>
          <w:rStyle w:val="Refdenotaalpie"/>
          <w:rFonts w:ascii="Times New Roman" w:hAnsi="Times New Roman" w:cs="Times New Roman"/>
          <w:sz w:val="24"/>
          <w:szCs w:val="24"/>
        </w:rPr>
        <w:footnoteReference w:id="27"/>
      </w:r>
      <w:r w:rsidR="00F02CF7" w:rsidRPr="00CF3952">
        <w:rPr>
          <w:rFonts w:ascii="Times New Roman" w:hAnsi="Times New Roman" w:cs="Times New Roman"/>
          <w:sz w:val="24"/>
          <w:szCs w:val="24"/>
        </w:rPr>
        <w:t xml:space="preserve">. </w:t>
      </w:r>
    </w:p>
    <w:p w14:paraId="1D311335" w14:textId="77777777" w:rsidR="009C11F7" w:rsidRPr="00CF3952" w:rsidRDefault="009C11F7" w:rsidP="009C11F7">
      <w:pPr>
        <w:pStyle w:val="Prrafodelista"/>
        <w:numPr>
          <w:ilvl w:val="0"/>
          <w:numId w:val="1"/>
        </w:numPr>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 xml:space="preserve">La figura de la inimputabilidad con relación a las personas con discapacidad psicosocial o intelectual en la legislación nacional </w:t>
      </w:r>
    </w:p>
    <w:p w14:paraId="7EBA99E3" w14:textId="77777777" w:rsidR="009C11F7" w:rsidRPr="00CF3952" w:rsidRDefault="00F02CF7" w:rsidP="009C11F7">
      <w:pPr>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C</w:t>
      </w:r>
      <w:r w:rsidR="009C11F7" w:rsidRPr="00CF3952">
        <w:rPr>
          <w:rFonts w:ascii="Times New Roman" w:hAnsi="Times New Roman" w:cs="Times New Roman"/>
          <w:sz w:val="24"/>
          <w:szCs w:val="24"/>
        </w:rPr>
        <w:t>uando una persona con discapacidad psicosocial o intelectual se encuentre en una acción judicial deberá ser sometida a un proceso justo en el que se tenga en cuenta su intervención en el hecho, en atención a sus facultades mentales</w:t>
      </w:r>
      <w:r w:rsidR="009C11F7" w:rsidRPr="00CF3952">
        <w:rPr>
          <w:rStyle w:val="Refdenotaalpie"/>
          <w:rFonts w:ascii="Times New Roman" w:hAnsi="Times New Roman" w:cs="Times New Roman"/>
          <w:sz w:val="24"/>
          <w:szCs w:val="24"/>
        </w:rPr>
        <w:footnoteReference w:id="28"/>
      </w:r>
      <w:r w:rsidR="009C11F7" w:rsidRPr="00CF3952">
        <w:rPr>
          <w:rFonts w:ascii="Times New Roman" w:hAnsi="Times New Roman" w:cs="Times New Roman"/>
          <w:sz w:val="24"/>
          <w:szCs w:val="24"/>
        </w:rPr>
        <w:t xml:space="preserve"> y en relación con los juzgadores, en los casos relacionados con la capacidad jurídica de las personas con discapacidad, se debe aplicar la presunción que las personas con discapacidad tienen capacidad jurídica</w:t>
      </w:r>
      <w:r w:rsidR="009C11F7" w:rsidRPr="00CF3952">
        <w:rPr>
          <w:rStyle w:val="Refdenotaalpie"/>
          <w:rFonts w:ascii="Times New Roman" w:hAnsi="Times New Roman" w:cs="Times New Roman"/>
          <w:sz w:val="24"/>
          <w:szCs w:val="24"/>
        </w:rPr>
        <w:footnoteReference w:id="29"/>
      </w:r>
      <w:r w:rsidR="009C11F7" w:rsidRPr="00CF3952">
        <w:rPr>
          <w:rFonts w:ascii="Times New Roman" w:hAnsi="Times New Roman" w:cs="Times New Roman"/>
          <w:sz w:val="24"/>
          <w:szCs w:val="24"/>
        </w:rPr>
        <w:t>, la cual se mantiene incluso cuando se encuentren en un proceso penal como una de las partes en el mismo</w:t>
      </w:r>
      <w:r w:rsidR="00E04C25" w:rsidRPr="00CF3952">
        <w:rPr>
          <w:rStyle w:val="Refdenotaalpie"/>
          <w:rFonts w:ascii="Times New Roman" w:hAnsi="Times New Roman" w:cs="Times New Roman"/>
          <w:sz w:val="24"/>
          <w:szCs w:val="24"/>
        </w:rPr>
        <w:footnoteReference w:id="30"/>
      </w:r>
      <w:r w:rsidR="009C11F7" w:rsidRPr="00CF3952">
        <w:rPr>
          <w:rFonts w:ascii="Times New Roman" w:hAnsi="Times New Roman" w:cs="Times New Roman"/>
          <w:sz w:val="24"/>
          <w:szCs w:val="24"/>
        </w:rPr>
        <w:t xml:space="preserve">. </w:t>
      </w:r>
    </w:p>
    <w:p w14:paraId="57AE9E29" w14:textId="77777777" w:rsidR="009C11F7" w:rsidRPr="00CF3952" w:rsidRDefault="009C11F7" w:rsidP="009C11F7">
      <w:pPr>
        <w:tabs>
          <w:tab w:val="left" w:pos="1276"/>
        </w:tabs>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Ahora bien, para abordar la figura de la inimputabilidad en primer lugar debemos partir del significado de “imputar” el cual consiste en poner una cosa cualquiera en la cuenta de alguien, conceptualizando a la “imputabilidad” como un juicio sobre un hecho futuro, previsto como posible, y a la “imputación” como un juicio sobre un hecho ocurrido</w:t>
      </w:r>
      <w:r w:rsidRPr="00CF3952">
        <w:rPr>
          <w:rStyle w:val="Refdenotaalpie"/>
          <w:rFonts w:ascii="Times New Roman" w:hAnsi="Times New Roman" w:cs="Times New Roman"/>
          <w:sz w:val="24"/>
          <w:szCs w:val="24"/>
        </w:rPr>
        <w:footnoteReference w:id="31"/>
      </w:r>
      <w:r w:rsidRPr="00CF3952">
        <w:rPr>
          <w:rFonts w:ascii="Times New Roman" w:hAnsi="Times New Roman" w:cs="Times New Roman"/>
          <w:sz w:val="24"/>
          <w:szCs w:val="24"/>
        </w:rPr>
        <w:t>. La inimputabilidad debe interpretarse en el sentido de que aquél no es capaz de advertir la trascendencia moral y social de sus actos, es decir, que se encuentra impedido para comprender el carácter ilícito del hecho que cometió, mas, en modo alguno implica la diversa afirmación de que el activo carece en absoluto de la facultad de actuar por sí mismo y de buscar obtener sus propios objetivos o fines</w:t>
      </w:r>
      <w:r w:rsidRPr="00CF3952">
        <w:rPr>
          <w:rStyle w:val="Refdenotaalpie"/>
          <w:rFonts w:ascii="Times New Roman" w:hAnsi="Times New Roman" w:cs="Times New Roman"/>
          <w:sz w:val="24"/>
          <w:szCs w:val="24"/>
        </w:rPr>
        <w:footnoteReference w:id="32"/>
      </w:r>
      <w:r w:rsidRPr="00CF3952">
        <w:rPr>
          <w:rFonts w:ascii="Times New Roman" w:hAnsi="Times New Roman" w:cs="Times New Roman"/>
          <w:sz w:val="24"/>
          <w:szCs w:val="24"/>
        </w:rPr>
        <w:t xml:space="preserve">. </w:t>
      </w:r>
    </w:p>
    <w:p w14:paraId="60F67F1B" w14:textId="77777777" w:rsidR="009C11F7" w:rsidRPr="00CF3952" w:rsidRDefault="009C11F7" w:rsidP="009C11F7">
      <w:pPr>
        <w:tabs>
          <w:tab w:val="left" w:pos="1276"/>
        </w:tabs>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lastRenderedPageBreak/>
        <w:t>En el caso de las personas con discapacidad si alguna comete un acto presuntamente delictivo seguirá un procedimiento especial que se encuentra establecido en los artículos que van del 414 al 419 del Código Nacional de Procedimientos Penales una vez que se haya determinado mediante dictámenes periciales el estado de inimputabilidad, dichas pruebas pueden ser solicitadas por cualquiera de las partes</w:t>
      </w:r>
      <w:r w:rsidRPr="00CF3952">
        <w:rPr>
          <w:rStyle w:val="Refdenotaalpie"/>
          <w:rFonts w:ascii="Times New Roman" w:hAnsi="Times New Roman" w:cs="Times New Roman"/>
          <w:sz w:val="24"/>
          <w:szCs w:val="24"/>
        </w:rPr>
        <w:footnoteReference w:id="33"/>
      </w:r>
      <w:r w:rsidRPr="00CF3952">
        <w:rPr>
          <w:rFonts w:ascii="Times New Roman" w:hAnsi="Times New Roman" w:cs="Times New Roman"/>
          <w:sz w:val="24"/>
          <w:szCs w:val="24"/>
        </w:rPr>
        <w:t>, esto es tanto por el sujeto activo por medio del ministerio público o el sujeto pasivo. En este aspecto, uno de los principales problemas a los que se enfrentan las personas con discapacidad psicosocial o intelectual es la falta de instrumentos estandarizados para determinar de forma efectiva la inimputabilidad</w:t>
      </w:r>
      <w:r w:rsidRPr="00CF3952">
        <w:rPr>
          <w:rStyle w:val="Refdenotaalpie"/>
          <w:rFonts w:ascii="Times New Roman" w:hAnsi="Times New Roman" w:cs="Times New Roman"/>
          <w:sz w:val="24"/>
          <w:szCs w:val="24"/>
        </w:rPr>
        <w:footnoteReference w:id="34"/>
      </w:r>
      <w:r w:rsidRPr="00CF3952">
        <w:rPr>
          <w:rFonts w:ascii="Times New Roman" w:hAnsi="Times New Roman" w:cs="Times New Roman"/>
          <w:sz w:val="24"/>
          <w:szCs w:val="24"/>
        </w:rPr>
        <w:t>, solo se menciona que si bien es el juez quien debe designar peritos para que evalúen la condición mental del inculpado se reconoce a las partes el derecho de designar a los suyos</w:t>
      </w:r>
      <w:r w:rsidRPr="00CF3952">
        <w:rPr>
          <w:rStyle w:val="Refdenotaalpie"/>
          <w:rFonts w:ascii="Times New Roman" w:hAnsi="Times New Roman" w:cs="Times New Roman"/>
          <w:sz w:val="24"/>
          <w:szCs w:val="24"/>
        </w:rPr>
        <w:footnoteReference w:id="35"/>
      </w:r>
      <w:r w:rsidRPr="00CF3952">
        <w:rPr>
          <w:rFonts w:ascii="Times New Roman" w:hAnsi="Times New Roman" w:cs="Times New Roman"/>
          <w:sz w:val="24"/>
          <w:szCs w:val="24"/>
        </w:rPr>
        <w:t>. En México los Servicios de Atención Psiquiátrica dependientes de la Secretaría de Salud Federal son los encargados de hacer los dictámenes y peritajes solicitados por la autoridad judicial o sistema de justicia, cuando lo consideren pertinente. En el período de un año – los datos son consistentes con el año de 2013- se reciben alrededor de 1915 solicitudes, de las cuales, 1,493 van dirigidas a un solo Hospital (Fray Bernardino de Álvarez). El 30%, aproximadamente, es decir 450, tienen que ver con la justicia penal. En este hospital el departamento de psiquiatría y psicología forense, encargado de hacer estas valoraciones y dictámenes cuenta únicamente con 2 peritos psiquiatras y 3 peritos psicólogos. Por lo que cada caso tarda aproximadamente ocho meses en ser considerado</w:t>
      </w:r>
      <w:r w:rsidRPr="00CF3952">
        <w:rPr>
          <w:rStyle w:val="Refdenotaalpie"/>
          <w:rFonts w:ascii="Times New Roman" w:hAnsi="Times New Roman" w:cs="Times New Roman"/>
          <w:sz w:val="24"/>
          <w:szCs w:val="24"/>
        </w:rPr>
        <w:footnoteReference w:id="36"/>
      </w:r>
    </w:p>
    <w:p w14:paraId="6B772472" w14:textId="77777777" w:rsidR="009C11F7" w:rsidRPr="00CF3952" w:rsidRDefault="009C11F7" w:rsidP="009C11F7">
      <w:pPr>
        <w:tabs>
          <w:tab w:val="left" w:pos="1276"/>
        </w:tabs>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Ahora bien, dentro de dicho procedimiento no se establece que la persona con discapacidad –sobre la cual se analiza si se encuentra en un estado de inimputabilidad</w:t>
      </w:r>
      <w:r w:rsidR="00E04C25" w:rsidRPr="00CF3952">
        <w:rPr>
          <w:rFonts w:ascii="Times New Roman" w:hAnsi="Times New Roman" w:cs="Times New Roman"/>
          <w:sz w:val="24"/>
          <w:szCs w:val="24"/>
        </w:rPr>
        <w:t>–</w:t>
      </w:r>
      <w:r w:rsidRPr="00CF3952">
        <w:rPr>
          <w:rFonts w:ascii="Times New Roman" w:hAnsi="Times New Roman" w:cs="Times New Roman"/>
          <w:sz w:val="24"/>
          <w:szCs w:val="24"/>
        </w:rPr>
        <w:t xml:space="preserve"> pueda declarar, ni si es capaz comunicarse o expresar –por cualquier medio</w:t>
      </w:r>
      <w:r w:rsidR="00E04C25" w:rsidRPr="00CF3952">
        <w:rPr>
          <w:rFonts w:ascii="Times New Roman" w:hAnsi="Times New Roman" w:cs="Times New Roman"/>
          <w:sz w:val="24"/>
          <w:szCs w:val="24"/>
        </w:rPr>
        <w:t>–</w:t>
      </w:r>
      <w:r w:rsidRPr="00CF3952">
        <w:rPr>
          <w:rFonts w:ascii="Times New Roman" w:hAnsi="Times New Roman" w:cs="Times New Roman"/>
          <w:sz w:val="24"/>
          <w:szCs w:val="24"/>
        </w:rPr>
        <w:t xml:space="preserve"> el hecho presuntamente delictuoso, </w:t>
      </w:r>
      <w:r w:rsidRPr="00CF3952">
        <w:rPr>
          <w:rFonts w:ascii="Times New Roman" w:hAnsi="Times New Roman" w:cs="Times New Roman"/>
          <w:sz w:val="24"/>
          <w:szCs w:val="24"/>
        </w:rPr>
        <w:lastRenderedPageBreak/>
        <w:t>y si comprende lo que constituiría el acto ilícito</w:t>
      </w:r>
      <w:r w:rsidRPr="00CF3952">
        <w:rPr>
          <w:rStyle w:val="Refdenotaalpie"/>
          <w:rFonts w:ascii="Times New Roman" w:hAnsi="Times New Roman" w:cs="Times New Roman"/>
          <w:sz w:val="24"/>
          <w:szCs w:val="24"/>
        </w:rPr>
        <w:footnoteReference w:id="37"/>
      </w:r>
      <w:r w:rsidRPr="00CF3952">
        <w:rPr>
          <w:rFonts w:ascii="Times New Roman" w:hAnsi="Times New Roman" w:cs="Times New Roman"/>
          <w:sz w:val="24"/>
          <w:szCs w:val="24"/>
        </w:rPr>
        <w:t>. Dicha consideración trae como consecuencia que durante la audiencia inicial, -en la práctica se da desde la investigación previa, es decir desde la etapa de investigación-, el ministerio público tiene la facultad para ordenar su internamiento dentro de establecimientos psiquiátricos o “hacer entrega” de ellos a su representante legal, convirtiéndolos en objeto de derecho en lugar de sujetos de derecho. Esto se encuentra relacionado con el modelo médico –rehabilitador de la discapacidad que se ha ido utilizando erróneamente en diferentes ordenamientos en incluso en los pronunciamientos de los tribunales internos</w:t>
      </w:r>
      <w:r w:rsidRPr="00CF3952">
        <w:rPr>
          <w:rStyle w:val="Refdenotaalpie"/>
          <w:rFonts w:ascii="Times New Roman" w:hAnsi="Times New Roman" w:cs="Times New Roman"/>
          <w:sz w:val="24"/>
          <w:szCs w:val="24"/>
        </w:rPr>
        <w:footnoteReference w:id="38"/>
      </w:r>
      <w:r w:rsidRPr="00CF3952">
        <w:rPr>
          <w:rFonts w:ascii="Times New Roman" w:hAnsi="Times New Roman" w:cs="Times New Roman"/>
          <w:sz w:val="24"/>
          <w:szCs w:val="24"/>
        </w:rPr>
        <w:t xml:space="preserve"> en lugar del modelo social</w:t>
      </w:r>
      <w:r w:rsidRPr="00CF3952">
        <w:rPr>
          <w:rStyle w:val="Refdenotaalpie"/>
          <w:rFonts w:ascii="Times New Roman" w:hAnsi="Times New Roman" w:cs="Times New Roman"/>
          <w:sz w:val="24"/>
          <w:szCs w:val="24"/>
        </w:rPr>
        <w:footnoteReference w:id="39"/>
      </w:r>
      <w:r w:rsidRPr="00CF3952">
        <w:rPr>
          <w:rFonts w:ascii="Times New Roman" w:hAnsi="Times New Roman" w:cs="Times New Roman"/>
          <w:sz w:val="24"/>
          <w:szCs w:val="24"/>
        </w:rPr>
        <w:t>, lo que incide en la forma en que son vistos las personas con discapacidad. Es decir, las primeras violaciones a sus derechos humanos se darían con el internamiento forzoso y con la entrega a dicho representante –en este punto no ahondaremos en la figura de la interdicción que se presume en ese caso al existir dicho representante o que es designado con posterioridad a la declaración de inimputabilidad</w:t>
      </w:r>
      <w:r w:rsidRPr="00CF3952">
        <w:rPr>
          <w:rStyle w:val="Refdenotaalpie"/>
          <w:rFonts w:ascii="Times New Roman" w:hAnsi="Times New Roman" w:cs="Times New Roman"/>
          <w:sz w:val="24"/>
          <w:szCs w:val="24"/>
        </w:rPr>
        <w:footnoteReference w:id="40"/>
      </w:r>
      <w:r w:rsidR="00E04C25" w:rsidRPr="00CF3952">
        <w:rPr>
          <w:rFonts w:ascii="Times New Roman" w:hAnsi="Times New Roman" w:cs="Times New Roman"/>
          <w:sz w:val="24"/>
          <w:szCs w:val="24"/>
        </w:rPr>
        <w:t>–</w:t>
      </w:r>
      <w:r w:rsidRPr="00CF3952">
        <w:rPr>
          <w:rFonts w:ascii="Times New Roman" w:hAnsi="Times New Roman" w:cs="Times New Roman"/>
          <w:sz w:val="24"/>
          <w:szCs w:val="24"/>
        </w:rPr>
        <w:t xml:space="preserve"> pero además se pueden mencionar otros casos dónde se vulnera su derecho al acceso a la justicia: </w:t>
      </w:r>
    </w:p>
    <w:p w14:paraId="54BE09FF" w14:textId="77777777" w:rsidR="009C11F7" w:rsidRPr="00CF3952" w:rsidRDefault="009C11F7" w:rsidP="009C11F7">
      <w:pPr>
        <w:pStyle w:val="Prrafodelista"/>
        <w:numPr>
          <w:ilvl w:val="0"/>
          <w:numId w:val="6"/>
        </w:numPr>
        <w:tabs>
          <w:tab w:val="left" w:pos="1276"/>
        </w:tabs>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 xml:space="preserve">Al comparar el código de procedimientos penales respecto de los menores de edad y las personas con discapacidad, los primeros cuando hayan sido víctimas de abuso por parte de sus tutores o padres pueden presentarse directamente ante el Ministerio público a denunciar, sin embargo el código no prevé que las personas con </w:t>
      </w:r>
      <w:r w:rsidRPr="00CF3952">
        <w:rPr>
          <w:rFonts w:ascii="Times New Roman" w:hAnsi="Times New Roman" w:cs="Times New Roman"/>
          <w:sz w:val="24"/>
          <w:szCs w:val="24"/>
        </w:rPr>
        <w:lastRenderedPageBreak/>
        <w:t xml:space="preserve">discapacidad se presenten directamente a denunciar, sino a través de sus tutores o padres. </w:t>
      </w:r>
    </w:p>
    <w:p w14:paraId="19925AB9" w14:textId="77777777" w:rsidR="009C11F7" w:rsidRPr="00CF3952" w:rsidRDefault="009C11F7" w:rsidP="009C11F7">
      <w:pPr>
        <w:pStyle w:val="Prrafodelista"/>
        <w:numPr>
          <w:ilvl w:val="0"/>
          <w:numId w:val="6"/>
        </w:numPr>
        <w:tabs>
          <w:tab w:val="left" w:pos="1276"/>
        </w:tabs>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 xml:space="preserve">En el caso de las personas con discapacidad internadas en una institución su única posibilidad de acceder a justicia es a través de su tutor, es decir el director de la misma institución quién en muchas ocasiones es quien atenta contra sus derechos humanos </w:t>
      </w:r>
    </w:p>
    <w:p w14:paraId="1EAF31F1" w14:textId="77777777" w:rsidR="009C11F7" w:rsidRPr="00CF3952" w:rsidRDefault="009C11F7" w:rsidP="009C11F7">
      <w:pPr>
        <w:pStyle w:val="Prrafodelista"/>
        <w:numPr>
          <w:ilvl w:val="0"/>
          <w:numId w:val="6"/>
        </w:numPr>
        <w:tabs>
          <w:tab w:val="left" w:pos="1276"/>
        </w:tabs>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 xml:space="preserve">Al haberse declarado la inimputabilidad no se puede aplicar el procedimiento abreviado </w:t>
      </w:r>
    </w:p>
    <w:p w14:paraId="421BB002" w14:textId="77777777" w:rsidR="009C11F7" w:rsidRPr="00CF3952" w:rsidRDefault="009C11F7" w:rsidP="009C11F7">
      <w:pPr>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Otro problema lo representa la falta de conocimiento sobre los diferentes tipos de discapacidades psicosociales o intelectuales que en la práctica poseen los peritos encargados de realizar los dictámenes psiquiátricos y/o psicológicos. Asimismo, otra vulneración se da cuando debido a la discrecionalidad de los jueces para aplicar los ajustes razonables que si bien se encuentran previsto en el Código Nacional de Procedimientos Penales</w:t>
      </w:r>
      <w:r w:rsidRPr="00CF3952">
        <w:rPr>
          <w:rStyle w:val="Refdenotaalpie"/>
          <w:rFonts w:ascii="Times New Roman" w:hAnsi="Times New Roman" w:cs="Times New Roman"/>
          <w:sz w:val="24"/>
          <w:szCs w:val="24"/>
        </w:rPr>
        <w:footnoteReference w:id="41"/>
      </w:r>
      <w:r w:rsidRPr="00CF3952">
        <w:rPr>
          <w:rFonts w:ascii="Times New Roman" w:hAnsi="Times New Roman" w:cs="Times New Roman"/>
          <w:sz w:val="24"/>
          <w:szCs w:val="24"/>
        </w:rPr>
        <w:t xml:space="preserve"> no son realizados cumpliendo con los estándares de la Convención sobre los Derechos de las Personas con Discapacidad ni por lo dicho por el Comité de los Derechos de las Personas con Discapacidad. Así esta discrecionalidad con la que se permite a los jueces aplicar el procedimiento para personas inimputables anteriormente descrito conlleva a la vulneración del derecho contar con una defensa adecuada a elección de la persona</w:t>
      </w:r>
      <w:r w:rsidRPr="00CF3952">
        <w:rPr>
          <w:rStyle w:val="Refdenotaalpie"/>
          <w:rFonts w:ascii="Times New Roman" w:hAnsi="Times New Roman" w:cs="Times New Roman"/>
          <w:sz w:val="24"/>
          <w:szCs w:val="24"/>
        </w:rPr>
        <w:footnoteReference w:id="42"/>
      </w:r>
      <w:r w:rsidRPr="00CF3952">
        <w:rPr>
          <w:rFonts w:ascii="Times New Roman" w:hAnsi="Times New Roman" w:cs="Times New Roman"/>
          <w:sz w:val="24"/>
          <w:szCs w:val="24"/>
        </w:rPr>
        <w:t xml:space="preserve"> y a ser oído por un tribunal</w:t>
      </w:r>
      <w:r w:rsidRPr="00CF3952">
        <w:rPr>
          <w:rStyle w:val="Refdenotaalpie"/>
          <w:rFonts w:ascii="Times New Roman" w:hAnsi="Times New Roman" w:cs="Times New Roman"/>
          <w:sz w:val="24"/>
          <w:szCs w:val="24"/>
        </w:rPr>
        <w:footnoteReference w:id="43"/>
      </w:r>
      <w:r w:rsidRPr="00CF3952">
        <w:rPr>
          <w:rFonts w:ascii="Times New Roman" w:hAnsi="Times New Roman" w:cs="Times New Roman"/>
          <w:sz w:val="24"/>
          <w:szCs w:val="24"/>
        </w:rPr>
        <w:t>. Incluso se ha documentado que algunos los juzgadores han expresado “deberán comparecer las partes con excepción del inimputable”</w:t>
      </w:r>
      <w:r w:rsidRPr="00CF3952">
        <w:rPr>
          <w:rStyle w:val="Refdenotaalpie"/>
          <w:rFonts w:ascii="Times New Roman" w:hAnsi="Times New Roman" w:cs="Times New Roman"/>
          <w:sz w:val="24"/>
          <w:szCs w:val="24"/>
        </w:rPr>
        <w:footnoteReference w:id="44"/>
      </w:r>
      <w:r w:rsidRPr="00CF3952">
        <w:rPr>
          <w:rFonts w:ascii="Times New Roman" w:hAnsi="Times New Roman" w:cs="Times New Roman"/>
          <w:sz w:val="24"/>
          <w:szCs w:val="24"/>
        </w:rPr>
        <w:t xml:space="preserve">. </w:t>
      </w:r>
    </w:p>
    <w:p w14:paraId="3B3C252D" w14:textId="77777777" w:rsidR="00F02CF7" w:rsidRPr="00CF3952" w:rsidRDefault="009C11F7" w:rsidP="00E04C25">
      <w:pPr>
        <w:spacing w:after="0" w:line="360" w:lineRule="auto"/>
        <w:jc w:val="both"/>
        <w:rPr>
          <w:rFonts w:ascii="Times New Roman" w:hAnsi="Times New Roman" w:cs="Times New Roman"/>
          <w:sz w:val="24"/>
          <w:szCs w:val="24"/>
          <w:lang w:eastAsia="es-MX"/>
        </w:rPr>
      </w:pPr>
      <w:r w:rsidRPr="00CF3952">
        <w:rPr>
          <w:rFonts w:ascii="Times New Roman" w:hAnsi="Times New Roman" w:cs="Times New Roman"/>
          <w:sz w:val="24"/>
          <w:szCs w:val="24"/>
        </w:rPr>
        <w:t>En el caso de la aplicación de las medidas de seguridad</w:t>
      </w:r>
      <w:r w:rsidRPr="00CF3952">
        <w:rPr>
          <w:rStyle w:val="Refdenotaalpie"/>
          <w:rFonts w:ascii="Times New Roman" w:hAnsi="Times New Roman" w:cs="Times New Roman"/>
          <w:sz w:val="24"/>
          <w:szCs w:val="24"/>
        </w:rPr>
        <w:footnoteReference w:id="45"/>
      </w:r>
      <w:r w:rsidRPr="00CF3952">
        <w:rPr>
          <w:rFonts w:ascii="Times New Roman" w:hAnsi="Times New Roman" w:cs="Times New Roman"/>
          <w:sz w:val="24"/>
          <w:szCs w:val="24"/>
        </w:rPr>
        <w:t xml:space="preserve"> se toman en consideración los principios de mínima intervención y proporcionalidad, este último deberá ser analizado en los casos donde la medida de seguridad consista en la internación en un hospital psiquiátrico </w:t>
      </w:r>
      <w:r w:rsidRPr="00CF3952">
        <w:rPr>
          <w:rFonts w:ascii="Times New Roman" w:hAnsi="Times New Roman" w:cs="Times New Roman"/>
          <w:sz w:val="24"/>
          <w:szCs w:val="24"/>
        </w:rPr>
        <w:lastRenderedPageBreak/>
        <w:t>y el análisis consistirá en la proporcionalidad de la medida con respecto al estado peligroso del inimputable y a la probabilidad de que en el futuro incida en hechos antijurídicos, cuestión que entraña un aspecto médico y no de punición</w:t>
      </w:r>
      <w:r w:rsidRPr="00CF3952">
        <w:rPr>
          <w:rStyle w:val="Refdenotaalpie"/>
          <w:rFonts w:ascii="Times New Roman" w:hAnsi="Times New Roman" w:cs="Times New Roman"/>
          <w:sz w:val="24"/>
          <w:szCs w:val="24"/>
        </w:rPr>
        <w:footnoteReference w:id="46"/>
      </w:r>
      <w:r w:rsidR="00E04C25" w:rsidRPr="00CF3952">
        <w:rPr>
          <w:rFonts w:ascii="Times New Roman" w:hAnsi="Times New Roman" w:cs="Times New Roman"/>
          <w:sz w:val="24"/>
          <w:szCs w:val="24"/>
        </w:rPr>
        <w:t xml:space="preserve">. Si bien </w:t>
      </w:r>
      <w:r w:rsidRPr="00CF3952">
        <w:rPr>
          <w:rFonts w:ascii="Times New Roman" w:hAnsi="Times New Roman" w:cs="Times New Roman"/>
          <w:sz w:val="24"/>
          <w:szCs w:val="24"/>
        </w:rPr>
        <w:t>el Protocolo de Actuación para Quienes Imparten Justicia en Casos que Involucren Derechos de Personas con Discapacidad reconoce que la privación de la libertad no está justificada por el hecho de tener una discapacidad</w:t>
      </w:r>
      <w:r w:rsidRPr="00CF3952">
        <w:rPr>
          <w:rStyle w:val="Refdenotaalpie"/>
          <w:rFonts w:ascii="Times New Roman" w:hAnsi="Times New Roman" w:cs="Times New Roman"/>
          <w:sz w:val="24"/>
          <w:szCs w:val="24"/>
        </w:rPr>
        <w:footnoteReference w:id="47"/>
      </w:r>
      <w:r w:rsidRPr="00CF3952">
        <w:rPr>
          <w:rFonts w:ascii="Times New Roman" w:hAnsi="Times New Roman" w:cs="Times New Roman"/>
          <w:sz w:val="24"/>
          <w:szCs w:val="24"/>
        </w:rPr>
        <w:t>, en concordancia con el artículo 14, párrafo 1, inciso b) de la Convención de los Derechos de las Personas con Discapacidad también lo es que una práctica generalizada en México con respecto a las personas con discapacidad es que vivan una pérdida de facto de su capacidad jurídica al momento de ser sujetas a internamiento, ya sea voluntario o forzado, en instituciones psiquiátricas o similares de larga estancia</w:t>
      </w:r>
      <w:r w:rsidRPr="00CF3952">
        <w:rPr>
          <w:rStyle w:val="Refdenotaalpie"/>
          <w:rFonts w:ascii="Times New Roman" w:hAnsi="Times New Roman" w:cs="Times New Roman"/>
          <w:sz w:val="24"/>
          <w:szCs w:val="24"/>
        </w:rPr>
        <w:footnoteReference w:id="48"/>
      </w:r>
      <w:r w:rsidRPr="00CF3952">
        <w:rPr>
          <w:rFonts w:ascii="Times New Roman" w:hAnsi="Times New Roman" w:cs="Times New Roman"/>
          <w:sz w:val="24"/>
          <w:szCs w:val="24"/>
        </w:rPr>
        <w:t>. Dichas actuaciones constituyen violaciones a los artículos 1, 16, 17, 18, 19 y 20, entre otros, de la Constitución Política de los Estados Unidos Mexicanos además que son contrarias a la Convención sobre los Derechos de las Personas con Discapacidad como serían los artículos 1, 2, 3, 4, 5, 14 y 19 de dicho ordenamiento</w:t>
      </w:r>
      <w:r w:rsidR="00E04C25" w:rsidRPr="00CF3952">
        <w:rPr>
          <w:rFonts w:ascii="Times New Roman" w:hAnsi="Times New Roman" w:cs="Times New Roman"/>
          <w:sz w:val="24"/>
          <w:szCs w:val="24"/>
          <w:lang w:eastAsia="es-MX"/>
        </w:rPr>
        <w:t xml:space="preserve">. </w:t>
      </w:r>
    </w:p>
    <w:p w14:paraId="0D6B1122" w14:textId="77777777" w:rsidR="00E04C25" w:rsidRPr="00CF3952" w:rsidRDefault="00E04C25" w:rsidP="00E04C25">
      <w:pPr>
        <w:spacing w:after="0" w:line="360" w:lineRule="auto"/>
        <w:jc w:val="both"/>
        <w:rPr>
          <w:rFonts w:ascii="Times New Roman" w:hAnsi="Times New Roman" w:cs="Times New Roman"/>
          <w:sz w:val="24"/>
          <w:szCs w:val="24"/>
          <w:lang w:eastAsia="es-MX"/>
        </w:rPr>
      </w:pPr>
    </w:p>
    <w:p w14:paraId="5F7CFA66" w14:textId="77777777" w:rsidR="00E04C25" w:rsidRPr="00CF3952" w:rsidRDefault="00E04C25" w:rsidP="00E04C25">
      <w:pPr>
        <w:spacing w:after="0" w:line="360" w:lineRule="auto"/>
        <w:jc w:val="both"/>
        <w:rPr>
          <w:rFonts w:ascii="Times New Roman" w:hAnsi="Times New Roman" w:cs="Times New Roman"/>
          <w:sz w:val="24"/>
          <w:szCs w:val="24"/>
          <w:lang w:eastAsia="es-MX"/>
        </w:rPr>
      </w:pPr>
    </w:p>
    <w:p w14:paraId="589F0BF8" w14:textId="77777777" w:rsidR="00F02CF7" w:rsidRPr="00CF3952" w:rsidRDefault="00F02CF7" w:rsidP="00F02CF7">
      <w:pPr>
        <w:spacing w:line="360" w:lineRule="auto"/>
        <w:jc w:val="both"/>
        <w:rPr>
          <w:rFonts w:ascii="Times New Roman" w:hAnsi="Times New Roman" w:cs="Times New Roman"/>
          <w:sz w:val="24"/>
          <w:szCs w:val="24"/>
        </w:rPr>
      </w:pPr>
    </w:p>
    <w:p w14:paraId="689B1F07" w14:textId="77777777" w:rsidR="00F02CF7" w:rsidRPr="00CF3952" w:rsidRDefault="00F02CF7" w:rsidP="00F02CF7">
      <w:pPr>
        <w:spacing w:line="360" w:lineRule="auto"/>
        <w:jc w:val="both"/>
        <w:rPr>
          <w:rFonts w:ascii="Times New Roman" w:hAnsi="Times New Roman" w:cs="Times New Roman"/>
          <w:sz w:val="24"/>
          <w:szCs w:val="24"/>
        </w:rPr>
      </w:pPr>
    </w:p>
    <w:p w14:paraId="22024C00" w14:textId="77777777" w:rsidR="00F02CF7" w:rsidRPr="00CF3952" w:rsidRDefault="00F02CF7" w:rsidP="00F02CF7">
      <w:pPr>
        <w:spacing w:line="360" w:lineRule="auto"/>
        <w:jc w:val="both"/>
        <w:rPr>
          <w:rFonts w:ascii="Times New Roman" w:hAnsi="Times New Roman" w:cs="Times New Roman"/>
          <w:sz w:val="24"/>
          <w:szCs w:val="24"/>
        </w:rPr>
      </w:pPr>
    </w:p>
    <w:p w14:paraId="4D2A6A86" w14:textId="77777777" w:rsidR="00E379AA" w:rsidRPr="00CF3952" w:rsidRDefault="00E379AA" w:rsidP="00F02CF7">
      <w:pPr>
        <w:spacing w:line="360" w:lineRule="auto"/>
        <w:jc w:val="both"/>
        <w:rPr>
          <w:rFonts w:ascii="Times New Roman" w:hAnsi="Times New Roman" w:cs="Times New Roman"/>
          <w:sz w:val="24"/>
          <w:szCs w:val="24"/>
        </w:rPr>
      </w:pPr>
    </w:p>
    <w:p w14:paraId="6F457E4E" w14:textId="77777777" w:rsidR="00E379AA" w:rsidRPr="00CF3952" w:rsidRDefault="00E379AA" w:rsidP="00F02CF7">
      <w:pPr>
        <w:spacing w:line="360" w:lineRule="auto"/>
        <w:jc w:val="both"/>
        <w:rPr>
          <w:rFonts w:ascii="Times New Roman" w:hAnsi="Times New Roman" w:cs="Times New Roman"/>
          <w:sz w:val="24"/>
          <w:szCs w:val="24"/>
        </w:rPr>
      </w:pPr>
    </w:p>
    <w:p w14:paraId="580B5831" w14:textId="77777777" w:rsidR="00E379AA" w:rsidRPr="00CF3952" w:rsidRDefault="00E379AA" w:rsidP="00F02CF7">
      <w:pPr>
        <w:spacing w:line="360" w:lineRule="auto"/>
        <w:jc w:val="both"/>
        <w:rPr>
          <w:rFonts w:ascii="Times New Roman" w:hAnsi="Times New Roman" w:cs="Times New Roman"/>
          <w:sz w:val="24"/>
          <w:szCs w:val="24"/>
        </w:rPr>
      </w:pPr>
    </w:p>
    <w:p w14:paraId="46433255" w14:textId="77777777" w:rsidR="00F02CF7" w:rsidRDefault="00F02CF7" w:rsidP="00F02CF7">
      <w:pPr>
        <w:spacing w:line="360" w:lineRule="auto"/>
        <w:jc w:val="both"/>
        <w:rPr>
          <w:rFonts w:ascii="Times New Roman" w:hAnsi="Times New Roman" w:cs="Times New Roman"/>
          <w:sz w:val="24"/>
          <w:szCs w:val="24"/>
        </w:rPr>
      </w:pPr>
    </w:p>
    <w:p w14:paraId="1AEEBB40" w14:textId="77777777" w:rsidR="00CF3952" w:rsidRDefault="00CF3952" w:rsidP="00F02CF7">
      <w:pPr>
        <w:spacing w:line="360" w:lineRule="auto"/>
        <w:jc w:val="both"/>
        <w:rPr>
          <w:rFonts w:ascii="Times New Roman" w:hAnsi="Times New Roman" w:cs="Times New Roman"/>
          <w:sz w:val="24"/>
          <w:szCs w:val="24"/>
        </w:rPr>
      </w:pPr>
    </w:p>
    <w:p w14:paraId="53924DF5" w14:textId="77777777" w:rsidR="00CF3952" w:rsidRDefault="00CF3952" w:rsidP="00F02CF7">
      <w:pPr>
        <w:spacing w:line="360" w:lineRule="auto"/>
        <w:jc w:val="both"/>
        <w:rPr>
          <w:rFonts w:ascii="Times New Roman" w:hAnsi="Times New Roman" w:cs="Times New Roman"/>
          <w:sz w:val="24"/>
          <w:szCs w:val="24"/>
        </w:rPr>
      </w:pPr>
    </w:p>
    <w:p w14:paraId="2EC58353" w14:textId="77777777" w:rsidR="00CF3952" w:rsidRPr="00CF3952" w:rsidRDefault="00CF3952" w:rsidP="00F02CF7">
      <w:pPr>
        <w:spacing w:line="360" w:lineRule="auto"/>
        <w:jc w:val="both"/>
        <w:rPr>
          <w:rFonts w:ascii="Times New Roman" w:hAnsi="Times New Roman" w:cs="Times New Roman"/>
          <w:sz w:val="24"/>
          <w:szCs w:val="24"/>
        </w:rPr>
      </w:pPr>
    </w:p>
    <w:p w14:paraId="6A4BE064" w14:textId="77777777" w:rsidR="00F02CF7" w:rsidRPr="00CF3952" w:rsidRDefault="00E04C25" w:rsidP="00E04C25">
      <w:pPr>
        <w:spacing w:line="360" w:lineRule="auto"/>
        <w:jc w:val="center"/>
        <w:rPr>
          <w:rFonts w:ascii="Times New Roman" w:hAnsi="Times New Roman" w:cs="Times New Roman"/>
          <w:b/>
          <w:sz w:val="24"/>
          <w:szCs w:val="24"/>
        </w:rPr>
      </w:pPr>
      <w:r w:rsidRPr="00CF3952">
        <w:rPr>
          <w:rFonts w:ascii="Times New Roman" w:hAnsi="Times New Roman" w:cs="Times New Roman"/>
          <w:b/>
          <w:sz w:val="24"/>
          <w:szCs w:val="24"/>
        </w:rPr>
        <w:t>Anexo I. Procedimiento previsto en el Código Nacional de Procedimientos Penales para las Personas con Discapacidad</w:t>
      </w:r>
    </w:p>
    <w:tbl>
      <w:tblPr>
        <w:tblStyle w:val="Listaclara-nfasis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5"/>
        <w:gridCol w:w="2106"/>
        <w:gridCol w:w="3147"/>
      </w:tblGrid>
      <w:tr w:rsidR="00F02CF7" w:rsidRPr="00CF3952" w14:paraId="31D26B2E" w14:textId="77777777" w:rsidTr="00E556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gridSpan w:val="3"/>
            <w:tcBorders>
              <w:top w:val="single" w:sz="4" w:space="0" w:color="auto"/>
              <w:left w:val="single" w:sz="4" w:space="0" w:color="auto"/>
              <w:bottom w:val="single" w:sz="4" w:space="0" w:color="auto"/>
              <w:right w:val="single" w:sz="4" w:space="0" w:color="auto"/>
            </w:tcBorders>
            <w:hideMark/>
          </w:tcPr>
          <w:p w14:paraId="7BEC42FA" w14:textId="77777777" w:rsidR="00F02CF7" w:rsidRPr="00CF3952" w:rsidRDefault="00F02CF7" w:rsidP="00E55676">
            <w:pPr>
              <w:spacing w:line="360" w:lineRule="auto"/>
              <w:jc w:val="both"/>
              <w:rPr>
                <w:rFonts w:ascii="Times New Roman" w:hAnsi="Times New Roman" w:cs="Times New Roman"/>
                <w:sz w:val="24"/>
                <w:szCs w:val="24"/>
              </w:rPr>
            </w:pPr>
            <w:r w:rsidRPr="00CF3952">
              <w:rPr>
                <w:rFonts w:ascii="Times New Roman" w:hAnsi="Times New Roman" w:cs="Times New Roman"/>
                <w:sz w:val="24"/>
                <w:szCs w:val="24"/>
              </w:rPr>
              <w:t>PROCEDIMIENTO PARA PERSONAS INIMPUTABLES</w:t>
            </w:r>
          </w:p>
        </w:tc>
      </w:tr>
      <w:tr w:rsidR="00F02CF7" w:rsidRPr="00CF3952" w14:paraId="148E1ACC" w14:textId="77777777" w:rsidTr="00E55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single" w:sz="4" w:space="0" w:color="auto"/>
              <w:left w:val="single" w:sz="4" w:space="0" w:color="auto"/>
              <w:bottom w:val="single" w:sz="4" w:space="0" w:color="auto"/>
              <w:right w:val="single" w:sz="4" w:space="0" w:color="auto"/>
            </w:tcBorders>
            <w:hideMark/>
          </w:tcPr>
          <w:p w14:paraId="70668F03" w14:textId="77777777" w:rsidR="00F02CF7" w:rsidRPr="00CF3952" w:rsidRDefault="00F02CF7" w:rsidP="00E55676">
            <w:pPr>
              <w:spacing w:line="360" w:lineRule="auto"/>
              <w:jc w:val="both"/>
              <w:rPr>
                <w:rFonts w:ascii="Times New Roman" w:hAnsi="Times New Roman" w:cs="Times New Roman"/>
                <w:b w:val="0"/>
                <w:sz w:val="24"/>
                <w:szCs w:val="24"/>
              </w:rPr>
            </w:pPr>
            <w:r w:rsidRPr="00CF3952">
              <w:rPr>
                <w:rFonts w:ascii="Times New Roman" w:hAnsi="Times New Roman" w:cs="Times New Roman"/>
                <w:b w:val="0"/>
                <w:sz w:val="24"/>
                <w:szCs w:val="24"/>
              </w:rPr>
              <w:t xml:space="preserve">Etapa del proceso </w:t>
            </w:r>
          </w:p>
        </w:tc>
        <w:tc>
          <w:tcPr>
            <w:tcW w:w="5326" w:type="dxa"/>
            <w:gridSpan w:val="2"/>
            <w:tcBorders>
              <w:top w:val="single" w:sz="4" w:space="0" w:color="auto"/>
              <w:left w:val="single" w:sz="4" w:space="0" w:color="auto"/>
              <w:bottom w:val="single" w:sz="4" w:space="0" w:color="auto"/>
              <w:right w:val="single" w:sz="4" w:space="0" w:color="auto"/>
            </w:tcBorders>
            <w:hideMark/>
          </w:tcPr>
          <w:p w14:paraId="298954FC" w14:textId="77777777" w:rsidR="00F02CF7" w:rsidRPr="00CF3952" w:rsidRDefault="00F02CF7" w:rsidP="00E556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3952">
              <w:rPr>
                <w:rFonts w:ascii="Times New Roman" w:hAnsi="Times New Roman" w:cs="Times New Roman"/>
                <w:sz w:val="24"/>
                <w:szCs w:val="24"/>
              </w:rPr>
              <w:t xml:space="preserve">Audiencia inicial </w:t>
            </w:r>
          </w:p>
        </w:tc>
      </w:tr>
      <w:tr w:rsidR="00F02CF7" w:rsidRPr="00CF3952" w14:paraId="4D66A8B1" w14:textId="77777777" w:rsidTr="00E55676">
        <w:tc>
          <w:tcPr>
            <w:cnfStyle w:val="001000000000" w:firstRow="0" w:lastRow="0" w:firstColumn="1" w:lastColumn="0" w:oddVBand="0" w:evenVBand="0" w:oddHBand="0" w:evenHBand="0" w:firstRowFirstColumn="0" w:firstRowLastColumn="0" w:lastRowFirstColumn="0" w:lastRowLastColumn="0"/>
            <w:tcW w:w="3652" w:type="dxa"/>
            <w:tcBorders>
              <w:top w:val="single" w:sz="4" w:space="0" w:color="auto"/>
              <w:left w:val="single" w:sz="4" w:space="0" w:color="auto"/>
              <w:bottom w:val="single" w:sz="4" w:space="0" w:color="auto"/>
              <w:right w:val="single" w:sz="4" w:space="0" w:color="auto"/>
            </w:tcBorders>
            <w:hideMark/>
          </w:tcPr>
          <w:p w14:paraId="2AA6B005" w14:textId="77777777" w:rsidR="00F02CF7" w:rsidRPr="00CF3952" w:rsidRDefault="00F02CF7" w:rsidP="00E55676">
            <w:pPr>
              <w:spacing w:line="360" w:lineRule="auto"/>
              <w:jc w:val="both"/>
              <w:rPr>
                <w:rFonts w:ascii="Times New Roman" w:hAnsi="Times New Roman" w:cs="Times New Roman"/>
                <w:b w:val="0"/>
                <w:sz w:val="24"/>
                <w:szCs w:val="24"/>
              </w:rPr>
            </w:pPr>
            <w:r w:rsidRPr="00CF3952">
              <w:rPr>
                <w:rFonts w:ascii="Times New Roman" w:hAnsi="Times New Roman" w:cs="Times New Roman"/>
                <w:b w:val="0"/>
                <w:sz w:val="24"/>
                <w:szCs w:val="24"/>
              </w:rPr>
              <w:t xml:space="preserve">Supuestos de inimputabilidad </w:t>
            </w:r>
          </w:p>
        </w:tc>
        <w:tc>
          <w:tcPr>
            <w:tcW w:w="5326" w:type="dxa"/>
            <w:gridSpan w:val="2"/>
            <w:tcBorders>
              <w:top w:val="single" w:sz="4" w:space="0" w:color="auto"/>
              <w:left w:val="single" w:sz="4" w:space="0" w:color="auto"/>
              <w:bottom w:val="single" w:sz="4" w:space="0" w:color="auto"/>
              <w:right w:val="single" w:sz="4" w:space="0" w:color="auto"/>
            </w:tcBorders>
            <w:hideMark/>
          </w:tcPr>
          <w:p w14:paraId="57BB743A" w14:textId="77777777" w:rsidR="00F02CF7" w:rsidRPr="00CF3952" w:rsidRDefault="00F02CF7" w:rsidP="00E556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3952">
              <w:rPr>
                <w:rFonts w:ascii="Times New Roman" w:hAnsi="Times New Roman" w:cs="Times New Roman"/>
                <w:sz w:val="24"/>
                <w:szCs w:val="24"/>
              </w:rPr>
              <w:t xml:space="preserve">Los previstos en la Parte General del Código Penal aplicable </w:t>
            </w:r>
          </w:p>
        </w:tc>
      </w:tr>
      <w:tr w:rsidR="00F02CF7" w:rsidRPr="00CF3952" w14:paraId="1621AD79" w14:textId="77777777" w:rsidTr="00E55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single" w:sz="4" w:space="0" w:color="auto"/>
              <w:left w:val="single" w:sz="4" w:space="0" w:color="auto"/>
              <w:bottom w:val="single" w:sz="4" w:space="0" w:color="auto"/>
              <w:right w:val="single" w:sz="4" w:space="0" w:color="auto"/>
            </w:tcBorders>
            <w:hideMark/>
          </w:tcPr>
          <w:p w14:paraId="76625D0C" w14:textId="77777777" w:rsidR="00F02CF7" w:rsidRPr="00CF3952" w:rsidRDefault="00F02CF7" w:rsidP="00E55676">
            <w:pPr>
              <w:spacing w:line="360" w:lineRule="auto"/>
              <w:jc w:val="both"/>
              <w:rPr>
                <w:rFonts w:ascii="Times New Roman" w:hAnsi="Times New Roman" w:cs="Times New Roman"/>
                <w:b w:val="0"/>
                <w:sz w:val="24"/>
                <w:szCs w:val="24"/>
              </w:rPr>
            </w:pPr>
            <w:r w:rsidRPr="00CF3952">
              <w:rPr>
                <w:rFonts w:ascii="Times New Roman" w:hAnsi="Times New Roman" w:cs="Times New Roman"/>
                <w:b w:val="0"/>
                <w:sz w:val="24"/>
                <w:szCs w:val="24"/>
              </w:rPr>
              <w:t xml:space="preserve">Autoridad </w:t>
            </w:r>
          </w:p>
        </w:tc>
        <w:tc>
          <w:tcPr>
            <w:tcW w:w="5326" w:type="dxa"/>
            <w:gridSpan w:val="2"/>
            <w:tcBorders>
              <w:top w:val="single" w:sz="4" w:space="0" w:color="auto"/>
              <w:left w:val="single" w:sz="4" w:space="0" w:color="auto"/>
              <w:bottom w:val="single" w:sz="4" w:space="0" w:color="auto"/>
              <w:right w:val="single" w:sz="4" w:space="0" w:color="auto"/>
            </w:tcBorders>
            <w:hideMark/>
          </w:tcPr>
          <w:p w14:paraId="369891E4" w14:textId="77777777" w:rsidR="00F02CF7" w:rsidRPr="00CF3952" w:rsidRDefault="00F02CF7" w:rsidP="00E556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3952">
              <w:rPr>
                <w:rFonts w:ascii="Times New Roman" w:hAnsi="Times New Roman" w:cs="Times New Roman"/>
                <w:sz w:val="24"/>
                <w:szCs w:val="24"/>
              </w:rPr>
              <w:t xml:space="preserve">Juez de Control </w:t>
            </w:r>
          </w:p>
        </w:tc>
      </w:tr>
      <w:tr w:rsidR="00F02CF7" w:rsidRPr="00CF3952" w14:paraId="52E2C096" w14:textId="77777777" w:rsidTr="00E55676">
        <w:tc>
          <w:tcPr>
            <w:cnfStyle w:val="001000000000" w:firstRow="0" w:lastRow="0" w:firstColumn="1" w:lastColumn="0" w:oddVBand="0" w:evenVBand="0" w:oddHBand="0" w:evenHBand="0" w:firstRowFirstColumn="0" w:firstRowLastColumn="0" w:lastRowFirstColumn="0" w:lastRowLastColumn="0"/>
            <w:tcW w:w="3652" w:type="dxa"/>
            <w:tcBorders>
              <w:top w:val="single" w:sz="4" w:space="0" w:color="auto"/>
              <w:left w:val="single" w:sz="4" w:space="0" w:color="auto"/>
              <w:bottom w:val="single" w:sz="4" w:space="0" w:color="auto"/>
              <w:right w:val="single" w:sz="4" w:space="0" w:color="auto"/>
            </w:tcBorders>
            <w:hideMark/>
          </w:tcPr>
          <w:p w14:paraId="2508C60A" w14:textId="77777777" w:rsidR="00F02CF7" w:rsidRPr="00CF3952" w:rsidRDefault="00F02CF7" w:rsidP="00E55676">
            <w:pPr>
              <w:spacing w:line="360" w:lineRule="auto"/>
              <w:jc w:val="both"/>
              <w:rPr>
                <w:rFonts w:ascii="Times New Roman" w:hAnsi="Times New Roman" w:cs="Times New Roman"/>
                <w:b w:val="0"/>
                <w:sz w:val="24"/>
                <w:szCs w:val="24"/>
              </w:rPr>
            </w:pPr>
            <w:r w:rsidRPr="00CF3952">
              <w:rPr>
                <w:rFonts w:ascii="Times New Roman" w:hAnsi="Times New Roman" w:cs="Times New Roman"/>
                <w:b w:val="0"/>
                <w:sz w:val="24"/>
                <w:szCs w:val="24"/>
              </w:rPr>
              <w:t>Solicitud</w:t>
            </w:r>
          </w:p>
        </w:tc>
        <w:tc>
          <w:tcPr>
            <w:tcW w:w="5326" w:type="dxa"/>
            <w:gridSpan w:val="2"/>
            <w:tcBorders>
              <w:top w:val="single" w:sz="4" w:space="0" w:color="auto"/>
              <w:left w:val="single" w:sz="4" w:space="0" w:color="auto"/>
              <w:bottom w:val="single" w:sz="4" w:space="0" w:color="auto"/>
              <w:right w:val="single" w:sz="4" w:space="0" w:color="auto"/>
            </w:tcBorders>
            <w:hideMark/>
          </w:tcPr>
          <w:p w14:paraId="5CA22142" w14:textId="77777777" w:rsidR="00F02CF7" w:rsidRPr="00CF3952" w:rsidRDefault="00F02CF7" w:rsidP="00E556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3952">
              <w:rPr>
                <w:rFonts w:ascii="Times New Roman" w:hAnsi="Times New Roman" w:cs="Times New Roman"/>
                <w:sz w:val="24"/>
                <w:szCs w:val="24"/>
              </w:rPr>
              <w:t xml:space="preserve">Cualquiera de las partes podrá solicitar la práctica de peritajes </w:t>
            </w:r>
          </w:p>
        </w:tc>
      </w:tr>
      <w:tr w:rsidR="00F02CF7" w:rsidRPr="00CF3952" w14:paraId="6C476428" w14:textId="77777777" w:rsidTr="00E55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single" w:sz="4" w:space="0" w:color="auto"/>
              <w:left w:val="single" w:sz="4" w:space="0" w:color="auto"/>
              <w:bottom w:val="single" w:sz="4" w:space="0" w:color="auto"/>
              <w:right w:val="single" w:sz="4" w:space="0" w:color="auto"/>
            </w:tcBorders>
            <w:hideMark/>
          </w:tcPr>
          <w:p w14:paraId="60030BA3" w14:textId="77777777" w:rsidR="00F02CF7" w:rsidRPr="00CF3952" w:rsidRDefault="00F02CF7" w:rsidP="00E55676">
            <w:pPr>
              <w:spacing w:line="360" w:lineRule="auto"/>
              <w:jc w:val="both"/>
              <w:rPr>
                <w:rFonts w:ascii="Times New Roman" w:hAnsi="Times New Roman" w:cs="Times New Roman"/>
                <w:b w:val="0"/>
                <w:sz w:val="24"/>
                <w:szCs w:val="24"/>
              </w:rPr>
            </w:pPr>
            <w:r w:rsidRPr="00CF3952">
              <w:rPr>
                <w:rFonts w:ascii="Times New Roman" w:hAnsi="Times New Roman" w:cs="Times New Roman"/>
                <w:b w:val="0"/>
                <w:sz w:val="24"/>
                <w:szCs w:val="24"/>
              </w:rPr>
              <w:t xml:space="preserve">Se determina </w:t>
            </w:r>
          </w:p>
        </w:tc>
        <w:tc>
          <w:tcPr>
            <w:tcW w:w="5326" w:type="dxa"/>
            <w:gridSpan w:val="2"/>
            <w:tcBorders>
              <w:top w:val="single" w:sz="4" w:space="0" w:color="auto"/>
              <w:left w:val="single" w:sz="4" w:space="0" w:color="auto"/>
              <w:bottom w:val="single" w:sz="4" w:space="0" w:color="auto"/>
              <w:right w:val="single" w:sz="4" w:space="0" w:color="auto"/>
            </w:tcBorders>
            <w:hideMark/>
          </w:tcPr>
          <w:p w14:paraId="6FE2618D" w14:textId="77777777" w:rsidR="00F02CF7" w:rsidRPr="00CF3952" w:rsidRDefault="00F02CF7" w:rsidP="00E55676">
            <w:pPr>
              <w:pStyle w:val="Prrafodelista"/>
              <w:numPr>
                <w:ilvl w:val="0"/>
                <w:numId w:val="4"/>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3952">
              <w:rPr>
                <w:rFonts w:ascii="Times New Roman" w:hAnsi="Times New Roman" w:cs="Times New Roman"/>
                <w:sz w:val="24"/>
                <w:szCs w:val="24"/>
              </w:rPr>
              <w:t xml:space="preserve">Si efectivamente es inimputable </w:t>
            </w:r>
          </w:p>
          <w:p w14:paraId="5AC5494B" w14:textId="77777777" w:rsidR="00F02CF7" w:rsidRPr="00CF3952" w:rsidRDefault="00F02CF7" w:rsidP="00E55676">
            <w:pPr>
              <w:pStyle w:val="Prrafodelista"/>
              <w:numPr>
                <w:ilvl w:val="0"/>
                <w:numId w:val="4"/>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3952">
              <w:rPr>
                <w:rFonts w:ascii="Times New Roman" w:hAnsi="Times New Roman" w:cs="Times New Roman"/>
                <w:sz w:val="24"/>
                <w:szCs w:val="24"/>
              </w:rPr>
              <w:t xml:space="preserve">Si la inimputabilidad es permanente o transitoria </w:t>
            </w:r>
          </w:p>
          <w:p w14:paraId="5D99B1D0" w14:textId="77777777" w:rsidR="00F02CF7" w:rsidRPr="00CF3952" w:rsidRDefault="00F02CF7" w:rsidP="00E55676">
            <w:pPr>
              <w:pStyle w:val="Prrafodelista"/>
              <w:numPr>
                <w:ilvl w:val="0"/>
                <w:numId w:val="4"/>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3952">
              <w:rPr>
                <w:rFonts w:ascii="Times New Roman" w:hAnsi="Times New Roman" w:cs="Times New Roman"/>
                <w:sz w:val="24"/>
                <w:szCs w:val="24"/>
              </w:rPr>
              <w:t xml:space="preserve">Si fue provocada por el imputado </w:t>
            </w:r>
          </w:p>
        </w:tc>
      </w:tr>
      <w:tr w:rsidR="00F02CF7" w:rsidRPr="00CF3952" w14:paraId="78806F89" w14:textId="77777777" w:rsidTr="00E55676">
        <w:tc>
          <w:tcPr>
            <w:cnfStyle w:val="001000000000" w:firstRow="0" w:lastRow="0" w:firstColumn="1" w:lastColumn="0" w:oddVBand="0" w:evenVBand="0" w:oddHBand="0" w:evenHBand="0" w:firstRowFirstColumn="0" w:firstRowLastColumn="0" w:lastRowFirstColumn="0" w:lastRowLastColumn="0"/>
            <w:tcW w:w="3652" w:type="dxa"/>
            <w:tcBorders>
              <w:top w:val="single" w:sz="4" w:space="0" w:color="auto"/>
              <w:left w:val="single" w:sz="4" w:space="0" w:color="auto"/>
              <w:bottom w:val="single" w:sz="4" w:space="0" w:color="auto"/>
              <w:right w:val="single" w:sz="4" w:space="0" w:color="auto"/>
            </w:tcBorders>
            <w:hideMark/>
          </w:tcPr>
          <w:p w14:paraId="09DA4C71" w14:textId="77777777" w:rsidR="00F02CF7" w:rsidRPr="00CF3952" w:rsidRDefault="00F02CF7" w:rsidP="00E55676">
            <w:pPr>
              <w:spacing w:line="360" w:lineRule="auto"/>
              <w:jc w:val="both"/>
              <w:rPr>
                <w:rFonts w:ascii="Times New Roman" w:hAnsi="Times New Roman" w:cs="Times New Roman"/>
                <w:b w:val="0"/>
                <w:sz w:val="24"/>
                <w:szCs w:val="24"/>
              </w:rPr>
            </w:pPr>
            <w:r w:rsidRPr="00CF3952">
              <w:rPr>
                <w:rFonts w:ascii="Times New Roman" w:hAnsi="Times New Roman" w:cs="Times New Roman"/>
                <w:b w:val="0"/>
                <w:sz w:val="24"/>
                <w:szCs w:val="24"/>
              </w:rPr>
              <w:t xml:space="preserve">En caso de que la persona se encuentre retenida </w:t>
            </w:r>
          </w:p>
        </w:tc>
        <w:tc>
          <w:tcPr>
            <w:tcW w:w="5326" w:type="dxa"/>
            <w:gridSpan w:val="2"/>
            <w:tcBorders>
              <w:top w:val="single" w:sz="4" w:space="0" w:color="auto"/>
              <w:left w:val="single" w:sz="4" w:space="0" w:color="auto"/>
              <w:bottom w:val="single" w:sz="4" w:space="0" w:color="auto"/>
              <w:right w:val="single" w:sz="4" w:space="0" w:color="auto"/>
            </w:tcBorders>
            <w:hideMark/>
          </w:tcPr>
          <w:p w14:paraId="16B352E9" w14:textId="77777777" w:rsidR="00F02CF7" w:rsidRPr="00CF3952" w:rsidRDefault="00F02CF7" w:rsidP="00E556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3952">
              <w:rPr>
                <w:rFonts w:ascii="Times New Roman" w:hAnsi="Times New Roman" w:cs="Times New Roman"/>
                <w:sz w:val="24"/>
                <w:szCs w:val="24"/>
              </w:rPr>
              <w:t xml:space="preserve">Se aplicarán ajustes razonables para evitar un mayor grado de vulnerabilidad el respeto de su integridad personal </w:t>
            </w:r>
          </w:p>
        </w:tc>
      </w:tr>
      <w:tr w:rsidR="00F02CF7" w:rsidRPr="00CF3952" w14:paraId="0E1A603A" w14:textId="77777777" w:rsidTr="00E55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single" w:sz="4" w:space="0" w:color="auto"/>
              <w:left w:val="single" w:sz="4" w:space="0" w:color="auto"/>
              <w:bottom w:val="single" w:sz="4" w:space="0" w:color="auto"/>
              <w:right w:val="single" w:sz="4" w:space="0" w:color="auto"/>
            </w:tcBorders>
            <w:hideMark/>
          </w:tcPr>
          <w:p w14:paraId="7243D221" w14:textId="77777777" w:rsidR="00F02CF7" w:rsidRPr="00CF3952" w:rsidRDefault="00F02CF7" w:rsidP="00E55676">
            <w:pPr>
              <w:spacing w:line="360" w:lineRule="auto"/>
              <w:jc w:val="both"/>
              <w:rPr>
                <w:rFonts w:ascii="Times New Roman" w:hAnsi="Times New Roman" w:cs="Times New Roman"/>
                <w:b w:val="0"/>
                <w:sz w:val="24"/>
                <w:szCs w:val="24"/>
              </w:rPr>
            </w:pPr>
            <w:r w:rsidRPr="00CF3952">
              <w:rPr>
                <w:rFonts w:ascii="Times New Roman" w:hAnsi="Times New Roman" w:cs="Times New Roman"/>
                <w:b w:val="0"/>
                <w:sz w:val="24"/>
                <w:szCs w:val="24"/>
              </w:rPr>
              <w:t xml:space="preserve">Medidas cautelares </w:t>
            </w:r>
          </w:p>
        </w:tc>
        <w:tc>
          <w:tcPr>
            <w:tcW w:w="5326" w:type="dxa"/>
            <w:gridSpan w:val="2"/>
            <w:tcBorders>
              <w:top w:val="single" w:sz="4" w:space="0" w:color="auto"/>
              <w:left w:val="single" w:sz="4" w:space="0" w:color="auto"/>
              <w:bottom w:val="single" w:sz="4" w:space="0" w:color="auto"/>
              <w:right w:val="single" w:sz="4" w:space="0" w:color="auto"/>
            </w:tcBorders>
            <w:hideMark/>
          </w:tcPr>
          <w:p w14:paraId="2EE12377" w14:textId="77777777" w:rsidR="00F02CF7" w:rsidRPr="00CF3952" w:rsidRDefault="00F02CF7" w:rsidP="00E556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3952">
              <w:rPr>
                <w:rFonts w:ascii="Times New Roman" w:hAnsi="Times New Roman" w:cs="Times New Roman"/>
                <w:sz w:val="24"/>
                <w:szCs w:val="24"/>
              </w:rPr>
              <w:t xml:space="preserve">Se podrán imponer de conformidad con las reglas del proceso ordinario, con los ajustes en el procedimiento que disponga el juez  </w:t>
            </w:r>
          </w:p>
        </w:tc>
      </w:tr>
      <w:tr w:rsidR="00F02CF7" w:rsidRPr="00CF3952" w14:paraId="3404DA23" w14:textId="77777777" w:rsidTr="00E55676">
        <w:tc>
          <w:tcPr>
            <w:cnfStyle w:val="001000000000" w:firstRow="0" w:lastRow="0" w:firstColumn="1" w:lastColumn="0" w:oddVBand="0" w:evenVBand="0" w:oddHBand="0" w:evenHBand="0" w:firstRowFirstColumn="0" w:firstRowLastColumn="0" w:lastRowFirstColumn="0" w:lastRowLastColumn="0"/>
            <w:tcW w:w="3652" w:type="dxa"/>
            <w:tcBorders>
              <w:top w:val="single" w:sz="4" w:space="0" w:color="auto"/>
              <w:left w:val="single" w:sz="4" w:space="0" w:color="auto"/>
              <w:bottom w:val="single" w:sz="4" w:space="0" w:color="auto"/>
              <w:right w:val="single" w:sz="4" w:space="0" w:color="auto"/>
            </w:tcBorders>
            <w:hideMark/>
          </w:tcPr>
          <w:p w14:paraId="24EA5C4D" w14:textId="77777777" w:rsidR="00F02CF7" w:rsidRPr="00CF3952" w:rsidRDefault="00F02CF7" w:rsidP="00E55676">
            <w:pPr>
              <w:spacing w:line="360" w:lineRule="auto"/>
              <w:jc w:val="both"/>
              <w:rPr>
                <w:rFonts w:ascii="Times New Roman" w:hAnsi="Times New Roman" w:cs="Times New Roman"/>
                <w:b w:val="0"/>
                <w:sz w:val="24"/>
                <w:szCs w:val="24"/>
              </w:rPr>
            </w:pPr>
            <w:r w:rsidRPr="00CF3952">
              <w:rPr>
                <w:rFonts w:ascii="Times New Roman" w:hAnsi="Times New Roman" w:cs="Times New Roman"/>
                <w:b w:val="0"/>
                <w:sz w:val="24"/>
                <w:szCs w:val="24"/>
              </w:rPr>
              <w:t xml:space="preserve">Procedimiento abreviado </w:t>
            </w:r>
          </w:p>
        </w:tc>
        <w:tc>
          <w:tcPr>
            <w:tcW w:w="5326" w:type="dxa"/>
            <w:gridSpan w:val="2"/>
            <w:tcBorders>
              <w:top w:val="single" w:sz="4" w:space="0" w:color="auto"/>
              <w:left w:val="single" w:sz="4" w:space="0" w:color="auto"/>
              <w:bottom w:val="single" w:sz="4" w:space="0" w:color="auto"/>
              <w:right w:val="single" w:sz="4" w:space="0" w:color="auto"/>
            </w:tcBorders>
            <w:hideMark/>
          </w:tcPr>
          <w:p w14:paraId="4DE3B789" w14:textId="77777777" w:rsidR="00F02CF7" w:rsidRPr="00CF3952" w:rsidRDefault="00F02CF7" w:rsidP="00E556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3952">
              <w:rPr>
                <w:rFonts w:ascii="Times New Roman" w:hAnsi="Times New Roman" w:cs="Times New Roman"/>
                <w:sz w:val="24"/>
                <w:szCs w:val="24"/>
              </w:rPr>
              <w:t xml:space="preserve">No es aplicable </w:t>
            </w:r>
          </w:p>
        </w:tc>
      </w:tr>
      <w:tr w:rsidR="00F02CF7" w:rsidRPr="00CF3952" w14:paraId="5E5D13F4" w14:textId="77777777" w:rsidTr="00E55676">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3652" w:type="dxa"/>
            <w:vMerge w:val="restart"/>
            <w:tcBorders>
              <w:top w:val="single" w:sz="4" w:space="0" w:color="auto"/>
              <w:left w:val="single" w:sz="4" w:space="0" w:color="auto"/>
              <w:bottom w:val="single" w:sz="4" w:space="0" w:color="auto"/>
              <w:right w:val="single" w:sz="4" w:space="0" w:color="auto"/>
            </w:tcBorders>
            <w:hideMark/>
          </w:tcPr>
          <w:p w14:paraId="3931429D" w14:textId="77777777" w:rsidR="00F02CF7" w:rsidRPr="00CF3952" w:rsidRDefault="00F02CF7" w:rsidP="00E55676">
            <w:pPr>
              <w:spacing w:line="360" w:lineRule="auto"/>
              <w:jc w:val="both"/>
              <w:rPr>
                <w:rFonts w:ascii="Times New Roman" w:hAnsi="Times New Roman" w:cs="Times New Roman"/>
                <w:b w:val="0"/>
                <w:sz w:val="24"/>
                <w:szCs w:val="24"/>
              </w:rPr>
            </w:pPr>
            <w:r w:rsidRPr="00CF3952">
              <w:rPr>
                <w:rFonts w:ascii="Times New Roman" w:hAnsi="Times New Roman" w:cs="Times New Roman"/>
                <w:b w:val="0"/>
                <w:sz w:val="24"/>
                <w:szCs w:val="24"/>
              </w:rPr>
              <w:t xml:space="preserve">Resolución del caso </w:t>
            </w:r>
          </w:p>
        </w:tc>
        <w:tc>
          <w:tcPr>
            <w:tcW w:w="5326" w:type="dxa"/>
            <w:gridSpan w:val="2"/>
            <w:tcBorders>
              <w:top w:val="single" w:sz="4" w:space="0" w:color="auto"/>
              <w:left w:val="single" w:sz="4" w:space="0" w:color="auto"/>
              <w:bottom w:val="single" w:sz="4" w:space="0" w:color="auto"/>
              <w:right w:val="single" w:sz="4" w:space="0" w:color="auto"/>
            </w:tcBorders>
            <w:hideMark/>
          </w:tcPr>
          <w:p w14:paraId="31D548F8" w14:textId="77777777" w:rsidR="00F02CF7" w:rsidRPr="00CF3952" w:rsidRDefault="00F02CF7" w:rsidP="00E556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3952">
              <w:rPr>
                <w:rFonts w:ascii="Times New Roman" w:hAnsi="Times New Roman" w:cs="Times New Roman"/>
                <w:sz w:val="24"/>
                <w:szCs w:val="24"/>
              </w:rPr>
              <w:t xml:space="preserve">Se continua la audiencia con las mismas reglas generales pero se proveerán los ajustes razonables que determine el juez de control para garantizar el acceso a la justicia </w:t>
            </w:r>
          </w:p>
        </w:tc>
      </w:tr>
      <w:tr w:rsidR="00F02CF7" w:rsidRPr="00CF3952" w14:paraId="42EA8E62" w14:textId="77777777" w:rsidTr="00E55676">
        <w:trPr>
          <w:trHeight w:val="579"/>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vAlign w:val="center"/>
            <w:hideMark/>
          </w:tcPr>
          <w:p w14:paraId="33D36AE2" w14:textId="77777777" w:rsidR="00F02CF7" w:rsidRPr="00CF3952" w:rsidRDefault="00F02CF7" w:rsidP="00E55676">
            <w:pPr>
              <w:spacing w:line="360" w:lineRule="auto"/>
              <w:jc w:val="both"/>
              <w:rPr>
                <w:rFonts w:ascii="Times New Roman" w:hAnsi="Times New Roman" w:cs="Times New Roman"/>
                <w:sz w:val="24"/>
                <w:szCs w:val="24"/>
              </w:rPr>
            </w:pPr>
          </w:p>
        </w:tc>
        <w:tc>
          <w:tcPr>
            <w:tcW w:w="5326" w:type="dxa"/>
            <w:gridSpan w:val="2"/>
            <w:tcBorders>
              <w:top w:val="single" w:sz="4" w:space="0" w:color="auto"/>
              <w:left w:val="single" w:sz="4" w:space="0" w:color="auto"/>
              <w:bottom w:val="single" w:sz="4" w:space="0" w:color="auto"/>
              <w:right w:val="single" w:sz="4" w:space="0" w:color="auto"/>
            </w:tcBorders>
            <w:hideMark/>
          </w:tcPr>
          <w:p w14:paraId="50B82183" w14:textId="77777777" w:rsidR="00F02CF7" w:rsidRPr="00CF3952" w:rsidRDefault="00F02CF7" w:rsidP="00E556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3952">
              <w:rPr>
                <w:rFonts w:ascii="Times New Roman" w:hAnsi="Times New Roman" w:cs="Times New Roman"/>
                <w:sz w:val="24"/>
                <w:szCs w:val="24"/>
              </w:rPr>
              <w:t xml:space="preserve">Comprobación de un hecho que la ley señale como delito </w:t>
            </w:r>
          </w:p>
        </w:tc>
      </w:tr>
      <w:tr w:rsidR="00F02CF7" w:rsidRPr="00CF3952" w14:paraId="03D9512A" w14:textId="77777777" w:rsidTr="00E55676">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vAlign w:val="center"/>
            <w:hideMark/>
          </w:tcPr>
          <w:p w14:paraId="3B651FBE" w14:textId="77777777" w:rsidR="00F02CF7" w:rsidRPr="00CF3952" w:rsidRDefault="00F02CF7" w:rsidP="00E55676">
            <w:pPr>
              <w:spacing w:line="360" w:lineRule="auto"/>
              <w:jc w:val="both"/>
              <w:rPr>
                <w:rFonts w:ascii="Times New Roman" w:hAnsi="Times New Roman" w:cs="Times New Roman"/>
                <w:sz w:val="24"/>
                <w:szCs w:val="24"/>
              </w:rPr>
            </w:pPr>
          </w:p>
        </w:tc>
        <w:tc>
          <w:tcPr>
            <w:tcW w:w="5326" w:type="dxa"/>
            <w:gridSpan w:val="2"/>
            <w:tcBorders>
              <w:top w:val="single" w:sz="4" w:space="0" w:color="auto"/>
              <w:left w:val="single" w:sz="4" w:space="0" w:color="auto"/>
              <w:bottom w:val="single" w:sz="4" w:space="0" w:color="auto"/>
              <w:right w:val="single" w:sz="4" w:space="0" w:color="auto"/>
            </w:tcBorders>
            <w:hideMark/>
          </w:tcPr>
          <w:p w14:paraId="317F8335" w14:textId="77777777" w:rsidR="00F02CF7" w:rsidRPr="00CF3952" w:rsidRDefault="00F02CF7" w:rsidP="00E556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3952">
              <w:rPr>
                <w:rFonts w:ascii="Times New Roman" w:hAnsi="Times New Roman" w:cs="Times New Roman"/>
                <w:sz w:val="24"/>
                <w:szCs w:val="24"/>
              </w:rPr>
              <w:t xml:space="preserve">Que el inimputable intervino en la comisión del delito (como autor o participe) </w:t>
            </w:r>
          </w:p>
        </w:tc>
      </w:tr>
      <w:tr w:rsidR="00F02CF7" w:rsidRPr="00CF3952" w14:paraId="4E78183E" w14:textId="77777777" w:rsidTr="00E55676">
        <w:trPr>
          <w:trHeight w:val="579"/>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vAlign w:val="center"/>
            <w:hideMark/>
          </w:tcPr>
          <w:p w14:paraId="430B619E" w14:textId="77777777" w:rsidR="00F02CF7" w:rsidRPr="00CF3952" w:rsidRDefault="00F02CF7" w:rsidP="00E55676">
            <w:pPr>
              <w:spacing w:line="360" w:lineRule="auto"/>
              <w:jc w:val="both"/>
              <w:rPr>
                <w:rFonts w:ascii="Times New Roman" w:hAnsi="Times New Roman" w:cs="Times New Roman"/>
                <w:sz w:val="24"/>
                <w:szCs w:val="24"/>
              </w:rPr>
            </w:pPr>
          </w:p>
        </w:tc>
        <w:tc>
          <w:tcPr>
            <w:tcW w:w="5326" w:type="dxa"/>
            <w:gridSpan w:val="2"/>
            <w:tcBorders>
              <w:top w:val="single" w:sz="4" w:space="0" w:color="auto"/>
              <w:left w:val="single" w:sz="4" w:space="0" w:color="auto"/>
              <w:bottom w:val="single" w:sz="4" w:space="0" w:color="auto"/>
              <w:right w:val="single" w:sz="4" w:space="0" w:color="auto"/>
            </w:tcBorders>
            <w:hideMark/>
          </w:tcPr>
          <w:p w14:paraId="26ACCE6E" w14:textId="77777777" w:rsidR="00F02CF7" w:rsidRPr="00CF3952" w:rsidRDefault="00F02CF7" w:rsidP="00E556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3952">
              <w:rPr>
                <w:rFonts w:ascii="Times New Roman" w:hAnsi="Times New Roman" w:cs="Times New Roman"/>
                <w:sz w:val="24"/>
                <w:szCs w:val="24"/>
              </w:rPr>
              <w:t xml:space="preserve">No opera causas de justificación a su favor prevista en el respectivo código sustantivo aplicable </w:t>
            </w:r>
          </w:p>
        </w:tc>
      </w:tr>
      <w:tr w:rsidR="00F02CF7" w:rsidRPr="00CF3952" w14:paraId="19E779AF" w14:textId="77777777" w:rsidTr="00E55676">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vAlign w:val="center"/>
            <w:hideMark/>
          </w:tcPr>
          <w:p w14:paraId="7046EAE5" w14:textId="77777777" w:rsidR="00F02CF7" w:rsidRPr="00CF3952" w:rsidRDefault="00F02CF7" w:rsidP="00E55676">
            <w:pPr>
              <w:spacing w:line="360" w:lineRule="auto"/>
              <w:jc w:val="both"/>
              <w:rPr>
                <w:rFonts w:ascii="Times New Roman" w:hAnsi="Times New Roman" w:cs="Times New Roman"/>
                <w:sz w:val="24"/>
                <w:szCs w:val="24"/>
              </w:rPr>
            </w:pPr>
          </w:p>
        </w:tc>
        <w:tc>
          <w:tcPr>
            <w:tcW w:w="5326" w:type="dxa"/>
            <w:gridSpan w:val="2"/>
            <w:tcBorders>
              <w:top w:val="single" w:sz="4" w:space="0" w:color="auto"/>
              <w:left w:val="single" w:sz="4" w:space="0" w:color="auto"/>
              <w:bottom w:val="single" w:sz="4" w:space="0" w:color="auto"/>
              <w:right w:val="single" w:sz="4" w:space="0" w:color="auto"/>
            </w:tcBorders>
            <w:hideMark/>
          </w:tcPr>
          <w:p w14:paraId="6BAE545E" w14:textId="77777777" w:rsidR="00F02CF7" w:rsidRPr="00CF3952" w:rsidRDefault="00F02CF7" w:rsidP="00E556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3952">
              <w:rPr>
                <w:rFonts w:ascii="Times New Roman" w:hAnsi="Times New Roman" w:cs="Times New Roman"/>
                <w:sz w:val="24"/>
                <w:szCs w:val="24"/>
              </w:rPr>
              <w:t xml:space="preserve">Imposición de la medida de seguridad  </w:t>
            </w:r>
          </w:p>
        </w:tc>
      </w:tr>
      <w:tr w:rsidR="00F02CF7" w:rsidRPr="00CF3952" w14:paraId="17210B7F" w14:textId="77777777" w:rsidTr="00E55676">
        <w:trPr>
          <w:trHeight w:val="84"/>
        </w:trPr>
        <w:tc>
          <w:tcPr>
            <w:cnfStyle w:val="001000000000" w:firstRow="0" w:lastRow="0" w:firstColumn="1" w:lastColumn="0" w:oddVBand="0" w:evenVBand="0" w:oddHBand="0" w:evenHBand="0" w:firstRowFirstColumn="0" w:firstRowLastColumn="0" w:lastRowFirstColumn="0" w:lastRowLastColumn="0"/>
            <w:tcW w:w="3652" w:type="dxa"/>
            <w:vMerge w:val="restart"/>
            <w:tcBorders>
              <w:top w:val="single" w:sz="4" w:space="0" w:color="auto"/>
              <w:left w:val="single" w:sz="4" w:space="0" w:color="auto"/>
              <w:bottom w:val="single" w:sz="4" w:space="0" w:color="auto"/>
              <w:right w:val="single" w:sz="4" w:space="0" w:color="auto"/>
            </w:tcBorders>
            <w:hideMark/>
          </w:tcPr>
          <w:p w14:paraId="6033F8D4" w14:textId="77777777" w:rsidR="00F02CF7" w:rsidRPr="00CF3952" w:rsidRDefault="00F02CF7" w:rsidP="00E55676">
            <w:pPr>
              <w:spacing w:line="360" w:lineRule="auto"/>
              <w:jc w:val="both"/>
              <w:rPr>
                <w:rFonts w:ascii="Times New Roman" w:hAnsi="Times New Roman" w:cs="Times New Roman"/>
                <w:b w:val="0"/>
                <w:sz w:val="24"/>
                <w:szCs w:val="24"/>
              </w:rPr>
            </w:pPr>
            <w:r w:rsidRPr="00CF3952">
              <w:rPr>
                <w:rFonts w:ascii="Times New Roman" w:hAnsi="Times New Roman" w:cs="Times New Roman"/>
                <w:b w:val="0"/>
                <w:sz w:val="24"/>
                <w:szCs w:val="24"/>
              </w:rPr>
              <w:t xml:space="preserve">Imposición de la medida de seguridad </w:t>
            </w:r>
          </w:p>
        </w:tc>
        <w:tc>
          <w:tcPr>
            <w:tcW w:w="2126" w:type="dxa"/>
            <w:tcBorders>
              <w:top w:val="single" w:sz="4" w:space="0" w:color="auto"/>
              <w:left w:val="single" w:sz="4" w:space="0" w:color="auto"/>
              <w:bottom w:val="single" w:sz="4" w:space="0" w:color="auto"/>
              <w:right w:val="single" w:sz="4" w:space="0" w:color="auto"/>
            </w:tcBorders>
            <w:hideMark/>
          </w:tcPr>
          <w:p w14:paraId="44DDB714" w14:textId="77777777" w:rsidR="00F02CF7" w:rsidRPr="00CF3952" w:rsidRDefault="00F02CF7" w:rsidP="00E556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3952">
              <w:rPr>
                <w:rFonts w:ascii="Times New Roman" w:hAnsi="Times New Roman" w:cs="Times New Roman"/>
                <w:sz w:val="24"/>
                <w:szCs w:val="24"/>
              </w:rPr>
              <w:t xml:space="preserve">Autoridad </w:t>
            </w:r>
          </w:p>
        </w:tc>
        <w:tc>
          <w:tcPr>
            <w:tcW w:w="3200" w:type="dxa"/>
            <w:tcBorders>
              <w:top w:val="single" w:sz="4" w:space="0" w:color="auto"/>
              <w:left w:val="single" w:sz="4" w:space="0" w:color="auto"/>
              <w:bottom w:val="single" w:sz="4" w:space="0" w:color="auto"/>
              <w:right w:val="single" w:sz="4" w:space="0" w:color="auto"/>
            </w:tcBorders>
            <w:hideMark/>
          </w:tcPr>
          <w:p w14:paraId="08C560D9" w14:textId="77777777" w:rsidR="00F02CF7" w:rsidRPr="00CF3952" w:rsidRDefault="00F02CF7" w:rsidP="00E556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3952">
              <w:rPr>
                <w:rFonts w:ascii="Times New Roman" w:hAnsi="Times New Roman" w:cs="Times New Roman"/>
                <w:sz w:val="24"/>
                <w:szCs w:val="24"/>
              </w:rPr>
              <w:t>Órgano jurisdiccional …</w:t>
            </w:r>
          </w:p>
        </w:tc>
      </w:tr>
      <w:tr w:rsidR="00F02CF7" w:rsidRPr="00CF3952" w14:paraId="7F11142B" w14:textId="77777777" w:rsidTr="00E5567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vAlign w:val="center"/>
            <w:hideMark/>
          </w:tcPr>
          <w:p w14:paraId="69C2D67C" w14:textId="77777777" w:rsidR="00F02CF7" w:rsidRPr="00CF3952" w:rsidRDefault="00F02CF7" w:rsidP="00E55676">
            <w:pPr>
              <w:spacing w:line="360" w:lineRule="auto"/>
              <w:jc w:val="both"/>
              <w:rPr>
                <w:rFonts w:ascii="Times New Roman" w:hAnsi="Times New Roman" w:cs="Times New Roman"/>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hideMark/>
          </w:tcPr>
          <w:p w14:paraId="72AB3A98" w14:textId="77777777" w:rsidR="00F02CF7" w:rsidRPr="00CF3952" w:rsidRDefault="00F02CF7" w:rsidP="00E556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3952">
              <w:rPr>
                <w:rFonts w:ascii="Times New Roman" w:hAnsi="Times New Roman" w:cs="Times New Roman"/>
                <w:sz w:val="24"/>
                <w:szCs w:val="24"/>
              </w:rPr>
              <w:t xml:space="preserve">Características </w:t>
            </w:r>
          </w:p>
        </w:tc>
        <w:tc>
          <w:tcPr>
            <w:tcW w:w="3200" w:type="dxa"/>
            <w:tcBorders>
              <w:top w:val="single" w:sz="4" w:space="0" w:color="auto"/>
              <w:left w:val="single" w:sz="4" w:space="0" w:color="auto"/>
              <w:bottom w:val="single" w:sz="4" w:space="0" w:color="auto"/>
              <w:right w:val="single" w:sz="4" w:space="0" w:color="auto"/>
            </w:tcBorders>
            <w:hideMark/>
          </w:tcPr>
          <w:p w14:paraId="2DF3DA79" w14:textId="77777777" w:rsidR="00F02CF7" w:rsidRPr="00CF3952" w:rsidRDefault="00F02CF7" w:rsidP="00E556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3952">
              <w:rPr>
                <w:rFonts w:ascii="Times New Roman" w:hAnsi="Times New Roman" w:cs="Times New Roman"/>
                <w:sz w:val="24"/>
                <w:szCs w:val="24"/>
              </w:rPr>
              <w:t xml:space="preserve">Individualización de la medida de seguridad </w:t>
            </w:r>
          </w:p>
        </w:tc>
      </w:tr>
      <w:tr w:rsidR="00F02CF7" w:rsidRPr="00CF3952" w14:paraId="2B680E0D" w14:textId="77777777" w:rsidTr="00E55676">
        <w:trPr>
          <w:trHeight w:val="8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vAlign w:val="center"/>
            <w:hideMark/>
          </w:tcPr>
          <w:p w14:paraId="4D3FA903" w14:textId="77777777" w:rsidR="00F02CF7" w:rsidRPr="00CF3952" w:rsidRDefault="00F02CF7" w:rsidP="00E55676">
            <w:pPr>
              <w:spacing w:line="36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3A771" w14:textId="77777777" w:rsidR="00F02CF7" w:rsidRPr="00CF3952" w:rsidRDefault="00F02CF7" w:rsidP="00E556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14:paraId="247B5B3E" w14:textId="77777777" w:rsidR="00F02CF7" w:rsidRPr="00CF3952" w:rsidRDefault="00F02CF7" w:rsidP="00E556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3952">
              <w:rPr>
                <w:rFonts w:ascii="Times New Roman" w:hAnsi="Times New Roman" w:cs="Times New Roman"/>
                <w:sz w:val="24"/>
                <w:szCs w:val="24"/>
              </w:rPr>
              <w:t xml:space="preserve">Atención a necesidades de prevención especial positiva </w:t>
            </w:r>
          </w:p>
        </w:tc>
      </w:tr>
      <w:tr w:rsidR="00F02CF7" w:rsidRPr="00CF3952" w14:paraId="6A4DB303" w14:textId="77777777" w:rsidTr="00E5567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vAlign w:val="center"/>
            <w:hideMark/>
          </w:tcPr>
          <w:p w14:paraId="51EFC8DC" w14:textId="77777777" w:rsidR="00F02CF7" w:rsidRPr="00CF3952" w:rsidRDefault="00F02CF7" w:rsidP="00E55676">
            <w:pPr>
              <w:spacing w:line="36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F98C57" w14:textId="77777777" w:rsidR="00F02CF7" w:rsidRPr="00CF3952" w:rsidRDefault="00F02CF7" w:rsidP="00E556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14:paraId="5E89DF70" w14:textId="77777777" w:rsidR="00F02CF7" w:rsidRPr="00CF3952" w:rsidRDefault="00F02CF7" w:rsidP="00E556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3952">
              <w:rPr>
                <w:rFonts w:ascii="Times New Roman" w:hAnsi="Times New Roman" w:cs="Times New Roman"/>
                <w:sz w:val="24"/>
                <w:szCs w:val="24"/>
              </w:rPr>
              <w:t xml:space="preserve">Criterios de proporcionalidad </w:t>
            </w:r>
          </w:p>
        </w:tc>
      </w:tr>
      <w:tr w:rsidR="00F02CF7" w:rsidRPr="00CF3952" w14:paraId="6CC93154" w14:textId="77777777" w:rsidTr="00E55676">
        <w:trPr>
          <w:trHeight w:val="8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vAlign w:val="center"/>
            <w:hideMark/>
          </w:tcPr>
          <w:p w14:paraId="41D96670" w14:textId="77777777" w:rsidR="00F02CF7" w:rsidRPr="00CF3952" w:rsidRDefault="00F02CF7" w:rsidP="00E55676">
            <w:pPr>
              <w:spacing w:line="36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3BA330" w14:textId="77777777" w:rsidR="00F02CF7" w:rsidRPr="00CF3952" w:rsidRDefault="00F02CF7" w:rsidP="00E556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14:paraId="26F053BD" w14:textId="77777777" w:rsidR="00F02CF7" w:rsidRPr="00CF3952" w:rsidRDefault="00F02CF7" w:rsidP="00E556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3952">
              <w:rPr>
                <w:rFonts w:ascii="Times New Roman" w:hAnsi="Times New Roman" w:cs="Times New Roman"/>
                <w:sz w:val="24"/>
                <w:szCs w:val="24"/>
              </w:rPr>
              <w:t xml:space="preserve">Criterio de mínima intervención </w:t>
            </w:r>
          </w:p>
        </w:tc>
      </w:tr>
      <w:tr w:rsidR="00F02CF7" w:rsidRPr="00CF3952" w14:paraId="2F5A0D97" w14:textId="77777777" w:rsidTr="00E5567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3652" w:type="dxa"/>
            <w:tcBorders>
              <w:top w:val="single" w:sz="4" w:space="0" w:color="auto"/>
              <w:left w:val="single" w:sz="4" w:space="0" w:color="auto"/>
              <w:bottom w:val="single" w:sz="4" w:space="0" w:color="auto"/>
              <w:right w:val="single" w:sz="4" w:space="0" w:color="auto"/>
            </w:tcBorders>
          </w:tcPr>
          <w:p w14:paraId="7D766224" w14:textId="77777777" w:rsidR="00F02CF7" w:rsidRPr="00CF3952" w:rsidRDefault="00F02CF7" w:rsidP="00E55676">
            <w:pPr>
              <w:spacing w:line="360" w:lineRule="auto"/>
              <w:jc w:val="both"/>
              <w:rPr>
                <w:rFonts w:ascii="Times New Roman" w:hAnsi="Times New Roman" w:cs="Times New Roman"/>
                <w:b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9FFE62" w14:textId="77777777" w:rsidR="00F02CF7" w:rsidRPr="00CF3952" w:rsidRDefault="00F02CF7" w:rsidP="00E556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14:paraId="31EEC075" w14:textId="77777777" w:rsidR="00F02CF7" w:rsidRPr="00CF3952" w:rsidRDefault="00F02CF7" w:rsidP="00E556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3952">
              <w:rPr>
                <w:rFonts w:ascii="Times New Roman" w:hAnsi="Times New Roman" w:cs="Times New Roman"/>
                <w:sz w:val="24"/>
                <w:szCs w:val="24"/>
              </w:rPr>
              <w:t xml:space="preserve">En ningún caso podrá tener mayor duración a la pena que le pudiera corresponder en caso de que sea imputable </w:t>
            </w:r>
          </w:p>
        </w:tc>
      </w:tr>
    </w:tbl>
    <w:p w14:paraId="2CC81F77" w14:textId="77777777" w:rsidR="004C0DA4" w:rsidRPr="00CF3952" w:rsidRDefault="004C0DA4" w:rsidP="009C11F7">
      <w:pPr>
        <w:spacing w:line="360" w:lineRule="auto"/>
        <w:jc w:val="both"/>
        <w:rPr>
          <w:rFonts w:ascii="Times New Roman" w:hAnsi="Times New Roman" w:cs="Times New Roman"/>
          <w:sz w:val="24"/>
          <w:szCs w:val="24"/>
        </w:rPr>
      </w:pPr>
    </w:p>
    <w:sectPr w:rsidR="004C0DA4" w:rsidRPr="00CF395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60252" w14:textId="77777777" w:rsidR="004932DB" w:rsidRDefault="004932DB" w:rsidP="004C0DA4">
      <w:pPr>
        <w:spacing w:after="0" w:line="240" w:lineRule="auto"/>
      </w:pPr>
      <w:r>
        <w:separator/>
      </w:r>
    </w:p>
  </w:endnote>
  <w:endnote w:type="continuationSeparator" w:id="0">
    <w:p w14:paraId="05B08DFD" w14:textId="77777777" w:rsidR="004932DB" w:rsidRDefault="004932DB" w:rsidP="004C0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C5773" w14:textId="77777777" w:rsidR="004932DB" w:rsidRDefault="004932DB" w:rsidP="004C0DA4">
      <w:pPr>
        <w:spacing w:after="0" w:line="240" w:lineRule="auto"/>
      </w:pPr>
      <w:r>
        <w:separator/>
      </w:r>
    </w:p>
  </w:footnote>
  <w:footnote w:type="continuationSeparator" w:id="0">
    <w:p w14:paraId="071C16F7" w14:textId="77777777" w:rsidR="004932DB" w:rsidRDefault="004932DB" w:rsidP="004C0DA4">
      <w:pPr>
        <w:spacing w:after="0" w:line="240" w:lineRule="auto"/>
      </w:pPr>
      <w:r>
        <w:continuationSeparator/>
      </w:r>
    </w:p>
  </w:footnote>
  <w:footnote w:id="1">
    <w:p w14:paraId="3159F998" w14:textId="77777777" w:rsidR="0097210D" w:rsidRPr="00CF3952" w:rsidRDefault="0097210D" w:rsidP="00CF3952">
      <w:pPr>
        <w:pStyle w:val="Textonotapie"/>
        <w:jc w:val="both"/>
        <w:rPr>
          <w:rFonts w:ascii="Times New Roman" w:hAnsi="Times New Roman" w:cs="Times New Roman"/>
          <w:i/>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007A3CB8" w:rsidRPr="00CF3952">
        <w:rPr>
          <w:rFonts w:ascii="Times New Roman" w:hAnsi="Times New Roman" w:cs="Times New Roman"/>
          <w:i/>
        </w:rPr>
        <w:t>Cfr.</w:t>
      </w:r>
      <w:r w:rsidR="007A3CB8" w:rsidRPr="00CF3952">
        <w:rPr>
          <w:rFonts w:ascii="Times New Roman" w:hAnsi="Times New Roman" w:cs="Times New Roman"/>
        </w:rPr>
        <w:t xml:space="preserve"> </w:t>
      </w:r>
      <w:r w:rsidRPr="00CF3952">
        <w:rPr>
          <w:rFonts w:ascii="Times New Roman" w:hAnsi="Times New Roman" w:cs="Times New Roman"/>
        </w:rPr>
        <w:t xml:space="preserve">Kimberlee, Crenshaw. </w:t>
      </w:r>
      <w:r w:rsidRPr="00CF3952">
        <w:rPr>
          <w:rFonts w:ascii="Times New Roman" w:hAnsi="Times New Roman" w:cs="Times New Roman"/>
          <w:i/>
        </w:rPr>
        <w:t xml:space="preserve">Mapping the margins: interseccionality, identity, politics and violence against women of color. </w:t>
      </w:r>
    </w:p>
  </w:footnote>
  <w:footnote w:id="2">
    <w:p w14:paraId="63C90D37" w14:textId="77777777" w:rsidR="009E7FAD" w:rsidRPr="00CF3952" w:rsidRDefault="009E7FAD"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rPr>
        <w:t xml:space="preserve">Dictamen que expide el Presupuesto de Egresos del Gobierno del Estado de Yucatán para el ejercicio fiscal 2017. Disponible en http://www.congresoyucatan.gob.mx/detalle_dictamen.php?iddictamen=324. </w:t>
      </w:r>
    </w:p>
  </w:footnote>
  <w:footnote w:id="3">
    <w:p w14:paraId="330CDE62" w14:textId="77777777" w:rsidR="009E7FAD" w:rsidRPr="00CF3952" w:rsidRDefault="009E7FAD"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rPr>
        <w:t xml:space="preserve">Dictamen de Presupuesto de Egresos del Gobierno del Estado de Yucatán para el ejercicio fiscal 2016. http://www.congresoyucatan.gob.mx/detalle_dictamen.php?iddictamen=256. </w:t>
      </w:r>
    </w:p>
  </w:footnote>
  <w:footnote w:id="4">
    <w:p w14:paraId="0FBC228E" w14:textId="77777777" w:rsidR="009E7FAD" w:rsidRPr="00CF3952" w:rsidRDefault="009E7FAD"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rPr>
        <w:t xml:space="preserve">Presupuesto de Egresos del Gobierno del Estado de Yucatán para el Ejercicio Fiscal 2015. Disponible en http://www.congresoyucatan.gob.mx/detalle_dictamen.php?iddictamen=224. </w:t>
      </w:r>
    </w:p>
  </w:footnote>
  <w:footnote w:id="5">
    <w:p w14:paraId="3F8669F8" w14:textId="77777777" w:rsidR="004C0DA4" w:rsidRPr="00CF3952" w:rsidRDefault="004C0DA4"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rPr>
        <w:t xml:space="preserve">Comité sobre los Derechos de las Personas Con Discapacidad. </w:t>
      </w:r>
      <w:r w:rsidRPr="00CF3952">
        <w:rPr>
          <w:rFonts w:ascii="Times New Roman" w:hAnsi="Times New Roman" w:cs="Times New Roman"/>
          <w:i/>
        </w:rPr>
        <w:t>Observaciones finales sobre el informe de México</w:t>
      </w:r>
      <w:r w:rsidR="006B0C33" w:rsidRPr="00CF3952">
        <w:rPr>
          <w:rFonts w:ascii="Times New Roman" w:hAnsi="Times New Roman" w:cs="Times New Roman"/>
          <w:i/>
        </w:rPr>
        <w:t xml:space="preserve">, </w:t>
      </w:r>
      <w:r w:rsidR="006B0C33" w:rsidRPr="00CF3952">
        <w:rPr>
          <w:rFonts w:ascii="Times New Roman" w:hAnsi="Times New Roman" w:cs="Times New Roman"/>
        </w:rPr>
        <w:t xml:space="preserve">CRPD/C/MEX/CO/1. </w:t>
      </w:r>
      <w:r w:rsidRPr="00CF3952">
        <w:rPr>
          <w:rFonts w:ascii="Times New Roman" w:hAnsi="Times New Roman" w:cs="Times New Roman"/>
        </w:rPr>
        <w:t xml:space="preserve">27 de octubre de 2014. Párrafos 30 y 44.  </w:t>
      </w:r>
      <w:r w:rsidRPr="00CF3952">
        <w:rPr>
          <w:rFonts w:ascii="Times New Roman" w:hAnsi="Times New Roman" w:cs="Times New Roman"/>
          <w:i/>
        </w:rPr>
        <w:t xml:space="preserve"> </w:t>
      </w:r>
    </w:p>
  </w:footnote>
  <w:footnote w:id="6">
    <w:p w14:paraId="229C1468" w14:textId="77777777" w:rsidR="004C0DA4" w:rsidRPr="00CF3952" w:rsidRDefault="004C0DA4"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rPr>
        <w:t xml:space="preserve">Ídem, párrafo 17. </w:t>
      </w:r>
    </w:p>
  </w:footnote>
  <w:footnote w:id="7">
    <w:p w14:paraId="58C78DEE" w14:textId="77777777" w:rsidR="00E379AA" w:rsidRPr="00CF3952" w:rsidRDefault="00E379AA"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rPr>
        <w:t>Hospital Psiquiátrico Yucatán. Disponible en: http://psiquiatrico.ssy.gob.mx/servicios/</w:t>
      </w:r>
    </w:p>
  </w:footnote>
  <w:footnote w:id="8">
    <w:p w14:paraId="7A9CCD7B" w14:textId="77777777" w:rsidR="00E379AA" w:rsidRPr="00CF3952" w:rsidRDefault="00E379AA"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rPr>
        <w:t>Ley de la Comisión de Derechos Humanos del Estado de Yucatán, fracción XVIII del artículo 10.</w:t>
      </w:r>
    </w:p>
  </w:footnote>
  <w:footnote w:id="9">
    <w:p w14:paraId="6C83E8B5" w14:textId="77777777" w:rsidR="00E379AA" w:rsidRPr="00CF3952" w:rsidRDefault="00E379AA"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i/>
        </w:rPr>
        <w:t>Véase</w:t>
      </w:r>
      <w:r w:rsidRPr="00CF3952">
        <w:rPr>
          <w:rFonts w:ascii="Times New Roman" w:hAnsi="Times New Roman" w:cs="Times New Roman"/>
        </w:rPr>
        <w:t>. Comisión de Derechos Humanos del Estado de Yucatán, Supervisión a Centros de Salud y Hospitales 2013. Disponible en: http://www.codhey.org/sites/all/documentos/Doctos/Investigaciones/Salud_2013.pdf, p. 15 y 16.</w:t>
      </w:r>
    </w:p>
  </w:footnote>
  <w:footnote w:id="10">
    <w:p w14:paraId="1B835FDE" w14:textId="77777777" w:rsidR="00E379AA" w:rsidRPr="00CF3952" w:rsidRDefault="00E379AA"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i/>
        </w:rPr>
        <w:t>Véase.</w:t>
      </w:r>
      <w:r w:rsidRPr="00CF3952">
        <w:rPr>
          <w:rFonts w:ascii="Times New Roman" w:hAnsi="Times New Roman" w:cs="Times New Roman"/>
        </w:rPr>
        <w:t xml:space="preserve"> Comisión de Derechos Humanos del Estado de Yucatán, Supervisión a Centros de Salud y Hospitales, 2015. Disponible en: http://www.codhey.org/sites/all/documentos/Doctos/Investigaciones/Salud_2015.pdf, p. 288-303.</w:t>
      </w:r>
    </w:p>
  </w:footnote>
  <w:footnote w:id="11">
    <w:p w14:paraId="1A0181B8" w14:textId="77777777" w:rsidR="00E379AA" w:rsidRPr="00CF3952" w:rsidRDefault="00E379AA"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i/>
        </w:rPr>
        <w:t>Véase.</w:t>
      </w:r>
      <w:r w:rsidRPr="00CF3952">
        <w:rPr>
          <w:rFonts w:ascii="Times New Roman" w:hAnsi="Times New Roman" w:cs="Times New Roman"/>
        </w:rPr>
        <w:t xml:space="preserve"> Comisión de Derechos Humanos del Estado de Yucatán, Informe Anual de Actividades, 2016. Disponible en:http://www.codhey.org/sites/all/documentos/Doctos/Informes/Anuales/2016_Informe.pdf, p. 35 y 36</w:t>
      </w:r>
    </w:p>
  </w:footnote>
  <w:footnote w:id="12">
    <w:p w14:paraId="46DA40EB" w14:textId="77777777" w:rsidR="00E379AA" w:rsidRPr="00CF3952" w:rsidRDefault="00E379AA"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rPr>
        <w:t>Estudio temático sobre la cuestión de la violencia contra las mujeres y las niñas con discapacidad, 2012, A/HCR/20/5.</w:t>
      </w:r>
    </w:p>
  </w:footnote>
  <w:footnote w:id="13">
    <w:p w14:paraId="3DF93F61" w14:textId="77777777" w:rsidR="00E379AA" w:rsidRPr="00CF3952" w:rsidRDefault="00E379AA"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rPr>
        <w:t>Manual de Recursos de la Organización Mundial de la Salud sobre Salud Mental, Derechos Humanos y Legislación, p. 72.</w:t>
      </w:r>
    </w:p>
  </w:footnote>
  <w:footnote w:id="14">
    <w:p w14:paraId="1E013512" w14:textId="77777777" w:rsidR="00E379AA" w:rsidRPr="00CF3952" w:rsidRDefault="00E379AA"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rPr>
        <w:t>Comisión Nacional de Derechos Humanos, Informe Especial sobre los Hospitales Psiquiátricos que Dependen del Gobierno Federal y Estados de la República Mexicana, octubre, 2013.</w:t>
      </w:r>
    </w:p>
  </w:footnote>
  <w:footnote w:id="15">
    <w:p w14:paraId="2F5DBC4C" w14:textId="77777777" w:rsidR="00E379AA" w:rsidRPr="00CF3952" w:rsidRDefault="00E379AA"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rPr>
        <w:t xml:space="preserve">Informe provisional del Relator Especial sobre la cuestión de la tortura </w:t>
      </w:r>
      <w:r w:rsidR="00CF3952">
        <w:rPr>
          <w:rFonts w:ascii="Times New Roman" w:hAnsi="Times New Roman" w:cs="Times New Roman"/>
        </w:rPr>
        <w:t xml:space="preserve">y otros tratos o penas crueles, </w:t>
      </w:r>
      <w:r w:rsidRPr="00CF3952">
        <w:rPr>
          <w:rFonts w:ascii="Times New Roman" w:hAnsi="Times New Roman" w:cs="Times New Roman"/>
        </w:rPr>
        <w:t>inhumanos o degradantes, A/63/175.</w:t>
      </w:r>
    </w:p>
  </w:footnote>
  <w:footnote w:id="16">
    <w:p w14:paraId="3A0D7166" w14:textId="77777777" w:rsidR="00E379AA" w:rsidRPr="00CF3952" w:rsidRDefault="00E379AA" w:rsidP="00CF3952">
      <w:pPr>
        <w:pStyle w:val="Textonotapie"/>
        <w:tabs>
          <w:tab w:val="right" w:pos="1195"/>
          <w:tab w:val="left" w:pos="1267"/>
          <w:tab w:val="left" w:pos="1742"/>
          <w:tab w:val="left" w:pos="2218"/>
          <w:tab w:val="left" w:pos="2693"/>
        </w:tabs>
        <w:ind w:right="1267"/>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rPr>
        <w:tab/>
      </w:r>
      <w:r w:rsidRPr="00CF3952">
        <w:rPr>
          <w:rFonts w:ascii="Times New Roman" w:hAnsi="Times New Roman" w:cs="Times New Roman"/>
        </w:rPr>
        <w:t xml:space="preserve">Véase. MDRI, </w:t>
      </w:r>
      <w:r w:rsidRPr="00CF3952">
        <w:rPr>
          <w:rFonts w:ascii="Times New Roman" w:hAnsi="Times New Roman" w:cs="Times New Roman"/>
          <w:i/>
        </w:rPr>
        <w:t>Behind Closed doors: Human Rights Abuses in the Psychiatric Facilities, Orphanages and Rehabilitation Centers of Turkey,</w:t>
      </w:r>
      <w:r w:rsidRPr="00CF3952">
        <w:rPr>
          <w:rFonts w:ascii="Times New Roman" w:hAnsi="Times New Roman" w:cs="Times New Roman"/>
        </w:rPr>
        <w:t xml:space="preserve"> 2005, p. 3 y 4.</w:t>
      </w:r>
    </w:p>
  </w:footnote>
  <w:footnote w:id="17">
    <w:p w14:paraId="30C41BF7" w14:textId="77777777" w:rsidR="00E379AA" w:rsidRPr="00CF3952" w:rsidRDefault="00E379AA"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rPr>
        <w:t>CRPD/C/MEX/CO/1</w:t>
      </w:r>
      <w:r w:rsidR="00CF3952">
        <w:rPr>
          <w:rFonts w:ascii="Times New Roman" w:hAnsi="Times New Roman" w:cs="Times New Roman"/>
        </w:rPr>
        <w:t xml:space="preserve">. </w:t>
      </w:r>
    </w:p>
  </w:footnote>
  <w:footnote w:id="18">
    <w:p w14:paraId="6E719843" w14:textId="77777777" w:rsidR="00E379AA" w:rsidRPr="00CF3952" w:rsidRDefault="00E379AA"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rPr>
        <w:t xml:space="preserve">Comisión de Derechos Humanos del Estado de Yucatán, Informe. </w:t>
      </w:r>
      <w:r w:rsidRPr="00CF3952">
        <w:rPr>
          <w:rFonts w:ascii="Times New Roman" w:hAnsi="Times New Roman" w:cs="Times New Roman"/>
          <w:i/>
        </w:rPr>
        <w:t>Op. Cit.</w:t>
      </w:r>
    </w:p>
  </w:footnote>
  <w:footnote w:id="19">
    <w:p w14:paraId="16EB31C3" w14:textId="77777777" w:rsidR="00E379AA" w:rsidRPr="00CF3952" w:rsidRDefault="00E379AA" w:rsidP="00CF3952">
      <w:pPr>
        <w:pStyle w:val="Textonotapie"/>
        <w:jc w:val="both"/>
        <w:rPr>
          <w:rFonts w:ascii="Times New Roman" w:hAnsi="Times New Roman" w:cs="Times New Roman"/>
          <w:lang w:val="en-US"/>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rPr>
        <w:t xml:space="preserve">Comisión Nacional de Derechos Humanos. </w:t>
      </w:r>
      <w:r w:rsidRPr="00CF3952">
        <w:rPr>
          <w:rFonts w:ascii="Times New Roman" w:hAnsi="Times New Roman" w:cs="Times New Roman"/>
          <w:i/>
          <w:lang w:val="en-US"/>
        </w:rPr>
        <w:t>Op. Cit</w:t>
      </w:r>
      <w:r w:rsidRPr="00CF3952">
        <w:rPr>
          <w:rFonts w:ascii="Times New Roman" w:hAnsi="Times New Roman" w:cs="Times New Roman"/>
          <w:lang w:val="en-US"/>
        </w:rPr>
        <w:t>. p.28.</w:t>
      </w:r>
    </w:p>
  </w:footnote>
  <w:footnote w:id="20">
    <w:p w14:paraId="57E0BD36" w14:textId="77777777" w:rsidR="00E379AA" w:rsidRPr="00CF3952" w:rsidRDefault="00E379AA"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rPr>
        <w:t>Comisión Nacional de Derechos Humanos, Informe de Actividades del Mecanismo Nacional de Prevención de la Tortura en México, 2010, p. 24.</w:t>
      </w:r>
    </w:p>
  </w:footnote>
  <w:footnote w:id="21">
    <w:p w14:paraId="63C7A35F" w14:textId="77777777" w:rsidR="00D525CC" w:rsidRPr="00CF3952" w:rsidRDefault="00D525CC"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rPr>
        <w:t xml:space="preserve">Véase, </w:t>
      </w:r>
      <w:r w:rsidRPr="00CF3952">
        <w:rPr>
          <w:rStyle w:val="Textoennegrita"/>
          <w:rFonts w:ascii="Times New Roman" w:hAnsi="Times New Roman" w:cs="Times New Roman"/>
          <w:b w:val="0"/>
          <w:shd w:val="clear" w:color="auto" w:fill="FFFFFF"/>
        </w:rPr>
        <w:t>Corte IDH. Caso Furlan y familiares Vs. Argentina. Excepciones Preliminares, Fondo, Reparaciones y Costas. Sentencia de 31 de agosto de 2012. Serie C No. 246</w:t>
      </w:r>
      <w:r w:rsidRPr="00CF3952">
        <w:rPr>
          <w:rFonts w:ascii="Times New Roman" w:hAnsi="Times New Roman" w:cs="Times New Roman"/>
        </w:rPr>
        <w:t xml:space="preserve">, párrafos 150 y 215. </w:t>
      </w:r>
    </w:p>
  </w:footnote>
  <w:footnote w:id="22">
    <w:p w14:paraId="7CD35CC8" w14:textId="77777777" w:rsidR="009C11F7" w:rsidRPr="00CF3952" w:rsidRDefault="009C11F7"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00CF3952">
        <w:rPr>
          <w:rFonts w:ascii="Times New Roman" w:hAnsi="Times New Roman" w:cs="Times New Roman"/>
        </w:rPr>
        <w:t xml:space="preserve"> </w:t>
      </w:r>
      <w:r w:rsidR="00CF3952">
        <w:rPr>
          <w:rFonts w:ascii="Times New Roman" w:hAnsi="Times New Roman" w:cs="Times New Roman"/>
        </w:rPr>
        <w:t xml:space="preserve">Código Nacional de Procedimientos Penales, artículo 10. </w:t>
      </w:r>
    </w:p>
  </w:footnote>
  <w:footnote w:id="23">
    <w:p w14:paraId="539B6CBA" w14:textId="77777777" w:rsidR="00F02CF7" w:rsidRPr="00CF3952" w:rsidRDefault="00F02CF7"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rPr>
        <w:t xml:space="preserve">Esta ley entró en vigor el 30 de mayo de 2011, </w:t>
      </w:r>
    </w:p>
  </w:footnote>
  <w:footnote w:id="24">
    <w:p w14:paraId="0CA6F005" w14:textId="77777777" w:rsidR="009C11F7" w:rsidRPr="00CF3952" w:rsidRDefault="009C11F7"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rPr>
        <w:t xml:space="preserve">Ley General para la Inclusión de las Personas con discapacidad, capítulo </w:t>
      </w:r>
      <w:r w:rsidR="00CF3952">
        <w:rPr>
          <w:rFonts w:ascii="Times New Roman" w:hAnsi="Times New Roman" w:cs="Times New Roman"/>
        </w:rPr>
        <w:t xml:space="preserve">IX, artículo 28. </w:t>
      </w:r>
    </w:p>
  </w:footnote>
  <w:footnote w:id="25">
    <w:p w14:paraId="7B529820" w14:textId="77777777" w:rsidR="009C11F7" w:rsidRPr="00CF3952" w:rsidRDefault="009C11F7"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rPr>
        <w:t xml:space="preserve">Ley General para la Inclusión de las Personas con discapacidad, capítulo </w:t>
      </w:r>
      <w:r w:rsidR="00CF3952">
        <w:rPr>
          <w:rFonts w:ascii="Times New Roman" w:hAnsi="Times New Roman" w:cs="Times New Roman"/>
        </w:rPr>
        <w:t xml:space="preserve">IX, artículo 29. </w:t>
      </w:r>
    </w:p>
  </w:footnote>
  <w:footnote w:id="26">
    <w:p w14:paraId="2AA2F930" w14:textId="77777777" w:rsidR="009C11F7" w:rsidRPr="00CF3952" w:rsidRDefault="009C11F7"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i/>
        </w:rPr>
        <w:t>Observaciones finales sobre el informe inicial de México</w:t>
      </w:r>
      <w:r w:rsidRPr="00CF3952">
        <w:rPr>
          <w:rFonts w:ascii="Times New Roman" w:hAnsi="Times New Roman" w:cs="Times New Roman"/>
        </w:rPr>
        <w:t>, Comité sobre los Derechos de las Personas con Discapacidad, CRPD/C/MEX/CO/1, 27 de octubre de 2014</w:t>
      </w:r>
      <w:r w:rsidR="00CF3952">
        <w:rPr>
          <w:rFonts w:ascii="Times New Roman" w:hAnsi="Times New Roman" w:cs="Times New Roman"/>
        </w:rPr>
        <w:t xml:space="preserve">. </w:t>
      </w:r>
      <w:r w:rsidRPr="00CF3952">
        <w:rPr>
          <w:rFonts w:ascii="Times New Roman" w:hAnsi="Times New Roman" w:cs="Times New Roman"/>
        </w:rPr>
        <w:t xml:space="preserve"> </w:t>
      </w:r>
    </w:p>
  </w:footnote>
  <w:footnote w:id="27">
    <w:p w14:paraId="493E8020" w14:textId="77777777" w:rsidR="009C11F7" w:rsidRPr="00CF3952" w:rsidRDefault="009C11F7"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i/>
        </w:rPr>
        <w:t>Observaciones finales sobre el informe inicial de México</w:t>
      </w:r>
      <w:r w:rsidRPr="00CF3952">
        <w:rPr>
          <w:rFonts w:ascii="Times New Roman" w:hAnsi="Times New Roman" w:cs="Times New Roman"/>
        </w:rPr>
        <w:t>, Comité sobre los Derechos de las Personas con Discapacidad, CRPD/C/MEX/CO/1, 27 de octubre de 2014, párrafo 25</w:t>
      </w:r>
      <w:r w:rsidR="00CF3952">
        <w:rPr>
          <w:rFonts w:ascii="Times New Roman" w:hAnsi="Times New Roman" w:cs="Times New Roman"/>
        </w:rPr>
        <w:t xml:space="preserve">. </w:t>
      </w:r>
      <w:r w:rsidRPr="00CF3952">
        <w:rPr>
          <w:rFonts w:ascii="Times New Roman" w:hAnsi="Times New Roman" w:cs="Times New Roman"/>
        </w:rPr>
        <w:t xml:space="preserve"> </w:t>
      </w:r>
    </w:p>
  </w:footnote>
  <w:footnote w:id="28">
    <w:p w14:paraId="7DC635B8" w14:textId="77777777" w:rsidR="009C11F7" w:rsidRPr="00CF3952" w:rsidRDefault="009C11F7" w:rsidP="00CF3952">
      <w:pPr>
        <w:pStyle w:val="Textonotapie"/>
        <w:jc w:val="both"/>
        <w:rPr>
          <w:rFonts w:ascii="Times New Roman" w:hAnsi="Times New Roman" w:cs="Times New Roman"/>
          <w:bCs/>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bCs/>
          <w:i/>
        </w:rPr>
        <w:t>Inimputables. En atención al derecho de tutela judicial efectiva, la medida de tratamiento en internación debe imponerse acorde con su grado de inimputabilidad y no con base en la conducta cometida (legislación para el distrito federal).</w:t>
      </w:r>
      <w:r w:rsidRPr="00CF3952">
        <w:rPr>
          <w:rFonts w:ascii="Times New Roman" w:hAnsi="Times New Roman" w:cs="Times New Roman"/>
          <w:bCs/>
        </w:rPr>
        <w:t xml:space="preserve"> Tesis aislada. Noveno tribunal colegiado en materia penal del primer circuito. Amparo directo 100/2015. 25 de junio de 2015. Unanimidad de votos. Ponente: Miguel Ángel Aguilar López. Secretaria: Elizabeth Franco Cervantes. Tesis: i.9o.P.95 P (10a.),  libro 22, septiembre de 2015, tomo iii, página 2076 </w:t>
      </w:r>
    </w:p>
  </w:footnote>
  <w:footnote w:id="29">
    <w:p w14:paraId="3807DBD7" w14:textId="77777777" w:rsidR="009C11F7" w:rsidRPr="00CF3952" w:rsidRDefault="009C11F7"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00E04C25" w:rsidRPr="00CF3952">
        <w:rPr>
          <w:rFonts w:ascii="Times New Roman" w:hAnsi="Times New Roman" w:cs="Times New Roman"/>
        </w:rPr>
        <w:t xml:space="preserve"> </w:t>
      </w:r>
      <w:r w:rsidRPr="00CF3952">
        <w:rPr>
          <w:rFonts w:ascii="Times New Roman" w:hAnsi="Times New Roman" w:cs="Times New Roman"/>
          <w:i/>
        </w:rPr>
        <w:t>Cfr</w:t>
      </w:r>
      <w:r w:rsidRPr="00CF3952">
        <w:rPr>
          <w:rFonts w:ascii="Times New Roman" w:hAnsi="Times New Roman" w:cs="Times New Roman"/>
        </w:rPr>
        <w:t xml:space="preserve">. Protocolo de Actuación para quienes imparten justicia en casos que involucren derechos de personas con discapacidad, página 77, disponible en: https://www.sitios.scjn.gob.mx/codhap/protocolo_derechos_de_personas_con_discapacidad </w:t>
      </w:r>
    </w:p>
  </w:footnote>
  <w:footnote w:id="30">
    <w:p w14:paraId="208994A9" w14:textId="77777777" w:rsidR="00E04C25" w:rsidRPr="00CF3952" w:rsidRDefault="00E04C25"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rPr>
        <w:t xml:space="preserve">Véase el anexo sobre el procedimiento que se incluye al final. </w:t>
      </w:r>
    </w:p>
  </w:footnote>
  <w:footnote w:id="31">
    <w:p w14:paraId="5918CACB" w14:textId="77777777" w:rsidR="009C11F7" w:rsidRPr="00CF3952" w:rsidRDefault="009C11F7"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i/>
          <w:iCs/>
        </w:rPr>
        <w:t xml:space="preserve">Cfr. </w:t>
      </w:r>
      <w:r w:rsidRPr="00CF3952">
        <w:rPr>
          <w:rFonts w:ascii="Times New Roman" w:hAnsi="Times New Roman" w:cs="Times New Roman"/>
        </w:rPr>
        <w:t xml:space="preserve">Carrara, Francesco, </w:t>
      </w:r>
      <w:r w:rsidRPr="00CF3952">
        <w:rPr>
          <w:rFonts w:ascii="Times New Roman" w:hAnsi="Times New Roman" w:cs="Times New Roman"/>
          <w:i/>
          <w:iCs/>
        </w:rPr>
        <w:t xml:space="preserve">Programa de Derecho criminal: Parte general, </w:t>
      </w:r>
      <w:r w:rsidRPr="00CF3952">
        <w:rPr>
          <w:rFonts w:ascii="Times New Roman" w:hAnsi="Times New Roman" w:cs="Times New Roman"/>
        </w:rPr>
        <w:t>vol. I, traducción de José J. Ortega Torres, reimpresión, Bogotá, Temis, 1996, página 34.</w:t>
      </w:r>
    </w:p>
  </w:footnote>
  <w:footnote w:id="32">
    <w:p w14:paraId="2728BED1" w14:textId="77777777" w:rsidR="009C11F7" w:rsidRPr="00CF3952" w:rsidRDefault="009C11F7" w:rsidP="00CF3952">
      <w:pPr>
        <w:spacing w:after="0" w:line="240" w:lineRule="auto"/>
        <w:jc w:val="both"/>
        <w:rPr>
          <w:rFonts w:ascii="Times New Roman" w:eastAsia="Times New Roman" w:hAnsi="Times New Roman" w:cs="Times New Roman"/>
          <w:color w:val="000000" w:themeColor="text1"/>
          <w:sz w:val="20"/>
          <w:szCs w:val="20"/>
          <w:lang w:eastAsia="es-MX"/>
        </w:rPr>
      </w:pPr>
      <w:r w:rsidRPr="00CF3952">
        <w:rPr>
          <w:rStyle w:val="Refdenotaalpie"/>
          <w:rFonts w:ascii="Times New Roman" w:hAnsi="Times New Roman" w:cs="Times New Roman"/>
          <w:sz w:val="20"/>
          <w:szCs w:val="20"/>
        </w:rPr>
        <w:footnoteRef/>
      </w:r>
      <w:r w:rsidRPr="00CF3952">
        <w:rPr>
          <w:rFonts w:ascii="Times New Roman" w:hAnsi="Times New Roman" w:cs="Times New Roman"/>
          <w:sz w:val="20"/>
          <w:szCs w:val="20"/>
        </w:rPr>
        <w:t xml:space="preserve"> </w:t>
      </w:r>
      <w:r w:rsidRPr="00CF3952">
        <w:rPr>
          <w:rFonts w:ascii="Times New Roman" w:hAnsi="Times New Roman" w:cs="Times New Roman"/>
          <w:i/>
          <w:color w:val="000000" w:themeColor="text1"/>
          <w:sz w:val="20"/>
          <w:szCs w:val="20"/>
        </w:rPr>
        <w:t>Inimputabilidad. No implica, necesariamente, la ausencia total de determinismo del sujeto, sino necesariamente que está impedido para comprender la ilicitud de su actuar</w:t>
      </w:r>
      <w:r w:rsidRPr="00CF3952">
        <w:rPr>
          <w:rFonts w:ascii="Times New Roman" w:hAnsi="Times New Roman" w:cs="Times New Roman"/>
          <w:color w:val="000000" w:themeColor="text1"/>
          <w:sz w:val="20"/>
          <w:szCs w:val="20"/>
        </w:rPr>
        <w:t>.</w:t>
      </w:r>
      <w:r w:rsidRPr="00CF3952">
        <w:rPr>
          <w:rFonts w:ascii="Times New Roman" w:eastAsia="Times New Roman" w:hAnsi="Times New Roman" w:cs="Times New Roman"/>
          <w:color w:val="000000" w:themeColor="text1"/>
          <w:sz w:val="20"/>
          <w:szCs w:val="20"/>
          <w:lang w:eastAsia="es-MX"/>
        </w:rPr>
        <w:t xml:space="preserve"> Primer Tribunal Colegiado en Materia Penal del Tercer Circuito. Amparo directo 117/2004. 6 de ma</w:t>
      </w:r>
      <w:r w:rsidR="00B43220" w:rsidRPr="00CF3952">
        <w:rPr>
          <w:rFonts w:ascii="Times New Roman" w:eastAsia="Times New Roman" w:hAnsi="Times New Roman" w:cs="Times New Roman"/>
          <w:color w:val="000000" w:themeColor="text1"/>
          <w:sz w:val="20"/>
          <w:szCs w:val="20"/>
          <w:lang w:eastAsia="es-MX"/>
        </w:rPr>
        <w:t>yo de 2004. Unanimidad de votos</w:t>
      </w:r>
      <w:r w:rsidRPr="00CF3952">
        <w:rPr>
          <w:rFonts w:ascii="Times New Roman" w:eastAsia="Times New Roman" w:hAnsi="Times New Roman" w:cs="Times New Roman"/>
          <w:color w:val="000000" w:themeColor="text1"/>
          <w:sz w:val="20"/>
          <w:szCs w:val="20"/>
          <w:lang w:eastAsia="es-MX"/>
        </w:rPr>
        <w:t xml:space="preserve">, Tesis: III.1o.P.67 P, Tomo XX, Diciembre de 2004, página 1366 </w:t>
      </w:r>
    </w:p>
  </w:footnote>
  <w:footnote w:id="33">
    <w:p w14:paraId="612D0F12" w14:textId="77777777" w:rsidR="009C11F7" w:rsidRPr="00CF3952" w:rsidRDefault="009C11F7"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00E04C25" w:rsidRPr="00CF3952">
        <w:rPr>
          <w:rFonts w:ascii="Times New Roman" w:hAnsi="Times New Roman" w:cs="Times New Roman"/>
        </w:rPr>
        <w:t xml:space="preserve"> </w:t>
      </w:r>
      <w:r w:rsidR="00CF3952">
        <w:rPr>
          <w:rFonts w:ascii="Times New Roman" w:hAnsi="Times New Roman" w:cs="Times New Roman"/>
        </w:rPr>
        <w:t xml:space="preserve">Código </w:t>
      </w:r>
      <w:r w:rsidR="00CF3952" w:rsidRPr="00CF3952">
        <w:rPr>
          <w:rFonts w:ascii="Times New Roman" w:hAnsi="Times New Roman" w:cs="Times New Roman"/>
          <w:i/>
        </w:rPr>
        <w:t>op.cit</w:t>
      </w:r>
      <w:r w:rsidR="00CF3952">
        <w:rPr>
          <w:rFonts w:ascii="Times New Roman" w:hAnsi="Times New Roman" w:cs="Times New Roman"/>
        </w:rPr>
        <w:t xml:space="preserve">, artículo 414. </w:t>
      </w:r>
    </w:p>
  </w:footnote>
  <w:footnote w:id="34">
    <w:p w14:paraId="18A819C1" w14:textId="77777777" w:rsidR="009C11F7" w:rsidRPr="00CF3952" w:rsidRDefault="009C11F7"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i/>
        </w:rPr>
        <w:t>Derechos de las Personas con Discapacidad Mental en el Nuevo Sistema Mexicano de Justicia Penal</w:t>
      </w:r>
      <w:r w:rsidRPr="00CF3952">
        <w:rPr>
          <w:rFonts w:ascii="Times New Roman" w:hAnsi="Times New Roman" w:cs="Times New Roman"/>
        </w:rPr>
        <w:t xml:space="preserve">, Informe de Disability Rights International, Sofía Galván Puente, Ciudad de México, Junio de 2013, página 11 </w:t>
      </w:r>
    </w:p>
  </w:footnote>
  <w:footnote w:id="35">
    <w:p w14:paraId="03F0D064" w14:textId="77777777" w:rsidR="009C11F7" w:rsidRPr="00CF3952" w:rsidRDefault="009C11F7" w:rsidP="00CF3952">
      <w:pPr>
        <w:pStyle w:val="Textonotapie"/>
        <w:jc w:val="both"/>
        <w:rPr>
          <w:rFonts w:ascii="Times New Roman" w:hAnsi="Times New Roman" w:cs="Times New Roman"/>
          <w:bCs/>
        </w:rPr>
      </w:pPr>
      <w:r w:rsidRPr="00CF3952">
        <w:rPr>
          <w:rStyle w:val="Refdenotaalpie"/>
          <w:rFonts w:ascii="Times New Roman" w:hAnsi="Times New Roman" w:cs="Times New Roman"/>
          <w:i/>
        </w:rPr>
        <w:footnoteRef/>
      </w:r>
      <w:r w:rsidRPr="00CF3952">
        <w:rPr>
          <w:rFonts w:ascii="Times New Roman" w:hAnsi="Times New Roman" w:cs="Times New Roman"/>
          <w:i/>
        </w:rPr>
        <w:t xml:space="preserve"> </w:t>
      </w:r>
      <w:r w:rsidRPr="00CF3952">
        <w:rPr>
          <w:rFonts w:ascii="Times New Roman" w:hAnsi="Times New Roman" w:cs="Times New Roman"/>
          <w:bCs/>
          <w:i/>
        </w:rPr>
        <w:t>Inimputabilidad. El juez de la causa debe designar peritos para que evalúen la condición mental del inculpado desde el momento en que alguna de las partes ofrezca el dictamen pericial correspondiente (legislación del estado de Guanajuato)</w:t>
      </w:r>
      <w:r w:rsidRPr="00CF3952">
        <w:rPr>
          <w:rFonts w:ascii="Times New Roman" w:hAnsi="Times New Roman" w:cs="Times New Roman"/>
          <w:bCs/>
        </w:rPr>
        <w:t>. Tribunal colegiado en materia penal del décimo sexto circuito. Amparo directo 635/2009. 25 de febrero de 2010. Unanimidad de</w:t>
      </w:r>
      <w:r w:rsidR="00B43220" w:rsidRPr="00CF3952">
        <w:rPr>
          <w:rFonts w:ascii="Times New Roman" w:hAnsi="Times New Roman" w:cs="Times New Roman"/>
          <w:bCs/>
        </w:rPr>
        <w:t xml:space="preserve"> votos</w:t>
      </w:r>
      <w:r w:rsidRPr="00CF3952">
        <w:rPr>
          <w:rFonts w:ascii="Times New Roman" w:hAnsi="Times New Roman" w:cs="Times New Roman"/>
          <w:bCs/>
        </w:rPr>
        <w:t>. Tesis: XVI.P.19 P., Tomo XXXI, mayo de 2010, página 148</w:t>
      </w:r>
      <w:r w:rsidR="00CF3952">
        <w:rPr>
          <w:rFonts w:ascii="Times New Roman" w:hAnsi="Times New Roman" w:cs="Times New Roman"/>
          <w:bCs/>
        </w:rPr>
        <w:t xml:space="preserve">. </w:t>
      </w:r>
      <w:r w:rsidRPr="00CF3952">
        <w:rPr>
          <w:rFonts w:ascii="Times New Roman" w:hAnsi="Times New Roman" w:cs="Times New Roman"/>
          <w:bCs/>
        </w:rPr>
        <w:t xml:space="preserve"> </w:t>
      </w:r>
    </w:p>
  </w:footnote>
  <w:footnote w:id="36">
    <w:p w14:paraId="4877468C" w14:textId="77777777" w:rsidR="009C11F7" w:rsidRPr="00CF3952" w:rsidRDefault="009C11F7"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i/>
        </w:rPr>
        <w:t>Informe sobre los Derechos de las Personas con discapacidad psicosocial e intelectual en el sistema de justicia penal</w:t>
      </w:r>
      <w:r w:rsidRPr="00CF3952">
        <w:rPr>
          <w:rFonts w:ascii="Times New Roman" w:hAnsi="Times New Roman" w:cs="Times New Roman"/>
        </w:rPr>
        <w:t xml:space="preserve">, Documenta, México, 2013, página 4 </w:t>
      </w:r>
    </w:p>
  </w:footnote>
  <w:footnote w:id="37">
    <w:p w14:paraId="22DA47DF" w14:textId="77777777" w:rsidR="009C11F7" w:rsidRPr="00CF3952" w:rsidRDefault="009C11F7"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i/>
        </w:rPr>
        <w:t xml:space="preserve"> </w:t>
      </w:r>
      <w:r w:rsidRPr="00CF3952">
        <w:rPr>
          <w:rFonts w:ascii="Times New Roman" w:hAnsi="Times New Roman" w:cs="Times New Roman"/>
          <w:i/>
        </w:rPr>
        <w:t>Derechos de las personas con discapacidad, “Dfensor</w:t>
      </w:r>
      <w:r w:rsidRPr="00CF3952">
        <w:rPr>
          <w:rFonts w:ascii="Times New Roman" w:hAnsi="Times New Roman" w:cs="Times New Roman"/>
        </w:rPr>
        <w:t>” Revista de Derechos Humanos, Comisión de Derechos Humanos del Distrito Federal, número 11, Año XII, Noviembre de 2014, página 19</w:t>
      </w:r>
      <w:r w:rsidR="00CF3952">
        <w:rPr>
          <w:rFonts w:ascii="Times New Roman" w:hAnsi="Times New Roman" w:cs="Times New Roman"/>
        </w:rPr>
        <w:t xml:space="preserve">. </w:t>
      </w:r>
      <w:r w:rsidRPr="00CF3952">
        <w:rPr>
          <w:rFonts w:ascii="Times New Roman" w:hAnsi="Times New Roman" w:cs="Times New Roman"/>
        </w:rPr>
        <w:t xml:space="preserve"> </w:t>
      </w:r>
    </w:p>
  </w:footnote>
  <w:footnote w:id="38">
    <w:p w14:paraId="2B03F5C7" w14:textId="77777777" w:rsidR="009C11F7" w:rsidRPr="00CF3952" w:rsidRDefault="009C11F7" w:rsidP="00CF3952">
      <w:pPr>
        <w:spacing w:after="0" w:line="240" w:lineRule="auto"/>
        <w:jc w:val="both"/>
        <w:rPr>
          <w:rFonts w:ascii="Times New Roman" w:eastAsia="Times New Roman" w:hAnsi="Times New Roman" w:cs="Times New Roman"/>
          <w:bCs/>
          <w:color w:val="000000" w:themeColor="text1"/>
          <w:sz w:val="20"/>
          <w:szCs w:val="20"/>
          <w:lang w:eastAsia="es-MX"/>
        </w:rPr>
      </w:pPr>
      <w:r w:rsidRPr="00CF3952">
        <w:rPr>
          <w:rStyle w:val="Refdenotaalpie"/>
          <w:rFonts w:ascii="Times New Roman" w:hAnsi="Times New Roman" w:cs="Times New Roman"/>
          <w:sz w:val="20"/>
          <w:szCs w:val="20"/>
        </w:rPr>
        <w:footnoteRef/>
      </w:r>
      <w:r w:rsidRPr="00CF3952">
        <w:rPr>
          <w:rFonts w:ascii="Times New Roman" w:hAnsi="Times New Roman" w:cs="Times New Roman"/>
          <w:sz w:val="20"/>
          <w:szCs w:val="20"/>
        </w:rPr>
        <w:t xml:space="preserve"> </w:t>
      </w:r>
      <w:r w:rsidRPr="00CF3952">
        <w:rPr>
          <w:rFonts w:ascii="Times New Roman" w:hAnsi="Times New Roman" w:cs="Times New Roman"/>
          <w:i/>
          <w:sz w:val="20"/>
          <w:szCs w:val="20"/>
        </w:rPr>
        <w:t xml:space="preserve">Procedimiento especial para </w:t>
      </w:r>
      <w:r w:rsidRPr="00CF3952">
        <w:rPr>
          <w:rFonts w:ascii="Times New Roman" w:hAnsi="Times New Roman" w:cs="Times New Roman"/>
          <w:bCs/>
          <w:i/>
          <w:sz w:val="20"/>
          <w:szCs w:val="20"/>
        </w:rPr>
        <w:t>enfermos mentales y sordomudos. La omisión del juez de suspender de oficio el proceso al dictar formal prisión al indiciado y ordenar su apertura, constituye un acto de imposible reparación que hace procedente el juicio de amparo indirecto (legislación del estado de Nuevo León)</w:t>
      </w:r>
      <w:r w:rsidRPr="00CF3952">
        <w:rPr>
          <w:rFonts w:ascii="Times New Roman" w:hAnsi="Times New Roman" w:cs="Times New Roman"/>
          <w:bCs/>
          <w:sz w:val="20"/>
          <w:szCs w:val="20"/>
        </w:rPr>
        <w:t>, Tesis: IV. 1o. P.1P (10ª), Primer Tribunal Colegiado en materia Penal del Cuarto Circuito, Amparo en revisión 290/2011. Libro IX, Junio de 20</w:t>
      </w:r>
      <w:r w:rsidR="00E379AA" w:rsidRPr="00CF3952">
        <w:rPr>
          <w:rFonts w:ascii="Times New Roman" w:hAnsi="Times New Roman" w:cs="Times New Roman"/>
          <w:bCs/>
          <w:sz w:val="20"/>
          <w:szCs w:val="20"/>
        </w:rPr>
        <w:t>12, Tomo 2, Unanimidad de votos</w:t>
      </w:r>
      <w:r w:rsidRPr="00CF3952">
        <w:rPr>
          <w:rFonts w:ascii="Times New Roman" w:hAnsi="Times New Roman" w:cs="Times New Roman"/>
          <w:bCs/>
          <w:sz w:val="20"/>
          <w:szCs w:val="20"/>
        </w:rPr>
        <w:t xml:space="preserve">; </w:t>
      </w:r>
      <w:r w:rsidRPr="00CF3952">
        <w:rPr>
          <w:rFonts w:ascii="Times New Roman" w:hAnsi="Times New Roman" w:cs="Times New Roman"/>
          <w:bCs/>
          <w:i/>
          <w:sz w:val="20"/>
          <w:szCs w:val="20"/>
        </w:rPr>
        <w:t xml:space="preserve">Inimputabilidad, </w:t>
      </w:r>
      <w:r w:rsidRPr="00CF3952">
        <w:rPr>
          <w:rFonts w:ascii="Times New Roman" w:eastAsia="Times New Roman" w:hAnsi="Times New Roman" w:cs="Times New Roman"/>
          <w:bCs/>
          <w:i/>
          <w:color w:val="000000" w:themeColor="text1"/>
          <w:sz w:val="20"/>
          <w:szCs w:val="20"/>
          <w:lang w:eastAsia="es-MX"/>
        </w:rPr>
        <w:t>los artículos 51 y 52 del código penal para el distrito federal no son aplicables en los supuestos de</w:t>
      </w:r>
      <w:r w:rsidRPr="00CF3952">
        <w:rPr>
          <w:rFonts w:ascii="Times New Roman" w:eastAsia="Times New Roman" w:hAnsi="Times New Roman" w:cs="Times New Roman"/>
          <w:bCs/>
          <w:color w:val="000000" w:themeColor="text1"/>
          <w:sz w:val="20"/>
          <w:szCs w:val="20"/>
          <w:lang w:eastAsia="es-MX"/>
        </w:rPr>
        <w:t>.,</w:t>
      </w:r>
      <w:r w:rsidRPr="00CF3952">
        <w:rPr>
          <w:rFonts w:ascii="Times New Roman" w:eastAsia="Times New Roman" w:hAnsi="Times New Roman" w:cs="Times New Roman"/>
          <w:b/>
          <w:bCs/>
          <w:color w:val="000000" w:themeColor="text1"/>
          <w:sz w:val="20"/>
          <w:szCs w:val="20"/>
          <w:lang w:eastAsia="es-MX"/>
        </w:rPr>
        <w:t xml:space="preserve"> </w:t>
      </w:r>
      <w:r w:rsidRPr="00CF3952">
        <w:rPr>
          <w:rFonts w:ascii="Times New Roman" w:eastAsia="Times New Roman" w:hAnsi="Times New Roman" w:cs="Times New Roman"/>
          <w:color w:val="000000" w:themeColor="text1"/>
          <w:sz w:val="20"/>
          <w:szCs w:val="20"/>
          <w:lang w:eastAsia="es-MX"/>
        </w:rPr>
        <w:t xml:space="preserve">segundo tribunal colegiado en materia penal del primer circuito., Amparo directo 406/2000. 16 de marzo de 2001. Unanimidad de votos; </w:t>
      </w:r>
      <w:r w:rsidRPr="00CF3952">
        <w:rPr>
          <w:rFonts w:ascii="Times New Roman" w:eastAsia="Times New Roman" w:hAnsi="Times New Roman" w:cs="Times New Roman"/>
          <w:bCs/>
          <w:i/>
          <w:color w:val="000000" w:themeColor="text1"/>
          <w:sz w:val="20"/>
          <w:szCs w:val="20"/>
          <w:lang w:eastAsia="es-MX"/>
        </w:rPr>
        <w:t>Inimputable permanente. La medida de tratamiento aplicable, por su carácter terapéutico, debe imponérsele de acuerdo con su nivel de inimputabilidad y no con base en el grado de culpabilidad que se utiliza para sancionar a un sujeto imputable, de lo contrario, se viola su derecho a la salud (interpretación del artículo 62 del código penal para el distrito federal)</w:t>
      </w:r>
      <w:r w:rsidRPr="00CF3952">
        <w:rPr>
          <w:rFonts w:ascii="Times New Roman" w:eastAsia="Times New Roman" w:hAnsi="Times New Roman" w:cs="Times New Roman"/>
          <w:bCs/>
          <w:color w:val="000000" w:themeColor="text1"/>
          <w:sz w:val="20"/>
          <w:szCs w:val="20"/>
          <w:lang w:eastAsia="es-MX"/>
        </w:rPr>
        <w:t>. Noveno tribunal colegiado en materia penal del primer circuito. Tesis Aislada. Amparo directo 100/2015. 25 de junio de 2015. Unanimidad de votos. Tesis: I.9o.P.94 P (10a.), Libro 22, Septiembre</w:t>
      </w:r>
      <w:r w:rsidR="00B43220" w:rsidRPr="00CF3952">
        <w:rPr>
          <w:rFonts w:ascii="Times New Roman" w:eastAsia="Times New Roman" w:hAnsi="Times New Roman" w:cs="Times New Roman"/>
          <w:bCs/>
          <w:color w:val="000000" w:themeColor="text1"/>
          <w:sz w:val="20"/>
          <w:szCs w:val="20"/>
          <w:lang w:eastAsia="es-MX"/>
        </w:rPr>
        <w:t xml:space="preserve"> de 2015, Tomo III, página 2075.</w:t>
      </w:r>
    </w:p>
  </w:footnote>
  <w:footnote w:id="39">
    <w:p w14:paraId="51F89CDF" w14:textId="77777777" w:rsidR="009C11F7" w:rsidRPr="00CF3952" w:rsidRDefault="009C11F7"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rPr>
        <w:t xml:space="preserve">Instituto Interamericano de Derechos Humanos, </w:t>
      </w:r>
      <w:r w:rsidRPr="00CF3952">
        <w:rPr>
          <w:rFonts w:ascii="Times New Roman" w:hAnsi="Times New Roman" w:cs="Times New Roman"/>
          <w:i/>
          <w:iCs/>
        </w:rPr>
        <w:t>Derechos de las</w:t>
      </w:r>
      <w:r w:rsidRPr="00CF3952">
        <w:rPr>
          <w:rFonts w:ascii="Times New Roman" w:hAnsi="Times New Roman" w:cs="Times New Roman"/>
        </w:rPr>
        <w:t xml:space="preserve"> </w:t>
      </w:r>
      <w:r w:rsidRPr="00CF3952">
        <w:rPr>
          <w:rFonts w:ascii="Times New Roman" w:hAnsi="Times New Roman" w:cs="Times New Roman"/>
          <w:i/>
          <w:iCs/>
        </w:rPr>
        <w:t xml:space="preserve">personas con discapacidad, </w:t>
      </w:r>
      <w:r w:rsidRPr="00CF3952">
        <w:rPr>
          <w:rFonts w:ascii="Times New Roman" w:hAnsi="Times New Roman" w:cs="Times New Roman"/>
        </w:rPr>
        <w:t xml:space="preserve">San José, IIDH (Serie Módulos, módulo 6), 2007, página 12. </w:t>
      </w:r>
    </w:p>
  </w:footnote>
  <w:footnote w:id="40">
    <w:p w14:paraId="49A6FF16" w14:textId="77777777" w:rsidR="009C11F7" w:rsidRPr="00CF3952" w:rsidRDefault="009C11F7"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i/>
        </w:rPr>
        <w:t xml:space="preserve">Procedimiento especial para </w:t>
      </w:r>
      <w:r w:rsidRPr="00CF3952">
        <w:rPr>
          <w:rFonts w:ascii="Times New Roman" w:hAnsi="Times New Roman" w:cs="Times New Roman"/>
          <w:bCs/>
          <w:i/>
        </w:rPr>
        <w:t>enfermos mentales y sordomudos. La omisión del juez de suspender de oficio el proceso al dictar formal prisión al indiciado y ordenar su apertura, constituye un acto de imposible reparación que hace procedente el juicio de amparo indirecto (legislación del estado de Nuevo León)</w:t>
      </w:r>
      <w:r w:rsidRPr="00CF3952">
        <w:rPr>
          <w:rFonts w:ascii="Times New Roman" w:hAnsi="Times New Roman" w:cs="Times New Roman"/>
          <w:bCs/>
        </w:rPr>
        <w:t>, Tesis: IV. 1o. P.1P (10ª), Primer Tribunal Colegiado en materia Penal del Cuarto Circuito, Amparo en revisión 290/2011. L</w:t>
      </w:r>
      <w:r w:rsidR="00B43220" w:rsidRPr="00CF3952">
        <w:rPr>
          <w:rFonts w:ascii="Times New Roman" w:hAnsi="Times New Roman" w:cs="Times New Roman"/>
          <w:bCs/>
        </w:rPr>
        <w:t>ibro IX, Junio de 2012, Tomo 2</w:t>
      </w:r>
      <w:r w:rsidRPr="00CF3952">
        <w:rPr>
          <w:rFonts w:ascii="Times New Roman" w:hAnsi="Times New Roman" w:cs="Times New Roman"/>
          <w:bCs/>
        </w:rPr>
        <w:t>, página 898</w:t>
      </w:r>
      <w:r w:rsidR="00B43220" w:rsidRPr="00CF3952">
        <w:rPr>
          <w:rFonts w:ascii="Times New Roman" w:hAnsi="Times New Roman" w:cs="Times New Roman"/>
          <w:bCs/>
        </w:rPr>
        <w:t xml:space="preserve">. </w:t>
      </w:r>
      <w:r w:rsidRPr="00CF3952">
        <w:rPr>
          <w:rFonts w:ascii="Times New Roman" w:hAnsi="Times New Roman" w:cs="Times New Roman"/>
          <w:bCs/>
        </w:rPr>
        <w:t xml:space="preserve"> </w:t>
      </w:r>
    </w:p>
  </w:footnote>
  <w:footnote w:id="41">
    <w:p w14:paraId="2694D44C" w14:textId="77777777" w:rsidR="009C11F7" w:rsidRPr="00CF3952" w:rsidRDefault="009C11F7"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rPr>
        <w:t>Código Nacional de Procedimientos Penales, sobre la Igualdad ante la ley (artículo 10), el idioma (artículo 45, párrafo tercero) –aunque no menciona el concepto de “ajuste razonable” sí hace alusión a sus características-, los derechos de la víctima u ofendido (artículo 109, fracción XII), en el seguimiento de medidas cautelares en caso de suspensión del proceso (artículo 181, párrafo tercero), el procedimiento para la aplicación de ajustes razonables en la audiencia inicial (artículo 414) y los ajustes a</w:t>
      </w:r>
      <w:r w:rsidR="00CF3952">
        <w:rPr>
          <w:rFonts w:ascii="Times New Roman" w:hAnsi="Times New Roman" w:cs="Times New Roman"/>
        </w:rPr>
        <w:t xml:space="preserve">l procedimiento (artículo 416). </w:t>
      </w:r>
    </w:p>
  </w:footnote>
  <w:footnote w:id="42">
    <w:p w14:paraId="36A13144" w14:textId="77777777" w:rsidR="009C11F7" w:rsidRPr="00CF3952" w:rsidRDefault="009C11F7"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rPr>
        <w:t>Cfr. Constitución Política de los Estados Unidos Mexicanos, artícul</w:t>
      </w:r>
      <w:r w:rsidR="00CF3952">
        <w:rPr>
          <w:rFonts w:ascii="Times New Roman" w:hAnsi="Times New Roman" w:cs="Times New Roman"/>
        </w:rPr>
        <w:t>o 20, apartado B, fracción VIII</w:t>
      </w:r>
      <w:r w:rsidRPr="00CF3952">
        <w:rPr>
          <w:rFonts w:ascii="Times New Roman" w:hAnsi="Times New Roman" w:cs="Times New Roman"/>
        </w:rPr>
        <w:t xml:space="preserve">; Convención Americana sobre Derechos Humanos, artículo 8.2, inciso d. </w:t>
      </w:r>
    </w:p>
  </w:footnote>
  <w:footnote w:id="43">
    <w:p w14:paraId="60EBC662" w14:textId="77777777" w:rsidR="009C11F7" w:rsidRPr="00CF3952" w:rsidRDefault="009C11F7"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rPr>
        <w:t xml:space="preserve">Cfr. Constitución Política de los Estados Unidos Mexicanos, artículo 20, apartado B, fracción II,; Convención Americana de Derechos Humanos, artículo 8.1 </w:t>
      </w:r>
    </w:p>
  </w:footnote>
  <w:footnote w:id="44">
    <w:p w14:paraId="50267EC8" w14:textId="77777777" w:rsidR="009C11F7" w:rsidRPr="00CF3952" w:rsidRDefault="009C11F7"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i/>
        </w:rPr>
        <w:t>Derechos de las personas con discapacidad, “Dfensor”</w:t>
      </w:r>
      <w:r w:rsidRPr="00CF3952">
        <w:rPr>
          <w:rFonts w:ascii="Times New Roman" w:hAnsi="Times New Roman" w:cs="Times New Roman"/>
        </w:rPr>
        <w:t xml:space="preserve"> Revista de Derechos Humanos, Comisión de Derechos Humanos del Distrito Federal, número 11, Año XII, Noviembre de 2014, página 19</w:t>
      </w:r>
    </w:p>
  </w:footnote>
  <w:footnote w:id="45">
    <w:p w14:paraId="6FDAAF0C" w14:textId="77777777" w:rsidR="009C11F7" w:rsidRPr="00CF3952" w:rsidRDefault="009C11F7"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rPr>
        <w:t>Código Nacional de Procedimientos Penales, artículo 419</w:t>
      </w:r>
      <w:r w:rsidR="00CF3952">
        <w:rPr>
          <w:rFonts w:ascii="Times New Roman" w:hAnsi="Times New Roman" w:cs="Times New Roman"/>
        </w:rPr>
        <w:t xml:space="preserve">. </w:t>
      </w:r>
      <w:r w:rsidRPr="00CF3952">
        <w:rPr>
          <w:rStyle w:val="Hipervnculo"/>
          <w:rFonts w:ascii="Times New Roman" w:hAnsi="Times New Roman" w:cs="Times New Roman"/>
        </w:rPr>
        <w:t xml:space="preserve"> </w:t>
      </w:r>
    </w:p>
  </w:footnote>
  <w:footnote w:id="46">
    <w:p w14:paraId="337A4AE2" w14:textId="77777777" w:rsidR="009C11F7" w:rsidRPr="00CF3952" w:rsidRDefault="009C11F7"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bCs/>
          <w:i/>
        </w:rPr>
        <w:t xml:space="preserve">Inimputabilidad, </w:t>
      </w:r>
      <w:r w:rsidRPr="00CF3952">
        <w:rPr>
          <w:rFonts w:ascii="Times New Roman" w:eastAsia="Times New Roman" w:hAnsi="Times New Roman" w:cs="Times New Roman"/>
          <w:bCs/>
          <w:i/>
          <w:color w:val="000000" w:themeColor="text1"/>
          <w:lang w:eastAsia="es-MX"/>
        </w:rPr>
        <w:t>los artículos 51 y 52 del código penal para el distrito federal no son aplicables en los supuestos de</w:t>
      </w:r>
      <w:r w:rsidRPr="00CF3952">
        <w:rPr>
          <w:rFonts w:ascii="Times New Roman" w:eastAsia="Times New Roman" w:hAnsi="Times New Roman" w:cs="Times New Roman"/>
          <w:bCs/>
          <w:color w:val="000000" w:themeColor="text1"/>
          <w:lang w:eastAsia="es-MX"/>
        </w:rPr>
        <w:t>.,</w:t>
      </w:r>
      <w:r w:rsidRPr="00CF3952">
        <w:rPr>
          <w:rFonts w:ascii="Times New Roman" w:eastAsia="Times New Roman" w:hAnsi="Times New Roman" w:cs="Times New Roman"/>
          <w:b/>
          <w:bCs/>
          <w:color w:val="000000" w:themeColor="text1"/>
          <w:lang w:eastAsia="es-MX"/>
        </w:rPr>
        <w:t xml:space="preserve"> </w:t>
      </w:r>
      <w:r w:rsidRPr="00CF3952">
        <w:rPr>
          <w:rFonts w:ascii="Times New Roman" w:eastAsia="Times New Roman" w:hAnsi="Times New Roman" w:cs="Times New Roman"/>
          <w:color w:val="000000" w:themeColor="text1"/>
          <w:lang w:eastAsia="es-MX"/>
        </w:rPr>
        <w:t>segundo tribunal colegiado en materia penal del primer circuito., Amparo directo 406/2000. 16 de marzo de 200</w:t>
      </w:r>
      <w:r w:rsidR="00CF3952">
        <w:rPr>
          <w:rFonts w:ascii="Times New Roman" w:eastAsia="Times New Roman" w:hAnsi="Times New Roman" w:cs="Times New Roman"/>
          <w:color w:val="000000" w:themeColor="text1"/>
          <w:lang w:eastAsia="es-MX"/>
        </w:rPr>
        <w:t>1. Unanimidad de votos.</w:t>
      </w:r>
      <w:r w:rsidRPr="00CF3952">
        <w:rPr>
          <w:rFonts w:ascii="Times New Roman" w:eastAsia="Times New Roman" w:hAnsi="Times New Roman" w:cs="Times New Roman"/>
          <w:color w:val="000000" w:themeColor="text1"/>
          <w:lang w:eastAsia="es-MX"/>
        </w:rPr>
        <w:t xml:space="preserve"> </w:t>
      </w:r>
    </w:p>
  </w:footnote>
  <w:footnote w:id="47">
    <w:p w14:paraId="75978CC0" w14:textId="77777777" w:rsidR="009C11F7" w:rsidRPr="00CF3952" w:rsidRDefault="009C11F7"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rPr>
        <w:t xml:space="preserve">Cfr. Protocolo de Actuación para quienes imparten justicia en casos que involucren derechos de personas con discapacidad, página 81, disponible en: https://www.sitios.scjn.gob.mx/codhap/protocolo_derechos_de_personas_con_discapacidad </w:t>
      </w:r>
    </w:p>
  </w:footnote>
  <w:footnote w:id="48">
    <w:p w14:paraId="51FF9AFC" w14:textId="77777777" w:rsidR="009C11F7" w:rsidRPr="00CF3952" w:rsidRDefault="009C11F7" w:rsidP="00CF3952">
      <w:pPr>
        <w:pStyle w:val="Textonotapie"/>
        <w:jc w:val="both"/>
        <w:rPr>
          <w:rFonts w:ascii="Times New Roman" w:hAnsi="Times New Roman" w:cs="Times New Roman"/>
        </w:rPr>
      </w:pPr>
      <w:r w:rsidRPr="00CF3952">
        <w:rPr>
          <w:rStyle w:val="Refdenotaalpie"/>
          <w:rFonts w:ascii="Times New Roman" w:hAnsi="Times New Roman" w:cs="Times New Roman"/>
        </w:rPr>
        <w:footnoteRef/>
      </w:r>
      <w:r w:rsidRPr="00CF3952">
        <w:rPr>
          <w:rFonts w:ascii="Times New Roman" w:hAnsi="Times New Roman" w:cs="Times New Roman"/>
        </w:rPr>
        <w:t xml:space="preserve"> </w:t>
      </w:r>
      <w:r w:rsidRPr="00CF3952">
        <w:rPr>
          <w:rFonts w:ascii="Times New Roman" w:hAnsi="Times New Roman" w:cs="Times New Roman"/>
        </w:rPr>
        <w:t>Informe sobre la situación de los derechos de las personas con discapacidad en América Latina: capacidad jurídica y acceso a la justicia, Derecho a la capacidad jurídica y al acceso a la justicia</w:t>
      </w:r>
      <w:r w:rsidR="00E379AA" w:rsidRPr="00CF3952">
        <w:rPr>
          <w:rFonts w:ascii="Times New Roman" w:hAnsi="Times New Roman" w:cs="Times New Roman"/>
        </w:rPr>
        <w:t>.</w:t>
      </w:r>
      <w:r w:rsidRPr="00CF3952">
        <w:rPr>
          <w:rFonts w:ascii="Times New Roman" w:hAnsi="Times New Roman" w:cs="Times New Roman"/>
        </w:rPr>
        <w:t xml:space="preserve"> </w:t>
      </w:r>
      <w:r w:rsidR="00E379AA" w:rsidRPr="00CF3952">
        <w:rPr>
          <w:rFonts w:ascii="Times New Roman" w:hAnsi="Times New Roman" w:cs="Times New Roman"/>
        </w:rPr>
        <w:t>M</w:t>
      </w:r>
      <w:r w:rsidRPr="00CF3952">
        <w:rPr>
          <w:rFonts w:ascii="Times New Roman" w:hAnsi="Times New Roman" w:cs="Times New Roman"/>
        </w:rPr>
        <w:t xml:space="preserve">arzo de 2014, página 10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E49E1"/>
    <w:multiLevelType w:val="hybridMultilevel"/>
    <w:tmpl w:val="AA3E83B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15C0246D"/>
    <w:multiLevelType w:val="hybridMultilevel"/>
    <w:tmpl w:val="2154DAD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1A74257"/>
    <w:multiLevelType w:val="hybridMultilevel"/>
    <w:tmpl w:val="7E18EF48"/>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2DF07E2E"/>
    <w:multiLevelType w:val="hybridMultilevel"/>
    <w:tmpl w:val="9E688FB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E0F7E9C"/>
    <w:multiLevelType w:val="hybridMultilevel"/>
    <w:tmpl w:val="059691F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49A32D3A"/>
    <w:multiLevelType w:val="hybridMultilevel"/>
    <w:tmpl w:val="6FA80008"/>
    <w:lvl w:ilvl="0" w:tplc="080A0019">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5A65207B"/>
    <w:multiLevelType w:val="hybridMultilevel"/>
    <w:tmpl w:val="7F62358A"/>
    <w:lvl w:ilvl="0" w:tplc="080A000F">
      <w:start w:val="1"/>
      <w:numFmt w:val="decimal"/>
      <w:lvlText w:val="%1."/>
      <w:lvlJc w:val="left"/>
      <w:pPr>
        <w:ind w:left="781" w:hanging="360"/>
      </w:pPr>
    </w:lvl>
    <w:lvl w:ilvl="1" w:tplc="080A0019">
      <w:start w:val="1"/>
      <w:numFmt w:val="lowerLetter"/>
      <w:lvlText w:val="%2."/>
      <w:lvlJc w:val="left"/>
      <w:pPr>
        <w:ind w:left="1501" w:hanging="360"/>
      </w:pPr>
    </w:lvl>
    <w:lvl w:ilvl="2" w:tplc="080A001B">
      <w:start w:val="1"/>
      <w:numFmt w:val="lowerRoman"/>
      <w:lvlText w:val="%3."/>
      <w:lvlJc w:val="right"/>
      <w:pPr>
        <w:ind w:left="2221" w:hanging="180"/>
      </w:pPr>
    </w:lvl>
    <w:lvl w:ilvl="3" w:tplc="080A000F">
      <w:start w:val="1"/>
      <w:numFmt w:val="decimal"/>
      <w:lvlText w:val="%4."/>
      <w:lvlJc w:val="left"/>
      <w:pPr>
        <w:ind w:left="2941" w:hanging="360"/>
      </w:pPr>
    </w:lvl>
    <w:lvl w:ilvl="4" w:tplc="080A0019">
      <w:start w:val="1"/>
      <w:numFmt w:val="lowerLetter"/>
      <w:lvlText w:val="%5."/>
      <w:lvlJc w:val="left"/>
      <w:pPr>
        <w:ind w:left="3661" w:hanging="360"/>
      </w:pPr>
    </w:lvl>
    <w:lvl w:ilvl="5" w:tplc="080A001B">
      <w:start w:val="1"/>
      <w:numFmt w:val="lowerRoman"/>
      <w:lvlText w:val="%6."/>
      <w:lvlJc w:val="right"/>
      <w:pPr>
        <w:ind w:left="4381" w:hanging="180"/>
      </w:pPr>
    </w:lvl>
    <w:lvl w:ilvl="6" w:tplc="080A000F">
      <w:start w:val="1"/>
      <w:numFmt w:val="decimal"/>
      <w:lvlText w:val="%7."/>
      <w:lvlJc w:val="left"/>
      <w:pPr>
        <w:ind w:left="5101" w:hanging="360"/>
      </w:pPr>
    </w:lvl>
    <w:lvl w:ilvl="7" w:tplc="080A0019">
      <w:start w:val="1"/>
      <w:numFmt w:val="lowerLetter"/>
      <w:lvlText w:val="%8."/>
      <w:lvlJc w:val="left"/>
      <w:pPr>
        <w:ind w:left="5821" w:hanging="360"/>
      </w:pPr>
    </w:lvl>
    <w:lvl w:ilvl="8" w:tplc="080A001B">
      <w:start w:val="1"/>
      <w:numFmt w:val="lowerRoman"/>
      <w:lvlText w:val="%9."/>
      <w:lvlJc w:val="right"/>
      <w:pPr>
        <w:ind w:left="6541" w:hanging="180"/>
      </w:pPr>
    </w:lvl>
  </w:abstractNum>
  <w:abstractNum w:abstractNumId="7">
    <w:nsid w:val="65CC0795"/>
    <w:multiLevelType w:val="hybridMultilevel"/>
    <w:tmpl w:val="B4803A1A"/>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7"/>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2"/>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2D5"/>
    <w:rsid w:val="000248FE"/>
    <w:rsid w:val="000A3B6D"/>
    <w:rsid w:val="000D3D86"/>
    <w:rsid w:val="001154DC"/>
    <w:rsid w:val="001E6B49"/>
    <w:rsid w:val="001F2B24"/>
    <w:rsid w:val="00207A9C"/>
    <w:rsid w:val="00236D0D"/>
    <w:rsid w:val="002D2CBA"/>
    <w:rsid w:val="00331911"/>
    <w:rsid w:val="00351A1A"/>
    <w:rsid w:val="0040502E"/>
    <w:rsid w:val="004932DB"/>
    <w:rsid w:val="004A42D6"/>
    <w:rsid w:val="004C0DA4"/>
    <w:rsid w:val="005A2312"/>
    <w:rsid w:val="005C1617"/>
    <w:rsid w:val="00643DF7"/>
    <w:rsid w:val="006B0C33"/>
    <w:rsid w:val="006E013B"/>
    <w:rsid w:val="00720E46"/>
    <w:rsid w:val="0073296F"/>
    <w:rsid w:val="00746C7D"/>
    <w:rsid w:val="007A3CB8"/>
    <w:rsid w:val="007C2A94"/>
    <w:rsid w:val="008364D6"/>
    <w:rsid w:val="00884AE0"/>
    <w:rsid w:val="008B6387"/>
    <w:rsid w:val="008D5CD6"/>
    <w:rsid w:val="00901939"/>
    <w:rsid w:val="0097210D"/>
    <w:rsid w:val="00972225"/>
    <w:rsid w:val="00985B50"/>
    <w:rsid w:val="009C11F7"/>
    <w:rsid w:val="009C6CA3"/>
    <w:rsid w:val="009E7FAD"/>
    <w:rsid w:val="00A64CB2"/>
    <w:rsid w:val="00A7350F"/>
    <w:rsid w:val="00A9247F"/>
    <w:rsid w:val="00AA22BC"/>
    <w:rsid w:val="00B40EE0"/>
    <w:rsid w:val="00B43220"/>
    <w:rsid w:val="00B44468"/>
    <w:rsid w:val="00B85523"/>
    <w:rsid w:val="00B94422"/>
    <w:rsid w:val="00BF6A8A"/>
    <w:rsid w:val="00C25EF7"/>
    <w:rsid w:val="00C65982"/>
    <w:rsid w:val="00C84D42"/>
    <w:rsid w:val="00CF3952"/>
    <w:rsid w:val="00D24522"/>
    <w:rsid w:val="00D525CC"/>
    <w:rsid w:val="00E04C25"/>
    <w:rsid w:val="00E15560"/>
    <w:rsid w:val="00E34E7E"/>
    <w:rsid w:val="00E379AA"/>
    <w:rsid w:val="00E812B9"/>
    <w:rsid w:val="00EC5284"/>
    <w:rsid w:val="00ED0B7F"/>
    <w:rsid w:val="00F02CF7"/>
    <w:rsid w:val="00F53D27"/>
    <w:rsid w:val="00F769E2"/>
    <w:rsid w:val="00F902D5"/>
    <w:rsid w:val="00FA79A6"/>
    <w:rsid w:val="00FD7DE8"/>
  </w:rsids>
  <m:mathPr>
    <m:mathFont m:val="Cambria Math"/>
    <m:brkBin m:val="before"/>
    <m:brkBinSub m:val="--"/>
    <m:smallFrac m:val="0"/>
    <m:dispDef/>
    <m:lMargin m:val="0"/>
    <m:rMargin m:val="0"/>
    <m:defJc m:val="centerGroup"/>
    <m:wrapIndent m:val="1440"/>
    <m:intLim m:val="subSup"/>
    <m:naryLim m:val="undOvr"/>
  </m:mathPr>
  <w:themeFontLang w:val="es-MX"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1B64A"/>
  <w15:chartTrackingRefBased/>
  <w15:docId w15:val="{51ECD801-95CD-4874-AC80-14A0E04D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4C0DA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C0DA4"/>
    <w:rPr>
      <w:sz w:val="20"/>
      <w:szCs w:val="20"/>
    </w:rPr>
  </w:style>
  <w:style w:type="character" w:styleId="Refdenotaalpie">
    <w:name w:val="footnote reference"/>
    <w:basedOn w:val="Fuentedeprrafopredeter"/>
    <w:semiHidden/>
    <w:unhideWhenUsed/>
    <w:rsid w:val="004C0DA4"/>
    <w:rPr>
      <w:vertAlign w:val="superscript"/>
    </w:rPr>
  </w:style>
  <w:style w:type="character" w:customStyle="1" w:styleId="highlight">
    <w:name w:val="highlight"/>
    <w:basedOn w:val="Fuentedeprrafopredeter"/>
    <w:rsid w:val="0097210D"/>
  </w:style>
  <w:style w:type="character" w:styleId="Hipervnculo">
    <w:name w:val="Hyperlink"/>
    <w:basedOn w:val="Fuentedeprrafopredeter"/>
    <w:uiPriority w:val="99"/>
    <w:unhideWhenUsed/>
    <w:rsid w:val="009C11F7"/>
    <w:rPr>
      <w:color w:val="0563C1" w:themeColor="hyperlink"/>
      <w:u w:val="single"/>
    </w:rPr>
  </w:style>
  <w:style w:type="paragraph" w:styleId="Prrafodelista">
    <w:name w:val="List Paragraph"/>
    <w:basedOn w:val="Normal"/>
    <w:uiPriority w:val="34"/>
    <w:qFormat/>
    <w:rsid w:val="009C11F7"/>
    <w:pPr>
      <w:spacing w:after="200" w:line="276" w:lineRule="auto"/>
      <w:ind w:left="720"/>
      <w:contextualSpacing/>
    </w:pPr>
  </w:style>
  <w:style w:type="table" w:styleId="Listaclara-nfasis2">
    <w:name w:val="Light List Accent 2"/>
    <w:basedOn w:val="Tablanormal"/>
    <w:uiPriority w:val="61"/>
    <w:semiHidden/>
    <w:unhideWhenUsed/>
    <w:rsid w:val="009C11F7"/>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styleId="Textoennegrita">
    <w:name w:val="Strong"/>
    <w:basedOn w:val="Fuentedeprrafopredeter"/>
    <w:uiPriority w:val="22"/>
    <w:qFormat/>
    <w:rsid w:val="00D525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72228">
      <w:bodyDiv w:val="1"/>
      <w:marLeft w:val="0"/>
      <w:marRight w:val="0"/>
      <w:marTop w:val="0"/>
      <w:marBottom w:val="0"/>
      <w:divBdr>
        <w:top w:val="none" w:sz="0" w:space="0" w:color="auto"/>
        <w:left w:val="none" w:sz="0" w:space="0" w:color="auto"/>
        <w:bottom w:val="none" w:sz="0" w:space="0" w:color="auto"/>
        <w:right w:val="none" w:sz="0" w:space="0" w:color="auto"/>
      </w:divBdr>
      <w:divsChild>
        <w:div w:id="745493156">
          <w:marLeft w:val="0"/>
          <w:marRight w:val="0"/>
          <w:marTop w:val="0"/>
          <w:marBottom w:val="0"/>
          <w:divBdr>
            <w:top w:val="none" w:sz="0" w:space="0" w:color="auto"/>
            <w:left w:val="none" w:sz="0" w:space="0" w:color="auto"/>
            <w:bottom w:val="none" w:sz="0" w:space="0" w:color="auto"/>
            <w:right w:val="none" w:sz="0" w:space="0" w:color="auto"/>
          </w:divBdr>
        </w:div>
        <w:div w:id="106658505">
          <w:marLeft w:val="0"/>
          <w:marRight w:val="0"/>
          <w:marTop w:val="0"/>
          <w:marBottom w:val="0"/>
          <w:divBdr>
            <w:top w:val="none" w:sz="0" w:space="0" w:color="auto"/>
            <w:left w:val="none" w:sz="0" w:space="0" w:color="auto"/>
            <w:bottom w:val="none" w:sz="0" w:space="0" w:color="auto"/>
            <w:right w:val="none" w:sz="0" w:space="0" w:color="auto"/>
          </w:divBdr>
        </w:div>
        <w:div w:id="237909387">
          <w:marLeft w:val="0"/>
          <w:marRight w:val="0"/>
          <w:marTop w:val="0"/>
          <w:marBottom w:val="0"/>
          <w:divBdr>
            <w:top w:val="none" w:sz="0" w:space="0" w:color="auto"/>
            <w:left w:val="none" w:sz="0" w:space="0" w:color="auto"/>
            <w:bottom w:val="none" w:sz="0" w:space="0" w:color="auto"/>
            <w:right w:val="none" w:sz="0" w:space="0" w:color="auto"/>
          </w:divBdr>
        </w:div>
        <w:div w:id="908272741">
          <w:marLeft w:val="0"/>
          <w:marRight w:val="0"/>
          <w:marTop w:val="0"/>
          <w:marBottom w:val="0"/>
          <w:divBdr>
            <w:top w:val="none" w:sz="0" w:space="0" w:color="auto"/>
            <w:left w:val="none" w:sz="0" w:space="0" w:color="auto"/>
            <w:bottom w:val="none" w:sz="0" w:space="0" w:color="auto"/>
            <w:right w:val="none" w:sz="0" w:space="0" w:color="auto"/>
          </w:divBdr>
        </w:div>
        <w:div w:id="1262445619">
          <w:marLeft w:val="0"/>
          <w:marRight w:val="0"/>
          <w:marTop w:val="0"/>
          <w:marBottom w:val="0"/>
          <w:divBdr>
            <w:top w:val="none" w:sz="0" w:space="0" w:color="auto"/>
            <w:left w:val="none" w:sz="0" w:space="0" w:color="auto"/>
            <w:bottom w:val="none" w:sz="0" w:space="0" w:color="auto"/>
            <w:right w:val="none" w:sz="0" w:space="0" w:color="auto"/>
          </w:divBdr>
        </w:div>
        <w:div w:id="767039283">
          <w:marLeft w:val="0"/>
          <w:marRight w:val="0"/>
          <w:marTop w:val="0"/>
          <w:marBottom w:val="0"/>
          <w:divBdr>
            <w:top w:val="none" w:sz="0" w:space="0" w:color="auto"/>
            <w:left w:val="none" w:sz="0" w:space="0" w:color="auto"/>
            <w:bottom w:val="none" w:sz="0" w:space="0" w:color="auto"/>
            <w:right w:val="none" w:sz="0" w:space="0" w:color="auto"/>
          </w:divBdr>
        </w:div>
        <w:div w:id="538322467">
          <w:marLeft w:val="0"/>
          <w:marRight w:val="0"/>
          <w:marTop w:val="0"/>
          <w:marBottom w:val="0"/>
          <w:divBdr>
            <w:top w:val="none" w:sz="0" w:space="0" w:color="auto"/>
            <w:left w:val="none" w:sz="0" w:space="0" w:color="auto"/>
            <w:bottom w:val="none" w:sz="0" w:space="0" w:color="auto"/>
            <w:right w:val="none" w:sz="0" w:space="0" w:color="auto"/>
          </w:divBdr>
        </w:div>
        <w:div w:id="625693916">
          <w:marLeft w:val="0"/>
          <w:marRight w:val="0"/>
          <w:marTop w:val="0"/>
          <w:marBottom w:val="0"/>
          <w:divBdr>
            <w:top w:val="none" w:sz="0" w:space="0" w:color="auto"/>
            <w:left w:val="none" w:sz="0" w:space="0" w:color="auto"/>
            <w:bottom w:val="none" w:sz="0" w:space="0" w:color="auto"/>
            <w:right w:val="none" w:sz="0" w:space="0" w:color="auto"/>
          </w:divBdr>
        </w:div>
      </w:divsChild>
    </w:div>
    <w:div w:id="351344654">
      <w:bodyDiv w:val="1"/>
      <w:marLeft w:val="0"/>
      <w:marRight w:val="0"/>
      <w:marTop w:val="0"/>
      <w:marBottom w:val="0"/>
      <w:divBdr>
        <w:top w:val="none" w:sz="0" w:space="0" w:color="auto"/>
        <w:left w:val="none" w:sz="0" w:space="0" w:color="auto"/>
        <w:bottom w:val="none" w:sz="0" w:space="0" w:color="auto"/>
        <w:right w:val="none" w:sz="0" w:space="0" w:color="auto"/>
      </w:divBdr>
      <w:divsChild>
        <w:div w:id="1287128816">
          <w:marLeft w:val="0"/>
          <w:marRight w:val="0"/>
          <w:marTop w:val="0"/>
          <w:marBottom w:val="0"/>
          <w:divBdr>
            <w:top w:val="none" w:sz="0" w:space="0" w:color="auto"/>
            <w:left w:val="none" w:sz="0" w:space="0" w:color="auto"/>
            <w:bottom w:val="none" w:sz="0" w:space="0" w:color="auto"/>
            <w:right w:val="none" w:sz="0" w:space="0" w:color="auto"/>
          </w:divBdr>
        </w:div>
        <w:div w:id="877661442">
          <w:marLeft w:val="0"/>
          <w:marRight w:val="0"/>
          <w:marTop w:val="0"/>
          <w:marBottom w:val="0"/>
          <w:divBdr>
            <w:top w:val="none" w:sz="0" w:space="0" w:color="auto"/>
            <w:left w:val="none" w:sz="0" w:space="0" w:color="auto"/>
            <w:bottom w:val="none" w:sz="0" w:space="0" w:color="auto"/>
            <w:right w:val="none" w:sz="0" w:space="0" w:color="auto"/>
          </w:divBdr>
        </w:div>
      </w:divsChild>
    </w:div>
    <w:div w:id="436679035">
      <w:bodyDiv w:val="1"/>
      <w:marLeft w:val="0"/>
      <w:marRight w:val="0"/>
      <w:marTop w:val="0"/>
      <w:marBottom w:val="0"/>
      <w:divBdr>
        <w:top w:val="none" w:sz="0" w:space="0" w:color="auto"/>
        <w:left w:val="none" w:sz="0" w:space="0" w:color="auto"/>
        <w:bottom w:val="none" w:sz="0" w:space="0" w:color="auto"/>
        <w:right w:val="none" w:sz="0" w:space="0" w:color="auto"/>
      </w:divBdr>
      <w:divsChild>
        <w:div w:id="1519467157">
          <w:marLeft w:val="0"/>
          <w:marRight w:val="0"/>
          <w:marTop w:val="0"/>
          <w:marBottom w:val="0"/>
          <w:divBdr>
            <w:top w:val="none" w:sz="0" w:space="0" w:color="auto"/>
            <w:left w:val="none" w:sz="0" w:space="0" w:color="auto"/>
            <w:bottom w:val="none" w:sz="0" w:space="0" w:color="auto"/>
            <w:right w:val="none" w:sz="0" w:space="0" w:color="auto"/>
          </w:divBdr>
        </w:div>
        <w:div w:id="229997348">
          <w:marLeft w:val="0"/>
          <w:marRight w:val="0"/>
          <w:marTop w:val="0"/>
          <w:marBottom w:val="0"/>
          <w:divBdr>
            <w:top w:val="none" w:sz="0" w:space="0" w:color="auto"/>
            <w:left w:val="none" w:sz="0" w:space="0" w:color="auto"/>
            <w:bottom w:val="none" w:sz="0" w:space="0" w:color="auto"/>
            <w:right w:val="none" w:sz="0" w:space="0" w:color="auto"/>
          </w:divBdr>
        </w:div>
        <w:div w:id="800880820">
          <w:marLeft w:val="0"/>
          <w:marRight w:val="0"/>
          <w:marTop w:val="0"/>
          <w:marBottom w:val="0"/>
          <w:divBdr>
            <w:top w:val="none" w:sz="0" w:space="0" w:color="auto"/>
            <w:left w:val="none" w:sz="0" w:space="0" w:color="auto"/>
            <w:bottom w:val="none" w:sz="0" w:space="0" w:color="auto"/>
            <w:right w:val="none" w:sz="0" w:space="0" w:color="auto"/>
          </w:divBdr>
        </w:div>
        <w:div w:id="1046837082">
          <w:marLeft w:val="0"/>
          <w:marRight w:val="0"/>
          <w:marTop w:val="0"/>
          <w:marBottom w:val="0"/>
          <w:divBdr>
            <w:top w:val="none" w:sz="0" w:space="0" w:color="auto"/>
            <w:left w:val="none" w:sz="0" w:space="0" w:color="auto"/>
            <w:bottom w:val="none" w:sz="0" w:space="0" w:color="auto"/>
            <w:right w:val="none" w:sz="0" w:space="0" w:color="auto"/>
          </w:divBdr>
        </w:div>
        <w:div w:id="1704474204">
          <w:marLeft w:val="0"/>
          <w:marRight w:val="0"/>
          <w:marTop w:val="0"/>
          <w:marBottom w:val="0"/>
          <w:divBdr>
            <w:top w:val="none" w:sz="0" w:space="0" w:color="auto"/>
            <w:left w:val="none" w:sz="0" w:space="0" w:color="auto"/>
            <w:bottom w:val="none" w:sz="0" w:space="0" w:color="auto"/>
            <w:right w:val="none" w:sz="0" w:space="0" w:color="auto"/>
          </w:divBdr>
        </w:div>
        <w:div w:id="2016682682">
          <w:marLeft w:val="0"/>
          <w:marRight w:val="0"/>
          <w:marTop w:val="0"/>
          <w:marBottom w:val="0"/>
          <w:divBdr>
            <w:top w:val="none" w:sz="0" w:space="0" w:color="auto"/>
            <w:left w:val="none" w:sz="0" w:space="0" w:color="auto"/>
            <w:bottom w:val="none" w:sz="0" w:space="0" w:color="auto"/>
            <w:right w:val="none" w:sz="0" w:space="0" w:color="auto"/>
          </w:divBdr>
        </w:div>
        <w:div w:id="1242443446">
          <w:marLeft w:val="0"/>
          <w:marRight w:val="0"/>
          <w:marTop w:val="0"/>
          <w:marBottom w:val="0"/>
          <w:divBdr>
            <w:top w:val="none" w:sz="0" w:space="0" w:color="auto"/>
            <w:left w:val="none" w:sz="0" w:space="0" w:color="auto"/>
            <w:bottom w:val="none" w:sz="0" w:space="0" w:color="auto"/>
            <w:right w:val="none" w:sz="0" w:space="0" w:color="auto"/>
          </w:divBdr>
        </w:div>
      </w:divsChild>
    </w:div>
    <w:div w:id="568073089">
      <w:bodyDiv w:val="1"/>
      <w:marLeft w:val="0"/>
      <w:marRight w:val="0"/>
      <w:marTop w:val="0"/>
      <w:marBottom w:val="0"/>
      <w:divBdr>
        <w:top w:val="none" w:sz="0" w:space="0" w:color="auto"/>
        <w:left w:val="none" w:sz="0" w:space="0" w:color="auto"/>
        <w:bottom w:val="none" w:sz="0" w:space="0" w:color="auto"/>
        <w:right w:val="none" w:sz="0" w:space="0" w:color="auto"/>
      </w:divBdr>
      <w:divsChild>
        <w:div w:id="892693688">
          <w:marLeft w:val="0"/>
          <w:marRight w:val="0"/>
          <w:marTop w:val="0"/>
          <w:marBottom w:val="0"/>
          <w:divBdr>
            <w:top w:val="none" w:sz="0" w:space="0" w:color="auto"/>
            <w:left w:val="none" w:sz="0" w:space="0" w:color="auto"/>
            <w:bottom w:val="none" w:sz="0" w:space="0" w:color="auto"/>
            <w:right w:val="none" w:sz="0" w:space="0" w:color="auto"/>
          </w:divBdr>
        </w:div>
        <w:div w:id="1927378557">
          <w:marLeft w:val="0"/>
          <w:marRight w:val="0"/>
          <w:marTop w:val="0"/>
          <w:marBottom w:val="0"/>
          <w:divBdr>
            <w:top w:val="none" w:sz="0" w:space="0" w:color="auto"/>
            <w:left w:val="none" w:sz="0" w:space="0" w:color="auto"/>
            <w:bottom w:val="none" w:sz="0" w:space="0" w:color="auto"/>
            <w:right w:val="none" w:sz="0" w:space="0" w:color="auto"/>
          </w:divBdr>
        </w:div>
        <w:div w:id="1267930885">
          <w:marLeft w:val="0"/>
          <w:marRight w:val="0"/>
          <w:marTop w:val="0"/>
          <w:marBottom w:val="0"/>
          <w:divBdr>
            <w:top w:val="none" w:sz="0" w:space="0" w:color="auto"/>
            <w:left w:val="none" w:sz="0" w:space="0" w:color="auto"/>
            <w:bottom w:val="none" w:sz="0" w:space="0" w:color="auto"/>
            <w:right w:val="none" w:sz="0" w:space="0" w:color="auto"/>
          </w:divBdr>
        </w:div>
        <w:div w:id="574820236">
          <w:marLeft w:val="0"/>
          <w:marRight w:val="0"/>
          <w:marTop w:val="0"/>
          <w:marBottom w:val="0"/>
          <w:divBdr>
            <w:top w:val="none" w:sz="0" w:space="0" w:color="auto"/>
            <w:left w:val="none" w:sz="0" w:space="0" w:color="auto"/>
            <w:bottom w:val="none" w:sz="0" w:space="0" w:color="auto"/>
            <w:right w:val="none" w:sz="0" w:space="0" w:color="auto"/>
          </w:divBdr>
        </w:div>
        <w:div w:id="8874539">
          <w:marLeft w:val="0"/>
          <w:marRight w:val="0"/>
          <w:marTop w:val="0"/>
          <w:marBottom w:val="0"/>
          <w:divBdr>
            <w:top w:val="none" w:sz="0" w:space="0" w:color="auto"/>
            <w:left w:val="none" w:sz="0" w:space="0" w:color="auto"/>
            <w:bottom w:val="none" w:sz="0" w:space="0" w:color="auto"/>
            <w:right w:val="none" w:sz="0" w:space="0" w:color="auto"/>
          </w:divBdr>
        </w:div>
        <w:div w:id="613366097">
          <w:marLeft w:val="0"/>
          <w:marRight w:val="0"/>
          <w:marTop w:val="0"/>
          <w:marBottom w:val="0"/>
          <w:divBdr>
            <w:top w:val="none" w:sz="0" w:space="0" w:color="auto"/>
            <w:left w:val="none" w:sz="0" w:space="0" w:color="auto"/>
            <w:bottom w:val="none" w:sz="0" w:space="0" w:color="auto"/>
            <w:right w:val="none" w:sz="0" w:space="0" w:color="auto"/>
          </w:divBdr>
        </w:div>
        <w:div w:id="2102674181">
          <w:marLeft w:val="0"/>
          <w:marRight w:val="0"/>
          <w:marTop w:val="0"/>
          <w:marBottom w:val="0"/>
          <w:divBdr>
            <w:top w:val="none" w:sz="0" w:space="0" w:color="auto"/>
            <w:left w:val="none" w:sz="0" w:space="0" w:color="auto"/>
            <w:bottom w:val="none" w:sz="0" w:space="0" w:color="auto"/>
            <w:right w:val="none" w:sz="0" w:space="0" w:color="auto"/>
          </w:divBdr>
        </w:div>
      </w:divsChild>
    </w:div>
    <w:div w:id="1636835742">
      <w:bodyDiv w:val="1"/>
      <w:marLeft w:val="0"/>
      <w:marRight w:val="0"/>
      <w:marTop w:val="0"/>
      <w:marBottom w:val="0"/>
      <w:divBdr>
        <w:top w:val="none" w:sz="0" w:space="0" w:color="auto"/>
        <w:left w:val="none" w:sz="0" w:space="0" w:color="auto"/>
        <w:bottom w:val="none" w:sz="0" w:space="0" w:color="auto"/>
        <w:right w:val="none" w:sz="0" w:space="0" w:color="auto"/>
      </w:divBdr>
      <w:divsChild>
        <w:div w:id="187648958">
          <w:marLeft w:val="0"/>
          <w:marRight w:val="0"/>
          <w:marTop w:val="0"/>
          <w:marBottom w:val="0"/>
          <w:divBdr>
            <w:top w:val="none" w:sz="0" w:space="0" w:color="auto"/>
            <w:left w:val="none" w:sz="0" w:space="0" w:color="auto"/>
            <w:bottom w:val="none" w:sz="0" w:space="0" w:color="auto"/>
            <w:right w:val="none" w:sz="0" w:space="0" w:color="auto"/>
          </w:divBdr>
        </w:div>
        <w:div w:id="1470125394">
          <w:marLeft w:val="0"/>
          <w:marRight w:val="0"/>
          <w:marTop w:val="0"/>
          <w:marBottom w:val="0"/>
          <w:divBdr>
            <w:top w:val="none" w:sz="0" w:space="0" w:color="auto"/>
            <w:left w:val="none" w:sz="0" w:space="0" w:color="auto"/>
            <w:bottom w:val="none" w:sz="0" w:space="0" w:color="auto"/>
            <w:right w:val="none" w:sz="0" w:space="0" w:color="auto"/>
          </w:divBdr>
        </w:div>
        <w:div w:id="1514110809">
          <w:marLeft w:val="0"/>
          <w:marRight w:val="0"/>
          <w:marTop w:val="0"/>
          <w:marBottom w:val="0"/>
          <w:divBdr>
            <w:top w:val="none" w:sz="0" w:space="0" w:color="auto"/>
            <w:left w:val="none" w:sz="0" w:space="0" w:color="auto"/>
            <w:bottom w:val="none" w:sz="0" w:space="0" w:color="auto"/>
            <w:right w:val="none" w:sz="0" w:space="0" w:color="auto"/>
          </w:divBdr>
        </w:div>
        <w:div w:id="467746290">
          <w:marLeft w:val="0"/>
          <w:marRight w:val="0"/>
          <w:marTop w:val="0"/>
          <w:marBottom w:val="0"/>
          <w:divBdr>
            <w:top w:val="none" w:sz="0" w:space="0" w:color="auto"/>
            <w:left w:val="none" w:sz="0" w:space="0" w:color="auto"/>
            <w:bottom w:val="none" w:sz="0" w:space="0" w:color="auto"/>
            <w:right w:val="none" w:sz="0" w:space="0" w:color="auto"/>
          </w:divBdr>
        </w:div>
        <w:div w:id="156847230">
          <w:marLeft w:val="0"/>
          <w:marRight w:val="0"/>
          <w:marTop w:val="0"/>
          <w:marBottom w:val="0"/>
          <w:divBdr>
            <w:top w:val="none" w:sz="0" w:space="0" w:color="auto"/>
            <w:left w:val="none" w:sz="0" w:space="0" w:color="auto"/>
            <w:bottom w:val="none" w:sz="0" w:space="0" w:color="auto"/>
            <w:right w:val="none" w:sz="0" w:space="0" w:color="auto"/>
          </w:divBdr>
        </w:div>
        <w:div w:id="571429816">
          <w:marLeft w:val="0"/>
          <w:marRight w:val="0"/>
          <w:marTop w:val="0"/>
          <w:marBottom w:val="0"/>
          <w:divBdr>
            <w:top w:val="none" w:sz="0" w:space="0" w:color="auto"/>
            <w:left w:val="none" w:sz="0" w:space="0" w:color="auto"/>
            <w:bottom w:val="none" w:sz="0" w:space="0" w:color="auto"/>
            <w:right w:val="none" w:sz="0" w:space="0" w:color="auto"/>
          </w:divBdr>
        </w:div>
      </w:divsChild>
    </w:div>
    <w:div w:id="206217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6" Type="http://schemas.openxmlformats.org/officeDocument/2006/relationships/footnotes" Target="footnotes.xml"/><Relationship Id="rId1"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E5C576-FF12-2645-9AA7-FEC1DCD75339}">
  <ds:schemaRefs>
    <ds:schemaRef ds:uri="http://schemas.openxmlformats.org/officeDocument/2006/bibliography"/>
  </ds:schemaRefs>
</ds:datastoreItem>
</file>

<file path=customXml/itemProps2.xml><?xml version="1.0" encoding="utf-8"?>
<ds:datastoreItem xmlns:ds="http://schemas.openxmlformats.org/officeDocument/2006/customXml" ds:itemID="{CB0DC570-C8D4-4B9B-81A2-2045AF3AEE57}"/>
</file>

<file path=customXml/itemProps3.xml><?xml version="1.0" encoding="utf-8"?>
<ds:datastoreItem xmlns:ds="http://schemas.openxmlformats.org/officeDocument/2006/customXml" ds:itemID="{16B059F2-4EB1-43B7-A8AD-EF19DEAE1264}"/>
</file>

<file path=customXml/itemProps4.xml><?xml version="1.0" encoding="utf-8"?>
<ds:datastoreItem xmlns:ds="http://schemas.openxmlformats.org/officeDocument/2006/customXml" ds:itemID="{F859C8EA-68DE-4A96-8BD0-9F182D78818C}"/>
</file>

<file path=docProps/app.xml><?xml version="1.0" encoding="utf-8"?>
<Properties xmlns="http://schemas.openxmlformats.org/officeDocument/2006/extended-properties" xmlns:vt="http://schemas.openxmlformats.org/officeDocument/2006/docPropsVTypes">
  <Template>Normal.dotm</Template>
  <TotalTime>1</TotalTime>
  <Pages>15</Pages>
  <Words>3929</Words>
  <Characters>21611</Characters>
  <Application>Microsoft Macintosh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María de los Angeles Cruz Rosel</cp:lastModifiedBy>
  <cp:revision>2</cp:revision>
  <dcterms:created xsi:type="dcterms:W3CDTF">2017-12-01T00:13:00Z</dcterms:created>
  <dcterms:modified xsi:type="dcterms:W3CDTF">2017-12-01T00:13:00Z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