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4837C3" w:rsidP="004837C3">
            <w:pPr>
              <w:suppressAutoHyphens w:val="0"/>
              <w:spacing w:after="20"/>
              <w:jc w:val="right"/>
            </w:pPr>
            <w:r w:rsidRPr="004837C3">
              <w:rPr>
                <w:sz w:val="40"/>
              </w:rPr>
              <w:t>A</w:t>
            </w:r>
            <w:r w:rsidR="002062E7">
              <w:t>/HRC/AC/23</w:t>
            </w:r>
            <w:r>
              <w:t>/2</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Default="00C80055" w:rsidP="0040017C">
            <w:pPr>
              <w:spacing w:before="120" w:line="420" w:lineRule="exact"/>
              <w:rPr>
                <w:b/>
                <w:sz w:val="40"/>
                <w:szCs w:val="40"/>
              </w:rPr>
            </w:pPr>
            <w:r>
              <w:rPr>
                <w:b/>
                <w:sz w:val="40"/>
                <w:szCs w:val="40"/>
              </w:rPr>
              <w:t>Advance Unedited Version</w:t>
            </w:r>
            <w:bookmarkStart w:id="0" w:name="_GoBack"/>
            <w:bookmarkEnd w:id="0"/>
          </w:p>
        </w:tc>
        <w:tc>
          <w:tcPr>
            <w:tcW w:w="2930" w:type="dxa"/>
            <w:tcBorders>
              <w:top w:val="single" w:sz="4" w:space="0" w:color="auto"/>
              <w:left w:val="nil"/>
              <w:bottom w:val="single" w:sz="12" w:space="0" w:color="auto"/>
              <w:right w:val="nil"/>
            </w:tcBorders>
          </w:tcPr>
          <w:p w:rsidR="00E52109" w:rsidRDefault="004837C3" w:rsidP="004837C3">
            <w:pPr>
              <w:spacing w:before="240"/>
            </w:pPr>
            <w:r>
              <w:t>Distr.: General</w:t>
            </w:r>
          </w:p>
          <w:p w:rsidR="009E3EC4" w:rsidRDefault="00EF17E9" w:rsidP="009E3EC4">
            <w:pPr>
              <w:suppressAutoHyphens w:val="0"/>
            </w:pPr>
            <w:r>
              <w:t>19 August</w:t>
            </w:r>
            <w:r w:rsidR="009E3EC4">
              <w:t xml:space="preserve"> 2019</w:t>
            </w:r>
          </w:p>
          <w:p w:rsidR="004837C3" w:rsidRDefault="004837C3" w:rsidP="004837C3">
            <w:pPr>
              <w:suppressAutoHyphens w:val="0"/>
            </w:pPr>
          </w:p>
          <w:p w:rsidR="004837C3" w:rsidRDefault="004837C3" w:rsidP="004837C3">
            <w:pPr>
              <w:suppressAutoHyphens w:val="0"/>
            </w:pPr>
            <w:r>
              <w:t>Original: English</w:t>
            </w:r>
          </w:p>
        </w:tc>
      </w:tr>
    </w:tbl>
    <w:p w:rsidR="009E3EC4" w:rsidRDefault="009E3EC4" w:rsidP="009E3EC4">
      <w:pPr>
        <w:spacing w:before="120"/>
        <w:rPr>
          <w:b/>
          <w:sz w:val="24"/>
          <w:szCs w:val="24"/>
        </w:rPr>
      </w:pPr>
      <w:r>
        <w:rPr>
          <w:b/>
          <w:sz w:val="24"/>
          <w:szCs w:val="24"/>
        </w:rPr>
        <w:t>Human Rights Council</w:t>
      </w:r>
    </w:p>
    <w:p w:rsidR="009E3EC4" w:rsidRPr="00E172F8" w:rsidRDefault="009E3EC4" w:rsidP="009E3EC4">
      <w:pPr>
        <w:rPr>
          <w:b/>
          <w:bCs/>
        </w:rPr>
      </w:pPr>
      <w:r w:rsidRPr="00E172F8">
        <w:rPr>
          <w:b/>
          <w:bCs/>
        </w:rPr>
        <w:t>Advisory Committee</w:t>
      </w:r>
    </w:p>
    <w:p w:rsidR="009E3EC4" w:rsidRPr="00E172F8" w:rsidRDefault="009E3EC4" w:rsidP="009E3EC4">
      <w:pPr>
        <w:rPr>
          <w:b/>
          <w:bCs/>
        </w:rPr>
      </w:pPr>
      <w:r w:rsidRPr="00E172F8">
        <w:rPr>
          <w:b/>
          <w:bCs/>
        </w:rPr>
        <w:t>Twenty-</w:t>
      </w:r>
      <w:r>
        <w:rPr>
          <w:b/>
          <w:bCs/>
        </w:rPr>
        <w:t>third</w:t>
      </w:r>
      <w:r w:rsidRPr="00E172F8">
        <w:rPr>
          <w:b/>
          <w:bCs/>
        </w:rPr>
        <w:t xml:space="preserve"> session</w:t>
      </w:r>
    </w:p>
    <w:p w:rsidR="009E3EC4" w:rsidRPr="00B32992" w:rsidRDefault="009E3EC4" w:rsidP="009E3EC4">
      <w:r>
        <w:t>22</w:t>
      </w:r>
      <w:r w:rsidRPr="00B32992">
        <w:t>–</w:t>
      </w:r>
      <w:r>
        <w:t>26</w:t>
      </w:r>
      <w:r w:rsidRPr="00B32992">
        <w:t xml:space="preserve"> </w:t>
      </w:r>
      <w:r>
        <w:t>July</w:t>
      </w:r>
      <w:r w:rsidRPr="00B32992">
        <w:t xml:space="preserve"> 201</w:t>
      </w:r>
      <w:r>
        <w:t>9</w:t>
      </w:r>
    </w:p>
    <w:p w:rsidR="009E3EC4" w:rsidRPr="00B32992" w:rsidRDefault="009E3EC4" w:rsidP="009E3EC4">
      <w:r>
        <w:t xml:space="preserve">Agenda item 4 </w:t>
      </w:r>
    </w:p>
    <w:p w:rsidR="009E3EC4" w:rsidRPr="00E172F8" w:rsidRDefault="009E3EC4" w:rsidP="009E3EC4">
      <w:pPr>
        <w:rPr>
          <w:b/>
          <w:bCs/>
        </w:rPr>
      </w:pPr>
      <w:r w:rsidRPr="00E172F8">
        <w:rPr>
          <w:b/>
          <w:bCs/>
        </w:rPr>
        <w:t>Report of the Advisory Committee on its twenty-</w:t>
      </w:r>
      <w:r>
        <w:rPr>
          <w:b/>
          <w:bCs/>
        </w:rPr>
        <w:t>third</w:t>
      </w:r>
      <w:r w:rsidRPr="00E172F8">
        <w:rPr>
          <w:b/>
          <w:bCs/>
        </w:rPr>
        <w:t xml:space="preserve"> session</w:t>
      </w:r>
    </w:p>
    <w:p w:rsidR="004837C3" w:rsidRPr="009E3EC4" w:rsidRDefault="004837C3" w:rsidP="009E3EC4">
      <w:pPr>
        <w:pStyle w:val="HMG"/>
        <w:rPr>
          <w:rFonts w:eastAsiaTheme="minorHAnsi"/>
          <w:lang w:eastAsia="en-US"/>
        </w:rPr>
      </w:pPr>
      <w:r w:rsidRPr="00336AA6">
        <w:tab/>
      </w:r>
      <w:r w:rsidRPr="00336AA6">
        <w:tab/>
      </w:r>
      <w:bookmarkStart w:id="1" w:name="_Toc523845304"/>
      <w:bookmarkStart w:id="2" w:name="_Toc523845373"/>
      <w:r w:rsidR="009E3EC4" w:rsidRPr="009E3EC4">
        <w:rPr>
          <w:rFonts w:eastAsiaTheme="minorHAnsi"/>
          <w:lang w:eastAsia="en-US"/>
        </w:rPr>
        <w:t>Report of the Advisory Committee on its twenty-third session</w:t>
      </w:r>
      <w:bookmarkEnd w:id="1"/>
      <w:bookmarkEnd w:id="2"/>
      <w:r w:rsidR="004B22E9" w:rsidRPr="009C3DB0">
        <w:rPr>
          <w:b w:val="0"/>
          <w:bCs/>
          <w:sz w:val="20"/>
          <w:szCs w:val="10"/>
        </w:rPr>
        <w:footnoteReference w:customMarkFollows="1" w:id="2"/>
        <w:t>*</w:t>
      </w:r>
    </w:p>
    <w:p w:rsidR="009E3EC4" w:rsidRPr="009E3EC4" w:rsidRDefault="009E3EC4" w:rsidP="00E67E15">
      <w:pPr>
        <w:pStyle w:val="SingleTxtG"/>
      </w:pPr>
      <w:r w:rsidRPr="009E3EC4">
        <w:rPr>
          <w:i/>
          <w:iCs/>
        </w:rPr>
        <w:t>Rapporteur</w:t>
      </w:r>
      <w:r w:rsidRPr="009E3EC4">
        <w:t>: Jean Ziegler</w:t>
      </w:r>
    </w:p>
    <w:p w:rsidR="009C3DB0" w:rsidRPr="00EF17E9" w:rsidRDefault="004837C3" w:rsidP="00047ABD">
      <w:pPr>
        <w:pStyle w:val="SingleTxtG"/>
        <w:ind w:left="0"/>
        <w:rPr>
          <w:sz w:val="28"/>
        </w:rPr>
      </w:pPr>
      <w:r w:rsidRPr="00EF17E9">
        <w:br w:type="page"/>
      </w:r>
      <w:r w:rsidR="009C3DB0" w:rsidRPr="00EF17E9">
        <w:rPr>
          <w:sz w:val="28"/>
        </w:rPr>
        <w:lastRenderedPageBreak/>
        <w:t>Contents</w:t>
      </w:r>
    </w:p>
    <w:p w:rsidR="009C3DB0" w:rsidRPr="00EF17E9" w:rsidRDefault="009C3DB0" w:rsidP="009C3DB0">
      <w:pPr>
        <w:tabs>
          <w:tab w:val="right" w:pos="9638"/>
        </w:tabs>
        <w:spacing w:after="120"/>
        <w:ind w:left="283"/>
        <w:rPr>
          <w:sz w:val="18"/>
        </w:rPr>
      </w:pPr>
      <w:r w:rsidRPr="00EF17E9">
        <w:rPr>
          <w:i/>
          <w:sz w:val="18"/>
        </w:rPr>
        <w:tab/>
        <w:t>Page</w:t>
      </w:r>
    </w:p>
    <w:p w:rsidR="009C3DB0" w:rsidRPr="00336AA6" w:rsidRDefault="009C3DB0" w:rsidP="009C3DB0">
      <w:pPr>
        <w:tabs>
          <w:tab w:val="right" w:pos="850"/>
          <w:tab w:val="left" w:pos="1134"/>
          <w:tab w:val="left" w:pos="1559"/>
          <w:tab w:val="left" w:pos="1984"/>
          <w:tab w:val="left" w:leader="dot" w:pos="8787"/>
          <w:tab w:val="right" w:pos="9638"/>
        </w:tabs>
        <w:spacing w:after="120"/>
      </w:pPr>
      <w:r w:rsidRPr="00EF17E9">
        <w:tab/>
      </w:r>
      <w:r w:rsidRPr="00336AA6">
        <w:t>I.</w:t>
      </w:r>
      <w:r w:rsidRPr="00336AA6">
        <w:tab/>
        <w:t xml:space="preserve">Action taken by the Advisory Committee at its </w:t>
      </w:r>
      <w:r w:rsidR="00CD26A6" w:rsidRPr="00B32992">
        <w:t>twenty-</w:t>
      </w:r>
      <w:r w:rsidR="00CD26A6">
        <w:t>third</w:t>
      </w:r>
      <w:r w:rsidR="00CD26A6" w:rsidRPr="00B32992">
        <w:t xml:space="preserve"> </w:t>
      </w:r>
      <w:r w:rsidRPr="00336AA6">
        <w:t>session</w:t>
      </w:r>
      <w:r w:rsidRPr="00336AA6">
        <w:tab/>
      </w:r>
      <w:r w:rsidRPr="00336AA6">
        <w:tab/>
      </w:r>
      <w:r w:rsidR="006F2AF9">
        <w:t>3</w:t>
      </w:r>
    </w:p>
    <w:p w:rsidR="009C3DB0" w:rsidRPr="00336AA6" w:rsidRDefault="009C3DB0" w:rsidP="009C3DB0">
      <w:pPr>
        <w:tabs>
          <w:tab w:val="right" w:pos="850"/>
          <w:tab w:val="left" w:pos="1134"/>
          <w:tab w:val="left" w:pos="1559"/>
          <w:tab w:val="left" w:pos="1984"/>
          <w:tab w:val="left" w:leader="dot" w:pos="8787"/>
          <w:tab w:val="right" w:pos="9638"/>
        </w:tabs>
        <w:spacing w:after="120"/>
      </w:pPr>
      <w:r w:rsidRPr="00336AA6">
        <w:tab/>
        <w:t>II.</w:t>
      </w:r>
      <w:r w:rsidRPr="00336AA6">
        <w:tab/>
        <w:t>Adoption of the agenda and organization of work</w:t>
      </w:r>
      <w:r w:rsidRPr="00336AA6">
        <w:tab/>
      </w:r>
      <w:r w:rsidRPr="00336AA6">
        <w:tab/>
        <w:t>8</w:t>
      </w:r>
    </w:p>
    <w:p w:rsidR="009C3DB0" w:rsidRPr="00336AA6" w:rsidRDefault="009C3DB0" w:rsidP="009C3DB0">
      <w:pPr>
        <w:tabs>
          <w:tab w:val="right" w:pos="850"/>
          <w:tab w:val="left" w:pos="1134"/>
          <w:tab w:val="left" w:pos="1559"/>
          <w:tab w:val="left" w:pos="1984"/>
          <w:tab w:val="left" w:leader="dot" w:pos="8787"/>
          <w:tab w:val="right" w:pos="9638"/>
        </w:tabs>
        <w:spacing w:after="120"/>
      </w:pPr>
      <w:r w:rsidRPr="00336AA6">
        <w:tab/>
      </w:r>
      <w:r w:rsidRPr="00336AA6">
        <w:tab/>
        <w:t>A.</w:t>
      </w:r>
      <w:r w:rsidRPr="00336AA6">
        <w:tab/>
        <w:t>Opening and duration of the session</w:t>
      </w:r>
      <w:r w:rsidRPr="00336AA6">
        <w:tab/>
      </w:r>
      <w:r w:rsidRPr="00336AA6">
        <w:tab/>
        <w:t>8</w:t>
      </w:r>
    </w:p>
    <w:p w:rsidR="009C3DB0" w:rsidRPr="00336AA6" w:rsidRDefault="009C3DB0" w:rsidP="009C3DB0">
      <w:pPr>
        <w:tabs>
          <w:tab w:val="right" w:pos="850"/>
          <w:tab w:val="left" w:pos="1134"/>
          <w:tab w:val="left" w:pos="1559"/>
          <w:tab w:val="left" w:pos="1984"/>
          <w:tab w:val="left" w:leader="dot" w:pos="8787"/>
          <w:tab w:val="right" w:pos="9638"/>
        </w:tabs>
        <w:spacing w:after="120"/>
      </w:pPr>
      <w:r w:rsidRPr="00336AA6">
        <w:tab/>
      </w:r>
      <w:r w:rsidRPr="00336AA6">
        <w:tab/>
        <w:t>B.</w:t>
      </w:r>
      <w:r w:rsidRPr="00336AA6">
        <w:tab/>
        <w:t>Composition of the Advisory Committee</w:t>
      </w:r>
      <w:r w:rsidRPr="00336AA6">
        <w:tab/>
      </w:r>
      <w:r w:rsidRPr="00336AA6">
        <w:tab/>
      </w:r>
      <w:r w:rsidR="000E23FE">
        <w:t>9</w:t>
      </w:r>
    </w:p>
    <w:p w:rsidR="009C3DB0" w:rsidRPr="00336AA6" w:rsidRDefault="009C3DB0" w:rsidP="009C3DB0">
      <w:pPr>
        <w:tabs>
          <w:tab w:val="right" w:pos="850"/>
          <w:tab w:val="left" w:pos="1134"/>
          <w:tab w:val="left" w:pos="1559"/>
          <w:tab w:val="left" w:pos="1984"/>
          <w:tab w:val="left" w:leader="dot" w:pos="8787"/>
          <w:tab w:val="right" w:pos="9638"/>
        </w:tabs>
        <w:spacing w:after="120"/>
      </w:pPr>
      <w:r w:rsidRPr="00336AA6">
        <w:tab/>
      </w:r>
      <w:r w:rsidRPr="00336AA6">
        <w:tab/>
        <w:t>C.</w:t>
      </w:r>
      <w:r w:rsidRPr="00336AA6">
        <w:tab/>
        <w:t>Attendance</w:t>
      </w:r>
      <w:r w:rsidRPr="00336AA6">
        <w:tab/>
      </w:r>
      <w:r w:rsidRPr="00336AA6">
        <w:tab/>
        <w:t>9</w:t>
      </w:r>
    </w:p>
    <w:p w:rsidR="009C3DB0" w:rsidRPr="00336AA6" w:rsidRDefault="009C3DB0" w:rsidP="009C3DB0">
      <w:pPr>
        <w:tabs>
          <w:tab w:val="right" w:pos="850"/>
          <w:tab w:val="left" w:pos="1134"/>
          <w:tab w:val="left" w:pos="1559"/>
          <w:tab w:val="left" w:pos="1984"/>
          <w:tab w:val="left" w:leader="dot" w:pos="8787"/>
          <w:tab w:val="right" w:pos="9638"/>
        </w:tabs>
        <w:spacing w:after="120"/>
      </w:pPr>
      <w:r w:rsidRPr="00336AA6">
        <w:tab/>
      </w:r>
      <w:r w:rsidRPr="00336AA6">
        <w:tab/>
        <w:t>D.</w:t>
      </w:r>
      <w:r w:rsidRPr="00336AA6">
        <w:tab/>
        <w:t>Meetings</w:t>
      </w:r>
      <w:r w:rsidRPr="00336AA6">
        <w:tab/>
      </w:r>
      <w:r w:rsidRPr="00336AA6">
        <w:tab/>
        <w:t>9</w:t>
      </w:r>
    </w:p>
    <w:p w:rsidR="009C3DB0" w:rsidRPr="00336AA6" w:rsidRDefault="009C3DB0" w:rsidP="009C3DB0">
      <w:pPr>
        <w:tabs>
          <w:tab w:val="right" w:pos="850"/>
          <w:tab w:val="left" w:pos="1134"/>
          <w:tab w:val="left" w:pos="1559"/>
          <w:tab w:val="left" w:pos="1984"/>
          <w:tab w:val="left" w:leader="dot" w:pos="8787"/>
          <w:tab w:val="right" w:pos="9638"/>
        </w:tabs>
        <w:spacing w:after="120"/>
      </w:pPr>
      <w:r w:rsidRPr="00336AA6">
        <w:tab/>
      </w:r>
      <w:r w:rsidRPr="00336AA6">
        <w:tab/>
      </w:r>
      <w:r w:rsidR="001338C9">
        <w:t>E</w:t>
      </w:r>
      <w:r w:rsidRPr="00336AA6">
        <w:t>.</w:t>
      </w:r>
      <w:r w:rsidR="002B6396">
        <w:tab/>
      </w:r>
      <w:r w:rsidRPr="00336AA6">
        <w:t>Adoption of the agenda</w:t>
      </w:r>
      <w:r w:rsidRPr="00336AA6">
        <w:tab/>
      </w:r>
      <w:r w:rsidRPr="00336AA6">
        <w:tab/>
        <w:t>9</w:t>
      </w:r>
    </w:p>
    <w:p w:rsidR="009C3DB0" w:rsidRPr="00336AA6" w:rsidRDefault="009C3DB0" w:rsidP="009C3DB0">
      <w:pPr>
        <w:tabs>
          <w:tab w:val="right" w:pos="850"/>
          <w:tab w:val="left" w:pos="1134"/>
          <w:tab w:val="left" w:pos="1559"/>
          <w:tab w:val="left" w:pos="1984"/>
          <w:tab w:val="left" w:leader="dot" w:pos="8787"/>
          <w:tab w:val="right" w:pos="9638"/>
        </w:tabs>
        <w:spacing w:after="120"/>
      </w:pPr>
      <w:r w:rsidRPr="00336AA6">
        <w:tab/>
      </w:r>
      <w:r w:rsidRPr="00336AA6">
        <w:tab/>
      </w:r>
      <w:r w:rsidR="001338C9">
        <w:t>F</w:t>
      </w:r>
      <w:r w:rsidRPr="00336AA6">
        <w:t>.</w:t>
      </w:r>
      <w:r w:rsidRPr="00336AA6">
        <w:tab/>
        <w:t>Organization of work</w:t>
      </w:r>
      <w:r w:rsidRPr="00336AA6">
        <w:tab/>
      </w:r>
      <w:r w:rsidRPr="00336AA6">
        <w:tab/>
        <w:t>9</w:t>
      </w:r>
    </w:p>
    <w:p w:rsidR="009C3DB0" w:rsidRPr="00336AA6" w:rsidRDefault="009C3DB0" w:rsidP="009C3DB0">
      <w:pPr>
        <w:tabs>
          <w:tab w:val="right" w:pos="850"/>
          <w:tab w:val="left" w:pos="1134"/>
          <w:tab w:val="left" w:pos="1559"/>
          <w:tab w:val="left" w:pos="1984"/>
          <w:tab w:val="left" w:leader="dot" w:pos="8787"/>
          <w:tab w:val="right" w:pos="9638"/>
        </w:tabs>
        <w:spacing w:after="120"/>
      </w:pPr>
      <w:r w:rsidRPr="00336AA6">
        <w:tab/>
        <w:t>III.</w:t>
      </w:r>
      <w:r w:rsidRPr="00336AA6">
        <w:tab/>
        <w:t xml:space="preserve">Requests addressed to the Advisory Committee stemming from Human Rights Council </w:t>
      </w:r>
      <w:r w:rsidRPr="00336AA6">
        <w:br/>
      </w:r>
      <w:r w:rsidRPr="00336AA6">
        <w:tab/>
      </w:r>
      <w:r w:rsidRPr="00336AA6">
        <w:tab/>
        <w:t>resolutions and currently under consideration</w:t>
      </w:r>
      <w:r w:rsidRPr="00336AA6">
        <w:tab/>
      </w:r>
      <w:r w:rsidRPr="00336AA6">
        <w:tab/>
      </w:r>
      <w:r w:rsidR="00CD26A6">
        <w:t>10</w:t>
      </w:r>
    </w:p>
    <w:p w:rsidR="009C3DB0" w:rsidRPr="00336AA6" w:rsidRDefault="009C3DB0" w:rsidP="009C3DB0">
      <w:pPr>
        <w:tabs>
          <w:tab w:val="right" w:pos="850"/>
          <w:tab w:val="left" w:pos="1134"/>
          <w:tab w:val="left" w:pos="1559"/>
          <w:tab w:val="left" w:pos="1984"/>
          <w:tab w:val="left" w:leader="dot" w:pos="8787"/>
          <w:tab w:val="right" w:pos="9638"/>
        </w:tabs>
        <w:spacing w:after="120"/>
      </w:pPr>
      <w:r w:rsidRPr="00336AA6">
        <w:tab/>
        <w:t>IV.</w:t>
      </w:r>
      <w:r w:rsidRPr="00336AA6">
        <w:tab/>
        <w:t xml:space="preserve">Implementation of sections III and IV of the annex to Human Rights Council resolution 5/1 </w:t>
      </w:r>
      <w:r w:rsidRPr="00336AA6">
        <w:br/>
      </w:r>
      <w:r w:rsidRPr="00336AA6">
        <w:tab/>
      </w:r>
      <w:r w:rsidRPr="00336AA6">
        <w:tab/>
        <w:t xml:space="preserve">of 18 June 2007, and of section III of the annex to Human Rights Council resolution 16/21 </w:t>
      </w:r>
      <w:r w:rsidRPr="00336AA6">
        <w:br/>
      </w:r>
      <w:r w:rsidRPr="00336AA6">
        <w:tab/>
      </w:r>
      <w:r w:rsidRPr="00336AA6">
        <w:tab/>
        <w:t>of 25 March 2011</w:t>
      </w:r>
      <w:r w:rsidRPr="00336AA6">
        <w:tab/>
      </w:r>
      <w:r w:rsidRPr="00336AA6">
        <w:tab/>
        <w:t>11</w:t>
      </w:r>
    </w:p>
    <w:p w:rsidR="009C3DB0" w:rsidRPr="00336AA6" w:rsidRDefault="009C3DB0" w:rsidP="009C3DB0">
      <w:pPr>
        <w:tabs>
          <w:tab w:val="right" w:pos="850"/>
          <w:tab w:val="left" w:pos="1134"/>
          <w:tab w:val="left" w:pos="1559"/>
          <w:tab w:val="left" w:pos="1984"/>
          <w:tab w:val="left" w:leader="dot" w:pos="8787"/>
          <w:tab w:val="right" w:pos="9638"/>
        </w:tabs>
        <w:spacing w:after="120"/>
      </w:pPr>
      <w:r w:rsidRPr="00336AA6">
        <w:tab/>
      </w:r>
      <w:r w:rsidRPr="00336AA6">
        <w:tab/>
        <w:t>A.</w:t>
      </w:r>
      <w:r w:rsidRPr="00336AA6">
        <w:tab/>
        <w:t>Review of methods of work</w:t>
      </w:r>
      <w:r w:rsidRPr="00336AA6">
        <w:tab/>
      </w:r>
      <w:r w:rsidRPr="00336AA6">
        <w:tab/>
        <w:t>11</w:t>
      </w:r>
    </w:p>
    <w:p w:rsidR="009C3DB0" w:rsidRDefault="009C3DB0" w:rsidP="009C3DB0">
      <w:pPr>
        <w:tabs>
          <w:tab w:val="right" w:pos="850"/>
          <w:tab w:val="left" w:pos="1134"/>
          <w:tab w:val="left" w:pos="1559"/>
          <w:tab w:val="left" w:pos="1984"/>
          <w:tab w:val="left" w:leader="dot" w:pos="8787"/>
          <w:tab w:val="right" w:pos="9638"/>
        </w:tabs>
        <w:spacing w:after="120"/>
      </w:pPr>
      <w:r w:rsidRPr="00336AA6">
        <w:tab/>
      </w:r>
      <w:r w:rsidRPr="00336AA6">
        <w:tab/>
        <w:t>B.</w:t>
      </w:r>
      <w:r w:rsidRPr="00336AA6">
        <w:tab/>
        <w:t>Agenda and annual programme of work</w:t>
      </w:r>
      <w:r w:rsidRPr="00336AA6">
        <w:tab/>
      </w:r>
      <w:r w:rsidRPr="00336AA6">
        <w:tab/>
        <w:t>11</w:t>
      </w:r>
    </w:p>
    <w:p w:rsidR="00CD26A6" w:rsidRPr="00336AA6" w:rsidRDefault="00CD26A6" w:rsidP="009C3DB0">
      <w:pPr>
        <w:tabs>
          <w:tab w:val="right" w:pos="850"/>
          <w:tab w:val="left" w:pos="1134"/>
          <w:tab w:val="left" w:pos="1559"/>
          <w:tab w:val="left" w:pos="1984"/>
          <w:tab w:val="left" w:leader="dot" w:pos="8787"/>
          <w:tab w:val="right" w:pos="9638"/>
        </w:tabs>
        <w:spacing w:after="120"/>
      </w:pPr>
      <w:r>
        <w:tab/>
      </w:r>
      <w:r>
        <w:tab/>
      </w:r>
      <w:r w:rsidRPr="00B32992">
        <w:t>C.</w:t>
      </w:r>
      <w:r w:rsidRPr="00B32992">
        <w:tab/>
        <w:t xml:space="preserve">Appointment of members of the Working Group on Communications </w:t>
      </w:r>
      <w:r w:rsidRPr="00B32992">
        <w:tab/>
      </w:r>
      <w:r w:rsidRPr="00B32992">
        <w:tab/>
      </w:r>
      <w:r>
        <w:t>12</w:t>
      </w:r>
    </w:p>
    <w:p w:rsidR="009C3DB0" w:rsidRPr="00336AA6" w:rsidRDefault="009C3DB0" w:rsidP="009C3DB0">
      <w:pPr>
        <w:tabs>
          <w:tab w:val="right" w:pos="850"/>
          <w:tab w:val="left" w:pos="1134"/>
          <w:tab w:val="left" w:pos="1559"/>
          <w:tab w:val="left" w:pos="1984"/>
          <w:tab w:val="left" w:leader="dot" w:pos="8787"/>
          <w:tab w:val="right" w:pos="9638"/>
        </w:tabs>
        <w:spacing w:after="120"/>
      </w:pPr>
      <w:r w:rsidRPr="00336AA6">
        <w:tab/>
        <w:t>V.</w:t>
      </w:r>
      <w:r w:rsidRPr="00336AA6">
        <w:tab/>
        <w:t>Report of the Advisory Committee on its twenty-</w:t>
      </w:r>
      <w:r w:rsidR="00CD26A6" w:rsidRPr="00CD26A6">
        <w:t xml:space="preserve"> </w:t>
      </w:r>
      <w:r w:rsidR="00CD26A6">
        <w:t>third</w:t>
      </w:r>
      <w:r w:rsidRPr="00336AA6">
        <w:t xml:space="preserve"> session</w:t>
      </w:r>
      <w:r w:rsidRPr="00336AA6">
        <w:tab/>
      </w:r>
      <w:r w:rsidRPr="00336AA6">
        <w:tab/>
      </w:r>
      <w:r w:rsidR="00A27DF6">
        <w:t>1</w:t>
      </w:r>
      <w:r w:rsidR="00CD26A6">
        <w:t>2</w:t>
      </w:r>
    </w:p>
    <w:p w:rsidR="009C3DB0" w:rsidRPr="00336AA6" w:rsidRDefault="009C3DB0" w:rsidP="009C3DB0">
      <w:pPr>
        <w:tabs>
          <w:tab w:val="right" w:pos="850"/>
          <w:tab w:val="left" w:pos="1134"/>
          <w:tab w:val="left" w:pos="1559"/>
          <w:tab w:val="left" w:pos="1984"/>
          <w:tab w:val="left" w:leader="dot" w:pos="8787"/>
          <w:tab w:val="right" w:pos="9638"/>
        </w:tabs>
        <w:spacing w:after="120"/>
      </w:pPr>
      <w:r w:rsidRPr="00336AA6">
        <w:tab/>
        <w:t>Annexes</w:t>
      </w:r>
    </w:p>
    <w:p w:rsidR="00CD26A6" w:rsidRPr="00B32992" w:rsidRDefault="009C3DB0" w:rsidP="00CD26A6">
      <w:pPr>
        <w:tabs>
          <w:tab w:val="right" w:pos="850"/>
          <w:tab w:val="left" w:pos="1134"/>
          <w:tab w:val="left" w:pos="1559"/>
          <w:tab w:val="left" w:pos="1984"/>
          <w:tab w:val="left" w:leader="dot" w:pos="8787"/>
          <w:tab w:val="right" w:pos="9638"/>
        </w:tabs>
        <w:spacing w:after="120"/>
      </w:pPr>
      <w:r w:rsidRPr="00336AA6">
        <w:tab/>
      </w:r>
      <w:r w:rsidR="00CD26A6">
        <w:t>I.</w:t>
      </w:r>
      <w:r w:rsidR="00CD26A6">
        <w:tab/>
        <w:t xml:space="preserve">Agenda </w:t>
      </w:r>
      <w:r w:rsidR="00CD26A6" w:rsidRPr="00B32992">
        <w:tab/>
      </w:r>
      <w:r w:rsidR="00CD26A6" w:rsidRPr="00B32992">
        <w:tab/>
      </w:r>
      <w:r w:rsidR="00CD26A6">
        <w:tab/>
        <w:t>13</w:t>
      </w:r>
    </w:p>
    <w:p w:rsidR="009C3DB0" w:rsidRPr="00336AA6" w:rsidRDefault="00CD26A6" w:rsidP="009C3DB0">
      <w:pPr>
        <w:tabs>
          <w:tab w:val="right" w:pos="850"/>
          <w:tab w:val="left" w:pos="1134"/>
          <w:tab w:val="left" w:pos="1559"/>
          <w:tab w:val="left" w:pos="1984"/>
          <w:tab w:val="left" w:leader="dot" w:pos="8787"/>
          <w:tab w:val="right" w:pos="9638"/>
        </w:tabs>
        <w:spacing w:after="120"/>
      </w:pPr>
      <w:r>
        <w:tab/>
        <w:t>I</w:t>
      </w:r>
      <w:r w:rsidR="009C3DB0" w:rsidRPr="00336AA6">
        <w:t>I.</w:t>
      </w:r>
      <w:r w:rsidR="009C3DB0" w:rsidRPr="00336AA6">
        <w:tab/>
        <w:t>Documents issued for the twenty-</w:t>
      </w:r>
      <w:r w:rsidRPr="00CD26A6">
        <w:t xml:space="preserve"> </w:t>
      </w:r>
      <w:r>
        <w:t>third</w:t>
      </w:r>
      <w:r w:rsidR="009C3DB0" w:rsidRPr="00336AA6">
        <w:t xml:space="preserve"> sessi</w:t>
      </w:r>
      <w:r>
        <w:t>on of the Advisory Committee</w:t>
      </w:r>
      <w:r>
        <w:tab/>
      </w:r>
      <w:r>
        <w:tab/>
        <w:t>14</w:t>
      </w:r>
    </w:p>
    <w:p w:rsidR="009C3DB0" w:rsidRPr="00336AA6" w:rsidRDefault="009C3DB0" w:rsidP="009C3DB0">
      <w:pPr>
        <w:tabs>
          <w:tab w:val="right" w:pos="850"/>
          <w:tab w:val="left" w:pos="1134"/>
          <w:tab w:val="left" w:pos="1559"/>
          <w:tab w:val="left" w:pos="1984"/>
          <w:tab w:val="left" w:leader="dot" w:pos="8787"/>
          <w:tab w:val="right" w:pos="9638"/>
        </w:tabs>
        <w:spacing w:after="120"/>
      </w:pPr>
      <w:r w:rsidRPr="00336AA6">
        <w:tab/>
      </w:r>
      <w:r w:rsidR="00CD26A6">
        <w:t>III.</w:t>
      </w:r>
      <w:r w:rsidR="00CD26A6">
        <w:tab/>
        <w:t>List of speakers</w:t>
      </w:r>
      <w:r w:rsidR="00CD26A6">
        <w:tab/>
      </w:r>
      <w:r w:rsidR="00CD26A6">
        <w:tab/>
        <w:t>15</w:t>
      </w:r>
    </w:p>
    <w:p w:rsidR="00047ABD" w:rsidRPr="00336AA6" w:rsidRDefault="004837C3" w:rsidP="00047ABD">
      <w:pPr>
        <w:pStyle w:val="HChG"/>
      </w:pPr>
      <w:r>
        <w:br w:type="page"/>
      </w:r>
      <w:r w:rsidR="00047ABD" w:rsidRPr="00336AA6">
        <w:lastRenderedPageBreak/>
        <w:tab/>
      </w:r>
      <w:bookmarkStart w:id="3" w:name="_Toc523845305"/>
      <w:bookmarkStart w:id="4" w:name="_Toc523845374"/>
      <w:bookmarkStart w:id="5" w:name="_Toc524094531"/>
      <w:bookmarkStart w:id="6" w:name="_Toc4598587"/>
      <w:r w:rsidR="00047ABD" w:rsidRPr="00336AA6">
        <w:t>I.</w:t>
      </w:r>
      <w:r w:rsidR="00047ABD" w:rsidRPr="00336AA6">
        <w:tab/>
      </w:r>
      <w:bookmarkEnd w:id="3"/>
      <w:bookmarkEnd w:id="4"/>
      <w:bookmarkEnd w:id="5"/>
      <w:bookmarkEnd w:id="6"/>
      <w:r w:rsidR="004C1E48" w:rsidRPr="004C1E48">
        <w:t>Action taken by the Advisory Committee at its twenty-third session</w:t>
      </w:r>
    </w:p>
    <w:p w:rsidR="00047ABD" w:rsidRPr="00336AA6" w:rsidRDefault="00047ABD" w:rsidP="00047ABD">
      <w:pPr>
        <w:pStyle w:val="H1G"/>
      </w:pPr>
      <w:r w:rsidRPr="00336AA6">
        <w:tab/>
      </w:r>
      <w:bookmarkStart w:id="7" w:name="_Toc523845306"/>
      <w:bookmarkStart w:id="8" w:name="_Toc523845375"/>
      <w:bookmarkStart w:id="9" w:name="_Toc524094532"/>
      <w:bookmarkStart w:id="10" w:name="_Toc4598588"/>
      <w:r w:rsidR="004C1E48">
        <w:t>23</w:t>
      </w:r>
      <w:r w:rsidRPr="00336AA6">
        <w:t>/1.</w:t>
      </w:r>
      <w:r w:rsidRPr="00336AA6">
        <w:tab/>
      </w:r>
      <w:bookmarkEnd w:id="7"/>
      <w:bookmarkEnd w:id="8"/>
      <w:bookmarkEnd w:id="9"/>
      <w:bookmarkEnd w:id="10"/>
      <w:r w:rsidR="004C1E48" w:rsidRPr="004C1E48">
        <w:t>National policies and human rights</w:t>
      </w:r>
    </w:p>
    <w:p w:rsidR="00047ABD" w:rsidRPr="006207F2" w:rsidRDefault="00047ABD" w:rsidP="006207F2">
      <w:pPr>
        <w:pStyle w:val="SingleTxtG"/>
        <w:rPr>
          <w:i/>
        </w:rPr>
      </w:pPr>
      <w:r w:rsidRPr="009E56DA">
        <w:tab/>
      </w:r>
      <w:r w:rsidRPr="006207F2">
        <w:rPr>
          <w:i/>
        </w:rPr>
        <w:t>The Human Rights Council Advisory Committee,</w:t>
      </w:r>
    </w:p>
    <w:p w:rsidR="00047ABD" w:rsidRPr="001C4DA3" w:rsidRDefault="009E56DA" w:rsidP="006207F2">
      <w:pPr>
        <w:pStyle w:val="SingleTxtG"/>
      </w:pPr>
      <w:r w:rsidRPr="001C4DA3">
        <w:tab/>
      </w:r>
      <w:r w:rsidR="00E817A0" w:rsidRPr="006207F2">
        <w:rPr>
          <w:i/>
        </w:rPr>
        <w:t>Recalling</w:t>
      </w:r>
      <w:r w:rsidR="00E817A0" w:rsidRPr="001C4DA3">
        <w:t xml:space="preserve"> Human Rights Council resolution 35/32 of 23 June 2017, in which the Council requested the Advisory Committee to prepare a study that could help States to implement the 2030 Agenda for Sustainable Development by integrating human rights into national policies on the basis of a compilation prepared by the United Nations High Commissioner for Human Rights, and to present it within its regular reporting cycle to the Council at its forty-fifth session, on the occasion of the fifth anniversary of the adoption of the 2030 Agenda</w:t>
      </w:r>
      <w:r w:rsidR="00A42308">
        <w:t>,</w:t>
      </w:r>
    </w:p>
    <w:p w:rsidR="00047ABD" w:rsidRPr="001C4DA3" w:rsidRDefault="009E56DA" w:rsidP="006207F2">
      <w:pPr>
        <w:pStyle w:val="SingleTxtG"/>
      </w:pPr>
      <w:r w:rsidRPr="001C4DA3">
        <w:tab/>
      </w:r>
      <w:r w:rsidR="00E817A0" w:rsidRPr="006207F2">
        <w:rPr>
          <w:i/>
        </w:rPr>
        <w:t>Recalling also</w:t>
      </w:r>
      <w:r w:rsidR="00E817A0" w:rsidRPr="001C4DA3">
        <w:t xml:space="preserve"> that, at its nineteenth session, the Advisory Committee established a drafting group, currently composed of Ion Diaconu (Rapporteur), Ludovic Hennebel, Ajai Malhotra, Kaoru Obata, Mona Omar, Elizabeth Salmón, Dheerujlall Seetulsingh, Changrok Soh (Chair) and Cheikh Tidiane Thiam,</w:t>
      </w:r>
    </w:p>
    <w:p w:rsidR="00E817A0" w:rsidRPr="001C4DA3" w:rsidRDefault="00E817A0" w:rsidP="006207F2">
      <w:pPr>
        <w:pStyle w:val="SingleTxtG"/>
      </w:pPr>
      <w:r w:rsidRPr="001C4DA3">
        <w:tab/>
        <w:t>1.</w:t>
      </w:r>
      <w:r w:rsidRPr="001C4DA3">
        <w:tab/>
      </w:r>
      <w:r w:rsidRPr="006207F2">
        <w:rPr>
          <w:i/>
        </w:rPr>
        <w:t>Welcomes and takes note</w:t>
      </w:r>
      <w:r w:rsidRPr="001C4DA3">
        <w:t xml:space="preserve"> of the preliminary outline of the report elaborated by the drafting group;</w:t>
      </w:r>
      <w:r w:rsidRPr="001C4DA3">
        <w:rPr>
          <w:sz w:val="18"/>
          <w:vertAlign w:val="superscript"/>
        </w:rPr>
        <w:footnoteReference w:id="3"/>
      </w:r>
    </w:p>
    <w:p w:rsidR="001C4DA3" w:rsidRPr="001C4DA3" w:rsidRDefault="00047ABD" w:rsidP="006207F2">
      <w:pPr>
        <w:pStyle w:val="SingleTxtG"/>
      </w:pPr>
      <w:r w:rsidRPr="001C4DA3">
        <w:tab/>
      </w:r>
      <w:r w:rsidR="001C4DA3" w:rsidRPr="001C4DA3">
        <w:t>2.</w:t>
      </w:r>
      <w:r w:rsidR="001C4DA3" w:rsidRPr="001C4DA3">
        <w:tab/>
      </w:r>
      <w:r w:rsidR="001C4DA3" w:rsidRPr="006207F2">
        <w:rPr>
          <w:i/>
        </w:rPr>
        <w:t>Takes note</w:t>
      </w:r>
      <w:r w:rsidR="001C4DA3" w:rsidRPr="001C4DA3">
        <w:t xml:space="preserve"> of the compilation of good practices, challenges, lessons learned and recommendations in mainstreaming human rights, prepared by the Office of the High Commissioner for Human Rights and submitted to the Human Rights Council at its forty-first session;</w:t>
      </w:r>
      <w:r w:rsidR="001C4DA3" w:rsidRPr="001C4DA3">
        <w:rPr>
          <w:sz w:val="18"/>
          <w:vertAlign w:val="superscript"/>
        </w:rPr>
        <w:footnoteReference w:id="4"/>
      </w:r>
    </w:p>
    <w:p w:rsidR="00031E25" w:rsidRPr="00031E25" w:rsidRDefault="00031E25" w:rsidP="006207F2">
      <w:pPr>
        <w:pStyle w:val="SingleTxtG"/>
        <w:ind w:firstLine="567"/>
      </w:pPr>
      <w:r w:rsidRPr="00031E25">
        <w:t>3.</w:t>
      </w:r>
      <w:r w:rsidRPr="00031E25">
        <w:tab/>
      </w:r>
      <w:r w:rsidRPr="006207F2">
        <w:rPr>
          <w:i/>
        </w:rPr>
        <w:t>Decides</w:t>
      </w:r>
      <w:r w:rsidRPr="00031E25">
        <w:t xml:space="preserve"> to continue the exchange of views on this subject with external experts and members of the Office of the United Nations High Commissioner for Human Rights, in order to finalize the study in accordance with Human Rights Council resolution 35/32;</w:t>
      </w:r>
    </w:p>
    <w:p w:rsidR="00031E25" w:rsidRPr="00031E25" w:rsidRDefault="00031E25" w:rsidP="006207F2">
      <w:pPr>
        <w:pStyle w:val="SingleTxtG"/>
      </w:pPr>
      <w:r w:rsidRPr="00031E25">
        <w:tab/>
        <w:t>4.</w:t>
      </w:r>
      <w:r w:rsidRPr="00031E25">
        <w:tab/>
      </w:r>
      <w:r w:rsidRPr="006207F2">
        <w:rPr>
          <w:i/>
        </w:rPr>
        <w:t>Notes</w:t>
      </w:r>
      <w:r w:rsidRPr="00031E25">
        <w:t xml:space="preserve"> that the drafting group and the Advisory Committee held meetings to discuss the topic;</w:t>
      </w:r>
    </w:p>
    <w:p w:rsidR="00031E25" w:rsidRPr="00031E25" w:rsidRDefault="00031E25" w:rsidP="006207F2">
      <w:pPr>
        <w:pStyle w:val="SingleTxtG"/>
        <w:ind w:firstLine="567"/>
      </w:pPr>
      <w:r w:rsidRPr="00031E25">
        <w:t>5.</w:t>
      </w:r>
      <w:r w:rsidRPr="00031E25">
        <w:tab/>
      </w:r>
      <w:r w:rsidRPr="006207F2">
        <w:rPr>
          <w:i/>
        </w:rPr>
        <w:t>Invites</w:t>
      </w:r>
      <w:r w:rsidRPr="00031E25">
        <w:t xml:space="preserve"> the members of the drafting group to continue intersessional discussions and their participation in and contribution to regional consultations on the implementation of the 2030 Agenda for Sustainable Development;</w:t>
      </w:r>
    </w:p>
    <w:p w:rsidR="00031E25" w:rsidRPr="00031E25" w:rsidRDefault="00031E25" w:rsidP="006207F2">
      <w:pPr>
        <w:pStyle w:val="SingleTxtG"/>
      </w:pPr>
      <w:r w:rsidRPr="00031E25">
        <w:tab/>
        <w:t>6.</w:t>
      </w:r>
      <w:r w:rsidRPr="00031E25">
        <w:tab/>
      </w:r>
      <w:r w:rsidRPr="006207F2">
        <w:rPr>
          <w:i/>
        </w:rPr>
        <w:t>Requests</w:t>
      </w:r>
      <w:r w:rsidRPr="00031E25">
        <w:t xml:space="preserve"> the Office of the High Commissioner to inform the Advisory Committee about all documents prepared by United Nations bodies and other international organizations on the different issues concerning the implementation of the 2030 Agenda when they become available;</w:t>
      </w:r>
    </w:p>
    <w:p w:rsidR="00031E25" w:rsidRPr="00031E25" w:rsidRDefault="00031E25" w:rsidP="00A20236">
      <w:pPr>
        <w:pStyle w:val="SingleTxtG"/>
        <w:ind w:firstLine="567"/>
      </w:pPr>
      <w:r w:rsidRPr="00031E25">
        <w:t>7.</w:t>
      </w:r>
      <w:r w:rsidRPr="00031E25">
        <w:tab/>
      </w:r>
      <w:r w:rsidRPr="006207F2">
        <w:rPr>
          <w:i/>
        </w:rPr>
        <w:t>Requests</w:t>
      </w:r>
      <w:r w:rsidRPr="00031E25">
        <w:t xml:space="preserve"> the drafting group to submit the final report of the study to the Advisory Committee at its twenty-fourth session, taking into account the above-mentioned input from the Office of the High Commissioner for Human Rights, with a view to submitting it to the Human Rights Council at its forty-fifth session, on the occasion of the fifth anniversary of the adoption of the 2030 Agenda.</w:t>
      </w:r>
    </w:p>
    <w:p w:rsidR="00031E25" w:rsidRPr="00031E25" w:rsidRDefault="00031E25" w:rsidP="00A20236">
      <w:pPr>
        <w:pStyle w:val="SingleTxtG"/>
        <w:spacing w:after="0"/>
        <w:jc w:val="right"/>
        <w:rPr>
          <w:i/>
          <w:iCs/>
        </w:rPr>
      </w:pPr>
      <w:r w:rsidRPr="00031E25">
        <w:rPr>
          <w:i/>
          <w:iCs/>
        </w:rPr>
        <w:t xml:space="preserve">10th meeting </w:t>
      </w:r>
    </w:p>
    <w:p w:rsidR="00031E25" w:rsidRPr="00031E25" w:rsidRDefault="00031E25" w:rsidP="00A20236">
      <w:pPr>
        <w:pStyle w:val="SingleTxtG"/>
        <w:spacing w:after="0"/>
        <w:jc w:val="right"/>
        <w:rPr>
          <w:i/>
          <w:iCs/>
        </w:rPr>
      </w:pPr>
      <w:r w:rsidRPr="00031E25">
        <w:rPr>
          <w:i/>
          <w:iCs/>
        </w:rPr>
        <w:t>26 July 2019</w:t>
      </w:r>
    </w:p>
    <w:p w:rsidR="00EA7F02" w:rsidRDefault="00031E25" w:rsidP="00A20236">
      <w:pPr>
        <w:pStyle w:val="SingleTxtG"/>
      </w:pPr>
      <w:r w:rsidRPr="00031E25">
        <w:t>[Adopted without a vote.]</w:t>
      </w:r>
    </w:p>
    <w:p w:rsidR="00047ABD" w:rsidRPr="00336AA6" w:rsidRDefault="00EA7F02" w:rsidP="007943BB">
      <w:pPr>
        <w:pStyle w:val="H1G"/>
      </w:pPr>
      <w:r>
        <w:lastRenderedPageBreak/>
        <w:tab/>
      </w:r>
      <w:bookmarkStart w:id="11" w:name="_Toc523845307"/>
      <w:bookmarkStart w:id="12" w:name="_Toc523845376"/>
      <w:bookmarkStart w:id="13" w:name="_Toc524094533"/>
      <w:bookmarkStart w:id="14" w:name="_Toc4598589"/>
      <w:r>
        <w:t>23</w:t>
      </w:r>
      <w:r w:rsidR="00047ABD" w:rsidRPr="00336AA6">
        <w:t>/2.</w:t>
      </w:r>
      <w:r w:rsidR="00047ABD" w:rsidRPr="00336AA6">
        <w:tab/>
      </w:r>
      <w:bookmarkEnd w:id="11"/>
      <w:bookmarkEnd w:id="12"/>
      <w:bookmarkEnd w:id="13"/>
      <w:bookmarkEnd w:id="14"/>
      <w:r w:rsidRPr="007152DD">
        <w:t xml:space="preserve">Global call for concrete action for the total elimination of racism, racial discrimination, xenophobia and related intolerance and the </w:t>
      </w:r>
      <w:r w:rsidR="008B4ADA">
        <w:t>c</w:t>
      </w:r>
      <w:r w:rsidRPr="007152DD">
        <w:t>omprehensive implementation of and follow-up to the Durban Declaration and Programme of Action</w:t>
      </w:r>
    </w:p>
    <w:p w:rsidR="00047ABD" w:rsidRPr="007943BB" w:rsidRDefault="00047ABD" w:rsidP="00047ABD">
      <w:pPr>
        <w:pStyle w:val="SingleTxtG"/>
        <w:rPr>
          <w:i/>
          <w:iCs/>
        </w:rPr>
      </w:pPr>
      <w:r w:rsidRPr="007943BB">
        <w:rPr>
          <w:i/>
          <w:iCs/>
        </w:rPr>
        <w:tab/>
        <w:t>The Human Rights Council Advisory Committee</w:t>
      </w:r>
      <w:r w:rsidRPr="000909E9">
        <w:t>,</w:t>
      </w:r>
    </w:p>
    <w:p w:rsidR="00EA7F02" w:rsidRPr="00EA7F02" w:rsidRDefault="007943BB" w:rsidP="00EA7F02">
      <w:pPr>
        <w:pStyle w:val="SingleTxtG"/>
        <w:rPr>
          <w:rFonts w:eastAsiaTheme="minorHAnsi"/>
          <w:lang w:eastAsia="en-US"/>
        </w:rPr>
      </w:pPr>
      <w:r>
        <w:rPr>
          <w:i/>
          <w:iCs/>
        </w:rPr>
        <w:tab/>
      </w:r>
      <w:r w:rsidR="00EA7F02" w:rsidRPr="00EA7F02">
        <w:rPr>
          <w:rFonts w:eastAsiaTheme="minorHAnsi"/>
          <w:i/>
          <w:iCs/>
          <w:lang w:eastAsia="en-US"/>
        </w:rPr>
        <w:t>Recalling</w:t>
      </w:r>
      <w:r w:rsidR="00EA7F02" w:rsidRPr="00EA7F02">
        <w:rPr>
          <w:rFonts w:eastAsiaTheme="minorHAnsi"/>
          <w:lang w:eastAsia="en-US"/>
        </w:rPr>
        <w:t xml:space="preserve"> General Assembly resolutions 72/157 of 19 December 2017 and 73/262 of 22 December 2018, in which the Assembly requested the Human Rights Council to continue to pay attention to the situation regarding racial equality in the world, and in that regard requested the Council, through the Advisory Committee, to prepare a study on appropriate ways and means of assessing the situation, while identifying possible gaps and overlaps,</w:t>
      </w:r>
    </w:p>
    <w:p w:rsidR="00EA7F02" w:rsidRPr="00EA7F02" w:rsidRDefault="00EA7F02" w:rsidP="00BA1D3E">
      <w:pPr>
        <w:pStyle w:val="SingleTxtG"/>
      </w:pPr>
      <w:r w:rsidRPr="00EA7F02">
        <w:rPr>
          <w:i/>
          <w:iCs/>
        </w:rPr>
        <w:t>Recalling also</w:t>
      </w:r>
      <w:r w:rsidRPr="00EA7F02">
        <w:t xml:space="preserve"> that, at its twenty-first session, the Advisory Committee established a drafting group, currently composed of Ion Diaconu, Ludovic Hennebel (Rapporteur), Mikhail Lebedev, José Augusto Lindgren Alves, Ajai Malhotra, Mona Omar, Elizabeth Salmón</w:t>
      </w:r>
      <w:r w:rsidRPr="00EA7F02" w:rsidDel="00FC57D9">
        <w:t xml:space="preserve"> </w:t>
      </w:r>
      <w:r w:rsidRPr="00EA7F02">
        <w:t>and Dheerujlall Seetulsingh (Chair),</w:t>
      </w:r>
    </w:p>
    <w:p w:rsidR="00EA7F02" w:rsidRPr="00BA1D3E" w:rsidRDefault="008B4ADA" w:rsidP="00EF17E9">
      <w:pPr>
        <w:pStyle w:val="SingleTxtG"/>
        <w:ind w:firstLine="567"/>
      </w:pPr>
      <w:r w:rsidRPr="008B4ADA">
        <w:rPr>
          <w:rFonts w:eastAsiaTheme="minorHAnsi"/>
          <w:lang w:eastAsia="en-US"/>
        </w:rPr>
        <w:t>1.</w:t>
      </w:r>
      <w:r w:rsidRPr="008B4ADA">
        <w:rPr>
          <w:rFonts w:eastAsiaTheme="minorHAnsi"/>
          <w:lang w:eastAsia="en-US"/>
        </w:rPr>
        <w:tab/>
      </w:r>
      <w:r w:rsidRPr="008B4ADA">
        <w:rPr>
          <w:rFonts w:eastAsiaTheme="minorHAnsi"/>
          <w:i/>
          <w:iCs/>
          <w:lang w:eastAsia="en-US"/>
        </w:rPr>
        <w:t>Takes note</w:t>
      </w:r>
      <w:r w:rsidRPr="008B4ADA">
        <w:rPr>
          <w:rFonts w:eastAsiaTheme="minorHAnsi"/>
          <w:lang w:eastAsia="en-US"/>
        </w:rPr>
        <w:t xml:space="preserve"> of the preliminary outline of the study submitted by the drafting group to the Advisory Committee at its twenty-third session</w:t>
      </w:r>
      <w:r w:rsidRPr="008B4ADA">
        <w:rPr>
          <w:rFonts w:eastAsiaTheme="minorHAnsi"/>
          <w:sz w:val="18"/>
          <w:vertAlign w:val="superscript"/>
          <w:lang w:eastAsia="en-US"/>
        </w:rPr>
        <w:footnoteReference w:id="5"/>
      </w:r>
      <w:r w:rsidRPr="008B4ADA">
        <w:rPr>
          <w:rFonts w:eastAsiaTheme="minorHAnsi"/>
          <w:lang w:eastAsia="en-US"/>
        </w:rPr>
        <w:t>;</w:t>
      </w:r>
    </w:p>
    <w:p w:rsidR="00EA7F02" w:rsidRPr="00BA1D3E" w:rsidRDefault="00EA7F02" w:rsidP="00EF17E9">
      <w:pPr>
        <w:pStyle w:val="SingleTxtG"/>
        <w:ind w:firstLine="567"/>
      </w:pPr>
      <w:r w:rsidRPr="00BA1D3E">
        <w:t>2.</w:t>
      </w:r>
      <w:r w:rsidRPr="00BA1D3E">
        <w:tab/>
        <w:t>Notes that the drafting group and the full Advisory Committee held meetings to discuss the topic;</w:t>
      </w:r>
    </w:p>
    <w:p w:rsidR="00EA7F02" w:rsidRPr="00BA1D3E" w:rsidRDefault="00EA7F02" w:rsidP="00EF17E9">
      <w:pPr>
        <w:pStyle w:val="SingleTxtG"/>
        <w:ind w:firstLine="567"/>
      </w:pPr>
      <w:r w:rsidRPr="00BA1D3E">
        <w:t>3.</w:t>
      </w:r>
      <w:r w:rsidRPr="00BA1D3E">
        <w:tab/>
        <w:t>Decides to seek additional views from Member States and other stakeholders, including international organizations, national human rights institutions and non-governmental organizations, and invite them to submit, by 15 December 2019, input on appropriate ways and means of assessing the situation regarding racial equality in the world;</w:t>
      </w:r>
    </w:p>
    <w:p w:rsidR="00EA7F02" w:rsidRPr="00BA1D3E" w:rsidRDefault="00EA7F02" w:rsidP="00BA1D3E">
      <w:pPr>
        <w:pStyle w:val="SingleTxtG"/>
        <w:ind w:firstLine="567"/>
      </w:pPr>
      <w:r w:rsidRPr="00BA1D3E">
        <w:t>4.</w:t>
      </w:r>
      <w:r w:rsidRPr="00BA1D3E">
        <w:tab/>
        <w:t>Decides also to provide information on the implementation of the current mandate to be submitted to the Human Rights Council at its forty-second session to be brought to the attention of the General Assembly at its seventy-fourth session;</w:t>
      </w:r>
      <w:r w:rsidRPr="00BA1D3E">
        <w:tab/>
      </w:r>
    </w:p>
    <w:p w:rsidR="00EA7F02" w:rsidRPr="00BA1D3E" w:rsidRDefault="00EA7F02" w:rsidP="00BA1D3E">
      <w:pPr>
        <w:pStyle w:val="SingleTxtG"/>
        <w:ind w:firstLine="567"/>
      </w:pPr>
      <w:r w:rsidRPr="00BA1D3E">
        <w:t>5.</w:t>
      </w:r>
      <w:r w:rsidRPr="00BA1D3E">
        <w:tab/>
        <w:t>Requests the drafting group to submit a final study to the Advisory Committee at its twenty-fifth session, taking into account the above-mentioned input from stakeholders;</w:t>
      </w:r>
    </w:p>
    <w:p w:rsidR="00EA7F02" w:rsidRPr="00BA1D3E" w:rsidRDefault="00EA7F02" w:rsidP="00BA1D3E">
      <w:pPr>
        <w:pStyle w:val="SingleTxtG"/>
        <w:ind w:firstLine="567"/>
      </w:pPr>
      <w:r w:rsidRPr="00BA1D3E">
        <w:t>6.</w:t>
      </w:r>
      <w:r w:rsidRPr="00BA1D3E">
        <w:tab/>
        <w:t>Encourages stakeholders to contribute to the work already under way.</w:t>
      </w:r>
    </w:p>
    <w:p w:rsidR="00865520" w:rsidRPr="00865520" w:rsidRDefault="00865520" w:rsidP="00BA1D3E">
      <w:pPr>
        <w:pStyle w:val="SingleTxtG"/>
        <w:spacing w:after="0"/>
        <w:jc w:val="right"/>
        <w:rPr>
          <w:i/>
          <w:iCs/>
        </w:rPr>
      </w:pPr>
      <w:r w:rsidRPr="00865520">
        <w:rPr>
          <w:i/>
          <w:iCs/>
        </w:rPr>
        <w:t xml:space="preserve">10th meeting </w:t>
      </w:r>
    </w:p>
    <w:p w:rsidR="00865520" w:rsidRPr="00865520" w:rsidRDefault="00865520" w:rsidP="00BA1D3E">
      <w:pPr>
        <w:pStyle w:val="SingleTxtG"/>
        <w:spacing w:after="0"/>
        <w:jc w:val="right"/>
        <w:rPr>
          <w:i/>
          <w:iCs/>
        </w:rPr>
      </w:pPr>
      <w:r w:rsidRPr="00865520">
        <w:rPr>
          <w:i/>
          <w:iCs/>
        </w:rPr>
        <w:t>26 July 2019</w:t>
      </w:r>
    </w:p>
    <w:p w:rsidR="00047ABD" w:rsidRPr="00336AA6" w:rsidRDefault="00047ABD" w:rsidP="00865520">
      <w:pPr>
        <w:pStyle w:val="SingleTxtG"/>
      </w:pPr>
      <w:r w:rsidRPr="00336AA6">
        <w:t>[Adopted without a vote.]</w:t>
      </w:r>
    </w:p>
    <w:p w:rsidR="00047ABD" w:rsidRPr="00336AA6" w:rsidRDefault="00415944" w:rsidP="000909E9">
      <w:pPr>
        <w:pStyle w:val="H1G"/>
      </w:pPr>
      <w:bookmarkStart w:id="15" w:name="_Toc523845308"/>
      <w:bookmarkStart w:id="16" w:name="_Toc523845377"/>
      <w:bookmarkStart w:id="17" w:name="_Toc524094534"/>
      <w:bookmarkStart w:id="18" w:name="_Toc4598590"/>
      <w:r>
        <w:tab/>
        <w:t>23</w:t>
      </w:r>
      <w:r w:rsidR="00047ABD" w:rsidRPr="00336AA6">
        <w:t>/3.</w:t>
      </w:r>
      <w:r w:rsidR="00047ABD" w:rsidRPr="00336AA6">
        <w:tab/>
      </w:r>
      <w:bookmarkEnd w:id="15"/>
      <w:bookmarkEnd w:id="16"/>
      <w:bookmarkEnd w:id="17"/>
      <w:bookmarkEnd w:id="18"/>
      <w:r w:rsidRPr="00601342">
        <w:t>Role of technical assistance and capacity-building in fostering mutually beneficial cooperation in promoting and protecting human rights</w:t>
      </w:r>
    </w:p>
    <w:p w:rsidR="00047ABD" w:rsidRPr="00336AA6" w:rsidRDefault="00047ABD" w:rsidP="00EF17E9">
      <w:pPr>
        <w:pStyle w:val="SingleTxtG"/>
        <w:ind w:firstLine="567"/>
      </w:pPr>
      <w:r w:rsidRPr="000909E9">
        <w:rPr>
          <w:i/>
          <w:iCs/>
        </w:rPr>
        <w:t>The Human Rights Council Advisory Committee</w:t>
      </w:r>
      <w:r w:rsidRPr="00336AA6">
        <w:t>,</w:t>
      </w:r>
    </w:p>
    <w:p w:rsidR="00415944" w:rsidRPr="00415944" w:rsidRDefault="00415944" w:rsidP="00EF17E9">
      <w:pPr>
        <w:pStyle w:val="SingleTxtG"/>
        <w:ind w:firstLine="567"/>
        <w:rPr>
          <w:rFonts w:eastAsiaTheme="minorHAnsi"/>
          <w:lang w:eastAsia="en-US"/>
        </w:rPr>
      </w:pPr>
      <w:r w:rsidRPr="00415944">
        <w:rPr>
          <w:rFonts w:eastAsiaTheme="minorHAnsi"/>
          <w:i/>
          <w:iCs/>
          <w:lang w:eastAsia="en-US"/>
        </w:rPr>
        <w:t>Recalling</w:t>
      </w:r>
      <w:r w:rsidRPr="00415944">
        <w:rPr>
          <w:rFonts w:eastAsiaTheme="minorHAnsi"/>
          <w:lang w:eastAsia="en-US"/>
        </w:rPr>
        <w:t xml:space="preserve"> Human Rights Council resolution 37/23 of 23 March 2018, in which the Council requested the Advisory Committee to conduct a study on the role of technical assistance and capacity-building in fostering mutually beneficial cooperation in promoting and protecting human rights, and to submit a report thereon to the Council before its forty-third session,</w:t>
      </w:r>
    </w:p>
    <w:p w:rsidR="00047ABD" w:rsidRPr="00336AA6" w:rsidRDefault="00415944" w:rsidP="00EF17E9">
      <w:pPr>
        <w:pStyle w:val="SingleTxtG"/>
        <w:ind w:firstLine="567"/>
      </w:pPr>
      <w:r w:rsidRPr="00415944">
        <w:rPr>
          <w:rFonts w:eastAsiaTheme="minorHAnsi"/>
          <w:i/>
          <w:iCs/>
          <w:lang w:eastAsia="en-US"/>
        </w:rPr>
        <w:t>Recalling further</w:t>
      </w:r>
      <w:r w:rsidRPr="00415944">
        <w:rPr>
          <w:rFonts w:eastAsiaTheme="minorHAnsi"/>
          <w:lang w:eastAsia="en-US"/>
        </w:rPr>
        <w:t xml:space="preserve"> that, at its twenty-first session, the Advisory Committee established a drafting group, currently composed of Mohamed Bennani, Lazhari Bouzid (Rapporteur), Alessio Bruni, Ion Diaconu, Ludovic Hennebel, Xinsheng Liu (Chair), Ajai Malhotra, Kaoru Obata, Elizabeth Salmón, Dheerujlall Seetulsingh and Changrok Soh,</w:t>
      </w:r>
    </w:p>
    <w:p w:rsidR="00415944" w:rsidRPr="00415944" w:rsidRDefault="00415944" w:rsidP="00EF17E9">
      <w:pPr>
        <w:pStyle w:val="SingleTxtG"/>
        <w:ind w:firstLine="567"/>
        <w:rPr>
          <w:rFonts w:eastAsiaTheme="minorHAnsi"/>
          <w:lang w:eastAsia="en-US"/>
        </w:rPr>
      </w:pPr>
      <w:r w:rsidRPr="00415944">
        <w:rPr>
          <w:rFonts w:eastAsiaTheme="minorHAnsi"/>
          <w:lang w:eastAsia="en-US"/>
        </w:rPr>
        <w:t>1.</w:t>
      </w:r>
      <w:r w:rsidRPr="00415944">
        <w:rPr>
          <w:rFonts w:eastAsiaTheme="minorHAnsi"/>
          <w:lang w:eastAsia="en-US"/>
        </w:rPr>
        <w:tab/>
      </w:r>
      <w:r w:rsidRPr="00415944">
        <w:rPr>
          <w:rFonts w:eastAsiaTheme="minorHAnsi"/>
          <w:i/>
          <w:iCs/>
          <w:lang w:eastAsia="en-US"/>
        </w:rPr>
        <w:t>Welcomes and takes note</w:t>
      </w:r>
      <w:r w:rsidRPr="00415944">
        <w:rPr>
          <w:rFonts w:eastAsiaTheme="minorHAnsi"/>
          <w:lang w:eastAsia="en-US"/>
        </w:rPr>
        <w:t xml:space="preserve"> of the draft study prepared by the drafting group;</w:t>
      </w:r>
      <w:r w:rsidRPr="00415944">
        <w:rPr>
          <w:rFonts w:eastAsiaTheme="minorHAnsi"/>
          <w:sz w:val="18"/>
          <w:vertAlign w:val="superscript"/>
          <w:lang w:eastAsia="en-US"/>
        </w:rPr>
        <w:footnoteReference w:id="6"/>
      </w:r>
    </w:p>
    <w:p w:rsidR="00415944" w:rsidRPr="00415944" w:rsidRDefault="00415944" w:rsidP="00EF17E9">
      <w:pPr>
        <w:pStyle w:val="SingleTxtG"/>
        <w:ind w:firstLine="567"/>
      </w:pPr>
      <w:r w:rsidRPr="00415944">
        <w:lastRenderedPageBreak/>
        <w:t>2.</w:t>
      </w:r>
      <w:r w:rsidRPr="00415944">
        <w:tab/>
      </w:r>
      <w:r w:rsidRPr="00415944">
        <w:rPr>
          <w:i/>
          <w:iCs/>
        </w:rPr>
        <w:t>Takes note with appreciation</w:t>
      </w:r>
      <w:r w:rsidRPr="00415944">
        <w:t xml:space="preserve"> of the overview provided by the Office of the High Commissioner for Human Rights of its technical assistance programmes and the oral presentations at its session;</w:t>
      </w:r>
    </w:p>
    <w:p w:rsidR="00415944" w:rsidRPr="00415944" w:rsidRDefault="00415944" w:rsidP="00EF17E9">
      <w:pPr>
        <w:pStyle w:val="SingleTxtG"/>
        <w:ind w:firstLine="567"/>
      </w:pPr>
      <w:r w:rsidRPr="00415944">
        <w:t>3.</w:t>
      </w:r>
      <w:r w:rsidRPr="00415944">
        <w:tab/>
      </w:r>
      <w:r w:rsidRPr="00415944">
        <w:rPr>
          <w:i/>
          <w:iCs/>
        </w:rPr>
        <w:t>Notes</w:t>
      </w:r>
      <w:r w:rsidRPr="00415944">
        <w:t xml:space="preserve"> that the drafting group and the full Advisory Committee held meetings to discuss the topic;</w:t>
      </w:r>
    </w:p>
    <w:p w:rsidR="00415944" w:rsidRPr="00415944" w:rsidRDefault="00415944" w:rsidP="007A6394">
      <w:pPr>
        <w:pStyle w:val="SingleTxtG"/>
        <w:ind w:firstLine="567"/>
      </w:pPr>
      <w:r w:rsidRPr="00415944">
        <w:t>4.</w:t>
      </w:r>
      <w:r w:rsidRPr="00415944">
        <w:tab/>
      </w:r>
      <w:r w:rsidRPr="00415944">
        <w:rPr>
          <w:i/>
          <w:iCs/>
        </w:rPr>
        <w:t xml:space="preserve">Invites </w:t>
      </w:r>
      <w:r w:rsidRPr="00415944">
        <w:t>the drafting group to consider the matter further and, to this effect, entrusts the Rapporteur, with the support of the drafting group with the finalization of the study for circulation to the drafting group and its adoption by the Committee in time for its submission to the Council at its forty-third session.</w:t>
      </w:r>
    </w:p>
    <w:p w:rsidR="00415944" w:rsidRPr="00415944" w:rsidRDefault="00415944" w:rsidP="007A6394">
      <w:pPr>
        <w:pStyle w:val="SingleTxtG"/>
        <w:spacing w:after="0"/>
        <w:jc w:val="right"/>
        <w:rPr>
          <w:i/>
          <w:iCs/>
        </w:rPr>
      </w:pPr>
      <w:r w:rsidRPr="00415944">
        <w:rPr>
          <w:i/>
          <w:iCs/>
        </w:rPr>
        <w:t xml:space="preserve">10th meeting </w:t>
      </w:r>
    </w:p>
    <w:p w:rsidR="00415944" w:rsidRPr="00415944" w:rsidRDefault="00415944" w:rsidP="007A6394">
      <w:pPr>
        <w:pStyle w:val="SingleTxtG"/>
        <w:spacing w:after="0"/>
        <w:jc w:val="right"/>
        <w:rPr>
          <w:i/>
          <w:iCs/>
        </w:rPr>
      </w:pPr>
      <w:r w:rsidRPr="00415944">
        <w:rPr>
          <w:i/>
          <w:iCs/>
        </w:rPr>
        <w:t>26 July 2019</w:t>
      </w:r>
    </w:p>
    <w:p w:rsidR="00415944" w:rsidRPr="007A6394" w:rsidRDefault="00415944" w:rsidP="007A6394">
      <w:pPr>
        <w:pStyle w:val="SingleTxtG"/>
      </w:pPr>
      <w:r w:rsidRPr="007A6394">
        <w:t>[Adopted without a vote.]</w:t>
      </w:r>
    </w:p>
    <w:p w:rsidR="00047ABD" w:rsidRPr="00336AA6" w:rsidRDefault="00415944" w:rsidP="00206463">
      <w:pPr>
        <w:pStyle w:val="H1G"/>
      </w:pPr>
      <w:bookmarkStart w:id="19" w:name="_Toc523845309"/>
      <w:bookmarkStart w:id="20" w:name="_Toc523845378"/>
      <w:bookmarkStart w:id="21" w:name="_Toc524094535"/>
      <w:bookmarkStart w:id="22" w:name="_Toc4598591"/>
      <w:r>
        <w:tab/>
        <w:t>23</w:t>
      </w:r>
      <w:r w:rsidR="00047ABD" w:rsidRPr="00336AA6">
        <w:t>/4.</w:t>
      </w:r>
      <w:r w:rsidR="00047ABD" w:rsidRPr="00336AA6">
        <w:tab/>
      </w:r>
      <w:bookmarkEnd w:id="19"/>
      <w:bookmarkEnd w:id="20"/>
      <w:bookmarkEnd w:id="21"/>
      <w:bookmarkEnd w:id="22"/>
      <w:r w:rsidRPr="00B93FA3">
        <w:t>Importance of a legally binding instrument on the right to development</w:t>
      </w:r>
    </w:p>
    <w:p w:rsidR="00047ABD" w:rsidRPr="00336AA6" w:rsidRDefault="00047ABD" w:rsidP="00EF17E9">
      <w:pPr>
        <w:pStyle w:val="SingleTxtG"/>
        <w:ind w:firstLine="567"/>
      </w:pPr>
      <w:r w:rsidRPr="00206463">
        <w:rPr>
          <w:i/>
          <w:iCs/>
        </w:rPr>
        <w:t>The Human Rights Council Advisory Committee</w:t>
      </w:r>
      <w:r w:rsidRPr="00336AA6">
        <w:t>,</w:t>
      </w:r>
    </w:p>
    <w:p w:rsidR="00F773A7" w:rsidRPr="00F773A7" w:rsidRDefault="00F773A7" w:rsidP="00EF17E9">
      <w:pPr>
        <w:pStyle w:val="SingleTxtG"/>
        <w:ind w:firstLine="567"/>
        <w:rPr>
          <w:rFonts w:eastAsiaTheme="minorHAnsi"/>
          <w:lang w:eastAsia="en-US"/>
        </w:rPr>
      </w:pPr>
      <w:r w:rsidRPr="00F773A7">
        <w:rPr>
          <w:rFonts w:eastAsiaTheme="minorHAnsi"/>
          <w:i/>
          <w:iCs/>
          <w:lang w:eastAsia="en-US"/>
        </w:rPr>
        <w:t>Recalling</w:t>
      </w:r>
      <w:r w:rsidRPr="00F773A7">
        <w:rPr>
          <w:rFonts w:eastAsiaTheme="minorHAnsi"/>
          <w:lang w:eastAsia="en-US"/>
        </w:rPr>
        <w:t xml:space="preserve"> Human Rights Council resolution 39/9 of 27 September 2018, in which the Council requested the Advisory Committee, while taking into account the views of Member States, to prepare a research-based report on the importance of a legally binding instrument on the right to development, to present an oral update on the preparation of the report to the Council at its forty-second session, and to present the report to the Council at its forty-fifth session,</w:t>
      </w:r>
    </w:p>
    <w:p w:rsidR="00047ABD" w:rsidRPr="00336AA6" w:rsidRDefault="00F773A7" w:rsidP="00F773A7">
      <w:pPr>
        <w:pStyle w:val="SingleTxtG"/>
        <w:ind w:firstLine="567"/>
      </w:pPr>
      <w:r w:rsidRPr="00F773A7">
        <w:rPr>
          <w:rFonts w:eastAsiaTheme="minorHAnsi"/>
          <w:i/>
          <w:iCs/>
          <w:lang w:eastAsia="en-US"/>
        </w:rPr>
        <w:t>Recalling also</w:t>
      </w:r>
      <w:r w:rsidRPr="00F773A7">
        <w:rPr>
          <w:rFonts w:eastAsiaTheme="minorHAnsi"/>
          <w:lang w:eastAsia="en-US"/>
        </w:rPr>
        <w:t xml:space="preserve"> that, at its nineteenth session, the Advisory Committee established a drafting group, currently composed of Lazhari Bouzid, Ion Diaconu, Ludovic Hennebel (Chair), Xinsheng Liu, Ajai Malhotra (Rapporteur), Elizabeth Salmón and Cheikh Tidiane Thiam,</w:t>
      </w:r>
    </w:p>
    <w:p w:rsidR="00F773A7" w:rsidRPr="00F773A7" w:rsidRDefault="00F773A7" w:rsidP="00EF17E9">
      <w:pPr>
        <w:pStyle w:val="SingleTxtG"/>
        <w:ind w:firstLine="567"/>
      </w:pPr>
      <w:r w:rsidRPr="00F773A7">
        <w:t>1.</w:t>
      </w:r>
      <w:r w:rsidRPr="00F773A7">
        <w:tab/>
      </w:r>
      <w:r w:rsidRPr="00F773A7">
        <w:rPr>
          <w:i/>
          <w:iCs/>
        </w:rPr>
        <w:t>Takes note</w:t>
      </w:r>
      <w:r w:rsidRPr="00F773A7">
        <w:t xml:space="preserve"> of the draft report elaborated by the drafting group;</w:t>
      </w:r>
      <w:r w:rsidRPr="00F773A7">
        <w:rPr>
          <w:sz w:val="18"/>
          <w:vertAlign w:val="superscript"/>
        </w:rPr>
        <w:footnoteReference w:id="7"/>
      </w:r>
    </w:p>
    <w:p w:rsidR="00F773A7" w:rsidRPr="00F773A7" w:rsidRDefault="00F773A7" w:rsidP="00EF17E9">
      <w:pPr>
        <w:pStyle w:val="SingleTxtG"/>
        <w:ind w:firstLine="567"/>
      </w:pPr>
      <w:r w:rsidRPr="00F773A7">
        <w:t>2.</w:t>
      </w:r>
      <w:r w:rsidRPr="00F773A7">
        <w:tab/>
      </w:r>
      <w:r w:rsidRPr="00F773A7">
        <w:rPr>
          <w:i/>
          <w:iCs/>
        </w:rPr>
        <w:t>Welcomes</w:t>
      </w:r>
      <w:r w:rsidRPr="00F773A7">
        <w:t xml:space="preserve"> the input received from Member States and other stakeholders, including international organizations and non-governmental organizations, on the importance of a legally binding instrument on the right to development;</w:t>
      </w:r>
    </w:p>
    <w:p w:rsidR="00F773A7" w:rsidRPr="00F773A7" w:rsidRDefault="00F773A7" w:rsidP="00EF17E9">
      <w:pPr>
        <w:pStyle w:val="SingleTxtG"/>
        <w:ind w:firstLine="567"/>
      </w:pPr>
      <w:r w:rsidRPr="00F773A7">
        <w:t>3.</w:t>
      </w:r>
      <w:r w:rsidRPr="00F773A7">
        <w:tab/>
      </w:r>
      <w:r w:rsidRPr="00F773A7">
        <w:rPr>
          <w:i/>
        </w:rPr>
        <w:t>Decides</w:t>
      </w:r>
      <w:r w:rsidRPr="00F773A7">
        <w:t xml:space="preserve"> that the oral update on the preparation of the report on the importance of a legally binding instrument on the right to development to be presented to the Human Rights Council at its forty-second session will include information on the current status of the report and an overview of the views of stakeholders;</w:t>
      </w:r>
    </w:p>
    <w:p w:rsidR="00F773A7" w:rsidRPr="00F773A7" w:rsidRDefault="00F773A7" w:rsidP="00A74355">
      <w:pPr>
        <w:pStyle w:val="SingleTxtG"/>
        <w:ind w:firstLine="567"/>
      </w:pPr>
      <w:r w:rsidRPr="00F773A7">
        <w:t>4.</w:t>
      </w:r>
      <w:r w:rsidRPr="00F773A7">
        <w:tab/>
      </w:r>
      <w:r w:rsidRPr="00F773A7">
        <w:rPr>
          <w:i/>
          <w:iCs/>
        </w:rPr>
        <w:t>Requests</w:t>
      </w:r>
      <w:r w:rsidRPr="00F773A7">
        <w:t xml:space="preserve"> the drafting group to submit a final report to the Advisory Committee at its twenty-fourth session, taking into account the views of the relevant stakeholders, with a view to presenting the report to the Human Rights Council at its forty-fifth session; </w:t>
      </w:r>
    </w:p>
    <w:p w:rsidR="00F773A7" w:rsidRPr="00F773A7" w:rsidRDefault="00F773A7" w:rsidP="00EF17E9">
      <w:pPr>
        <w:pStyle w:val="SingleTxtG"/>
        <w:ind w:firstLine="567"/>
      </w:pPr>
      <w:r w:rsidRPr="00F773A7">
        <w:t>5.</w:t>
      </w:r>
      <w:r w:rsidRPr="00F773A7">
        <w:tab/>
      </w:r>
      <w:r w:rsidRPr="00F773A7">
        <w:rPr>
          <w:i/>
          <w:iCs/>
        </w:rPr>
        <w:t>Encourages</w:t>
      </w:r>
      <w:r w:rsidRPr="00F773A7">
        <w:t xml:space="preserve"> stakeholders to contribute to the work already under way.</w:t>
      </w:r>
    </w:p>
    <w:p w:rsidR="00F773A7" w:rsidRPr="00F773A7" w:rsidRDefault="00F773A7" w:rsidP="00A74355">
      <w:pPr>
        <w:pStyle w:val="SingleTxtG"/>
        <w:spacing w:after="0"/>
        <w:jc w:val="right"/>
        <w:rPr>
          <w:i/>
          <w:iCs/>
        </w:rPr>
      </w:pPr>
      <w:r w:rsidRPr="00F773A7">
        <w:rPr>
          <w:i/>
          <w:iCs/>
        </w:rPr>
        <w:t xml:space="preserve">10th meeting </w:t>
      </w:r>
    </w:p>
    <w:p w:rsidR="00F773A7" w:rsidRPr="00F773A7" w:rsidRDefault="00F773A7" w:rsidP="00A74355">
      <w:pPr>
        <w:pStyle w:val="SingleTxtG"/>
        <w:spacing w:after="0"/>
        <w:jc w:val="right"/>
        <w:rPr>
          <w:i/>
          <w:iCs/>
        </w:rPr>
      </w:pPr>
      <w:r w:rsidRPr="00F773A7">
        <w:rPr>
          <w:i/>
          <w:iCs/>
        </w:rPr>
        <w:t>26 July 2019</w:t>
      </w:r>
    </w:p>
    <w:p w:rsidR="00047ABD" w:rsidRPr="00336AA6" w:rsidRDefault="00047ABD" w:rsidP="00F773A7">
      <w:pPr>
        <w:pStyle w:val="SingleTxtG"/>
      </w:pPr>
      <w:r w:rsidRPr="00336AA6">
        <w:t>[Adopted without a vote.]</w:t>
      </w:r>
    </w:p>
    <w:p w:rsidR="00047ABD" w:rsidRPr="00336AA6" w:rsidRDefault="00B05339" w:rsidP="00AC3597">
      <w:pPr>
        <w:pStyle w:val="H1G"/>
      </w:pPr>
      <w:bookmarkStart w:id="23" w:name="_Toc523845310"/>
      <w:bookmarkStart w:id="24" w:name="_Toc523845379"/>
      <w:bookmarkStart w:id="25" w:name="_Toc524094536"/>
      <w:bookmarkStart w:id="26" w:name="_Toc4598592"/>
      <w:r>
        <w:tab/>
      </w:r>
      <w:r w:rsidR="00C46722">
        <w:t>23</w:t>
      </w:r>
      <w:r w:rsidR="00047ABD" w:rsidRPr="00336AA6">
        <w:t>/5.</w:t>
      </w:r>
      <w:r w:rsidR="00047ABD" w:rsidRPr="00336AA6">
        <w:tab/>
      </w:r>
      <w:bookmarkEnd w:id="23"/>
      <w:bookmarkEnd w:id="24"/>
      <w:bookmarkEnd w:id="25"/>
      <w:bookmarkEnd w:id="26"/>
      <w:r w:rsidR="00C46722" w:rsidRPr="003E67B2">
        <w:t>New and emerging digital technologies and human rights</w:t>
      </w:r>
    </w:p>
    <w:p w:rsidR="00047ABD" w:rsidRPr="00336AA6" w:rsidRDefault="00047ABD" w:rsidP="00047ABD">
      <w:pPr>
        <w:pStyle w:val="SingleTxtG"/>
      </w:pPr>
      <w:r w:rsidRPr="00336AA6">
        <w:tab/>
      </w:r>
      <w:r w:rsidRPr="00AC3597">
        <w:rPr>
          <w:i/>
          <w:iCs/>
        </w:rPr>
        <w:t>The Human Rights Council Advisory Committee</w:t>
      </w:r>
      <w:r w:rsidRPr="00336AA6">
        <w:t>,</w:t>
      </w:r>
    </w:p>
    <w:p w:rsidR="00C46722" w:rsidRPr="00C46722" w:rsidRDefault="00AC3597" w:rsidP="00C46722">
      <w:pPr>
        <w:pStyle w:val="SingleTxtG"/>
        <w:rPr>
          <w:rFonts w:eastAsiaTheme="minorHAnsi"/>
          <w:iCs/>
          <w:lang w:eastAsia="en-US"/>
        </w:rPr>
      </w:pPr>
      <w:r>
        <w:tab/>
      </w:r>
      <w:r w:rsidR="00C46722" w:rsidRPr="00C46722">
        <w:rPr>
          <w:rFonts w:eastAsiaTheme="minorHAnsi"/>
          <w:i/>
          <w:iCs/>
          <w:lang w:eastAsia="en-US"/>
        </w:rPr>
        <w:t>Recalling</w:t>
      </w:r>
      <w:r w:rsidR="00C46722" w:rsidRPr="00C46722">
        <w:rPr>
          <w:rFonts w:eastAsiaTheme="minorHAnsi"/>
          <w:iCs/>
          <w:lang w:eastAsia="en-US"/>
        </w:rPr>
        <w:t xml:space="preserve"> Human Rights Council resolution 41/11 of 11 July 2019, in which the Council requested the Advisory Committee to prepare a report, on the possible impacts, </w:t>
      </w:r>
      <w:r w:rsidR="00C46722" w:rsidRPr="00C46722">
        <w:rPr>
          <w:rFonts w:eastAsiaTheme="minorHAnsi"/>
          <w:iCs/>
          <w:lang w:eastAsia="en-US"/>
        </w:rPr>
        <w:lastRenderedPageBreak/>
        <w:t>opportunities and challenges of new and emerging digital technologies with regard to the promotion and protection of human rights, including mapping of relevant existing initiatives by the United Nations and recommendations on how human rights opportunities, challenges and gaps arising from new and emerging digital technologies could be addressed by the Council and its special procedures and subsidiary bodies in a holistic, inclusive and pragmatic manner, and to present the report to the Council at its forty-seventh session,</w:t>
      </w:r>
    </w:p>
    <w:p w:rsidR="00C46722" w:rsidRPr="00C46722" w:rsidRDefault="00C46722" w:rsidP="00A731C7">
      <w:pPr>
        <w:pStyle w:val="SingleTxtG"/>
        <w:ind w:firstLine="567"/>
      </w:pPr>
      <w:r w:rsidRPr="00C46722">
        <w:rPr>
          <w:i/>
        </w:rPr>
        <w:t xml:space="preserve">Recalling also </w:t>
      </w:r>
      <w:r w:rsidRPr="00C46722">
        <w:t>that the Council requested the Advisory Committee, when preparing the above-mentioned report, to seek input from and to take into account the relevant work already done by stakeholders, including Member States, international and regional organizations, the Office of the United Nations High Commissioner for Human Rights, the special procedures of the Council, the treaty bodies, other relevant United Nations agencies, funds and programmes within their respective mandates, the Secretary-General’s High-level Panel on Digital Cooperation, national human rights institutions, civil society, the private sector, the technical commu</w:t>
      </w:r>
      <w:r w:rsidR="00A731C7">
        <w:t>nity and academic institutions,</w:t>
      </w:r>
    </w:p>
    <w:p w:rsidR="00047ABD" w:rsidRPr="00336AA6" w:rsidRDefault="00C46722" w:rsidP="00C46722">
      <w:pPr>
        <w:pStyle w:val="SingleTxtG"/>
        <w:ind w:firstLine="567"/>
      </w:pPr>
      <w:r w:rsidRPr="00C46722">
        <w:rPr>
          <w:rFonts w:eastAsiaTheme="minorHAnsi"/>
          <w:i/>
          <w:iCs/>
          <w:lang w:eastAsia="en-US"/>
        </w:rPr>
        <w:t xml:space="preserve">Recalling further </w:t>
      </w:r>
      <w:r w:rsidRPr="00C46722">
        <w:rPr>
          <w:rFonts w:eastAsiaTheme="minorHAnsi"/>
          <w:iCs/>
          <w:lang w:eastAsia="en-US"/>
        </w:rPr>
        <w:t>that</w:t>
      </w:r>
      <w:r w:rsidRPr="00C46722">
        <w:rPr>
          <w:rFonts w:eastAsiaTheme="minorHAnsi"/>
          <w:lang w:eastAsia="en-US"/>
        </w:rPr>
        <w:t xml:space="preserve"> </w:t>
      </w:r>
      <w:r w:rsidRPr="00C46722">
        <w:rPr>
          <w:rFonts w:eastAsiaTheme="minorHAnsi"/>
          <w:iCs/>
          <w:lang w:eastAsia="en-US"/>
        </w:rPr>
        <w:t>the Council decided to convene a panel discussion at its forty-fourth session on the impacts, opportunities and challenges of new and emerging digital technologies with regard to the promotion and protection of human rights, also decided that the discussions would be fully accessible to persons with disabilities, and requested the Advisory Committee to present an oral update on its preparation of the above-mentioned report during the panel discussion,</w:t>
      </w:r>
    </w:p>
    <w:p w:rsidR="00C46722" w:rsidRPr="00C46722" w:rsidRDefault="00AC3597" w:rsidP="00C46722">
      <w:pPr>
        <w:pStyle w:val="SingleTxtG"/>
        <w:rPr>
          <w:rFonts w:eastAsiaTheme="minorHAnsi"/>
          <w:lang w:eastAsia="en-US"/>
        </w:rPr>
      </w:pPr>
      <w:r>
        <w:tab/>
      </w:r>
      <w:r w:rsidR="00C46722" w:rsidRPr="00C46722">
        <w:rPr>
          <w:rFonts w:eastAsiaTheme="minorHAnsi"/>
          <w:lang w:eastAsia="en-US"/>
        </w:rPr>
        <w:t>1.</w:t>
      </w:r>
      <w:r w:rsidR="00C46722" w:rsidRPr="00C46722">
        <w:rPr>
          <w:rFonts w:eastAsiaTheme="minorHAnsi"/>
          <w:lang w:eastAsia="en-US"/>
        </w:rPr>
        <w:tab/>
      </w:r>
      <w:r w:rsidR="00C46722" w:rsidRPr="00C46722">
        <w:rPr>
          <w:rFonts w:eastAsiaTheme="minorHAnsi"/>
          <w:i/>
          <w:iCs/>
          <w:lang w:eastAsia="en-US"/>
        </w:rPr>
        <w:t>Designates</w:t>
      </w:r>
      <w:r w:rsidR="00C46722" w:rsidRPr="00C46722">
        <w:rPr>
          <w:rFonts w:eastAsiaTheme="minorHAnsi"/>
          <w:lang w:eastAsia="en-US"/>
        </w:rPr>
        <w:t xml:space="preserve"> Advisory Committee members Ludovic Hennebel, Xinsheng Liu, Ajai Malhotra, Mona Omar, Elizabeth Salmón, Dheerujlall Seetulsingh and Changrok Soh as members of the drafting group to prepare the report;</w:t>
      </w:r>
    </w:p>
    <w:p w:rsidR="00C46722" w:rsidRPr="00C46722" w:rsidRDefault="00C46722" w:rsidP="00A731C7">
      <w:pPr>
        <w:pStyle w:val="SingleTxtG"/>
      </w:pPr>
      <w:r w:rsidRPr="00C46722">
        <w:tab/>
        <w:t>2.</w:t>
      </w:r>
      <w:r w:rsidRPr="00C46722">
        <w:tab/>
      </w:r>
      <w:r w:rsidRPr="00C46722">
        <w:rPr>
          <w:i/>
          <w:iCs/>
        </w:rPr>
        <w:t>Notes</w:t>
      </w:r>
      <w:r w:rsidRPr="00C46722">
        <w:t xml:space="preserve"> that the drafting group appointed Elizabeth Salmón as Chair and Changrok Soh as Rapporteur;</w:t>
      </w:r>
    </w:p>
    <w:p w:rsidR="00C46722" w:rsidRPr="00C46722" w:rsidRDefault="00C46722" w:rsidP="00A731C7">
      <w:pPr>
        <w:pStyle w:val="SingleTxtG"/>
        <w:ind w:firstLine="567"/>
      </w:pPr>
      <w:r w:rsidRPr="00C46722">
        <w:t>3</w:t>
      </w:r>
      <w:r w:rsidR="00A731C7">
        <w:t>.</w:t>
      </w:r>
      <w:r w:rsidRPr="00C46722">
        <w:tab/>
      </w:r>
      <w:r w:rsidRPr="00C46722">
        <w:rPr>
          <w:i/>
          <w:iCs/>
        </w:rPr>
        <w:t>Also notes</w:t>
      </w:r>
      <w:r w:rsidRPr="00C46722">
        <w:t xml:space="preserve"> that the drafting group and the full Advisory Committee held meetings to discuss the topic;</w:t>
      </w:r>
    </w:p>
    <w:p w:rsidR="00C46722" w:rsidRPr="00A731C7" w:rsidRDefault="00C46722" w:rsidP="00A731C7">
      <w:pPr>
        <w:pStyle w:val="SingleTxtG"/>
        <w:ind w:firstLine="567"/>
        <w:rPr>
          <w:rStyle w:val="SingleTxtGChar"/>
        </w:rPr>
      </w:pPr>
      <w:r w:rsidRPr="00A731C7">
        <w:rPr>
          <w:rStyle w:val="SingleTxtGChar"/>
        </w:rPr>
        <w:t>4.</w:t>
      </w:r>
      <w:r w:rsidRPr="00A731C7">
        <w:rPr>
          <w:rStyle w:val="SingleTxtGChar"/>
        </w:rPr>
        <w:tab/>
      </w:r>
      <w:r w:rsidRPr="00A731C7">
        <w:rPr>
          <w:i/>
        </w:rPr>
        <w:t>Decides</w:t>
      </w:r>
      <w:r w:rsidRPr="00A731C7">
        <w:rPr>
          <w:rStyle w:val="SingleTxtGChar"/>
        </w:rPr>
        <w:t xml:space="preserve"> to seek input through a note verbale requesting stakeholders, including Member States, international and regional organizations, the Office of the United Nations High Commissioner for Human Rights, the special procedures of the Council, the treaty bodies, other relevant United Nations agencies, funds and programmes within their respective mandates, the Secretary-General’s High-level Panel on Digital Cooperation, national human rights institutions, civil society, the private sector, the technical community and academic institutions, to submit information by 15 October 2019;</w:t>
      </w:r>
    </w:p>
    <w:p w:rsidR="00C46722" w:rsidRDefault="00C46722" w:rsidP="00A731C7">
      <w:pPr>
        <w:pStyle w:val="SingleTxtG"/>
      </w:pPr>
      <w:r w:rsidRPr="00C46722">
        <w:tab/>
        <w:t>5.</w:t>
      </w:r>
      <w:r w:rsidRPr="00C46722">
        <w:tab/>
      </w:r>
      <w:r w:rsidRPr="00C46722">
        <w:rPr>
          <w:i/>
          <w:iCs/>
        </w:rPr>
        <w:t>Requests</w:t>
      </w:r>
      <w:r w:rsidRPr="00C46722">
        <w:t xml:space="preserve"> the drafting group to submit a preliminary outline of the report to the Advisory Committee at its twenty-fourth session, taking into account the replies received pursuant to the above-mentioned note verbale, with a view to presenting an oral update on the preparation of the report to the Human Rights Council at its forty-fourth session; </w:t>
      </w:r>
    </w:p>
    <w:p w:rsidR="00C46722" w:rsidRPr="00C46722" w:rsidRDefault="00C46722" w:rsidP="00A731C7">
      <w:pPr>
        <w:pStyle w:val="SingleTxtG"/>
      </w:pPr>
      <w:r w:rsidRPr="00C46722">
        <w:tab/>
        <w:t>6.</w:t>
      </w:r>
      <w:r w:rsidRPr="00C46722">
        <w:tab/>
      </w:r>
      <w:r w:rsidRPr="00C46722">
        <w:rPr>
          <w:i/>
          <w:iCs/>
        </w:rPr>
        <w:t>Encourages</w:t>
      </w:r>
      <w:r w:rsidRPr="00C46722">
        <w:t xml:space="preserve"> stakeholders to contribute to the work already under way.</w:t>
      </w:r>
    </w:p>
    <w:p w:rsidR="00C46722" w:rsidRPr="00C46722" w:rsidRDefault="00C46722" w:rsidP="00D04E92">
      <w:pPr>
        <w:pStyle w:val="SingleTxtG"/>
        <w:spacing w:after="0"/>
        <w:jc w:val="right"/>
        <w:rPr>
          <w:i/>
          <w:iCs/>
        </w:rPr>
      </w:pPr>
      <w:r w:rsidRPr="00C46722">
        <w:rPr>
          <w:i/>
          <w:iCs/>
        </w:rPr>
        <w:t xml:space="preserve">10th meeting </w:t>
      </w:r>
    </w:p>
    <w:p w:rsidR="00C46722" w:rsidRPr="00C46722" w:rsidRDefault="00C46722" w:rsidP="00D04E92">
      <w:pPr>
        <w:pStyle w:val="SingleTxtG"/>
        <w:spacing w:after="0"/>
        <w:jc w:val="right"/>
        <w:rPr>
          <w:i/>
          <w:iCs/>
        </w:rPr>
      </w:pPr>
      <w:r w:rsidRPr="00C46722">
        <w:rPr>
          <w:i/>
          <w:iCs/>
        </w:rPr>
        <w:t>26 July 2019</w:t>
      </w:r>
    </w:p>
    <w:p w:rsidR="00047ABD" w:rsidRPr="00336AA6" w:rsidRDefault="00047ABD" w:rsidP="00047ABD">
      <w:pPr>
        <w:pStyle w:val="SingleTxtG"/>
      </w:pPr>
      <w:r w:rsidRPr="00336AA6">
        <w:t>[Adopted without a vote.]</w:t>
      </w:r>
    </w:p>
    <w:p w:rsidR="00047ABD" w:rsidRPr="00336AA6" w:rsidRDefault="00B05339" w:rsidP="007D60D8">
      <w:pPr>
        <w:pStyle w:val="H1G"/>
      </w:pPr>
      <w:bookmarkStart w:id="27" w:name="_Toc523845311"/>
      <w:bookmarkStart w:id="28" w:name="_Toc523845380"/>
      <w:bookmarkStart w:id="29" w:name="_Toc524094537"/>
      <w:bookmarkStart w:id="30" w:name="_Toc4598593"/>
      <w:r>
        <w:tab/>
      </w:r>
      <w:r w:rsidRPr="00B05339">
        <w:t>23</w:t>
      </w:r>
      <w:r w:rsidR="00047ABD" w:rsidRPr="00B05339">
        <w:t>/6.</w:t>
      </w:r>
      <w:r w:rsidR="00047ABD" w:rsidRPr="00336AA6">
        <w:tab/>
      </w:r>
      <w:bookmarkEnd w:id="27"/>
      <w:bookmarkEnd w:id="28"/>
      <w:bookmarkEnd w:id="29"/>
      <w:bookmarkEnd w:id="30"/>
      <w:r w:rsidRPr="00B05339">
        <w:t>Current levels of representation of women in human rights organs and mechanisms</w:t>
      </w:r>
    </w:p>
    <w:p w:rsidR="00047ABD" w:rsidRPr="00336AA6" w:rsidRDefault="00047ABD" w:rsidP="00047ABD">
      <w:pPr>
        <w:pStyle w:val="SingleTxtG"/>
      </w:pPr>
      <w:r w:rsidRPr="00336AA6">
        <w:tab/>
      </w:r>
      <w:r w:rsidRPr="007D60D8">
        <w:rPr>
          <w:i/>
          <w:iCs/>
        </w:rPr>
        <w:t>The Human Rights Council Advisory Committee</w:t>
      </w:r>
      <w:r w:rsidRPr="00336AA6">
        <w:t>,</w:t>
      </w:r>
    </w:p>
    <w:p w:rsidR="00B05339" w:rsidRPr="00B05339" w:rsidRDefault="00B05339" w:rsidP="00B05339">
      <w:pPr>
        <w:pStyle w:val="SingleTxtG"/>
        <w:ind w:firstLine="567"/>
        <w:rPr>
          <w:rFonts w:eastAsiaTheme="minorHAnsi"/>
          <w:iCs/>
          <w:lang w:eastAsia="en-US"/>
        </w:rPr>
      </w:pPr>
      <w:r w:rsidRPr="00B05339">
        <w:rPr>
          <w:rFonts w:eastAsiaTheme="minorHAnsi"/>
          <w:i/>
          <w:iCs/>
          <w:lang w:eastAsia="en-US"/>
        </w:rPr>
        <w:t>Recalling</w:t>
      </w:r>
      <w:r w:rsidRPr="00B05339">
        <w:rPr>
          <w:rFonts w:eastAsiaTheme="minorHAnsi"/>
          <w:iCs/>
          <w:lang w:eastAsia="en-US"/>
        </w:rPr>
        <w:t xml:space="preserve"> Human Rights Council resolution 41/6 of 11 July 2019, in which the Council requested the Human Rights Council Advisory Committee to prepare a report, in close cooperation with the Working Group and the Committee on the Elimination of Discrimination against Women, on current levels of representation of women in human rights organs and mechanisms such as the Advisory Committee, the treaty bodies and the </w:t>
      </w:r>
      <w:r w:rsidRPr="00B05339">
        <w:rPr>
          <w:rFonts w:eastAsiaTheme="minorHAnsi"/>
          <w:iCs/>
          <w:lang w:eastAsia="en-US"/>
        </w:rPr>
        <w:lastRenderedPageBreak/>
        <w:t>special procedures established by the Human Rights Council; the report, to be presented to the Council at its forty-seventh session, is to include good practices by States in nominating, electing and appointing candidates to ensure balanced gender representation, in line with the system-wide strategy on gender parity, and recommendations to assist the Council and Member States in this regard,</w:t>
      </w:r>
    </w:p>
    <w:p w:rsidR="00B05339" w:rsidRPr="00B05339" w:rsidRDefault="00B05339" w:rsidP="00485FB2">
      <w:pPr>
        <w:pStyle w:val="SingleTxtG"/>
        <w:ind w:firstLine="567"/>
      </w:pPr>
      <w:r w:rsidRPr="00B05339">
        <w:rPr>
          <w:i/>
        </w:rPr>
        <w:t xml:space="preserve">Recalling also </w:t>
      </w:r>
      <w:r w:rsidRPr="00B05339">
        <w:t>that the Council requested the Advisory Committee to seek the views, inputs and meaningful participation of relevant stakeholders in an inclusive manner, including Member States, international and regional organizations, the Office of the United Nations High Commissioner for Human Rights, the special procedures, national human rights institutions, civil society and academic institutions, when preparing the above-mentioned report</w:t>
      </w:r>
      <w:r>
        <w:t>,</w:t>
      </w:r>
    </w:p>
    <w:p w:rsidR="00B05339" w:rsidRPr="00B05339" w:rsidRDefault="00B05339" w:rsidP="00B05339">
      <w:pPr>
        <w:pStyle w:val="SingleTxtG"/>
        <w:ind w:firstLine="567"/>
        <w:rPr>
          <w:rFonts w:eastAsiaTheme="minorHAnsi"/>
          <w:lang w:eastAsia="en-US"/>
        </w:rPr>
      </w:pPr>
      <w:r w:rsidRPr="00B05339">
        <w:rPr>
          <w:rFonts w:eastAsiaTheme="minorHAnsi"/>
          <w:lang w:eastAsia="en-US"/>
        </w:rPr>
        <w:t>1.</w:t>
      </w:r>
      <w:r w:rsidRPr="00B05339">
        <w:rPr>
          <w:rFonts w:eastAsiaTheme="minorHAnsi"/>
          <w:lang w:eastAsia="en-US"/>
        </w:rPr>
        <w:tab/>
      </w:r>
      <w:r w:rsidRPr="00B05339">
        <w:rPr>
          <w:rFonts w:eastAsiaTheme="minorHAnsi"/>
          <w:i/>
          <w:iCs/>
          <w:lang w:eastAsia="en-US"/>
        </w:rPr>
        <w:t>Designates</w:t>
      </w:r>
      <w:r w:rsidRPr="00B05339">
        <w:rPr>
          <w:rFonts w:eastAsiaTheme="minorHAnsi"/>
          <w:lang w:eastAsia="en-US"/>
        </w:rPr>
        <w:t xml:space="preserve"> Advisory Committee members Ion Diaconu, Ludovic Hennebel, José Augusto Lindgren Alves, Ajai Malhotra, Mona Omar, Elizabeth Salmón, and Changrok Soh as members of the drafting group to prepare the report;</w:t>
      </w:r>
    </w:p>
    <w:p w:rsidR="00B05339" w:rsidRPr="00B05339" w:rsidRDefault="00B05339" w:rsidP="00485FB2">
      <w:pPr>
        <w:pStyle w:val="SingleTxtG"/>
      </w:pPr>
      <w:r w:rsidRPr="00B05339">
        <w:tab/>
        <w:t>2.</w:t>
      </w:r>
      <w:r w:rsidRPr="00B05339">
        <w:tab/>
      </w:r>
      <w:r w:rsidRPr="00B05339">
        <w:rPr>
          <w:i/>
          <w:iCs/>
        </w:rPr>
        <w:t>Notes</w:t>
      </w:r>
      <w:r w:rsidRPr="00B05339">
        <w:t xml:space="preserve"> that the drafting group appointed Mona Omar as Chair and Elizabeth Salmón as Rapporteur;</w:t>
      </w:r>
    </w:p>
    <w:p w:rsidR="00B05339" w:rsidRPr="00B05339" w:rsidRDefault="00B05339" w:rsidP="00485FB2">
      <w:pPr>
        <w:pStyle w:val="SingleTxtG"/>
        <w:ind w:firstLine="567"/>
      </w:pPr>
      <w:r w:rsidRPr="00B05339">
        <w:t>3</w:t>
      </w:r>
      <w:r w:rsidRPr="00B05339">
        <w:tab/>
      </w:r>
      <w:r w:rsidRPr="00B05339">
        <w:rPr>
          <w:i/>
          <w:iCs/>
        </w:rPr>
        <w:t>Also notes</w:t>
      </w:r>
      <w:r w:rsidRPr="00B05339">
        <w:t xml:space="preserve"> that the drafting group and the full Advisory Committee held meetings to discuss the topic;</w:t>
      </w:r>
    </w:p>
    <w:p w:rsidR="00B05339" w:rsidRPr="00B05339" w:rsidRDefault="00B05339" w:rsidP="00485FB2">
      <w:pPr>
        <w:pStyle w:val="SingleTxtG"/>
        <w:ind w:firstLine="567"/>
      </w:pPr>
      <w:r w:rsidRPr="00B05339">
        <w:rPr>
          <w:i/>
          <w:iCs/>
        </w:rPr>
        <w:t>4.</w:t>
      </w:r>
      <w:r w:rsidRPr="00B05339">
        <w:rPr>
          <w:i/>
          <w:iCs/>
        </w:rPr>
        <w:tab/>
        <w:t>Decides</w:t>
      </w:r>
      <w:r w:rsidRPr="00B05339">
        <w:t xml:space="preserve"> to address a note verbale to stakeholders, including Member States, international and regional organizations, the Office of the United Nations High Commissioner for Human Rights, the special procedures, national human rights institutions, civil society and academic institutions in which it requests them to submit input for the report by 15 November 2019;</w:t>
      </w:r>
    </w:p>
    <w:p w:rsidR="00B05339" w:rsidRPr="00B05339" w:rsidRDefault="00B05339" w:rsidP="00485FB2">
      <w:pPr>
        <w:pStyle w:val="SingleTxtG"/>
        <w:ind w:firstLine="567"/>
      </w:pPr>
      <w:r w:rsidRPr="00B05339">
        <w:t>5.</w:t>
      </w:r>
      <w:r w:rsidRPr="00B05339">
        <w:tab/>
      </w:r>
      <w:r w:rsidRPr="00B05339">
        <w:rPr>
          <w:i/>
          <w:iCs/>
        </w:rPr>
        <w:t>Requests</w:t>
      </w:r>
      <w:r w:rsidRPr="00B05339">
        <w:t xml:space="preserve"> the drafting group to submit a preliminary outline of the report to the Advisory Committee at its twenty-fourth session, taking into account the replies received pursuant to the above-mentioned note verbale; </w:t>
      </w:r>
    </w:p>
    <w:p w:rsidR="00B05339" w:rsidRPr="00B05339" w:rsidRDefault="00B05339" w:rsidP="00485FB2">
      <w:pPr>
        <w:pStyle w:val="SingleTxtG"/>
        <w:ind w:firstLine="567"/>
      </w:pPr>
      <w:r w:rsidRPr="00B05339">
        <w:t>6.</w:t>
      </w:r>
      <w:r w:rsidRPr="00B05339">
        <w:tab/>
      </w:r>
      <w:r w:rsidRPr="00B05339">
        <w:rPr>
          <w:i/>
          <w:iCs/>
        </w:rPr>
        <w:t>Encourages</w:t>
      </w:r>
      <w:r w:rsidRPr="00B05339">
        <w:t xml:space="preserve"> stakeholders to contribute to the work already under way.</w:t>
      </w:r>
    </w:p>
    <w:p w:rsidR="00B05339" w:rsidRPr="00C46722" w:rsidRDefault="00B05339" w:rsidP="00485FB2">
      <w:pPr>
        <w:pStyle w:val="SingleTxtG"/>
        <w:spacing w:after="0"/>
        <w:jc w:val="right"/>
        <w:rPr>
          <w:i/>
          <w:iCs/>
        </w:rPr>
      </w:pPr>
      <w:r w:rsidRPr="00C46722">
        <w:rPr>
          <w:i/>
          <w:iCs/>
        </w:rPr>
        <w:t xml:space="preserve">10th meeting </w:t>
      </w:r>
    </w:p>
    <w:p w:rsidR="00B05339" w:rsidRPr="00C46722" w:rsidRDefault="00B05339" w:rsidP="00485FB2">
      <w:pPr>
        <w:pStyle w:val="SingleTxtG"/>
        <w:spacing w:after="0"/>
        <w:jc w:val="right"/>
        <w:rPr>
          <w:i/>
          <w:iCs/>
        </w:rPr>
      </w:pPr>
      <w:r w:rsidRPr="00C46722">
        <w:rPr>
          <w:i/>
          <w:iCs/>
        </w:rPr>
        <w:t>26 July 2019</w:t>
      </w:r>
    </w:p>
    <w:p w:rsidR="00047ABD" w:rsidRPr="00336AA6" w:rsidRDefault="00B05339" w:rsidP="00B05339">
      <w:pPr>
        <w:pStyle w:val="SingleTxtG"/>
      </w:pPr>
      <w:r w:rsidRPr="00336AA6">
        <w:t xml:space="preserve"> </w:t>
      </w:r>
      <w:r w:rsidR="00047ABD" w:rsidRPr="00336AA6">
        <w:t>[Adopted without a vote.]</w:t>
      </w:r>
    </w:p>
    <w:p w:rsidR="00047ABD" w:rsidRPr="00336AA6" w:rsidRDefault="007B4AB4" w:rsidP="000C6703">
      <w:pPr>
        <w:pStyle w:val="H1G"/>
      </w:pPr>
      <w:bookmarkStart w:id="31" w:name="_Toc523845312"/>
      <w:bookmarkStart w:id="32" w:name="_Toc523845381"/>
      <w:bookmarkStart w:id="33" w:name="_Toc524094538"/>
      <w:bookmarkStart w:id="34" w:name="_Toc4598594"/>
      <w:r>
        <w:tab/>
        <w:t>23</w:t>
      </w:r>
      <w:r w:rsidR="00047ABD" w:rsidRPr="00336AA6">
        <w:t>/7.</w:t>
      </w:r>
      <w:r w:rsidR="00047ABD" w:rsidRPr="00336AA6">
        <w:tab/>
      </w:r>
      <w:bookmarkEnd w:id="31"/>
      <w:bookmarkEnd w:id="32"/>
      <w:bookmarkEnd w:id="33"/>
      <w:bookmarkEnd w:id="34"/>
      <w:r w:rsidRPr="00BB52E6">
        <w:t>Negative effects of terrorism on the enjoyment of human rights</w:t>
      </w:r>
    </w:p>
    <w:p w:rsidR="00047ABD" w:rsidRPr="00336AA6" w:rsidRDefault="00047ABD" w:rsidP="00047ABD">
      <w:pPr>
        <w:pStyle w:val="SingleTxtG"/>
      </w:pPr>
      <w:r w:rsidRPr="00336AA6">
        <w:tab/>
      </w:r>
      <w:r w:rsidRPr="000C6703">
        <w:rPr>
          <w:i/>
          <w:iCs/>
        </w:rPr>
        <w:t>The Human Rights Council Advisory Committee</w:t>
      </w:r>
      <w:r w:rsidRPr="00336AA6">
        <w:t>,</w:t>
      </w:r>
    </w:p>
    <w:p w:rsidR="00EC11BD" w:rsidRPr="00EC11BD" w:rsidRDefault="000C6703" w:rsidP="008B7C8C">
      <w:pPr>
        <w:pStyle w:val="SingleTxtG"/>
      </w:pPr>
      <w:r>
        <w:tab/>
      </w:r>
      <w:r w:rsidR="00EC11BD" w:rsidRPr="00EC11BD">
        <w:rPr>
          <w:i/>
          <w:iCs/>
        </w:rPr>
        <w:t>Recalling</w:t>
      </w:r>
      <w:r w:rsidR="00EC11BD" w:rsidRPr="00EC11BD">
        <w:t xml:space="preserve"> Human Rights Council resolution 34/8 of 23 March 2017, in which the Council requested the Advisory Committee to conduct a study and prepare a report on the negative effects of terrorism on the enjoyment of all human rights and fundamental freedoms, with a particular focus on economic, social and cultural rights, including as a result of diverting foreign direct investment, reducing capital inflows, destroying infrastructure, limiting foreign trade, disturbing financial markets, negatively affecting certain economic sectors and impeding economic growth, and to recommend actions to be taken by Governments, United Nations human rights mechanisms, regional and international organizations and civil society organizations in that regard, and to present the report to the Council at its thirty-ninth session, to be discussed during the interactive dialogue,</w:t>
      </w:r>
    </w:p>
    <w:p w:rsidR="00EC11BD" w:rsidRPr="00EC11BD" w:rsidRDefault="00EC11BD" w:rsidP="008B7C8C">
      <w:pPr>
        <w:pStyle w:val="SingleTxtG"/>
      </w:pPr>
      <w:r w:rsidRPr="00EC11BD">
        <w:tab/>
      </w:r>
      <w:r w:rsidRPr="00EC11BD">
        <w:rPr>
          <w:i/>
          <w:iCs/>
        </w:rPr>
        <w:t>Recalling also</w:t>
      </w:r>
      <w:r w:rsidRPr="00EC11BD">
        <w:t xml:space="preserve"> that, at its nineteenth session, the Advisory Committee established a drafting group, currently composed of Lazhari Bouzid, Alessio Bruni (Chair), Ion Diaconu, Ludovic Hennebel, Mikhail Lebedev, José Augusto Lindgren Alves, Xinsheng Liu, Ajai Malhotra, Mona Omar (Rapporteur) and Elizabeth Salmón, </w:t>
      </w:r>
    </w:p>
    <w:p w:rsidR="00047ABD" w:rsidRPr="008B7C8C" w:rsidRDefault="00EC11BD" w:rsidP="00913573">
      <w:pPr>
        <w:pStyle w:val="SingleTxtG"/>
        <w:ind w:firstLine="567"/>
      </w:pPr>
      <w:r w:rsidRPr="00913573">
        <w:rPr>
          <w:i/>
        </w:rPr>
        <w:t>Noting</w:t>
      </w:r>
      <w:r w:rsidRPr="008B7C8C">
        <w:t xml:space="preserve"> that, at its thirty-eighth session, the Human Rights Council decided to extend the time for the Advisory Committee to complete the study for submission to the Council at its forty-second session,</w:t>
      </w:r>
      <w:r w:rsidR="00047ABD" w:rsidRPr="008B7C8C">
        <w:t xml:space="preserve"> </w:t>
      </w:r>
    </w:p>
    <w:p w:rsidR="00EC11BD" w:rsidRPr="00EC11BD" w:rsidRDefault="00EC11BD" w:rsidP="00EC11BD">
      <w:pPr>
        <w:pStyle w:val="SingleTxtG"/>
        <w:ind w:firstLine="567"/>
        <w:rPr>
          <w:rFonts w:eastAsiaTheme="minorHAnsi"/>
          <w:lang w:eastAsia="en-US"/>
        </w:rPr>
      </w:pPr>
      <w:r w:rsidRPr="00EC11BD">
        <w:rPr>
          <w:rFonts w:eastAsiaTheme="minorHAnsi"/>
          <w:lang w:eastAsia="en-US"/>
        </w:rPr>
        <w:lastRenderedPageBreak/>
        <w:t>1.</w:t>
      </w:r>
      <w:r w:rsidRPr="00EC11BD">
        <w:rPr>
          <w:rFonts w:eastAsiaTheme="minorHAnsi"/>
          <w:lang w:eastAsia="en-US"/>
        </w:rPr>
        <w:tab/>
      </w:r>
      <w:r w:rsidRPr="00EC11BD">
        <w:rPr>
          <w:rFonts w:eastAsiaTheme="minorHAnsi"/>
          <w:i/>
          <w:iCs/>
          <w:lang w:eastAsia="en-US"/>
        </w:rPr>
        <w:t>Notes</w:t>
      </w:r>
      <w:r w:rsidRPr="00EC11BD">
        <w:rPr>
          <w:rFonts w:eastAsiaTheme="minorHAnsi"/>
          <w:lang w:eastAsia="en-US"/>
        </w:rPr>
        <w:t xml:space="preserve"> that the drafting group elected Mr. Bruni as Chair following the resignation of the previous chair, Ms. Karla Hananía de Varela, from the Advisory Committee; </w:t>
      </w:r>
    </w:p>
    <w:p w:rsidR="00EC11BD" w:rsidRPr="00EC11BD" w:rsidRDefault="00EC11BD" w:rsidP="00B65B01">
      <w:pPr>
        <w:pStyle w:val="SingleTxtG"/>
        <w:ind w:firstLine="567"/>
      </w:pPr>
      <w:r w:rsidRPr="00EC11BD">
        <w:t>2.</w:t>
      </w:r>
      <w:r w:rsidRPr="00EC11BD">
        <w:tab/>
      </w:r>
      <w:r w:rsidRPr="00EC11BD">
        <w:rPr>
          <w:i/>
        </w:rPr>
        <w:t>Also n</w:t>
      </w:r>
      <w:r w:rsidRPr="00EC11BD">
        <w:rPr>
          <w:i/>
          <w:iCs/>
        </w:rPr>
        <w:t>otes</w:t>
      </w:r>
      <w:r w:rsidRPr="00EC11BD">
        <w:t xml:space="preserve"> that the drafting group and the Advisory Committee held meetings to discuss the topic;</w:t>
      </w:r>
    </w:p>
    <w:p w:rsidR="00EC11BD" w:rsidRPr="00EC11BD" w:rsidRDefault="00EC11BD" w:rsidP="00B65B01">
      <w:pPr>
        <w:pStyle w:val="SingleTxtG"/>
        <w:ind w:firstLine="567"/>
      </w:pPr>
      <w:r w:rsidRPr="00EC11BD">
        <w:t>3.</w:t>
      </w:r>
      <w:r w:rsidRPr="00EC11BD">
        <w:tab/>
      </w:r>
      <w:r w:rsidRPr="00EC11BD">
        <w:rPr>
          <w:i/>
        </w:rPr>
        <w:t>Further notes</w:t>
      </w:r>
      <w:r w:rsidRPr="00EC11BD">
        <w:t xml:space="preserve"> the highly specific and complex character of the mandate requiring further thorough discussions;</w:t>
      </w:r>
    </w:p>
    <w:p w:rsidR="00EC11BD" w:rsidRPr="00EC11BD" w:rsidRDefault="00EC11BD" w:rsidP="00B65B01">
      <w:pPr>
        <w:pStyle w:val="SingleTxtG"/>
        <w:ind w:firstLine="567"/>
      </w:pPr>
      <w:r w:rsidRPr="00EC11BD">
        <w:t>4.</w:t>
      </w:r>
      <w:r w:rsidRPr="00EC11BD">
        <w:tab/>
      </w:r>
      <w:r w:rsidRPr="00EC11BD">
        <w:rPr>
          <w:i/>
        </w:rPr>
        <w:t>Requests</w:t>
      </w:r>
      <w:r w:rsidRPr="00EC11BD">
        <w:t xml:space="preserve"> the drafting group to present a draft report on the negative impact of terrorism on the enjoyment of human rights to the Advisory Committee at its twenty-fourth session;</w:t>
      </w:r>
    </w:p>
    <w:p w:rsidR="00EC11BD" w:rsidRPr="00EC11BD" w:rsidRDefault="00EC11BD" w:rsidP="00B65B01">
      <w:pPr>
        <w:pStyle w:val="SingleTxtG"/>
        <w:ind w:firstLine="567"/>
      </w:pPr>
      <w:r w:rsidRPr="00EC11BD">
        <w:t>5.</w:t>
      </w:r>
      <w:r w:rsidRPr="00EC11BD">
        <w:tab/>
      </w:r>
      <w:r w:rsidRPr="00EC11BD">
        <w:rPr>
          <w:i/>
        </w:rPr>
        <w:t>Recommends</w:t>
      </w:r>
      <w:r w:rsidRPr="00EC11BD">
        <w:t xml:space="preserve"> that the Human Rights Council extend the time scheduled to complete the report, and that it request the Advisory Committee to submit it to the Council at its forty-fifth session; </w:t>
      </w:r>
    </w:p>
    <w:p w:rsidR="00EC11BD" w:rsidRPr="00EC11BD" w:rsidRDefault="00EC11BD" w:rsidP="00B65B01">
      <w:pPr>
        <w:pStyle w:val="SingleTxtG"/>
        <w:ind w:firstLine="567"/>
      </w:pPr>
      <w:r w:rsidRPr="00EC11BD">
        <w:t>6.</w:t>
      </w:r>
      <w:r w:rsidRPr="00EC11BD">
        <w:tab/>
      </w:r>
      <w:r w:rsidRPr="00EC11BD">
        <w:rPr>
          <w:i/>
        </w:rPr>
        <w:t>Also</w:t>
      </w:r>
      <w:r w:rsidRPr="00EC11BD">
        <w:t xml:space="preserve"> </w:t>
      </w:r>
      <w:r w:rsidRPr="00EC11BD">
        <w:rPr>
          <w:i/>
          <w:iCs/>
        </w:rPr>
        <w:t>recommends</w:t>
      </w:r>
      <w:r w:rsidRPr="00EC11BD">
        <w:t xml:space="preserve"> that the Human Rights Council consider adopting the following decision:</w:t>
      </w:r>
    </w:p>
    <w:p w:rsidR="00EC11BD" w:rsidRPr="00EC11BD" w:rsidRDefault="00EC11BD" w:rsidP="00B65B01">
      <w:pPr>
        <w:pStyle w:val="SingleTxtG"/>
        <w:ind w:firstLine="567"/>
      </w:pPr>
      <w:r w:rsidRPr="00EC11BD">
        <w:t>“</w:t>
      </w:r>
      <w:r w:rsidRPr="00EC11BD">
        <w:rPr>
          <w:i/>
        </w:rPr>
        <w:t>The Human Rights Council</w:t>
      </w:r>
      <w:r w:rsidRPr="00EC11BD">
        <w:t>,</w:t>
      </w:r>
    </w:p>
    <w:p w:rsidR="00EC11BD" w:rsidRPr="00EC11BD" w:rsidRDefault="00EC11BD" w:rsidP="00B65B01">
      <w:pPr>
        <w:pStyle w:val="SingleTxtG"/>
        <w:ind w:firstLine="567"/>
      </w:pPr>
      <w:r w:rsidRPr="00EC11BD">
        <w:rPr>
          <w:i/>
        </w:rPr>
        <w:t>Taking note</w:t>
      </w:r>
      <w:r w:rsidRPr="00EC11BD">
        <w:t xml:space="preserve"> of the recommendation of the Advisory Committee relating to its mandate on the negative effects of terrorism on the enjoyment of all human rights and fundamental freedoms, with a particular focus on economic, social and cultural rights, including as a result of diverting foreign direct investment, reducing capital inflows, destroying infrastructure, limiting foreign trade, disturbing financial markets, negatively affecting certain economic sectors and impeding economic growth, pursuant to the Human Rights Council resolution 34/8 of 23 March 2017, </w:t>
      </w:r>
    </w:p>
    <w:p w:rsidR="00047ABD" w:rsidRPr="00336AA6" w:rsidRDefault="00EC11BD" w:rsidP="00EC11BD">
      <w:pPr>
        <w:pStyle w:val="SingleTxtG"/>
        <w:ind w:firstLine="567"/>
      </w:pPr>
      <w:r w:rsidRPr="00EC11BD">
        <w:rPr>
          <w:rFonts w:eastAsiaTheme="minorHAnsi"/>
          <w:i/>
          <w:lang w:eastAsia="en-US"/>
        </w:rPr>
        <w:t>Requests</w:t>
      </w:r>
      <w:r w:rsidRPr="00EC11BD">
        <w:rPr>
          <w:rFonts w:eastAsiaTheme="minorHAnsi"/>
          <w:lang w:eastAsia="en-US"/>
        </w:rPr>
        <w:t xml:space="preserve"> the Advisory Committee to submit to the Human Rights Council at its forty-fifth session the report on the negative effects of terrorism on the enjoyment of all human rights and fundamental freedoms.”</w:t>
      </w:r>
    </w:p>
    <w:p w:rsidR="00EC11BD" w:rsidRPr="00EC11BD" w:rsidRDefault="00EC11BD" w:rsidP="00B65B01">
      <w:pPr>
        <w:pStyle w:val="SingleTxtG"/>
        <w:spacing w:after="0"/>
        <w:jc w:val="right"/>
        <w:rPr>
          <w:i/>
          <w:iCs/>
        </w:rPr>
      </w:pPr>
      <w:r w:rsidRPr="00EC11BD">
        <w:rPr>
          <w:i/>
          <w:iCs/>
        </w:rPr>
        <w:t xml:space="preserve">10th meeting </w:t>
      </w:r>
    </w:p>
    <w:p w:rsidR="00047ABD" w:rsidRPr="000C6703" w:rsidRDefault="00EC11BD" w:rsidP="00B65B01">
      <w:pPr>
        <w:pStyle w:val="SingleTxtG"/>
        <w:spacing w:after="0"/>
        <w:jc w:val="right"/>
        <w:rPr>
          <w:i/>
          <w:iCs/>
        </w:rPr>
      </w:pPr>
      <w:r w:rsidRPr="00B65B01">
        <w:rPr>
          <w:i/>
          <w:iCs/>
        </w:rPr>
        <w:t>26 July 2019</w:t>
      </w:r>
    </w:p>
    <w:p w:rsidR="00047ABD" w:rsidRPr="00336AA6" w:rsidRDefault="00047ABD" w:rsidP="00047ABD">
      <w:pPr>
        <w:pStyle w:val="SingleTxtG"/>
      </w:pPr>
      <w:r w:rsidRPr="00336AA6">
        <w:t>[Adopted without a vote.]</w:t>
      </w:r>
    </w:p>
    <w:p w:rsidR="00047ABD" w:rsidRPr="00336AA6" w:rsidRDefault="00047ABD" w:rsidP="00177412">
      <w:pPr>
        <w:pStyle w:val="HChG"/>
      </w:pPr>
      <w:r w:rsidRPr="00336AA6">
        <w:tab/>
      </w:r>
      <w:bookmarkStart w:id="35" w:name="_Toc523845313"/>
      <w:bookmarkStart w:id="36" w:name="_Toc523845382"/>
      <w:bookmarkStart w:id="37" w:name="_Toc524094539"/>
      <w:bookmarkStart w:id="38" w:name="_Toc4598596"/>
      <w:bookmarkStart w:id="39" w:name="_Toc213748164"/>
      <w:r w:rsidRPr="00AC39AF">
        <w:t>II</w:t>
      </w:r>
      <w:r w:rsidRPr="00336AA6">
        <w:t>.</w:t>
      </w:r>
      <w:r w:rsidRPr="00336AA6">
        <w:tab/>
        <w:t>Adoption of the agenda and organization of work</w:t>
      </w:r>
      <w:bookmarkEnd w:id="35"/>
      <w:bookmarkEnd w:id="36"/>
      <w:bookmarkEnd w:id="37"/>
      <w:bookmarkEnd w:id="38"/>
    </w:p>
    <w:p w:rsidR="00047ABD" w:rsidRPr="00336AA6" w:rsidRDefault="00047ABD" w:rsidP="00177412">
      <w:pPr>
        <w:pStyle w:val="H1G"/>
      </w:pPr>
      <w:bookmarkStart w:id="40" w:name="_Toc213748157"/>
      <w:r w:rsidRPr="00336AA6">
        <w:tab/>
      </w:r>
      <w:bookmarkStart w:id="41" w:name="_Toc523845314"/>
      <w:bookmarkStart w:id="42" w:name="_Toc523845383"/>
      <w:bookmarkStart w:id="43" w:name="_Toc524094540"/>
      <w:bookmarkStart w:id="44" w:name="_Toc4598597"/>
      <w:r w:rsidRPr="00336AA6">
        <w:t>A.</w:t>
      </w:r>
      <w:r w:rsidRPr="00336AA6">
        <w:tab/>
        <w:t>Opening and duration of the session</w:t>
      </w:r>
      <w:bookmarkEnd w:id="40"/>
      <w:bookmarkEnd w:id="41"/>
      <w:bookmarkEnd w:id="42"/>
      <w:bookmarkEnd w:id="43"/>
      <w:bookmarkEnd w:id="44"/>
    </w:p>
    <w:p w:rsidR="00EB6E65" w:rsidRPr="00EB6E65" w:rsidRDefault="00EB6E65" w:rsidP="00955D39">
      <w:pPr>
        <w:pStyle w:val="SingleTxtG"/>
      </w:pPr>
      <w:r w:rsidRPr="00EB6E65">
        <w:t>1.</w:t>
      </w:r>
      <w:r w:rsidRPr="00EB6E65">
        <w:tab/>
        <w:t xml:space="preserve">The Human Rights Council Advisory Committee, established pursuant to Human Rights Council resolution 5/1 of 18 June 2007, held its twenty-third session at the United Nations Office at Geneva from 22 to 26 July 2019. The session was opened by the Chair of the twenty-third session, Elisabeth Salmón. </w:t>
      </w:r>
    </w:p>
    <w:p w:rsidR="00EB6E65" w:rsidRPr="00EB6E65" w:rsidRDefault="00EB6E65" w:rsidP="00955D39">
      <w:pPr>
        <w:pStyle w:val="SingleTxtG"/>
      </w:pPr>
      <w:r w:rsidRPr="00EB6E65">
        <w:t>2.</w:t>
      </w:r>
      <w:r w:rsidRPr="00EB6E65">
        <w:tab/>
        <w:t xml:space="preserve">At its 1st meeting, on 22 July 2019, the Vice-President of the Human Rights Council, Harald Aspelund, made an opening statement. </w:t>
      </w:r>
    </w:p>
    <w:p w:rsidR="00EB6E65" w:rsidRPr="00EB6E65" w:rsidRDefault="00EB6E65" w:rsidP="00955D39">
      <w:pPr>
        <w:pStyle w:val="SingleTxtG"/>
      </w:pPr>
      <w:r w:rsidRPr="00EB6E65">
        <w:t>3.</w:t>
      </w:r>
      <w:r w:rsidRPr="00EB6E65">
        <w:tab/>
        <w:t>At the same meeting, the Chief of the Human Rights Council Branch of the Office of the United Nations High Commissioner for Human Rights (OHCHR) made a statement on behalf of the High Commissioner.</w:t>
      </w:r>
    </w:p>
    <w:p w:rsidR="00047ABD" w:rsidRPr="00336AA6" w:rsidRDefault="00EB6E65" w:rsidP="00EB6E65">
      <w:pPr>
        <w:pStyle w:val="SingleTxtG"/>
      </w:pPr>
      <w:r w:rsidRPr="00EB6E65">
        <w:rPr>
          <w:rFonts w:eastAsiaTheme="minorHAnsi"/>
          <w:lang w:eastAsia="en-US"/>
        </w:rPr>
        <w:t>4.</w:t>
      </w:r>
      <w:r w:rsidRPr="00EB6E65">
        <w:rPr>
          <w:rFonts w:eastAsiaTheme="minorHAnsi"/>
          <w:lang w:eastAsia="en-US"/>
        </w:rPr>
        <w:tab/>
        <w:t>Also at the same meeting, participants observed a minute of silence for the victims of human rights violations around the world.</w:t>
      </w:r>
    </w:p>
    <w:p w:rsidR="00047ABD" w:rsidRPr="00336AA6" w:rsidRDefault="00047ABD" w:rsidP="00177412">
      <w:pPr>
        <w:pStyle w:val="H1G"/>
      </w:pPr>
      <w:bookmarkStart w:id="45" w:name="_Toc213748158"/>
      <w:r w:rsidRPr="00336AA6">
        <w:lastRenderedPageBreak/>
        <w:tab/>
      </w:r>
      <w:bookmarkStart w:id="46" w:name="_Toc523845315"/>
      <w:bookmarkStart w:id="47" w:name="_Toc523845384"/>
      <w:bookmarkStart w:id="48" w:name="_Toc524094541"/>
      <w:bookmarkStart w:id="49" w:name="_Toc4598598"/>
      <w:r w:rsidRPr="00336AA6">
        <w:t>B.</w:t>
      </w:r>
      <w:r w:rsidRPr="00336AA6">
        <w:tab/>
        <w:t>Composition of the Advisory Committee</w:t>
      </w:r>
      <w:bookmarkEnd w:id="45"/>
      <w:bookmarkEnd w:id="46"/>
      <w:bookmarkEnd w:id="47"/>
      <w:bookmarkEnd w:id="48"/>
      <w:bookmarkEnd w:id="49"/>
    </w:p>
    <w:p w:rsidR="00E278E4" w:rsidRPr="00E278E4" w:rsidRDefault="00E278E4" w:rsidP="00660267">
      <w:pPr>
        <w:pStyle w:val="SingleTxtG"/>
      </w:pPr>
      <w:r w:rsidRPr="00E278E4">
        <w:t>5.</w:t>
      </w:r>
      <w:r w:rsidRPr="00E278E4">
        <w:tab/>
        <w:t>The membership of the Advisory Committee is as follows:</w:t>
      </w:r>
      <w:r w:rsidRPr="00E278E4">
        <w:rPr>
          <w:sz w:val="18"/>
          <w:vertAlign w:val="superscript"/>
        </w:rPr>
        <w:footnoteReference w:id="8"/>
      </w:r>
      <w:r w:rsidRPr="00E278E4">
        <w:t xml:space="preserve"> Ibrahim Abdulaziz Alsheddi (Saudi Arabia, 2021); Mohamed Bennani (Morocco, 2020); Lazhari Bouzid (Algeria, 2019); Alessio Bruni (Italy, 2021); Ion Diaconu (Romania, 2020); Ludovic Hennebel (Belgium, 2020); Mikhail Lebedev (Russian Federation, 2019); José Augusto Lindgren Alves (Brazil, 2021); Xinsheng Liu (China, 2019); Ajai Malhotra (India, 2020); Kaoru Obata (Japan, 2019); Mona Omar (Egypt, 2019); Elizabeth Salmón (Peru, 2020); Dheerujlall Baramlall Seetulsingh (Mauritius, 2020); Changrok Soh (Republic of Korea, 2020); Cheikh Tidiane Thiam (Senegal, 2021); and Jean Ziegler (Switzerland, 2019). </w:t>
      </w:r>
    </w:p>
    <w:p w:rsidR="00047ABD" w:rsidRPr="00336AA6" w:rsidRDefault="00E278E4" w:rsidP="00660267">
      <w:pPr>
        <w:pStyle w:val="SingleTxtG"/>
      </w:pPr>
      <w:r w:rsidRPr="00E278E4">
        <w:rPr>
          <w:rFonts w:eastAsiaTheme="minorHAnsi"/>
          <w:lang w:eastAsia="en-US"/>
        </w:rPr>
        <w:t xml:space="preserve">6. </w:t>
      </w:r>
      <w:r w:rsidRPr="00E278E4">
        <w:rPr>
          <w:rFonts w:eastAsiaTheme="minorHAnsi"/>
          <w:lang w:eastAsia="en-US"/>
        </w:rPr>
        <w:tab/>
        <w:t>Karla Hananía de Varela resigned from the Advisory Committee following her appointment by the Government of El Salvador as Minister of Education.</w:t>
      </w:r>
    </w:p>
    <w:p w:rsidR="00047ABD" w:rsidRPr="00336AA6" w:rsidRDefault="00047ABD" w:rsidP="00177412">
      <w:pPr>
        <w:pStyle w:val="H1G"/>
      </w:pPr>
      <w:r w:rsidRPr="00336AA6">
        <w:tab/>
      </w:r>
      <w:bookmarkStart w:id="50" w:name="_Toc523845316"/>
      <w:bookmarkStart w:id="51" w:name="_Toc523845385"/>
      <w:bookmarkStart w:id="52" w:name="_Toc524094542"/>
      <w:bookmarkStart w:id="53" w:name="_Toc4598599"/>
      <w:r w:rsidRPr="00336AA6">
        <w:t>C.</w:t>
      </w:r>
      <w:r w:rsidRPr="00336AA6">
        <w:tab/>
        <w:t>Attendance</w:t>
      </w:r>
      <w:bookmarkEnd w:id="50"/>
      <w:bookmarkEnd w:id="51"/>
      <w:bookmarkEnd w:id="52"/>
      <w:bookmarkEnd w:id="53"/>
    </w:p>
    <w:p w:rsidR="00346BB5" w:rsidRPr="00346BB5" w:rsidRDefault="00346BB5" w:rsidP="00660267">
      <w:pPr>
        <w:pStyle w:val="SingleTxtG"/>
      </w:pPr>
      <w:r w:rsidRPr="00346BB5">
        <w:t>7.</w:t>
      </w:r>
      <w:r w:rsidRPr="00346BB5">
        <w:tab/>
        <w:t xml:space="preserve">The session was attended by members of the Advisory Committee and observers for States Members of the United Nations, as well as non-governmental organizations. </w:t>
      </w:r>
    </w:p>
    <w:p w:rsidR="00047ABD" w:rsidRPr="00346BB5" w:rsidRDefault="00346BB5" w:rsidP="00660267">
      <w:pPr>
        <w:pStyle w:val="SingleTxtG"/>
      </w:pPr>
      <w:r w:rsidRPr="00346BB5">
        <w:t>8.</w:t>
      </w:r>
      <w:r w:rsidRPr="00346BB5">
        <w:tab/>
        <w:t>All members of the Advisory Committee participated in the session, with the exception of Cheikh Tidiane Thiam, who was excused.</w:t>
      </w:r>
    </w:p>
    <w:p w:rsidR="00047ABD" w:rsidRPr="00336AA6" w:rsidRDefault="00047ABD" w:rsidP="00177412">
      <w:pPr>
        <w:pStyle w:val="H1G"/>
      </w:pPr>
      <w:bookmarkStart w:id="54" w:name="_Toc213748160"/>
      <w:r w:rsidRPr="00336AA6">
        <w:tab/>
      </w:r>
      <w:bookmarkStart w:id="55" w:name="_Toc523845317"/>
      <w:bookmarkStart w:id="56" w:name="_Toc523845386"/>
      <w:bookmarkStart w:id="57" w:name="_Toc524094543"/>
      <w:bookmarkStart w:id="58" w:name="_Toc4598600"/>
      <w:r w:rsidRPr="00336AA6">
        <w:t>D.</w:t>
      </w:r>
      <w:r w:rsidRPr="00336AA6">
        <w:tab/>
        <w:t>Meetings</w:t>
      </w:r>
      <w:bookmarkEnd w:id="55"/>
      <w:bookmarkEnd w:id="56"/>
      <w:bookmarkEnd w:id="57"/>
      <w:bookmarkEnd w:id="58"/>
      <w:r w:rsidRPr="00336AA6">
        <w:t xml:space="preserve"> </w:t>
      </w:r>
      <w:bookmarkEnd w:id="54"/>
    </w:p>
    <w:p w:rsidR="00047ABD" w:rsidRPr="00336AA6" w:rsidRDefault="00CB2FA1" w:rsidP="00047ABD">
      <w:pPr>
        <w:pStyle w:val="SingleTxtG"/>
      </w:pPr>
      <w:r>
        <w:t>9</w:t>
      </w:r>
      <w:r w:rsidRPr="00B32992">
        <w:t>.</w:t>
      </w:r>
      <w:r w:rsidRPr="00B32992">
        <w:tab/>
        <w:t>At its twenty-</w:t>
      </w:r>
      <w:r>
        <w:t>third</w:t>
      </w:r>
      <w:r w:rsidRPr="00B32992">
        <w:t xml:space="preserve"> session, the Advisory Committee held </w:t>
      </w:r>
      <w:r>
        <w:t>seven</w:t>
      </w:r>
      <w:r w:rsidRPr="00B32992">
        <w:t xml:space="preserve"> plenary meetings and </w:t>
      </w:r>
      <w:r>
        <w:t>three</w:t>
      </w:r>
      <w:r w:rsidRPr="00B32992">
        <w:t xml:space="preserve"> closed meetings. Private meetings were held by the drafting groups </w:t>
      </w:r>
      <w:r>
        <w:t>on g</w:t>
      </w:r>
      <w:r w:rsidRPr="0016139D">
        <w:t>lobal call for concrete action for the total elimination of racism, racial discrimination, xenophobia and related intolerance and the comprehensive implementation of and follow-up to the Durban Declaration and Programme of Action</w:t>
      </w:r>
      <w:r>
        <w:t>, the r</w:t>
      </w:r>
      <w:r w:rsidRPr="001E0721">
        <w:t>ole of technical assistance and capacity-building in fostering mutually beneficial cooperation in promoting and protecting human rights</w:t>
      </w:r>
      <w:r>
        <w:t>, n</w:t>
      </w:r>
      <w:r w:rsidRPr="001E0721">
        <w:t>ational policies and human rights</w:t>
      </w:r>
      <w:r>
        <w:t>, n</w:t>
      </w:r>
      <w:r w:rsidRPr="001E0721">
        <w:t>ew and emerging digital technologies and human rights</w:t>
      </w:r>
      <w:r>
        <w:t>, c</w:t>
      </w:r>
      <w:r w:rsidRPr="001E0721">
        <w:t>urrent levels of representation of women in human rights organs and mechanisms</w:t>
      </w:r>
      <w:r>
        <w:t>, the n</w:t>
      </w:r>
      <w:r w:rsidRPr="00A32AD8">
        <w:t>egative effects of terrorism on the enjoyment of human rights</w:t>
      </w:r>
      <w:r>
        <w:t xml:space="preserve"> and the i</w:t>
      </w:r>
      <w:r w:rsidRPr="001E0721">
        <w:t>mportance of a legally binding instrument on the right to development</w:t>
      </w:r>
      <w:r>
        <w:t xml:space="preserve">. </w:t>
      </w:r>
      <w:r w:rsidRPr="00B32992">
        <w:t xml:space="preserve">The Committee also </w:t>
      </w:r>
      <w:r>
        <w:t>exchanged views</w:t>
      </w:r>
      <w:r w:rsidRPr="00B32992">
        <w:t xml:space="preserve"> with the Human Rights Council Bureau and with regional and political group coordinators. In addition, it held a public meeting with representatives of non-governmental organizations.</w:t>
      </w:r>
      <w:r w:rsidR="00047ABD" w:rsidRPr="00336AA6">
        <w:t xml:space="preserve"> </w:t>
      </w:r>
    </w:p>
    <w:p w:rsidR="00047ABD" w:rsidRPr="00336AA6" w:rsidRDefault="00047ABD" w:rsidP="006F4368">
      <w:pPr>
        <w:pStyle w:val="H1G"/>
      </w:pPr>
      <w:bookmarkStart w:id="59" w:name="_Toc213748162"/>
      <w:r w:rsidRPr="00EF17E9">
        <w:tab/>
      </w:r>
      <w:bookmarkStart w:id="60" w:name="_Toc523845318"/>
      <w:bookmarkStart w:id="61" w:name="_Toc523845387"/>
      <w:bookmarkStart w:id="62" w:name="_Toc524094544"/>
      <w:bookmarkStart w:id="63" w:name="_Toc4598602"/>
      <w:r w:rsidR="00E63EBF">
        <w:t>E</w:t>
      </w:r>
      <w:r w:rsidRPr="00336AA6">
        <w:t>.</w:t>
      </w:r>
      <w:r w:rsidRPr="00336AA6">
        <w:tab/>
        <w:t>Adoption of the agend</w:t>
      </w:r>
      <w:bookmarkEnd w:id="59"/>
      <w:r w:rsidRPr="00336AA6">
        <w:t>a</w:t>
      </w:r>
      <w:bookmarkEnd w:id="60"/>
      <w:bookmarkEnd w:id="61"/>
      <w:bookmarkEnd w:id="62"/>
      <w:bookmarkEnd w:id="63"/>
    </w:p>
    <w:p w:rsidR="00047ABD" w:rsidRPr="00336AA6" w:rsidRDefault="00E63EBF" w:rsidP="00047ABD">
      <w:pPr>
        <w:pStyle w:val="SingleTxtG"/>
      </w:pPr>
      <w:r w:rsidRPr="00E63EBF">
        <w:t>10.</w:t>
      </w:r>
      <w:r w:rsidRPr="00E63EBF">
        <w:tab/>
        <w:t>At its 1st meeting, on 22 July 2019, the Advisory Committee adopted its agenda as revised (see annex I) (for the list of documents issued for the twenty-third session, see annex II).</w:t>
      </w:r>
      <w:r w:rsidR="00047ABD" w:rsidRPr="00336AA6">
        <w:t xml:space="preserve"> </w:t>
      </w:r>
    </w:p>
    <w:p w:rsidR="00047ABD" w:rsidRPr="00336AA6" w:rsidRDefault="00047ABD" w:rsidP="006F4368">
      <w:pPr>
        <w:pStyle w:val="H1G"/>
      </w:pPr>
      <w:bookmarkStart w:id="64" w:name="_Toc213748163"/>
      <w:r w:rsidRPr="00336AA6">
        <w:tab/>
      </w:r>
      <w:bookmarkStart w:id="65" w:name="_Toc523845319"/>
      <w:bookmarkStart w:id="66" w:name="_Toc523845388"/>
      <w:bookmarkStart w:id="67" w:name="_Toc524094545"/>
      <w:bookmarkStart w:id="68" w:name="_Toc4598603"/>
      <w:r w:rsidR="00E63EBF">
        <w:t>F</w:t>
      </w:r>
      <w:r w:rsidRPr="00336AA6">
        <w:t>.</w:t>
      </w:r>
      <w:r w:rsidRPr="00336AA6">
        <w:tab/>
        <w:t>Organization of work</w:t>
      </w:r>
      <w:bookmarkEnd w:id="64"/>
      <w:bookmarkEnd w:id="65"/>
      <w:bookmarkEnd w:id="66"/>
      <w:bookmarkEnd w:id="67"/>
      <w:bookmarkEnd w:id="68"/>
    </w:p>
    <w:p w:rsidR="00047ABD" w:rsidRPr="00336AA6" w:rsidRDefault="00E63EBF" w:rsidP="00047ABD">
      <w:pPr>
        <w:pStyle w:val="SingleTxtG"/>
      </w:pPr>
      <w:r w:rsidRPr="00E63EBF">
        <w:t>11.</w:t>
      </w:r>
      <w:r w:rsidRPr="00E63EBF">
        <w:tab/>
        <w:t>At its 1st meeting, on 22 July 2019, the Advisory Committee adopted the draft programme of work prepared by the secretariat.</w:t>
      </w:r>
    </w:p>
    <w:p w:rsidR="00047ABD" w:rsidRPr="00336AA6" w:rsidRDefault="00047ABD" w:rsidP="006F4368">
      <w:pPr>
        <w:pStyle w:val="HChG"/>
      </w:pPr>
      <w:r w:rsidRPr="00336AA6">
        <w:lastRenderedPageBreak/>
        <w:tab/>
      </w:r>
      <w:bookmarkStart w:id="69" w:name="_Toc523845320"/>
      <w:bookmarkStart w:id="70" w:name="_Toc523845389"/>
      <w:bookmarkStart w:id="71" w:name="_Toc524094546"/>
      <w:bookmarkStart w:id="72" w:name="_Toc4598604"/>
      <w:r w:rsidRPr="00336AA6">
        <w:t>III.</w:t>
      </w:r>
      <w:r w:rsidRPr="00336AA6">
        <w:tab/>
        <w:t xml:space="preserve">Requests addressed to the Advisory Committee stemming from Human Rights Council resolutions and currently </w:t>
      </w:r>
      <w:r w:rsidRPr="00336AA6">
        <w:br/>
        <w:t>under consideration</w:t>
      </w:r>
      <w:bookmarkEnd w:id="69"/>
      <w:bookmarkEnd w:id="70"/>
      <w:bookmarkEnd w:id="71"/>
      <w:bookmarkEnd w:id="72"/>
    </w:p>
    <w:p w:rsidR="00047ABD" w:rsidRPr="00452407" w:rsidRDefault="00047ABD" w:rsidP="00452407">
      <w:pPr>
        <w:pStyle w:val="H23G"/>
        <w:rPr>
          <w:rStyle w:val="H1GChar"/>
          <w:b/>
        </w:rPr>
      </w:pPr>
      <w:bookmarkStart w:id="73" w:name="_Toc523845322"/>
      <w:bookmarkStart w:id="74" w:name="_Toc523845391"/>
      <w:bookmarkStart w:id="75" w:name="_Toc524094548"/>
      <w:r w:rsidRPr="00336AA6">
        <w:tab/>
      </w:r>
      <w:r w:rsidR="00452407" w:rsidRPr="00452407">
        <w:rPr>
          <w:rStyle w:val="H1GChar"/>
          <w:b/>
        </w:rPr>
        <w:t>A.</w:t>
      </w:r>
      <w:r w:rsidR="00452407" w:rsidRPr="00452407">
        <w:rPr>
          <w:rStyle w:val="H1GChar"/>
          <w:b/>
        </w:rPr>
        <w:tab/>
        <w:t>National policies and human rights</w:t>
      </w:r>
    </w:p>
    <w:p w:rsidR="00047ABD" w:rsidRPr="00336AA6" w:rsidRDefault="00452407" w:rsidP="00047ABD">
      <w:pPr>
        <w:pStyle w:val="SingleTxtG"/>
      </w:pPr>
      <w:r w:rsidRPr="00452407">
        <w:t>12.</w:t>
      </w:r>
      <w:r w:rsidRPr="00452407">
        <w:tab/>
        <w:t>At its 1st meeting, on 22 July 2019, the Advisory Committee held, pursuant to Human Rights Council resolution 35/32, a discussion on national policies and human rights and the Sustainable Development Goals. During the ensuing discussion, statements were made by members of the Committee and representatives of observer States (see annex III).</w:t>
      </w:r>
    </w:p>
    <w:p w:rsidR="00047ABD" w:rsidRPr="00336AA6" w:rsidRDefault="006F4368" w:rsidP="00456E18">
      <w:pPr>
        <w:pStyle w:val="H1G"/>
        <w:rPr>
          <w:highlight w:val="yellow"/>
        </w:rPr>
      </w:pPr>
      <w:r>
        <w:tab/>
      </w:r>
      <w:r w:rsidR="00456E18">
        <w:t>B</w:t>
      </w:r>
      <w:r w:rsidR="00456E18" w:rsidRPr="006D013F">
        <w:t>.</w:t>
      </w:r>
      <w:r w:rsidR="00456E18" w:rsidRPr="006D013F">
        <w:tab/>
      </w:r>
      <w:r w:rsidR="00456E18" w:rsidRPr="00355204">
        <w:t>Negative impact of the non-repatriation of funds of illicit origin on the enjoyment of human rights</w:t>
      </w:r>
    </w:p>
    <w:bookmarkEnd w:id="73"/>
    <w:bookmarkEnd w:id="74"/>
    <w:bookmarkEnd w:id="75"/>
    <w:p w:rsidR="00047ABD" w:rsidRPr="00336AA6" w:rsidRDefault="00456E18" w:rsidP="00047ABD">
      <w:pPr>
        <w:pStyle w:val="SingleTxtG"/>
      </w:pPr>
      <w:r w:rsidRPr="00456E18">
        <w:t>13.</w:t>
      </w:r>
      <w:r w:rsidRPr="00456E18">
        <w:tab/>
        <w:t>At its 1st meeting on 22 July 2019, the Advisory Committee held, pursuant to Human Rights Council resolutions 34/11 and 40/4, a discussion on the negative impact of the non-repatriation of funds of illicit origin on the enjoyment of human rights. At its fortieth session, the Human Rights Council adopted resolution 40/4, in which it requested the Advisory Committee, in preparation of the study requested by the Council in its resolution 34/11 on the possibility of utilizing non-repatriated illicit funds, including through monetization and/or the establishment of investment funds, to seek the views of regional and international experts and organizations, as well as United Nations bodies and non-governmental organizations, including by holding a one-day meeting in Geneva in April or May 2019. The one-day meeting did not take place as scheduled due to administrative and budgetary constraints. In this context, the Committee agreed that the one-day meeting should take place after the forty-second session of the Human Rights Council and decided to further consult with the Bureau of the Human Rights Council on how to integrate the outcomes of this meeting into the report the Advisory Committee will present to the Council. During the ensuing discussion, statements were made by members of the Committee and a representative of an observer State (see annex III).</w:t>
      </w:r>
    </w:p>
    <w:p w:rsidR="00047ABD" w:rsidRPr="00336AA6" w:rsidRDefault="00047ABD" w:rsidP="00456E18">
      <w:pPr>
        <w:pStyle w:val="H1G"/>
      </w:pPr>
      <w:r w:rsidRPr="00336AA6">
        <w:tab/>
      </w:r>
      <w:r w:rsidR="00456E18">
        <w:t>C</w:t>
      </w:r>
      <w:r w:rsidR="00456E18" w:rsidRPr="006C7C25">
        <w:t>.</w:t>
      </w:r>
      <w:r w:rsidR="00456E18" w:rsidRPr="006C7C25">
        <w:tab/>
        <w:t>A global call for concrete action for the total elimination of racism, racial discrimination, xenophobia and related intolerance and the comprehensive implementation of and follow-up to the Durban Declaration and Programme of Action</w:t>
      </w:r>
    </w:p>
    <w:p w:rsidR="00047ABD" w:rsidRPr="00456E18" w:rsidRDefault="00456E18" w:rsidP="00456E18">
      <w:pPr>
        <w:pStyle w:val="SingleTxtG"/>
      </w:pPr>
      <w:r w:rsidRPr="00456E18">
        <w:t>14.</w:t>
      </w:r>
      <w:r w:rsidRPr="00456E18">
        <w:tab/>
        <w:t>At its 2nd meeting, on 22 July 2019, the Advisory Committee held, pursuant to General Assembly resolution 72/157, a discussion on the situation regarding racial equality in the world, and on ways and means of assessing the situation while identifying possible gaps and overlaps. During the ensuing discussion, statements were made by members of the Committee, representatives of observer States and representatives of observer for non-governmental organizations (see annex III).</w:t>
      </w:r>
    </w:p>
    <w:p w:rsidR="00047ABD" w:rsidRPr="00336AA6" w:rsidRDefault="00047ABD" w:rsidP="009D0F78">
      <w:pPr>
        <w:pStyle w:val="H1G"/>
      </w:pPr>
      <w:bookmarkStart w:id="76" w:name="_Toc213748167"/>
      <w:r w:rsidRPr="00336AA6">
        <w:tab/>
      </w:r>
      <w:bookmarkStart w:id="77" w:name="_Toc523845326"/>
      <w:bookmarkStart w:id="78" w:name="_Toc523845395"/>
      <w:bookmarkStart w:id="79" w:name="_Toc524094552"/>
      <w:r w:rsidR="009D0F78">
        <w:t>D</w:t>
      </w:r>
      <w:r w:rsidR="009D0F78" w:rsidRPr="006C7C25">
        <w:t>.</w:t>
      </w:r>
      <w:r w:rsidR="009D0F78" w:rsidRPr="006C7C25">
        <w:tab/>
        <w:t>The role of technical assistance and capacity-building in fostering mutually beneficial cooperation in promoting and protecting human rights</w:t>
      </w:r>
    </w:p>
    <w:p w:rsidR="00047ABD" w:rsidRPr="00336AA6" w:rsidRDefault="00AD007F" w:rsidP="00047ABD">
      <w:pPr>
        <w:pStyle w:val="SingleTxtG"/>
      </w:pPr>
      <w:r w:rsidRPr="00AD007F">
        <w:t>15.</w:t>
      </w:r>
      <w:r w:rsidRPr="00AD007F">
        <w:tab/>
        <w:t>At its 2nd meeting, on 22 July 2019, the Advisory Committee held, pursuant to Human Rights Council resolution 37/23, a discussion on the role of technical assistance and capacity-building in fostering mutually beneficial cooperation in promoting and protecting human rights. In this context, representatives of the Universal Periodic Review Branch of the OHCHR delivered oral presentations providing an overview of its technical assistance programmes. During the ensuing discussion, statements were made by members of the Committee and representatives of observer States (see annex III).</w:t>
      </w:r>
    </w:p>
    <w:p w:rsidR="00047ABD" w:rsidRPr="00336AA6" w:rsidRDefault="00047ABD" w:rsidP="00226740">
      <w:pPr>
        <w:pStyle w:val="H1G"/>
      </w:pPr>
      <w:r w:rsidRPr="00336AA6">
        <w:lastRenderedPageBreak/>
        <w:tab/>
      </w:r>
      <w:bookmarkEnd w:id="77"/>
      <w:bookmarkEnd w:id="78"/>
      <w:bookmarkEnd w:id="79"/>
      <w:r w:rsidR="00226740">
        <w:t>E.</w:t>
      </w:r>
      <w:r w:rsidR="00226740">
        <w:tab/>
      </w:r>
      <w:r w:rsidR="00226740" w:rsidRPr="00CB39B5">
        <w:t>Negative effects of terrorism on the enjoyment of human rights</w:t>
      </w:r>
    </w:p>
    <w:p w:rsidR="00047ABD" w:rsidRPr="00336AA6" w:rsidRDefault="00226740" w:rsidP="00047ABD">
      <w:pPr>
        <w:pStyle w:val="SingleTxtG"/>
      </w:pPr>
      <w:r w:rsidRPr="00226740">
        <w:t>16.</w:t>
      </w:r>
      <w:r w:rsidRPr="00226740">
        <w:tab/>
        <w:t>At its 7th meeting, on 25 July 2019, the Advisory Committee held, in a closed meeting, pursuant to Human Rights Council resolution 34/8, a discussion on the negative effects of terrorism on the enjoyment of human rights.</w:t>
      </w:r>
    </w:p>
    <w:p w:rsidR="00226740" w:rsidRDefault="00B612B3" w:rsidP="00226740">
      <w:pPr>
        <w:pStyle w:val="H1G"/>
      </w:pPr>
      <w:r>
        <w:tab/>
      </w:r>
      <w:r w:rsidR="00226740" w:rsidRPr="00226740">
        <w:t>F.</w:t>
      </w:r>
      <w:r w:rsidR="00226740" w:rsidRPr="00226740">
        <w:tab/>
        <w:t>The importance of a legally binding instrument on the right to development</w:t>
      </w:r>
    </w:p>
    <w:p w:rsidR="00047ABD" w:rsidRPr="00226740" w:rsidRDefault="00226740" w:rsidP="00226740">
      <w:pPr>
        <w:pStyle w:val="SingleTxtG"/>
      </w:pPr>
      <w:r>
        <w:t>17.</w:t>
      </w:r>
      <w:r>
        <w:tab/>
      </w:r>
      <w:r w:rsidRPr="00226740">
        <w:t>At its 4th meeting, on 23 July 2019, the Advisory Committee held, pursuant to Human Rights Council resolution 39/9, a discussion on the importance of a legally binding instrument on the right to development. During the ensuing discussion, statements were made by members of the Committee, representatives of observer States and a representative of an observer for a non-governmental organization (see annex III).</w:t>
      </w:r>
    </w:p>
    <w:p w:rsidR="00250CDB" w:rsidRDefault="00B612B3" w:rsidP="00250CDB">
      <w:pPr>
        <w:pStyle w:val="H1G"/>
      </w:pPr>
      <w:r>
        <w:tab/>
      </w:r>
      <w:r w:rsidR="00250CDB">
        <w:t>G.</w:t>
      </w:r>
      <w:r w:rsidR="00250CDB">
        <w:tab/>
        <w:t>New and emerging digital technologies</w:t>
      </w:r>
    </w:p>
    <w:p w:rsidR="00250CDB" w:rsidRPr="00250CDB" w:rsidRDefault="00250CDB" w:rsidP="00250CDB">
      <w:pPr>
        <w:pStyle w:val="SingleTxtG"/>
      </w:pPr>
      <w:r w:rsidRPr="00250CDB">
        <w:t>18.</w:t>
      </w:r>
      <w:r w:rsidRPr="00250CDB">
        <w:tab/>
        <w:t xml:space="preserve">At its 6th meeting, on 24 July 2019, the Advisory Committee held, pursuant to Human Rights Council resolution 41/11, a discussion on new and emerging digital technologies and human rights. In this context, the representative of the Republic of Korea gave a presentation on the topic. A further presentation on the topic was given by a representative of the Rule of Law, Equality and Non-Discrimination Branch of OHCHR. During the ensuing discussion, statements were made by members of the Committee and representative of observer States (see annex III). The representative of the Republic of Korea and the representative of the Rule of Law, Equality and Non-Discrimination Branch made concluding remarks. </w:t>
      </w:r>
    </w:p>
    <w:p w:rsidR="00250CDB" w:rsidRDefault="00250CDB" w:rsidP="00250CDB">
      <w:pPr>
        <w:pStyle w:val="H1G"/>
      </w:pPr>
      <w:r>
        <w:tab/>
        <w:t>H.</w:t>
      </w:r>
      <w:r>
        <w:tab/>
        <w:t>Current levels of representation of women in human rights organs and mechanisms</w:t>
      </w:r>
    </w:p>
    <w:p w:rsidR="00047ABD" w:rsidRPr="00336AA6" w:rsidRDefault="00250CDB" w:rsidP="00250CDB">
      <w:pPr>
        <w:pStyle w:val="SingleTxtG"/>
      </w:pPr>
      <w:r>
        <w:t>19.</w:t>
      </w:r>
      <w:r>
        <w:tab/>
        <w:t>At its 6th meeting, on 24 July 2019, the Advisory Committee held, pursuant to Human Rights Council resolution 41/6, a discussion on the current levels of representation of women in human rights organs and mechanisms. In this context, the representative of Mexico gave presentation on the topic. During the ensuing discussion, statements were made by members of the Committee and representative of observer States (see annex III). The representative of Mexico made concluding remarks.</w:t>
      </w:r>
    </w:p>
    <w:bookmarkEnd w:id="76"/>
    <w:p w:rsidR="00047ABD" w:rsidRPr="00336AA6" w:rsidRDefault="00047ABD" w:rsidP="00B612B3">
      <w:pPr>
        <w:pStyle w:val="HChG"/>
      </w:pPr>
      <w:r w:rsidRPr="00336AA6">
        <w:tab/>
      </w:r>
      <w:bookmarkStart w:id="80" w:name="_Toc523845327"/>
      <w:bookmarkStart w:id="81" w:name="_Toc523845396"/>
      <w:bookmarkStart w:id="82" w:name="_Toc524094553"/>
      <w:bookmarkStart w:id="83" w:name="_Toc4598605"/>
      <w:r w:rsidRPr="00336AA6">
        <w:t>IV.</w:t>
      </w:r>
      <w:r w:rsidRPr="00336AA6">
        <w:tab/>
        <w:t xml:space="preserve">Implementation of sections III and IV of the annex to </w:t>
      </w:r>
      <w:r w:rsidRPr="00336AA6">
        <w:br/>
        <w:t xml:space="preserve">Human Rights Council resolution 5/1 of 18 June 2007, </w:t>
      </w:r>
      <w:r w:rsidRPr="00336AA6">
        <w:br/>
        <w:t>and of section III of the annex to Human Rights Council resolution 16/21 of 25 March 2011</w:t>
      </w:r>
      <w:bookmarkEnd w:id="80"/>
      <w:bookmarkEnd w:id="81"/>
      <w:bookmarkEnd w:id="82"/>
      <w:bookmarkEnd w:id="83"/>
    </w:p>
    <w:p w:rsidR="00047ABD" w:rsidRPr="00336AA6" w:rsidRDefault="00047ABD" w:rsidP="00B612B3">
      <w:pPr>
        <w:pStyle w:val="H1G"/>
      </w:pPr>
      <w:r w:rsidRPr="00336AA6">
        <w:tab/>
      </w:r>
      <w:bookmarkStart w:id="84" w:name="_Toc523845328"/>
      <w:bookmarkStart w:id="85" w:name="_Toc523845397"/>
      <w:bookmarkStart w:id="86" w:name="_Toc524094554"/>
      <w:bookmarkStart w:id="87" w:name="_Toc4598606"/>
      <w:r w:rsidRPr="00336AA6">
        <w:t>A.</w:t>
      </w:r>
      <w:r w:rsidRPr="00336AA6">
        <w:tab/>
        <w:t>Review of methods of work</w:t>
      </w:r>
      <w:bookmarkEnd w:id="84"/>
      <w:bookmarkEnd w:id="85"/>
      <w:bookmarkEnd w:id="86"/>
      <w:bookmarkEnd w:id="87"/>
    </w:p>
    <w:p w:rsidR="00047ABD" w:rsidRPr="00250CDB" w:rsidRDefault="00250CDB" w:rsidP="00250CDB">
      <w:pPr>
        <w:pStyle w:val="SingleTxtG"/>
      </w:pPr>
      <w:r w:rsidRPr="00250CDB">
        <w:t>20.</w:t>
      </w:r>
      <w:r w:rsidRPr="00250CDB">
        <w:tab/>
        <w:t>At its 8th meeting, on 25 July 2019, the Advisory Committee held, in a closed meeting, a discussion on its methods of work. In this context, the Committee discussed the study entitled “the Impacts of the Works of the United Nations Human Rights Council Advisory Committee: Challenges, Achievements and Prospects” prepared by Kaoru Obata.</w:t>
      </w:r>
    </w:p>
    <w:p w:rsidR="00047ABD" w:rsidRPr="00336AA6" w:rsidRDefault="00047ABD" w:rsidP="00B612B3">
      <w:pPr>
        <w:pStyle w:val="H1G"/>
      </w:pPr>
      <w:r w:rsidRPr="00336AA6">
        <w:tab/>
      </w:r>
      <w:bookmarkStart w:id="88" w:name="_Toc523845329"/>
      <w:bookmarkStart w:id="89" w:name="_Toc523845398"/>
      <w:bookmarkStart w:id="90" w:name="_Toc524094555"/>
      <w:bookmarkStart w:id="91" w:name="_Toc4598607"/>
      <w:r w:rsidRPr="00336AA6">
        <w:t>B.</w:t>
      </w:r>
      <w:r w:rsidRPr="00336AA6">
        <w:tab/>
      </w:r>
      <w:bookmarkEnd w:id="88"/>
      <w:bookmarkEnd w:id="89"/>
      <w:bookmarkEnd w:id="90"/>
      <w:bookmarkEnd w:id="91"/>
      <w:r w:rsidR="000A060D" w:rsidRPr="000A060D">
        <w:t>Agenda and annual programme of work</w:t>
      </w:r>
    </w:p>
    <w:p w:rsidR="000A060D" w:rsidRDefault="000A060D" w:rsidP="000A060D">
      <w:pPr>
        <w:pStyle w:val="SingleTxtG"/>
      </w:pPr>
      <w:r>
        <w:t>21.</w:t>
      </w:r>
      <w:r>
        <w:tab/>
        <w:t xml:space="preserve">At its 9th meeting, on 26 July 2019, the Advisory Committee held, in a closed meeting, a discussion on reflection papers and research proposals. Members of the </w:t>
      </w:r>
      <w:r>
        <w:lastRenderedPageBreak/>
        <w:t>Committee discussed the follow-up to be undertaken on research proposals considered at the nineteenth, twentieth, twenty-first and twenty-second sessions namely, those entitled:</w:t>
      </w:r>
    </w:p>
    <w:p w:rsidR="000A060D" w:rsidRDefault="000A060D" w:rsidP="000A060D">
      <w:pPr>
        <w:pStyle w:val="SingleTxtG"/>
      </w:pPr>
      <w:r>
        <w:t>• Economic, social and cultural rights on the agenda of international jurisdiction (Ion Diaconu);</w:t>
      </w:r>
    </w:p>
    <w:p w:rsidR="000A060D" w:rsidRDefault="000A060D" w:rsidP="000A060D">
      <w:pPr>
        <w:pStyle w:val="SingleTxtG"/>
      </w:pPr>
      <w:r>
        <w:t>• Refugees and internally displaced persons’ human rights (Mona Omar); and</w:t>
      </w:r>
    </w:p>
    <w:p w:rsidR="000A060D" w:rsidRDefault="000A060D" w:rsidP="000A060D">
      <w:pPr>
        <w:pStyle w:val="SingleTxtG"/>
      </w:pPr>
      <w:r>
        <w:t>• Right to a remedy and reparation for victims of gross violations of international human rights law and serious violations of international humanitarian law (Ludovic Hennebel).</w:t>
      </w:r>
    </w:p>
    <w:p w:rsidR="000A060D" w:rsidRDefault="000A060D" w:rsidP="000A060D">
      <w:pPr>
        <w:pStyle w:val="SingleTxtG"/>
      </w:pPr>
      <w:r>
        <w:t xml:space="preserve">22. </w:t>
      </w:r>
      <w:r>
        <w:tab/>
        <w:t xml:space="preserve">At the same meeting, the Advisory Committee decided to follow-up on the research proposal entitled “Economic, social and cultural rights on the agenda of international jurisdiction” prepared by Ion Diaconu which was already submitted to the Human Rights Council for its consideration at its twenty-first session. </w:t>
      </w:r>
    </w:p>
    <w:p w:rsidR="000A060D" w:rsidRDefault="000A060D" w:rsidP="000A060D">
      <w:pPr>
        <w:pStyle w:val="SingleTxtG"/>
      </w:pPr>
      <w:r>
        <w:t>Also at the same meeting, Jean Ziegler presented a draft research proposal entitled “Possible human rights violations in the European Union hotspots camps” for consideration by the Advisory Committee. In light of the overlapping issues with the research proposal on “Refugees and internally displaced persons’ human rights”, the Committee decided to merge the two researches. The merged proposal will be further elaborated and submitted to the twenty-fourth session of the Committee for its consideration.</w:t>
      </w:r>
    </w:p>
    <w:p w:rsidR="00047ABD" w:rsidRDefault="000A060D" w:rsidP="000A060D">
      <w:pPr>
        <w:pStyle w:val="SingleTxtG"/>
      </w:pPr>
      <w:r>
        <w:t>23.</w:t>
      </w:r>
      <w:r>
        <w:tab/>
        <w:t>The Advisory Committee decided to continue the discussion on the above-mentioned topics at its twenty-fourth session.</w:t>
      </w:r>
    </w:p>
    <w:p w:rsidR="00955A9E" w:rsidRPr="00665638" w:rsidRDefault="00955A9E" w:rsidP="00955A9E">
      <w:pPr>
        <w:pStyle w:val="H1G"/>
      </w:pPr>
      <w:r w:rsidRPr="00665638">
        <w:tab/>
      </w:r>
      <w:bookmarkStart w:id="92" w:name="_Toc523845330"/>
      <w:bookmarkStart w:id="93" w:name="_Toc523845399"/>
      <w:bookmarkStart w:id="94" w:name="_Toc524094556"/>
      <w:r w:rsidRPr="00665638">
        <w:t>C.</w:t>
      </w:r>
      <w:r w:rsidRPr="00665638">
        <w:tab/>
        <w:t>Appointment of members of the Working Group on Communications</w:t>
      </w:r>
      <w:bookmarkEnd w:id="92"/>
      <w:bookmarkEnd w:id="93"/>
      <w:bookmarkEnd w:id="94"/>
      <w:r w:rsidRPr="00665638">
        <w:t xml:space="preserve"> </w:t>
      </w:r>
    </w:p>
    <w:p w:rsidR="00955A9E" w:rsidRDefault="00955A9E" w:rsidP="00955A9E">
      <w:pPr>
        <w:pStyle w:val="SingleTxtG"/>
      </w:pPr>
      <w:r>
        <w:t>24</w:t>
      </w:r>
      <w:r w:rsidRPr="00B979CD">
        <w:t>.</w:t>
      </w:r>
      <w:r w:rsidRPr="00B979CD">
        <w:tab/>
      </w:r>
      <w:r>
        <w:t>According to paragraphs 91 to 93 of the annex to Human Rights Council resolution 5/1, the Advisory Committee is to appoint five of its members, one from each regional group, with due consideration for gender balance, to constitute the Working Group on Communications. In the event of a vacancy, the Committee should appoint an independent and highly qualified expert from the same regional group from the Committee. Since there is a need for independent expertise and continuity with regard to the examination and assessment of communications received, the independent and highly qualified experts of the Working Group are appointed for three years. Their mandate is renewable once only.</w:t>
      </w:r>
    </w:p>
    <w:p w:rsidR="00955A9E" w:rsidRDefault="00955A9E" w:rsidP="00955A9E">
      <w:pPr>
        <w:pStyle w:val="SingleTxtG"/>
      </w:pPr>
      <w:r>
        <w:t>25.</w:t>
      </w:r>
      <w:r>
        <w:tab/>
        <w:t>The current members of the Working Group on Communications were appointed by the Advisory Committee at its eleventh, thirteenth, seventeenth and twenty-first sessions (see A/HRC/AC/11/2, para. 29; A/HRC/AC/13/2, paras. 36–37; A/HRC/AC/17/2, para. 26; and A/HRC/AC/21/2 PARA. 22–24).</w:t>
      </w:r>
    </w:p>
    <w:p w:rsidR="00955A9E" w:rsidRPr="00336AA6" w:rsidRDefault="00955A9E" w:rsidP="00955A9E">
      <w:pPr>
        <w:pStyle w:val="SingleTxtG"/>
      </w:pPr>
      <w:r>
        <w:t>26.</w:t>
      </w:r>
      <w:r>
        <w:tab/>
        <w:t xml:space="preserve">In view of the fact that there are two vacancies at the Working Group, as the  term of one member, namely, </w:t>
      </w:r>
      <w:r w:rsidRPr="00B979CD">
        <w:t>Mikhail Lebedev</w:t>
      </w:r>
      <w:r>
        <w:t xml:space="preserve"> </w:t>
      </w:r>
      <w:r w:rsidRPr="009C5822">
        <w:t>(Eastern European Group),</w:t>
      </w:r>
      <w:r>
        <w:t xml:space="preserve"> expires on 30 September 2019 and another member of the Working group, namely, </w:t>
      </w:r>
      <w:r w:rsidRPr="00B979CD">
        <w:t>Karla Hanania De Varela</w:t>
      </w:r>
      <w:r>
        <w:t xml:space="preserve"> </w:t>
      </w:r>
      <w:r w:rsidRPr="009C5822">
        <w:t>(Latin American and Caribbean Group)</w:t>
      </w:r>
      <w:r>
        <w:t xml:space="preserve"> resigned,</w:t>
      </w:r>
      <w:r w:rsidRPr="00B979CD">
        <w:t xml:space="preserve"> the Committee decided, at its 9th meeting, on 26 July 2019, to appoint Ion Diaconu </w:t>
      </w:r>
      <w:r>
        <w:t>and Elizabeth</w:t>
      </w:r>
      <w:r w:rsidRPr="00B979CD">
        <w:t xml:space="preserve"> Salmón as </w:t>
      </w:r>
      <w:r>
        <w:t>new</w:t>
      </w:r>
      <w:r w:rsidRPr="00B979CD">
        <w:t xml:space="preserve"> members of the Working Group.</w:t>
      </w:r>
    </w:p>
    <w:p w:rsidR="00047ABD" w:rsidRPr="00336AA6" w:rsidRDefault="00047ABD" w:rsidP="00B612B3">
      <w:pPr>
        <w:pStyle w:val="HChG"/>
      </w:pPr>
      <w:r w:rsidRPr="00336AA6">
        <w:tab/>
      </w:r>
      <w:bookmarkStart w:id="95" w:name="_Toc523845331"/>
      <w:bookmarkStart w:id="96" w:name="_Toc523845400"/>
      <w:bookmarkStart w:id="97" w:name="_Toc524094557"/>
      <w:bookmarkStart w:id="98" w:name="_Toc4598608"/>
      <w:r w:rsidRPr="00336AA6">
        <w:t>V.</w:t>
      </w:r>
      <w:r w:rsidRPr="00336AA6">
        <w:tab/>
        <w:t xml:space="preserve">Report of the Advisory Committee on its </w:t>
      </w:r>
      <w:r w:rsidR="00955A9E" w:rsidRPr="00955A9E">
        <w:t>twenty-third</w:t>
      </w:r>
      <w:r w:rsidRPr="00336AA6">
        <w:t xml:space="preserve"> session</w:t>
      </w:r>
      <w:bookmarkEnd w:id="95"/>
      <w:bookmarkEnd w:id="96"/>
      <w:bookmarkEnd w:id="97"/>
      <w:bookmarkEnd w:id="98"/>
    </w:p>
    <w:p w:rsidR="00955A9E" w:rsidRPr="00955A9E" w:rsidRDefault="00955A9E" w:rsidP="00955A9E">
      <w:pPr>
        <w:pStyle w:val="SingleTxtG"/>
      </w:pPr>
      <w:r w:rsidRPr="00955A9E">
        <w:t>27.</w:t>
      </w:r>
      <w:r w:rsidRPr="00955A9E">
        <w:tab/>
        <w:t xml:space="preserve">At the 10th meeting, on 26 July 2019, the Rapporteur of the Advisory Committee presented the draft report of the twenty-third session of the Committee. The Committee adopted the draft report </w:t>
      </w:r>
      <w:r w:rsidRPr="00955A9E">
        <w:rPr>
          <w:i/>
        </w:rPr>
        <w:t>ad referendum</w:t>
      </w:r>
      <w:r w:rsidRPr="00955A9E">
        <w:t xml:space="preserve"> and decided to entrust the Rapporteur with its finalization.</w:t>
      </w:r>
    </w:p>
    <w:p w:rsidR="00955A9E" w:rsidRPr="00955A9E" w:rsidRDefault="00955A9E" w:rsidP="00955A9E">
      <w:pPr>
        <w:pStyle w:val="SingleTxtG"/>
      </w:pPr>
      <w:r w:rsidRPr="00955A9E">
        <w:t>28.</w:t>
      </w:r>
      <w:r w:rsidRPr="00955A9E">
        <w:tab/>
        <w:t xml:space="preserve">At the same meeting, a representative of Egypt requested to deliver a statement. </w:t>
      </w:r>
    </w:p>
    <w:p w:rsidR="00047ABD" w:rsidRPr="00336AA6" w:rsidRDefault="00955A9E" w:rsidP="00955A9E">
      <w:pPr>
        <w:pStyle w:val="SingleTxtG"/>
      </w:pPr>
      <w:r w:rsidRPr="00955A9E">
        <w:rPr>
          <w:rFonts w:eastAsiaTheme="minorHAnsi"/>
          <w:lang w:eastAsia="en-US"/>
        </w:rPr>
        <w:t>29.</w:t>
      </w:r>
      <w:r w:rsidRPr="00955A9E">
        <w:rPr>
          <w:rFonts w:eastAsiaTheme="minorHAnsi"/>
          <w:lang w:eastAsia="en-US"/>
        </w:rPr>
        <w:tab/>
        <w:t>Also at the same meeting, José Augusto Lindgren Alves, Alessio Bruni, Ludovic Hennebel, Mikhail Lebedev, Kaoru Obata, Mona Omar, and Jean Ziegler made closing statements. Following the usual exchange of courtesies, the Chair made final remarks and declared the twenty-third session of the Advisory Committee closed.</w:t>
      </w:r>
    </w:p>
    <w:bookmarkEnd w:id="39"/>
    <w:p w:rsidR="00047ABD" w:rsidRDefault="00047ABD" w:rsidP="00B612B3">
      <w:pPr>
        <w:pStyle w:val="HChG"/>
      </w:pPr>
      <w:r w:rsidRPr="00336AA6">
        <w:br w:type="page"/>
      </w:r>
      <w:bookmarkStart w:id="99" w:name="_Toc523845332"/>
      <w:bookmarkStart w:id="100" w:name="_Toc523845401"/>
      <w:bookmarkStart w:id="101" w:name="_Toc524094558"/>
      <w:bookmarkStart w:id="102" w:name="_Toc4598609"/>
      <w:r w:rsidRPr="00336AA6">
        <w:lastRenderedPageBreak/>
        <w:t>Annex I</w:t>
      </w:r>
      <w:bookmarkEnd w:id="99"/>
      <w:bookmarkEnd w:id="100"/>
      <w:bookmarkEnd w:id="101"/>
      <w:bookmarkEnd w:id="102"/>
    </w:p>
    <w:p w:rsidR="00717FD1" w:rsidRPr="00717FD1" w:rsidRDefault="00717FD1" w:rsidP="00B52134">
      <w:pPr>
        <w:pStyle w:val="HChG"/>
      </w:pPr>
      <w:r w:rsidRPr="00717FD1">
        <w:t>Agenda</w:t>
      </w:r>
    </w:p>
    <w:p w:rsidR="00717FD1" w:rsidRPr="00717FD1" w:rsidRDefault="00717FD1" w:rsidP="00093368">
      <w:pPr>
        <w:pStyle w:val="SingleTxtG"/>
      </w:pPr>
      <w:r w:rsidRPr="00717FD1">
        <w:t>1.</w:t>
      </w:r>
      <w:r w:rsidRPr="00717FD1">
        <w:tab/>
        <w:t>Adoption of the agenda and organization of work.</w:t>
      </w:r>
    </w:p>
    <w:p w:rsidR="00717FD1" w:rsidRPr="00717FD1" w:rsidRDefault="00717FD1" w:rsidP="00376D8E">
      <w:pPr>
        <w:pStyle w:val="SingleTxtG"/>
        <w:ind w:left="1689" w:hanging="555"/>
      </w:pPr>
      <w:r w:rsidRPr="00717FD1">
        <w:t>2.</w:t>
      </w:r>
      <w:r w:rsidRPr="00717FD1">
        <w:tab/>
        <w:t>Requests addressed to the Advisory Committee stemming from Human Rights Council resolutions and currently under consideration by the Committee:</w:t>
      </w:r>
    </w:p>
    <w:p w:rsidR="00717FD1" w:rsidRPr="00717FD1" w:rsidRDefault="00717FD1" w:rsidP="00093368">
      <w:pPr>
        <w:pStyle w:val="SingleTxtG"/>
        <w:ind w:firstLine="567"/>
      </w:pPr>
      <w:r w:rsidRPr="00717FD1">
        <w:t>(a)</w:t>
      </w:r>
      <w:r w:rsidRPr="00717FD1">
        <w:tab/>
        <w:t>Integration of a gender perspective;</w:t>
      </w:r>
    </w:p>
    <w:p w:rsidR="00717FD1" w:rsidRPr="00717FD1" w:rsidRDefault="00717FD1" w:rsidP="00093368">
      <w:pPr>
        <w:pStyle w:val="SingleTxtG"/>
        <w:ind w:firstLine="567"/>
      </w:pPr>
      <w:r w:rsidRPr="00717FD1">
        <w:t>(b)</w:t>
      </w:r>
      <w:r w:rsidRPr="00717FD1">
        <w:tab/>
        <w:t>Promotion of a democratic and equitable international order;</w:t>
      </w:r>
    </w:p>
    <w:p w:rsidR="00717FD1" w:rsidRPr="00717FD1" w:rsidRDefault="00717FD1" w:rsidP="00093368">
      <w:pPr>
        <w:pStyle w:val="SingleTxtG"/>
        <w:ind w:firstLine="567"/>
      </w:pPr>
      <w:r w:rsidRPr="00717FD1">
        <w:t>(c)</w:t>
      </w:r>
      <w:r w:rsidRPr="00717FD1">
        <w:tab/>
        <w:t>Integration of the perspective of persons with disabilities;</w:t>
      </w:r>
    </w:p>
    <w:p w:rsidR="00717FD1" w:rsidRPr="00717FD1" w:rsidRDefault="00717FD1" w:rsidP="00093368">
      <w:pPr>
        <w:pStyle w:val="SingleTxtG"/>
        <w:ind w:firstLine="567"/>
      </w:pPr>
      <w:r w:rsidRPr="00717FD1">
        <w:t>(d)</w:t>
      </w:r>
      <w:r w:rsidRPr="00717FD1">
        <w:tab/>
        <w:t xml:space="preserve">Negative effects of terrorism on the enjoyment of human rights; </w:t>
      </w:r>
    </w:p>
    <w:p w:rsidR="00717FD1" w:rsidRPr="00717FD1" w:rsidRDefault="00717FD1" w:rsidP="00093368">
      <w:pPr>
        <w:pStyle w:val="SingleTxtG"/>
        <w:ind w:firstLine="567"/>
      </w:pPr>
      <w:r w:rsidRPr="00717FD1">
        <w:t>(e)</w:t>
      </w:r>
      <w:r w:rsidRPr="00717FD1">
        <w:tab/>
        <w:t>National policies and human rights;</w:t>
      </w:r>
    </w:p>
    <w:p w:rsidR="00717FD1" w:rsidRPr="00093368" w:rsidRDefault="00717FD1" w:rsidP="00093368">
      <w:pPr>
        <w:pStyle w:val="SingleTxtG"/>
        <w:ind w:left="2268" w:hanging="567"/>
      </w:pPr>
      <w:r w:rsidRPr="00093368">
        <w:t>(f)</w:t>
      </w:r>
      <w:r w:rsidRPr="00093368">
        <w:tab/>
        <w:t>Global call for concrete action for the total elimination of racism, racial discrimination, xenophobia and related intolerance and the comprehensive implementation of and follow-up to the Durban Declaration and Programme of Action;</w:t>
      </w:r>
    </w:p>
    <w:p w:rsidR="00717FD1" w:rsidRPr="00717FD1" w:rsidRDefault="00717FD1" w:rsidP="00093368">
      <w:pPr>
        <w:pStyle w:val="SingleTxtG"/>
        <w:ind w:left="2268" w:hanging="567"/>
      </w:pPr>
      <w:r w:rsidRPr="00717FD1">
        <w:t>(g)</w:t>
      </w:r>
      <w:r w:rsidRPr="00717FD1">
        <w:tab/>
        <w:t>Role of technical assistance and capacity-building in fostering mutually beneficial cooperation in promoting and protecting human rights;</w:t>
      </w:r>
    </w:p>
    <w:p w:rsidR="00717FD1" w:rsidRPr="00717FD1" w:rsidRDefault="00717FD1" w:rsidP="00093368">
      <w:pPr>
        <w:pStyle w:val="SingleTxtG"/>
        <w:ind w:firstLine="567"/>
      </w:pPr>
      <w:r w:rsidRPr="00717FD1">
        <w:t>(h)</w:t>
      </w:r>
      <w:r w:rsidRPr="00717FD1">
        <w:tab/>
        <w:t>Importance of a legally binding instrument on the right to development.</w:t>
      </w:r>
    </w:p>
    <w:p w:rsidR="00717FD1" w:rsidRPr="00717FD1" w:rsidRDefault="00717FD1" w:rsidP="00093368">
      <w:pPr>
        <w:pStyle w:val="SingleTxtG"/>
        <w:ind w:left="2268" w:hanging="567"/>
      </w:pPr>
      <w:r w:rsidRPr="00717FD1">
        <w:t>(i)</w:t>
      </w:r>
      <w:r w:rsidRPr="00717FD1">
        <w:tab/>
        <w:t>Negative impact of the non-repatriation of funds of illicit origin on the enjoyment of human rights;</w:t>
      </w:r>
    </w:p>
    <w:p w:rsidR="00717FD1" w:rsidRPr="00717FD1" w:rsidRDefault="00717FD1" w:rsidP="00093368">
      <w:pPr>
        <w:pStyle w:val="SingleTxtG"/>
        <w:ind w:left="1701"/>
      </w:pPr>
      <w:r w:rsidRPr="00717FD1">
        <w:t>(j)</w:t>
      </w:r>
      <w:r w:rsidRPr="00717FD1">
        <w:tab/>
        <w:t xml:space="preserve">New and emerging digital technologies and human rights; </w:t>
      </w:r>
    </w:p>
    <w:p w:rsidR="00717FD1" w:rsidRPr="00717FD1" w:rsidRDefault="00717FD1" w:rsidP="00093368">
      <w:pPr>
        <w:pStyle w:val="SingleTxtG"/>
        <w:ind w:left="2268" w:hanging="567"/>
      </w:pPr>
      <w:r w:rsidRPr="00717FD1">
        <w:t>(k)</w:t>
      </w:r>
      <w:r w:rsidRPr="00717FD1">
        <w:tab/>
        <w:t>Current levels of representation of women in human rights organs and mechanisms.</w:t>
      </w:r>
    </w:p>
    <w:p w:rsidR="00717FD1" w:rsidRPr="00717FD1" w:rsidRDefault="00717FD1" w:rsidP="00093368">
      <w:pPr>
        <w:pStyle w:val="SingleTxtG"/>
        <w:ind w:left="1689" w:hanging="555"/>
      </w:pPr>
      <w:r w:rsidRPr="00717FD1">
        <w:t>3.</w:t>
      </w:r>
      <w:r w:rsidRPr="00717FD1">
        <w:tab/>
        <w:t>Implementation of sections III and IV of the annex to Human Rights Council resolution 5/1 and of section III of the annex to Council resolution 16/21:</w:t>
      </w:r>
    </w:p>
    <w:p w:rsidR="00717FD1" w:rsidRPr="00717FD1" w:rsidRDefault="00717FD1" w:rsidP="00093368">
      <w:pPr>
        <w:pStyle w:val="SingleTxtG"/>
        <w:ind w:firstLine="555"/>
      </w:pPr>
      <w:r w:rsidRPr="00717FD1">
        <w:t>(a)</w:t>
      </w:r>
      <w:r w:rsidRPr="00717FD1">
        <w:tab/>
        <w:t>Review of methods of work;</w:t>
      </w:r>
    </w:p>
    <w:p w:rsidR="00717FD1" w:rsidRPr="00717FD1" w:rsidRDefault="00717FD1" w:rsidP="00093368">
      <w:pPr>
        <w:pStyle w:val="SingleTxtG"/>
        <w:ind w:firstLine="555"/>
      </w:pPr>
      <w:r w:rsidRPr="00717FD1">
        <w:t>(b)</w:t>
      </w:r>
      <w:r w:rsidRPr="00717FD1">
        <w:tab/>
        <w:t>Agenda and annual programme of work, including new priorities;</w:t>
      </w:r>
    </w:p>
    <w:p w:rsidR="00717FD1" w:rsidRPr="00717FD1" w:rsidRDefault="00717FD1" w:rsidP="00093368">
      <w:pPr>
        <w:pStyle w:val="SingleTxtG"/>
        <w:ind w:firstLine="555"/>
      </w:pPr>
      <w:r w:rsidRPr="00717FD1">
        <w:t>(c)</w:t>
      </w:r>
      <w:r w:rsidRPr="00717FD1">
        <w:tab/>
        <w:t>Appointment of members of the Working Group on Communications.</w:t>
      </w:r>
    </w:p>
    <w:p w:rsidR="00E7046A" w:rsidRDefault="00717FD1" w:rsidP="00E7046A">
      <w:pPr>
        <w:pStyle w:val="SingleTxtG"/>
      </w:pPr>
      <w:r w:rsidRPr="00717FD1">
        <w:t>4.</w:t>
      </w:r>
      <w:r w:rsidRPr="00717FD1">
        <w:tab/>
        <w:t>Report of the Advisory Commit</w:t>
      </w:r>
      <w:r>
        <w:t>tee on its twenty-third session</w:t>
      </w:r>
      <w:r w:rsidR="00E555F9">
        <w:t>.</w:t>
      </w:r>
    </w:p>
    <w:p w:rsidR="00717FD1" w:rsidRPr="00717FD1" w:rsidRDefault="00C1158C" w:rsidP="00717FD1">
      <w:pPr>
        <w:pStyle w:val="HChG"/>
      </w:pPr>
      <w:r>
        <w:br w:type="page"/>
      </w:r>
      <w:r w:rsidR="00717FD1">
        <w:lastRenderedPageBreak/>
        <w:t>Annex II</w:t>
      </w:r>
      <w:r w:rsidR="00717FD1">
        <w:tab/>
      </w:r>
    </w:p>
    <w:p w:rsidR="00047ABD" w:rsidRPr="00336AA6" w:rsidRDefault="00047ABD" w:rsidP="00B52134">
      <w:pPr>
        <w:pStyle w:val="HChG"/>
      </w:pPr>
      <w:r w:rsidRPr="00336AA6">
        <w:tab/>
      </w:r>
      <w:r w:rsidRPr="00336AA6">
        <w:tab/>
      </w:r>
      <w:r w:rsidR="00717FD1" w:rsidRPr="00B32992">
        <w:t>Documents issued for the twenty-</w:t>
      </w:r>
      <w:r w:rsidR="00717FD1">
        <w:t>third</w:t>
      </w:r>
      <w:r w:rsidR="00717FD1" w:rsidRPr="00B32992">
        <w:t xml:space="preserve"> session</w:t>
      </w:r>
      <w:r w:rsidR="00717FD1" w:rsidRPr="00B32992">
        <w:br/>
        <w:t>of the Advisory Committee</w:t>
      </w:r>
    </w:p>
    <w:p w:rsidR="00047ABD" w:rsidRPr="00336AA6" w:rsidRDefault="00047ABD" w:rsidP="00B612B3">
      <w:pPr>
        <w:pStyle w:val="H23G"/>
      </w:pPr>
      <w:r w:rsidRPr="00336AA6">
        <w:tab/>
      </w:r>
      <w:r w:rsidRPr="00336AA6">
        <w:tab/>
      </w:r>
      <w:bookmarkStart w:id="103" w:name="_Toc523845334"/>
      <w:bookmarkStart w:id="104" w:name="_Toc523845403"/>
      <w:bookmarkStart w:id="105" w:name="_Toc524094560"/>
      <w:r w:rsidRPr="00336AA6">
        <w:t>Documents issued in the general series</w:t>
      </w:r>
      <w:bookmarkEnd w:id="103"/>
      <w:bookmarkEnd w:id="104"/>
      <w:bookmarkEnd w:id="105"/>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2268"/>
        <w:gridCol w:w="1134"/>
        <w:gridCol w:w="3968"/>
      </w:tblGrid>
      <w:tr w:rsidR="00717FD1" w:rsidRPr="00120DA7" w:rsidTr="00717FD1">
        <w:trPr>
          <w:tblHeader/>
        </w:trPr>
        <w:tc>
          <w:tcPr>
            <w:tcW w:w="2268" w:type="dxa"/>
            <w:tcBorders>
              <w:top w:val="single" w:sz="4" w:space="0" w:color="auto"/>
              <w:bottom w:val="single" w:sz="12" w:space="0" w:color="auto"/>
            </w:tcBorders>
            <w:shd w:val="clear" w:color="auto" w:fill="auto"/>
            <w:vAlign w:val="bottom"/>
          </w:tcPr>
          <w:p w:rsidR="00717FD1" w:rsidRPr="00FD4EBE" w:rsidRDefault="00717FD1" w:rsidP="00717FD1">
            <w:pPr>
              <w:pStyle w:val="SingleTxtG"/>
              <w:spacing w:before="80" w:after="80" w:line="200" w:lineRule="exact"/>
              <w:ind w:left="0" w:right="113"/>
              <w:jc w:val="left"/>
              <w:rPr>
                <w:i/>
                <w:sz w:val="16"/>
              </w:rPr>
            </w:pPr>
            <w:r w:rsidRPr="00FD4EBE">
              <w:rPr>
                <w:i/>
                <w:sz w:val="16"/>
              </w:rPr>
              <w:t>Symbol</w:t>
            </w:r>
          </w:p>
        </w:tc>
        <w:tc>
          <w:tcPr>
            <w:tcW w:w="1134" w:type="dxa"/>
            <w:tcBorders>
              <w:top w:val="single" w:sz="4" w:space="0" w:color="auto"/>
              <w:bottom w:val="single" w:sz="12" w:space="0" w:color="auto"/>
            </w:tcBorders>
            <w:shd w:val="clear" w:color="auto" w:fill="auto"/>
            <w:vAlign w:val="bottom"/>
          </w:tcPr>
          <w:p w:rsidR="00717FD1" w:rsidRPr="00FD4EBE" w:rsidRDefault="00717FD1" w:rsidP="00717FD1">
            <w:pPr>
              <w:pStyle w:val="SingleTxtG"/>
              <w:spacing w:before="80" w:after="80" w:line="200" w:lineRule="exact"/>
              <w:ind w:left="0" w:right="113"/>
              <w:jc w:val="left"/>
              <w:rPr>
                <w:i/>
                <w:sz w:val="16"/>
              </w:rPr>
            </w:pPr>
            <w:r w:rsidRPr="00FD4EBE">
              <w:rPr>
                <w:i/>
                <w:sz w:val="16"/>
              </w:rPr>
              <w:t>Agenda item</w:t>
            </w:r>
          </w:p>
        </w:tc>
        <w:tc>
          <w:tcPr>
            <w:tcW w:w="3968" w:type="dxa"/>
            <w:tcBorders>
              <w:top w:val="single" w:sz="4" w:space="0" w:color="auto"/>
              <w:bottom w:val="single" w:sz="12" w:space="0" w:color="auto"/>
            </w:tcBorders>
            <w:shd w:val="clear" w:color="auto" w:fill="auto"/>
            <w:vAlign w:val="bottom"/>
          </w:tcPr>
          <w:p w:rsidR="00717FD1" w:rsidRPr="00FD4EBE" w:rsidRDefault="00717FD1" w:rsidP="00717FD1">
            <w:pPr>
              <w:pStyle w:val="SingleTxtG"/>
              <w:spacing w:before="80" w:after="80" w:line="200" w:lineRule="exact"/>
              <w:ind w:left="0" w:right="113"/>
              <w:jc w:val="left"/>
              <w:rPr>
                <w:i/>
                <w:sz w:val="16"/>
              </w:rPr>
            </w:pPr>
          </w:p>
        </w:tc>
      </w:tr>
      <w:tr w:rsidR="00717FD1" w:rsidRPr="00120DA7" w:rsidTr="00717FD1">
        <w:tc>
          <w:tcPr>
            <w:tcW w:w="2268" w:type="dxa"/>
            <w:tcBorders>
              <w:top w:val="single" w:sz="12" w:space="0" w:color="auto"/>
            </w:tcBorders>
            <w:shd w:val="clear" w:color="auto" w:fill="auto"/>
          </w:tcPr>
          <w:p w:rsidR="00717FD1" w:rsidRDefault="00717FD1" w:rsidP="00717FD1">
            <w:pPr>
              <w:pStyle w:val="SingleTxtG"/>
              <w:spacing w:before="40" w:line="220" w:lineRule="exact"/>
              <w:ind w:left="0" w:right="113"/>
              <w:jc w:val="left"/>
            </w:pPr>
            <w:r w:rsidRPr="00FD4EBE">
              <w:t>A/HRC/AC/2</w:t>
            </w:r>
            <w:r>
              <w:t>3</w:t>
            </w:r>
            <w:r w:rsidRPr="00FD4EBE">
              <w:t>/1</w:t>
            </w:r>
          </w:p>
          <w:p w:rsidR="00717FD1" w:rsidRPr="00FD4EBE" w:rsidRDefault="00717FD1" w:rsidP="00717FD1">
            <w:pPr>
              <w:pStyle w:val="SingleTxtG"/>
              <w:spacing w:before="40" w:line="220" w:lineRule="exact"/>
              <w:ind w:left="0" w:right="113"/>
              <w:jc w:val="left"/>
            </w:pPr>
            <w:r>
              <w:t>A/HRC/AC/23/1/Add.1</w:t>
            </w:r>
          </w:p>
        </w:tc>
        <w:tc>
          <w:tcPr>
            <w:tcW w:w="1134" w:type="dxa"/>
            <w:tcBorders>
              <w:top w:val="single" w:sz="12" w:space="0" w:color="auto"/>
            </w:tcBorders>
            <w:shd w:val="clear" w:color="auto" w:fill="auto"/>
          </w:tcPr>
          <w:p w:rsidR="00717FD1" w:rsidRDefault="00717FD1" w:rsidP="00717FD1">
            <w:pPr>
              <w:pStyle w:val="SingleTxtG"/>
              <w:spacing w:before="40" w:line="220" w:lineRule="exact"/>
              <w:ind w:left="0" w:right="113"/>
              <w:jc w:val="left"/>
            </w:pPr>
            <w:r w:rsidRPr="00FD4EBE">
              <w:t>1</w:t>
            </w:r>
          </w:p>
          <w:p w:rsidR="00717FD1" w:rsidRPr="00FD4EBE" w:rsidRDefault="00717FD1" w:rsidP="00717FD1">
            <w:pPr>
              <w:pStyle w:val="SingleTxtG"/>
              <w:spacing w:before="40" w:line="220" w:lineRule="exact"/>
              <w:ind w:left="0" w:right="113"/>
              <w:jc w:val="left"/>
            </w:pPr>
            <w:r>
              <w:t>1</w:t>
            </w:r>
          </w:p>
        </w:tc>
        <w:tc>
          <w:tcPr>
            <w:tcW w:w="3968" w:type="dxa"/>
            <w:tcBorders>
              <w:top w:val="single" w:sz="12" w:space="0" w:color="auto"/>
            </w:tcBorders>
            <w:shd w:val="clear" w:color="auto" w:fill="auto"/>
          </w:tcPr>
          <w:p w:rsidR="00717FD1" w:rsidRDefault="00717FD1" w:rsidP="00717FD1">
            <w:pPr>
              <w:pStyle w:val="SingleTxtG"/>
              <w:spacing w:before="40" w:line="220" w:lineRule="exact"/>
              <w:ind w:left="0" w:right="113"/>
              <w:jc w:val="left"/>
            </w:pPr>
            <w:r w:rsidRPr="00FD4EBE">
              <w:t xml:space="preserve">Provisional agenda and annotations </w:t>
            </w:r>
          </w:p>
          <w:p w:rsidR="00717FD1" w:rsidRPr="00FD4EBE" w:rsidRDefault="00717FD1" w:rsidP="00717FD1">
            <w:pPr>
              <w:pStyle w:val="SingleTxtG"/>
              <w:spacing w:before="40" w:line="220" w:lineRule="exact"/>
              <w:ind w:left="0" w:right="113"/>
              <w:jc w:val="left"/>
            </w:pPr>
            <w:r>
              <w:t>Addendum to the agenda</w:t>
            </w:r>
          </w:p>
        </w:tc>
      </w:tr>
      <w:tr w:rsidR="00717FD1" w:rsidRPr="00120DA7" w:rsidTr="00717FD1">
        <w:tc>
          <w:tcPr>
            <w:tcW w:w="2268" w:type="dxa"/>
            <w:shd w:val="clear" w:color="auto" w:fill="auto"/>
          </w:tcPr>
          <w:p w:rsidR="00717FD1" w:rsidRPr="00FD4EBE" w:rsidRDefault="00717FD1" w:rsidP="00717FD1">
            <w:pPr>
              <w:pStyle w:val="SingleTxtG"/>
              <w:spacing w:before="40" w:line="220" w:lineRule="exact"/>
              <w:ind w:left="0" w:right="113"/>
              <w:jc w:val="left"/>
            </w:pPr>
            <w:r w:rsidRPr="00FD4EBE">
              <w:t>A/HRC/AC/2</w:t>
            </w:r>
            <w:r>
              <w:t>3</w:t>
            </w:r>
            <w:r w:rsidRPr="00FD4EBE">
              <w:t>/2</w:t>
            </w:r>
          </w:p>
        </w:tc>
        <w:tc>
          <w:tcPr>
            <w:tcW w:w="1134" w:type="dxa"/>
            <w:shd w:val="clear" w:color="auto" w:fill="auto"/>
          </w:tcPr>
          <w:p w:rsidR="00717FD1" w:rsidRPr="00FD4EBE" w:rsidRDefault="00717FD1" w:rsidP="00717FD1">
            <w:pPr>
              <w:pStyle w:val="SingleTxtG"/>
              <w:spacing w:before="40" w:line="220" w:lineRule="exact"/>
              <w:ind w:left="0" w:right="113"/>
              <w:jc w:val="left"/>
            </w:pPr>
            <w:r w:rsidRPr="00FD4EBE">
              <w:t>4</w:t>
            </w:r>
          </w:p>
        </w:tc>
        <w:tc>
          <w:tcPr>
            <w:tcW w:w="3968" w:type="dxa"/>
            <w:shd w:val="clear" w:color="auto" w:fill="auto"/>
          </w:tcPr>
          <w:p w:rsidR="00717FD1" w:rsidRPr="00FD4EBE" w:rsidRDefault="00717FD1" w:rsidP="00717FD1">
            <w:pPr>
              <w:pStyle w:val="SingleTxtG"/>
              <w:spacing w:before="40" w:line="220" w:lineRule="exact"/>
              <w:ind w:left="0" w:right="113"/>
              <w:jc w:val="left"/>
            </w:pPr>
            <w:r w:rsidRPr="00FD4EBE">
              <w:t>Report of the Advisory Committee on its twenty-</w:t>
            </w:r>
            <w:r>
              <w:t>third</w:t>
            </w:r>
            <w:r w:rsidRPr="00FD4EBE">
              <w:t xml:space="preserve"> session</w:t>
            </w:r>
          </w:p>
        </w:tc>
      </w:tr>
    </w:tbl>
    <w:p w:rsidR="00091C14" w:rsidRDefault="00047ABD" w:rsidP="00120DA7">
      <w:pPr>
        <w:pStyle w:val="H23G"/>
      </w:pPr>
      <w:r w:rsidRPr="00336AA6">
        <w:tab/>
      </w:r>
      <w:r w:rsidRPr="00336AA6">
        <w:tab/>
      </w:r>
      <w:bookmarkStart w:id="106" w:name="_Toc523845335"/>
      <w:bookmarkStart w:id="107" w:name="_Toc523845404"/>
      <w:bookmarkStart w:id="108" w:name="_Toc524094561"/>
      <w:r w:rsidRPr="00336AA6">
        <w:t>Documents issued in the limited series</w:t>
      </w:r>
      <w:bookmarkEnd w:id="106"/>
      <w:bookmarkEnd w:id="107"/>
      <w:bookmarkEnd w:id="108"/>
      <w:r w:rsidR="009D5F38">
        <w:t xml:space="preserve"> </w:t>
      </w:r>
      <w:r w:rsidR="009D5F38" w:rsidRPr="009D5F38">
        <w:t>(Actions)</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2268"/>
        <w:gridCol w:w="1134"/>
        <w:gridCol w:w="3968"/>
      </w:tblGrid>
      <w:tr w:rsidR="00E53E9C" w:rsidRPr="00091C14" w:rsidTr="00091C14">
        <w:trPr>
          <w:tblHeader/>
        </w:trPr>
        <w:tc>
          <w:tcPr>
            <w:tcW w:w="2268" w:type="dxa"/>
            <w:tcBorders>
              <w:top w:val="single" w:sz="4" w:space="0" w:color="auto"/>
              <w:bottom w:val="single" w:sz="12" w:space="0" w:color="auto"/>
            </w:tcBorders>
            <w:shd w:val="clear" w:color="auto" w:fill="auto"/>
            <w:vAlign w:val="bottom"/>
          </w:tcPr>
          <w:p w:rsidR="00E53E9C" w:rsidRPr="00FD4EBE" w:rsidRDefault="00E53E9C" w:rsidP="00E53E9C">
            <w:pPr>
              <w:pStyle w:val="SingleTxtG"/>
              <w:spacing w:before="80" w:after="80" w:line="200" w:lineRule="exact"/>
              <w:ind w:left="0" w:right="113"/>
              <w:jc w:val="left"/>
              <w:rPr>
                <w:i/>
                <w:sz w:val="16"/>
              </w:rPr>
            </w:pPr>
            <w:r w:rsidRPr="00FD4EBE">
              <w:rPr>
                <w:i/>
                <w:sz w:val="16"/>
              </w:rPr>
              <w:t>Symbol</w:t>
            </w:r>
          </w:p>
        </w:tc>
        <w:tc>
          <w:tcPr>
            <w:tcW w:w="1134" w:type="dxa"/>
            <w:tcBorders>
              <w:top w:val="single" w:sz="4" w:space="0" w:color="auto"/>
              <w:bottom w:val="single" w:sz="12" w:space="0" w:color="auto"/>
            </w:tcBorders>
            <w:shd w:val="clear" w:color="auto" w:fill="auto"/>
            <w:vAlign w:val="bottom"/>
          </w:tcPr>
          <w:p w:rsidR="00E53E9C" w:rsidRPr="00FD4EBE" w:rsidRDefault="00E53E9C" w:rsidP="00E53E9C">
            <w:pPr>
              <w:pStyle w:val="SingleTxtG"/>
              <w:spacing w:before="80" w:after="80" w:line="200" w:lineRule="exact"/>
              <w:ind w:left="0" w:right="113"/>
              <w:jc w:val="left"/>
              <w:rPr>
                <w:i/>
                <w:sz w:val="16"/>
              </w:rPr>
            </w:pPr>
            <w:r w:rsidRPr="00FD4EBE">
              <w:rPr>
                <w:i/>
                <w:sz w:val="16"/>
              </w:rPr>
              <w:t>Agenda item</w:t>
            </w:r>
          </w:p>
        </w:tc>
        <w:tc>
          <w:tcPr>
            <w:tcW w:w="3968" w:type="dxa"/>
            <w:tcBorders>
              <w:top w:val="single" w:sz="4" w:space="0" w:color="auto"/>
              <w:bottom w:val="single" w:sz="12" w:space="0" w:color="auto"/>
            </w:tcBorders>
            <w:shd w:val="clear" w:color="auto" w:fill="auto"/>
            <w:vAlign w:val="bottom"/>
          </w:tcPr>
          <w:p w:rsidR="00E53E9C" w:rsidRPr="00FD4EBE" w:rsidRDefault="00E53E9C" w:rsidP="00E53E9C">
            <w:pPr>
              <w:pStyle w:val="SingleTxtG"/>
              <w:spacing w:before="80" w:after="80" w:line="200" w:lineRule="exact"/>
              <w:ind w:left="0" w:right="113"/>
              <w:jc w:val="left"/>
              <w:rPr>
                <w:i/>
                <w:sz w:val="16"/>
              </w:rPr>
            </w:pPr>
          </w:p>
        </w:tc>
      </w:tr>
      <w:tr w:rsidR="00E53E9C" w:rsidRPr="00091C14" w:rsidTr="00091C14">
        <w:tc>
          <w:tcPr>
            <w:tcW w:w="2268" w:type="dxa"/>
            <w:tcBorders>
              <w:top w:val="single" w:sz="12" w:space="0" w:color="auto"/>
            </w:tcBorders>
            <w:shd w:val="clear" w:color="auto" w:fill="auto"/>
          </w:tcPr>
          <w:p w:rsidR="00E53E9C" w:rsidRPr="004B483E" w:rsidRDefault="00E53E9C" w:rsidP="00E53E9C">
            <w:pPr>
              <w:pStyle w:val="SingleTxtG"/>
              <w:spacing w:before="40" w:line="220" w:lineRule="exact"/>
              <w:ind w:left="0" w:right="113"/>
              <w:jc w:val="left"/>
            </w:pPr>
            <w:r w:rsidRPr="004B483E">
              <w:t>A/HRC/AC/23/L.1</w:t>
            </w:r>
          </w:p>
        </w:tc>
        <w:tc>
          <w:tcPr>
            <w:tcW w:w="1134" w:type="dxa"/>
            <w:tcBorders>
              <w:top w:val="single" w:sz="12" w:space="0" w:color="auto"/>
            </w:tcBorders>
            <w:shd w:val="clear" w:color="auto" w:fill="auto"/>
          </w:tcPr>
          <w:p w:rsidR="00E53E9C" w:rsidRPr="004B483E" w:rsidRDefault="00E53E9C" w:rsidP="00E53E9C">
            <w:pPr>
              <w:pStyle w:val="SingleTxtG"/>
              <w:spacing w:before="40" w:line="220" w:lineRule="exact"/>
              <w:ind w:left="0" w:right="113"/>
              <w:jc w:val="left"/>
            </w:pPr>
            <w:r w:rsidRPr="004B483E">
              <w:t>2 (e)</w:t>
            </w:r>
          </w:p>
        </w:tc>
        <w:tc>
          <w:tcPr>
            <w:tcW w:w="3968" w:type="dxa"/>
            <w:tcBorders>
              <w:top w:val="single" w:sz="12" w:space="0" w:color="auto"/>
            </w:tcBorders>
            <w:shd w:val="clear" w:color="auto" w:fill="auto"/>
          </w:tcPr>
          <w:p w:rsidR="00E53E9C" w:rsidRPr="004B483E" w:rsidRDefault="00E53E9C" w:rsidP="00E53E9C">
            <w:pPr>
              <w:pStyle w:val="SingleTxtG"/>
              <w:spacing w:before="40" w:line="220" w:lineRule="exact"/>
              <w:ind w:left="0" w:right="113"/>
              <w:jc w:val="left"/>
            </w:pPr>
            <w:r w:rsidRPr="004B483E">
              <w:t>National policies and human rights</w:t>
            </w:r>
          </w:p>
        </w:tc>
      </w:tr>
      <w:tr w:rsidR="00E53E9C" w:rsidRPr="00091C14" w:rsidTr="00091C14">
        <w:tc>
          <w:tcPr>
            <w:tcW w:w="2268" w:type="dxa"/>
            <w:shd w:val="clear" w:color="auto" w:fill="auto"/>
          </w:tcPr>
          <w:p w:rsidR="00E53E9C" w:rsidRPr="004B483E" w:rsidRDefault="00E53E9C" w:rsidP="00E53E9C">
            <w:pPr>
              <w:pStyle w:val="SingleTxtG"/>
              <w:spacing w:before="40" w:line="220" w:lineRule="exact"/>
              <w:ind w:left="0" w:right="113"/>
              <w:jc w:val="left"/>
            </w:pPr>
            <w:r w:rsidRPr="004B483E">
              <w:t>A/HRC/AC/23/L.2</w:t>
            </w:r>
          </w:p>
        </w:tc>
        <w:tc>
          <w:tcPr>
            <w:tcW w:w="1134" w:type="dxa"/>
            <w:shd w:val="clear" w:color="auto" w:fill="auto"/>
          </w:tcPr>
          <w:p w:rsidR="00E53E9C" w:rsidRPr="004B483E" w:rsidRDefault="00E53E9C" w:rsidP="00E53E9C">
            <w:pPr>
              <w:pStyle w:val="SingleTxtG"/>
              <w:spacing w:before="40" w:line="220" w:lineRule="exact"/>
              <w:ind w:left="0" w:right="113"/>
              <w:jc w:val="left"/>
            </w:pPr>
            <w:r w:rsidRPr="004B483E">
              <w:t>2 (f)</w:t>
            </w:r>
          </w:p>
        </w:tc>
        <w:tc>
          <w:tcPr>
            <w:tcW w:w="3968" w:type="dxa"/>
            <w:shd w:val="clear" w:color="auto" w:fill="auto"/>
          </w:tcPr>
          <w:p w:rsidR="00E53E9C" w:rsidRPr="004B483E" w:rsidRDefault="00E53E9C" w:rsidP="00E53E9C">
            <w:pPr>
              <w:pStyle w:val="SingleTxtG"/>
              <w:spacing w:before="40" w:line="220" w:lineRule="exact"/>
              <w:ind w:left="0" w:right="113"/>
              <w:jc w:val="left"/>
            </w:pPr>
            <w:r w:rsidRPr="004B483E">
              <w:t>Global call for concrete action for the total elimination of racism, racial discrimination, xenophobia and related intolerance and the comprehensive implementation of and follow-up to the Durban Declaration and Programme of Action</w:t>
            </w:r>
          </w:p>
        </w:tc>
      </w:tr>
      <w:tr w:rsidR="00E53E9C" w:rsidRPr="00091C14" w:rsidTr="00091C14">
        <w:tc>
          <w:tcPr>
            <w:tcW w:w="2268" w:type="dxa"/>
            <w:shd w:val="clear" w:color="auto" w:fill="auto"/>
          </w:tcPr>
          <w:p w:rsidR="00E53E9C" w:rsidRPr="004B483E" w:rsidRDefault="00E53E9C" w:rsidP="00E53E9C">
            <w:pPr>
              <w:pStyle w:val="SingleTxtG"/>
              <w:spacing w:before="40" w:line="220" w:lineRule="exact"/>
              <w:ind w:left="0" w:right="113"/>
              <w:jc w:val="left"/>
            </w:pPr>
            <w:r w:rsidRPr="004B483E">
              <w:t>A/HRC/AC/23/L.3</w:t>
            </w:r>
          </w:p>
        </w:tc>
        <w:tc>
          <w:tcPr>
            <w:tcW w:w="1134" w:type="dxa"/>
            <w:shd w:val="clear" w:color="auto" w:fill="auto"/>
          </w:tcPr>
          <w:p w:rsidR="00E53E9C" w:rsidRPr="004B483E" w:rsidRDefault="00E53E9C" w:rsidP="00E53E9C">
            <w:pPr>
              <w:pStyle w:val="SingleTxtG"/>
              <w:spacing w:before="40" w:line="220" w:lineRule="exact"/>
              <w:ind w:left="0" w:right="113"/>
              <w:jc w:val="left"/>
            </w:pPr>
            <w:r w:rsidRPr="004B483E">
              <w:t>2 (g)</w:t>
            </w:r>
          </w:p>
        </w:tc>
        <w:tc>
          <w:tcPr>
            <w:tcW w:w="3968" w:type="dxa"/>
            <w:shd w:val="clear" w:color="auto" w:fill="auto"/>
          </w:tcPr>
          <w:p w:rsidR="00E53E9C" w:rsidRPr="004B483E" w:rsidRDefault="00E53E9C" w:rsidP="00E53E9C">
            <w:pPr>
              <w:pStyle w:val="SingleTxtG"/>
              <w:spacing w:before="40" w:line="220" w:lineRule="exact"/>
              <w:ind w:left="0" w:right="113"/>
              <w:jc w:val="left"/>
            </w:pPr>
            <w:r w:rsidRPr="004B483E">
              <w:t>Role of technical assistance and capacity-building in fostering mutually beneficial cooperation in promoting and protecting human rights</w:t>
            </w:r>
          </w:p>
        </w:tc>
      </w:tr>
      <w:tr w:rsidR="00E53E9C" w:rsidRPr="00091C14" w:rsidTr="00091C14">
        <w:tc>
          <w:tcPr>
            <w:tcW w:w="2268" w:type="dxa"/>
            <w:shd w:val="clear" w:color="auto" w:fill="auto"/>
          </w:tcPr>
          <w:p w:rsidR="00E53E9C" w:rsidRPr="004B483E" w:rsidRDefault="00E53E9C" w:rsidP="00E53E9C">
            <w:pPr>
              <w:pStyle w:val="SingleTxtG"/>
              <w:spacing w:before="40" w:line="220" w:lineRule="exact"/>
              <w:ind w:left="0" w:right="113"/>
              <w:jc w:val="left"/>
            </w:pPr>
            <w:r w:rsidRPr="004B483E">
              <w:t>A/HRC/AC/23/L.4</w:t>
            </w:r>
          </w:p>
        </w:tc>
        <w:tc>
          <w:tcPr>
            <w:tcW w:w="1134" w:type="dxa"/>
            <w:shd w:val="clear" w:color="auto" w:fill="auto"/>
          </w:tcPr>
          <w:p w:rsidR="00E53E9C" w:rsidRPr="004B483E" w:rsidRDefault="00E53E9C" w:rsidP="00E53E9C">
            <w:pPr>
              <w:pStyle w:val="SingleTxtG"/>
              <w:spacing w:before="40" w:line="220" w:lineRule="exact"/>
              <w:ind w:left="0" w:right="113"/>
              <w:jc w:val="left"/>
            </w:pPr>
            <w:r w:rsidRPr="004B483E">
              <w:t>2 (h)</w:t>
            </w:r>
          </w:p>
        </w:tc>
        <w:tc>
          <w:tcPr>
            <w:tcW w:w="3968" w:type="dxa"/>
            <w:shd w:val="clear" w:color="auto" w:fill="auto"/>
          </w:tcPr>
          <w:p w:rsidR="00E53E9C" w:rsidRPr="004B483E" w:rsidRDefault="00E53E9C" w:rsidP="00E53E9C">
            <w:pPr>
              <w:pStyle w:val="SingleTxtG"/>
              <w:spacing w:before="40" w:line="220" w:lineRule="exact"/>
              <w:ind w:left="0" w:right="113"/>
              <w:jc w:val="left"/>
            </w:pPr>
            <w:r w:rsidRPr="004B483E">
              <w:t>Importance of a legally binding instrument on the right to development</w:t>
            </w:r>
          </w:p>
        </w:tc>
      </w:tr>
      <w:tr w:rsidR="00E53E9C" w:rsidRPr="00091C14" w:rsidTr="00091C14">
        <w:tc>
          <w:tcPr>
            <w:tcW w:w="2268" w:type="dxa"/>
            <w:shd w:val="clear" w:color="auto" w:fill="auto"/>
          </w:tcPr>
          <w:p w:rsidR="00E53E9C" w:rsidRPr="004B483E" w:rsidRDefault="00E53E9C" w:rsidP="00E53E9C">
            <w:pPr>
              <w:pStyle w:val="SingleTxtG"/>
              <w:spacing w:before="40" w:line="220" w:lineRule="exact"/>
              <w:ind w:left="0" w:right="113"/>
              <w:jc w:val="left"/>
            </w:pPr>
            <w:r w:rsidRPr="004B483E">
              <w:t>A/HRC/AC/23/L.5</w:t>
            </w:r>
          </w:p>
        </w:tc>
        <w:tc>
          <w:tcPr>
            <w:tcW w:w="1134" w:type="dxa"/>
            <w:shd w:val="clear" w:color="auto" w:fill="auto"/>
          </w:tcPr>
          <w:p w:rsidR="00E53E9C" w:rsidRPr="004B483E" w:rsidRDefault="00E53E9C" w:rsidP="00E53E9C">
            <w:pPr>
              <w:pStyle w:val="SingleTxtG"/>
              <w:spacing w:before="40" w:line="220" w:lineRule="exact"/>
              <w:ind w:left="0" w:right="113"/>
              <w:jc w:val="left"/>
            </w:pPr>
            <w:r w:rsidRPr="004B483E">
              <w:t>2 (j)</w:t>
            </w:r>
          </w:p>
        </w:tc>
        <w:tc>
          <w:tcPr>
            <w:tcW w:w="3968" w:type="dxa"/>
            <w:shd w:val="clear" w:color="auto" w:fill="auto"/>
          </w:tcPr>
          <w:p w:rsidR="00E53E9C" w:rsidRPr="004B483E" w:rsidRDefault="00E53E9C" w:rsidP="00E53E9C">
            <w:pPr>
              <w:pStyle w:val="SingleTxtG"/>
              <w:spacing w:before="40" w:line="220" w:lineRule="exact"/>
              <w:ind w:left="0" w:right="113"/>
              <w:jc w:val="left"/>
            </w:pPr>
            <w:r w:rsidRPr="004B483E">
              <w:t>New and emerging digital technologies and human rights</w:t>
            </w:r>
          </w:p>
        </w:tc>
      </w:tr>
      <w:tr w:rsidR="00E53E9C" w:rsidRPr="00091C14" w:rsidTr="00091C14">
        <w:tc>
          <w:tcPr>
            <w:tcW w:w="2268" w:type="dxa"/>
            <w:shd w:val="clear" w:color="auto" w:fill="auto"/>
          </w:tcPr>
          <w:p w:rsidR="00E53E9C" w:rsidRPr="004B483E" w:rsidRDefault="00E53E9C" w:rsidP="00E53E9C">
            <w:pPr>
              <w:pStyle w:val="SingleTxtG"/>
              <w:spacing w:before="40" w:line="220" w:lineRule="exact"/>
              <w:ind w:left="0" w:right="113"/>
              <w:jc w:val="left"/>
            </w:pPr>
            <w:r w:rsidRPr="004B483E">
              <w:t>A/HRC/AC/23/L.6</w:t>
            </w:r>
          </w:p>
        </w:tc>
        <w:tc>
          <w:tcPr>
            <w:tcW w:w="1134" w:type="dxa"/>
            <w:shd w:val="clear" w:color="auto" w:fill="auto"/>
          </w:tcPr>
          <w:p w:rsidR="00E53E9C" w:rsidRPr="004B483E" w:rsidRDefault="00E53E9C" w:rsidP="00E53E9C">
            <w:pPr>
              <w:pStyle w:val="SingleTxtG"/>
              <w:spacing w:before="40" w:line="220" w:lineRule="exact"/>
              <w:ind w:left="0" w:right="113"/>
              <w:jc w:val="left"/>
            </w:pPr>
            <w:r w:rsidRPr="004B483E">
              <w:t>2 (k)</w:t>
            </w:r>
          </w:p>
        </w:tc>
        <w:tc>
          <w:tcPr>
            <w:tcW w:w="3968" w:type="dxa"/>
            <w:shd w:val="clear" w:color="auto" w:fill="auto"/>
          </w:tcPr>
          <w:p w:rsidR="00E53E9C" w:rsidRPr="004B483E" w:rsidRDefault="00E53E9C" w:rsidP="00E53E9C">
            <w:pPr>
              <w:pStyle w:val="SingleTxtG"/>
              <w:spacing w:before="40" w:line="220" w:lineRule="exact"/>
              <w:ind w:left="0" w:right="113"/>
              <w:jc w:val="left"/>
            </w:pPr>
            <w:r w:rsidRPr="004B483E">
              <w:t>Current levels of representation of women in human rights organs and mechanisms</w:t>
            </w:r>
          </w:p>
        </w:tc>
      </w:tr>
      <w:tr w:rsidR="00E53E9C" w:rsidRPr="00091C14" w:rsidTr="00091C14">
        <w:tc>
          <w:tcPr>
            <w:tcW w:w="2268" w:type="dxa"/>
            <w:shd w:val="clear" w:color="auto" w:fill="auto"/>
          </w:tcPr>
          <w:p w:rsidR="00E53E9C" w:rsidRPr="004B483E" w:rsidRDefault="00E53E9C" w:rsidP="00E53E9C">
            <w:pPr>
              <w:pStyle w:val="SingleTxtG"/>
              <w:spacing w:before="40" w:line="220" w:lineRule="exact"/>
              <w:ind w:left="0" w:right="113"/>
              <w:jc w:val="left"/>
            </w:pPr>
            <w:r w:rsidRPr="004B483E">
              <w:t>A/HRC/AC/23/L.7</w:t>
            </w:r>
          </w:p>
        </w:tc>
        <w:tc>
          <w:tcPr>
            <w:tcW w:w="1134" w:type="dxa"/>
            <w:shd w:val="clear" w:color="auto" w:fill="auto"/>
          </w:tcPr>
          <w:p w:rsidR="00E53E9C" w:rsidRPr="004B483E" w:rsidRDefault="00E53E9C" w:rsidP="00E53E9C">
            <w:pPr>
              <w:pStyle w:val="SingleTxtG"/>
              <w:spacing w:before="40" w:line="220" w:lineRule="exact"/>
              <w:ind w:left="0" w:right="113"/>
              <w:jc w:val="left"/>
            </w:pPr>
            <w:r w:rsidRPr="004B483E">
              <w:t>2 (d)</w:t>
            </w:r>
          </w:p>
        </w:tc>
        <w:tc>
          <w:tcPr>
            <w:tcW w:w="3968" w:type="dxa"/>
            <w:shd w:val="clear" w:color="auto" w:fill="auto"/>
          </w:tcPr>
          <w:p w:rsidR="00E53E9C" w:rsidRPr="004B483E" w:rsidRDefault="00E53E9C" w:rsidP="00E53E9C">
            <w:pPr>
              <w:pStyle w:val="SingleTxtG"/>
              <w:spacing w:before="40" w:line="220" w:lineRule="exact"/>
              <w:ind w:left="0" w:right="113"/>
              <w:jc w:val="left"/>
            </w:pPr>
            <w:r w:rsidRPr="004B483E">
              <w:t>Negative effects of terrorism on the enjoyment of human rights</w:t>
            </w:r>
          </w:p>
        </w:tc>
      </w:tr>
    </w:tbl>
    <w:p w:rsidR="006E7EB6" w:rsidRDefault="006E7EB6" w:rsidP="00091C14"/>
    <w:p w:rsidR="006E7EB6" w:rsidRDefault="006E7EB6" w:rsidP="00091C14">
      <w:pPr>
        <w:sectPr w:rsidR="006E7EB6"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pPr>
    </w:p>
    <w:p w:rsidR="00047ABD" w:rsidRPr="00336AA6" w:rsidRDefault="00047ABD" w:rsidP="000E7585">
      <w:pPr>
        <w:pStyle w:val="HChG"/>
      </w:pPr>
      <w:bookmarkStart w:id="109" w:name="_Toc523845336"/>
      <w:bookmarkStart w:id="110" w:name="_Toc523845405"/>
      <w:bookmarkStart w:id="111" w:name="_Toc524094562"/>
      <w:bookmarkStart w:id="112" w:name="_Toc4598611"/>
      <w:r w:rsidRPr="00336AA6">
        <w:lastRenderedPageBreak/>
        <w:t>Annex II</w:t>
      </w:r>
      <w:bookmarkEnd w:id="109"/>
      <w:bookmarkEnd w:id="110"/>
      <w:bookmarkEnd w:id="111"/>
      <w:bookmarkEnd w:id="112"/>
      <w:r w:rsidR="0075566A">
        <w:t>I</w:t>
      </w:r>
    </w:p>
    <w:p w:rsidR="00047ABD" w:rsidRDefault="00047ABD" w:rsidP="000E7585">
      <w:pPr>
        <w:pStyle w:val="HChG"/>
      </w:pPr>
      <w:r w:rsidRPr="00336AA6">
        <w:tab/>
      </w:r>
      <w:r w:rsidRPr="00336AA6">
        <w:tab/>
      </w:r>
      <w:bookmarkStart w:id="113" w:name="_Toc523845337"/>
      <w:bookmarkStart w:id="114" w:name="_Toc523845406"/>
      <w:bookmarkStart w:id="115" w:name="_Toc524094563"/>
      <w:bookmarkStart w:id="116" w:name="_Toc4598612"/>
      <w:r w:rsidRPr="00336AA6">
        <w:t>List of speakers</w:t>
      </w:r>
      <w:bookmarkEnd w:id="113"/>
      <w:bookmarkEnd w:id="114"/>
      <w:bookmarkEnd w:id="115"/>
      <w:bookmarkEnd w:id="116"/>
    </w:p>
    <w:tbl>
      <w:tblPr>
        <w:tblW w:w="13776" w:type="dxa"/>
        <w:tblInd w:w="283" w:type="dxa"/>
        <w:tblLayout w:type="fixed"/>
        <w:tblCellMar>
          <w:left w:w="0" w:type="dxa"/>
          <w:right w:w="0" w:type="dxa"/>
        </w:tblCellMar>
        <w:tblLook w:val="0420" w:firstRow="1" w:lastRow="0" w:firstColumn="0" w:lastColumn="0" w:noHBand="0" w:noVBand="1"/>
      </w:tblPr>
      <w:tblGrid>
        <w:gridCol w:w="5253"/>
        <w:gridCol w:w="1739"/>
        <w:gridCol w:w="6784"/>
      </w:tblGrid>
      <w:tr w:rsidR="0075566A" w:rsidRPr="007470D1" w:rsidTr="006232D5">
        <w:trPr>
          <w:cantSplit/>
          <w:tblHeader/>
        </w:trPr>
        <w:tc>
          <w:tcPr>
            <w:tcW w:w="5253" w:type="dxa"/>
            <w:tcBorders>
              <w:top w:val="single" w:sz="4" w:space="0" w:color="auto"/>
              <w:bottom w:val="single" w:sz="12" w:space="0" w:color="auto"/>
            </w:tcBorders>
            <w:shd w:val="clear" w:color="auto" w:fill="auto"/>
            <w:tcMar>
              <w:left w:w="57" w:type="dxa"/>
              <w:right w:w="57" w:type="dxa"/>
            </w:tcMar>
            <w:vAlign w:val="bottom"/>
          </w:tcPr>
          <w:p w:rsidR="0075566A" w:rsidRPr="007470D1" w:rsidRDefault="0075566A" w:rsidP="007470D1">
            <w:pPr>
              <w:suppressAutoHyphens w:val="0"/>
              <w:spacing w:before="80" w:after="80" w:line="200" w:lineRule="exact"/>
              <w:ind w:right="113"/>
              <w:rPr>
                <w:i/>
                <w:sz w:val="16"/>
              </w:rPr>
            </w:pPr>
            <w:r w:rsidRPr="007470D1">
              <w:rPr>
                <w:i/>
                <w:sz w:val="16"/>
              </w:rPr>
              <w:t>Agenda item</w:t>
            </w:r>
          </w:p>
        </w:tc>
        <w:tc>
          <w:tcPr>
            <w:tcW w:w="1739" w:type="dxa"/>
            <w:tcBorders>
              <w:top w:val="single" w:sz="4" w:space="0" w:color="auto"/>
              <w:bottom w:val="single" w:sz="12" w:space="0" w:color="auto"/>
            </w:tcBorders>
            <w:shd w:val="clear" w:color="auto" w:fill="auto"/>
            <w:tcMar>
              <w:left w:w="57" w:type="dxa"/>
              <w:right w:w="57" w:type="dxa"/>
            </w:tcMar>
            <w:vAlign w:val="bottom"/>
          </w:tcPr>
          <w:p w:rsidR="0075566A" w:rsidRPr="007470D1" w:rsidRDefault="0075566A" w:rsidP="007470D1">
            <w:pPr>
              <w:suppressAutoHyphens w:val="0"/>
              <w:spacing w:before="80" w:after="80" w:line="200" w:lineRule="exact"/>
              <w:ind w:right="113"/>
              <w:rPr>
                <w:i/>
                <w:sz w:val="16"/>
              </w:rPr>
            </w:pPr>
            <w:r w:rsidRPr="007470D1">
              <w:rPr>
                <w:i/>
                <w:sz w:val="16"/>
              </w:rPr>
              <w:t>Meeting and date</w:t>
            </w:r>
          </w:p>
        </w:tc>
        <w:tc>
          <w:tcPr>
            <w:tcW w:w="6784" w:type="dxa"/>
            <w:tcBorders>
              <w:top w:val="single" w:sz="4" w:space="0" w:color="auto"/>
              <w:bottom w:val="single" w:sz="12" w:space="0" w:color="auto"/>
            </w:tcBorders>
            <w:shd w:val="clear" w:color="auto" w:fill="auto"/>
            <w:tcMar>
              <w:left w:w="57" w:type="dxa"/>
              <w:right w:w="57" w:type="dxa"/>
            </w:tcMar>
            <w:vAlign w:val="bottom"/>
          </w:tcPr>
          <w:p w:rsidR="0075566A" w:rsidRPr="007470D1" w:rsidRDefault="0075566A" w:rsidP="007470D1">
            <w:pPr>
              <w:suppressAutoHyphens w:val="0"/>
              <w:spacing w:before="80" w:after="80" w:line="200" w:lineRule="exact"/>
              <w:ind w:right="113"/>
              <w:rPr>
                <w:i/>
                <w:sz w:val="16"/>
              </w:rPr>
            </w:pPr>
            <w:r w:rsidRPr="007470D1">
              <w:rPr>
                <w:i/>
                <w:sz w:val="16"/>
              </w:rPr>
              <w:t>Speakers</w:t>
            </w:r>
          </w:p>
        </w:tc>
      </w:tr>
      <w:tr w:rsidR="007470D1" w:rsidRPr="007470D1" w:rsidTr="006232D5">
        <w:trPr>
          <w:cantSplit/>
          <w:trHeight w:hRule="exact" w:val="113"/>
          <w:tblHeader/>
        </w:trPr>
        <w:tc>
          <w:tcPr>
            <w:tcW w:w="5253" w:type="dxa"/>
            <w:tcBorders>
              <w:top w:val="single" w:sz="12" w:space="0" w:color="auto"/>
            </w:tcBorders>
            <w:shd w:val="clear" w:color="auto" w:fill="auto"/>
            <w:tcMar>
              <w:left w:w="57" w:type="dxa"/>
              <w:right w:w="57" w:type="dxa"/>
            </w:tcMar>
          </w:tcPr>
          <w:p w:rsidR="007470D1" w:rsidRPr="007470D1" w:rsidRDefault="007470D1" w:rsidP="007470D1">
            <w:pPr>
              <w:suppressAutoHyphens w:val="0"/>
              <w:spacing w:before="40" w:after="120"/>
              <w:ind w:right="113"/>
            </w:pPr>
          </w:p>
        </w:tc>
        <w:tc>
          <w:tcPr>
            <w:tcW w:w="1739" w:type="dxa"/>
            <w:tcBorders>
              <w:top w:val="single" w:sz="12" w:space="0" w:color="auto"/>
            </w:tcBorders>
            <w:shd w:val="clear" w:color="auto" w:fill="auto"/>
            <w:tcMar>
              <w:left w:w="57" w:type="dxa"/>
              <w:right w:w="57" w:type="dxa"/>
            </w:tcMar>
          </w:tcPr>
          <w:p w:rsidR="007470D1" w:rsidRPr="007470D1" w:rsidRDefault="007470D1" w:rsidP="007470D1">
            <w:pPr>
              <w:suppressAutoHyphens w:val="0"/>
              <w:spacing w:before="40" w:after="120"/>
              <w:ind w:right="113"/>
            </w:pPr>
          </w:p>
        </w:tc>
        <w:tc>
          <w:tcPr>
            <w:tcW w:w="6784" w:type="dxa"/>
            <w:tcBorders>
              <w:top w:val="single" w:sz="12" w:space="0" w:color="auto"/>
            </w:tcBorders>
            <w:shd w:val="clear" w:color="auto" w:fill="auto"/>
            <w:tcMar>
              <w:left w:w="57" w:type="dxa"/>
              <w:right w:w="57" w:type="dxa"/>
            </w:tcMar>
          </w:tcPr>
          <w:p w:rsidR="007470D1" w:rsidRPr="007470D1" w:rsidRDefault="007470D1" w:rsidP="007470D1">
            <w:pPr>
              <w:suppressAutoHyphens w:val="0"/>
              <w:spacing w:before="40" w:after="120"/>
              <w:ind w:right="113"/>
            </w:pPr>
          </w:p>
        </w:tc>
      </w:tr>
      <w:tr w:rsidR="006232D5" w:rsidRPr="007470D1" w:rsidTr="006232D5">
        <w:trPr>
          <w:cantSplit/>
        </w:trPr>
        <w:tc>
          <w:tcPr>
            <w:tcW w:w="5253" w:type="dxa"/>
            <w:shd w:val="clear" w:color="auto" w:fill="auto"/>
            <w:tcMar>
              <w:left w:w="57" w:type="dxa"/>
              <w:right w:w="57" w:type="dxa"/>
            </w:tcMar>
          </w:tcPr>
          <w:p w:rsidR="006232D5" w:rsidRPr="007470D1" w:rsidRDefault="006232D5" w:rsidP="007470D1">
            <w:pPr>
              <w:suppressAutoHyphens w:val="0"/>
              <w:spacing w:before="40" w:after="120"/>
              <w:ind w:right="113"/>
            </w:pPr>
            <w:r w:rsidRPr="006232D5">
              <w:t>2.</w:t>
            </w:r>
            <w:r w:rsidRPr="006232D5">
              <w:tab/>
              <w:t>Requests addressed to the Advisory Committee stemming from Human Rights Council resolutions</w:t>
            </w:r>
          </w:p>
        </w:tc>
        <w:tc>
          <w:tcPr>
            <w:tcW w:w="1739" w:type="dxa"/>
            <w:shd w:val="clear" w:color="auto" w:fill="auto"/>
            <w:tcMar>
              <w:left w:w="57" w:type="dxa"/>
              <w:right w:w="57" w:type="dxa"/>
            </w:tcMar>
          </w:tcPr>
          <w:p w:rsidR="006232D5" w:rsidRPr="007470D1" w:rsidRDefault="006232D5" w:rsidP="007470D1">
            <w:pPr>
              <w:suppressAutoHyphens w:val="0"/>
              <w:spacing w:before="40" w:after="120"/>
              <w:ind w:right="113"/>
            </w:pPr>
          </w:p>
        </w:tc>
        <w:tc>
          <w:tcPr>
            <w:tcW w:w="6784" w:type="dxa"/>
            <w:shd w:val="clear" w:color="auto" w:fill="auto"/>
            <w:tcMar>
              <w:left w:w="57" w:type="dxa"/>
              <w:right w:w="57" w:type="dxa"/>
            </w:tcMar>
          </w:tcPr>
          <w:p w:rsidR="006232D5" w:rsidRPr="007470D1" w:rsidRDefault="006232D5" w:rsidP="007470D1">
            <w:pPr>
              <w:suppressAutoHyphens w:val="0"/>
              <w:spacing w:before="40" w:after="120"/>
              <w:ind w:right="113"/>
            </w:pPr>
          </w:p>
        </w:tc>
      </w:tr>
      <w:tr w:rsidR="006232D5" w:rsidRPr="007470D1" w:rsidTr="006232D5">
        <w:trPr>
          <w:cantSplit/>
        </w:trPr>
        <w:tc>
          <w:tcPr>
            <w:tcW w:w="5253" w:type="dxa"/>
            <w:shd w:val="clear" w:color="auto" w:fill="auto"/>
            <w:tcMar>
              <w:left w:w="57" w:type="dxa"/>
              <w:right w:w="57" w:type="dxa"/>
            </w:tcMar>
          </w:tcPr>
          <w:p w:rsidR="006232D5" w:rsidRPr="006232D5" w:rsidRDefault="006232D5" w:rsidP="007470D1">
            <w:pPr>
              <w:suppressAutoHyphens w:val="0"/>
              <w:spacing w:before="40" w:after="120"/>
              <w:ind w:right="113"/>
            </w:pPr>
            <w:r w:rsidRPr="006232D5">
              <w:t>(e)</w:t>
            </w:r>
            <w:r w:rsidRPr="006232D5">
              <w:tab/>
              <w:t>National policies and human rights</w:t>
            </w:r>
          </w:p>
        </w:tc>
        <w:tc>
          <w:tcPr>
            <w:tcW w:w="1739" w:type="dxa"/>
            <w:shd w:val="clear" w:color="auto" w:fill="auto"/>
            <w:tcMar>
              <w:left w:w="57" w:type="dxa"/>
              <w:right w:w="57" w:type="dxa"/>
            </w:tcMar>
          </w:tcPr>
          <w:p w:rsidR="006232D5" w:rsidRPr="007470D1" w:rsidRDefault="006232D5" w:rsidP="006232D5">
            <w:pPr>
              <w:suppressAutoHyphens w:val="0"/>
              <w:spacing w:before="40" w:after="120"/>
              <w:ind w:right="113"/>
            </w:pPr>
            <w:r w:rsidRPr="007470D1">
              <w:t xml:space="preserve">1st meeting </w:t>
            </w:r>
          </w:p>
          <w:p w:rsidR="006232D5" w:rsidRPr="007470D1" w:rsidRDefault="006232D5" w:rsidP="006232D5">
            <w:pPr>
              <w:suppressAutoHyphens w:val="0"/>
              <w:spacing w:before="40" w:after="120"/>
              <w:ind w:right="113"/>
            </w:pPr>
            <w:r w:rsidRPr="007470D1">
              <w:t>22 July 2019</w:t>
            </w:r>
          </w:p>
        </w:tc>
        <w:tc>
          <w:tcPr>
            <w:tcW w:w="6784" w:type="dxa"/>
            <w:shd w:val="clear" w:color="auto" w:fill="auto"/>
            <w:tcMar>
              <w:left w:w="57" w:type="dxa"/>
              <w:right w:w="57" w:type="dxa"/>
            </w:tcMar>
          </w:tcPr>
          <w:p w:rsidR="006232D5" w:rsidRPr="007470D1" w:rsidRDefault="006232D5" w:rsidP="006232D5">
            <w:pPr>
              <w:suppressAutoHyphens w:val="0"/>
              <w:spacing w:before="40" w:after="120"/>
              <w:ind w:right="113"/>
            </w:pPr>
            <w:r w:rsidRPr="007470D1">
              <w:t>Members: Alessio Bruni, Ion Diaconu (Rapporteur),  Dheerujlall Baramlall Seetulsingh</w:t>
            </w:r>
          </w:p>
          <w:p w:rsidR="006232D5" w:rsidRPr="007470D1" w:rsidRDefault="006232D5" w:rsidP="006232D5">
            <w:pPr>
              <w:suppressAutoHyphens w:val="0"/>
              <w:spacing w:before="40" w:after="120"/>
              <w:ind w:right="113"/>
            </w:pPr>
            <w:r w:rsidRPr="007470D1">
              <w:t>Observer States : Peru, Venezuela (Bolivarian  Republic of)</w:t>
            </w:r>
          </w:p>
        </w:tc>
      </w:tr>
      <w:tr w:rsidR="0075566A" w:rsidRPr="007470D1" w:rsidTr="006232D5">
        <w:trPr>
          <w:cantSplit/>
        </w:trPr>
        <w:tc>
          <w:tcPr>
            <w:tcW w:w="5253" w:type="dxa"/>
            <w:shd w:val="clear" w:color="auto" w:fill="auto"/>
            <w:tcMar>
              <w:left w:w="57" w:type="dxa"/>
              <w:right w:w="57" w:type="dxa"/>
            </w:tcMar>
          </w:tcPr>
          <w:p w:rsidR="0075566A" w:rsidRPr="007470D1" w:rsidRDefault="0075566A" w:rsidP="007470D1">
            <w:pPr>
              <w:suppressAutoHyphens w:val="0"/>
              <w:spacing w:before="40" w:after="120"/>
              <w:ind w:right="113"/>
            </w:pPr>
            <w:r w:rsidRPr="007470D1">
              <w:t xml:space="preserve">(i) </w:t>
            </w:r>
            <w:r w:rsidRPr="007470D1">
              <w:tab/>
              <w:t>Negative impact of the non-repatriation of funds of illicit origin on the enjoyment of human rights</w:t>
            </w:r>
          </w:p>
        </w:tc>
        <w:tc>
          <w:tcPr>
            <w:tcW w:w="1739" w:type="dxa"/>
            <w:shd w:val="clear" w:color="auto" w:fill="auto"/>
            <w:tcMar>
              <w:left w:w="57" w:type="dxa"/>
              <w:right w:w="57" w:type="dxa"/>
            </w:tcMar>
          </w:tcPr>
          <w:p w:rsidR="0075566A" w:rsidRPr="007470D1" w:rsidRDefault="0075566A" w:rsidP="007470D1">
            <w:pPr>
              <w:suppressAutoHyphens w:val="0"/>
              <w:spacing w:before="40" w:after="120"/>
              <w:ind w:right="113"/>
            </w:pPr>
            <w:r w:rsidRPr="007470D1">
              <w:t>1st meeting</w:t>
            </w:r>
          </w:p>
          <w:p w:rsidR="0075566A" w:rsidRPr="007470D1" w:rsidRDefault="0075566A" w:rsidP="007470D1">
            <w:pPr>
              <w:suppressAutoHyphens w:val="0"/>
              <w:spacing w:before="40" w:after="120"/>
              <w:ind w:right="113"/>
            </w:pPr>
            <w:r w:rsidRPr="007470D1">
              <w:t>22 July 2019</w:t>
            </w:r>
          </w:p>
        </w:tc>
        <w:tc>
          <w:tcPr>
            <w:tcW w:w="6784" w:type="dxa"/>
            <w:shd w:val="clear" w:color="auto" w:fill="auto"/>
            <w:tcMar>
              <w:left w:w="57" w:type="dxa"/>
              <w:right w:w="57" w:type="dxa"/>
            </w:tcMar>
          </w:tcPr>
          <w:p w:rsidR="0075566A" w:rsidRPr="007470D1" w:rsidRDefault="0075566A" w:rsidP="007470D1">
            <w:pPr>
              <w:suppressAutoHyphens w:val="0"/>
              <w:spacing w:before="40" w:after="120"/>
              <w:ind w:right="113"/>
            </w:pPr>
            <w:r w:rsidRPr="007470D1">
              <w:t>Members: Lazhari Bouzid, Alessio Bruni, Dheerujlall Baramlall Seetulsingh (Rapporteur), Jean Ziegler</w:t>
            </w:r>
          </w:p>
          <w:p w:rsidR="0075566A" w:rsidRPr="007470D1" w:rsidRDefault="0075566A" w:rsidP="007470D1">
            <w:pPr>
              <w:suppressAutoHyphens w:val="0"/>
              <w:spacing w:before="40" w:after="120"/>
              <w:ind w:right="113"/>
            </w:pPr>
            <w:r w:rsidRPr="007470D1">
              <w:t xml:space="preserve">Observer States: Egypt </w:t>
            </w:r>
          </w:p>
        </w:tc>
      </w:tr>
      <w:tr w:rsidR="0075566A" w:rsidRPr="007470D1" w:rsidTr="006232D5">
        <w:trPr>
          <w:cantSplit/>
        </w:trPr>
        <w:tc>
          <w:tcPr>
            <w:tcW w:w="5253" w:type="dxa"/>
            <w:shd w:val="clear" w:color="auto" w:fill="auto"/>
            <w:tcMar>
              <w:left w:w="57" w:type="dxa"/>
              <w:right w:w="57" w:type="dxa"/>
            </w:tcMar>
          </w:tcPr>
          <w:p w:rsidR="0075566A" w:rsidRPr="007470D1" w:rsidRDefault="0075566A" w:rsidP="007470D1">
            <w:pPr>
              <w:suppressAutoHyphens w:val="0"/>
              <w:spacing w:before="40" w:after="120"/>
              <w:ind w:right="113"/>
            </w:pPr>
            <w:r w:rsidRPr="007470D1">
              <w:t xml:space="preserve">(f) </w:t>
            </w:r>
            <w:r w:rsidRPr="007470D1">
              <w:tab/>
              <w:t>Global call for concrete action for the total elimination of racism, racial discrimination, xenophobia and related intolerance and the comprehensive implementation of and follow-up to the Durban Declaration and Programme of Action</w:t>
            </w:r>
          </w:p>
        </w:tc>
        <w:tc>
          <w:tcPr>
            <w:tcW w:w="1739" w:type="dxa"/>
            <w:shd w:val="clear" w:color="auto" w:fill="auto"/>
            <w:tcMar>
              <w:left w:w="57" w:type="dxa"/>
              <w:right w:w="57" w:type="dxa"/>
            </w:tcMar>
          </w:tcPr>
          <w:p w:rsidR="0075566A" w:rsidRPr="007470D1" w:rsidRDefault="0075566A" w:rsidP="007470D1">
            <w:pPr>
              <w:suppressAutoHyphens w:val="0"/>
              <w:spacing w:before="40" w:after="120"/>
              <w:ind w:right="113"/>
            </w:pPr>
            <w:r w:rsidRPr="007470D1">
              <w:t>2nd meeting</w:t>
            </w:r>
          </w:p>
          <w:p w:rsidR="0075566A" w:rsidRPr="007470D1" w:rsidRDefault="0075566A" w:rsidP="007470D1">
            <w:pPr>
              <w:suppressAutoHyphens w:val="0"/>
              <w:spacing w:before="40" w:after="120"/>
              <w:ind w:right="113"/>
            </w:pPr>
            <w:r w:rsidRPr="007470D1">
              <w:t>22 July 2019</w:t>
            </w:r>
          </w:p>
        </w:tc>
        <w:tc>
          <w:tcPr>
            <w:tcW w:w="6784" w:type="dxa"/>
            <w:shd w:val="clear" w:color="auto" w:fill="auto"/>
            <w:tcMar>
              <w:left w:w="57" w:type="dxa"/>
              <w:right w:w="57" w:type="dxa"/>
            </w:tcMar>
          </w:tcPr>
          <w:p w:rsidR="0075566A" w:rsidRPr="007470D1" w:rsidRDefault="0075566A" w:rsidP="007470D1">
            <w:pPr>
              <w:suppressAutoHyphens w:val="0"/>
              <w:spacing w:before="40" w:after="120"/>
              <w:ind w:right="113"/>
            </w:pPr>
            <w:r w:rsidRPr="007470D1">
              <w:t>Members: José Augusto Lindgren Alves, Mohamed Bennani, Ion Diaconu, Ludovic Hennebel (Rapporteur), Ajai Malhotra, Dheerujlall Baramlall Seetulsingh</w:t>
            </w:r>
          </w:p>
          <w:p w:rsidR="0075566A" w:rsidRPr="007470D1" w:rsidRDefault="0075566A" w:rsidP="007470D1">
            <w:pPr>
              <w:suppressAutoHyphens w:val="0"/>
              <w:spacing w:before="40" w:after="120"/>
              <w:ind w:right="113"/>
            </w:pPr>
            <w:r w:rsidRPr="007470D1">
              <w:t>Observer States: Bolivia (Plurinational State of), Cuba, Russian Federation</w:t>
            </w:r>
          </w:p>
          <w:p w:rsidR="0075566A" w:rsidRPr="007470D1" w:rsidRDefault="0075566A" w:rsidP="007470D1">
            <w:pPr>
              <w:suppressAutoHyphens w:val="0"/>
              <w:spacing w:before="40" w:after="120"/>
              <w:ind w:right="113"/>
            </w:pPr>
            <w:r w:rsidRPr="007470D1">
              <w:t>Non-Governmental Organizations: International Human Rights Association of American Minorities, Sikh Human Rights Group</w:t>
            </w:r>
          </w:p>
        </w:tc>
      </w:tr>
      <w:tr w:rsidR="00841166" w:rsidRPr="007470D1" w:rsidTr="006232D5">
        <w:trPr>
          <w:cantSplit/>
        </w:trPr>
        <w:tc>
          <w:tcPr>
            <w:tcW w:w="5253" w:type="dxa"/>
            <w:shd w:val="clear" w:color="auto" w:fill="auto"/>
            <w:tcMar>
              <w:left w:w="57" w:type="dxa"/>
              <w:right w:w="57" w:type="dxa"/>
            </w:tcMar>
          </w:tcPr>
          <w:p w:rsidR="00841166" w:rsidRPr="007470D1" w:rsidRDefault="00841166" w:rsidP="00841166">
            <w:pPr>
              <w:suppressAutoHyphens w:val="0"/>
              <w:spacing w:before="40" w:after="120"/>
              <w:ind w:right="113"/>
            </w:pPr>
            <w:r w:rsidRPr="007470D1">
              <w:t>(g)</w:t>
            </w:r>
            <w:r w:rsidRPr="007470D1">
              <w:tab/>
              <w:t>The role of technical assistance and capacity-building in fostering mutually beneficial cooperation in promoting and protecting human rights</w:t>
            </w:r>
          </w:p>
          <w:p w:rsidR="00841166" w:rsidRPr="007470D1" w:rsidRDefault="00841166" w:rsidP="007470D1">
            <w:pPr>
              <w:suppressAutoHyphens w:val="0"/>
              <w:spacing w:before="40" w:after="120"/>
              <w:ind w:right="113"/>
            </w:pPr>
          </w:p>
        </w:tc>
        <w:tc>
          <w:tcPr>
            <w:tcW w:w="1739" w:type="dxa"/>
            <w:shd w:val="clear" w:color="auto" w:fill="auto"/>
            <w:tcMar>
              <w:left w:w="57" w:type="dxa"/>
              <w:right w:w="57" w:type="dxa"/>
            </w:tcMar>
          </w:tcPr>
          <w:p w:rsidR="00841166" w:rsidRPr="007470D1" w:rsidRDefault="00841166" w:rsidP="00841166">
            <w:pPr>
              <w:suppressAutoHyphens w:val="0"/>
              <w:spacing w:before="40" w:after="120"/>
              <w:ind w:right="113"/>
            </w:pPr>
            <w:r w:rsidRPr="007470D1">
              <w:t>2nd meeting</w:t>
            </w:r>
          </w:p>
          <w:p w:rsidR="00841166" w:rsidRPr="007470D1" w:rsidRDefault="00841166" w:rsidP="00841166">
            <w:pPr>
              <w:suppressAutoHyphens w:val="0"/>
              <w:spacing w:before="40" w:after="120"/>
              <w:ind w:right="113"/>
            </w:pPr>
            <w:r w:rsidRPr="007470D1">
              <w:t>22 July 2019</w:t>
            </w:r>
          </w:p>
          <w:p w:rsidR="00841166" w:rsidRPr="007470D1" w:rsidRDefault="00841166" w:rsidP="007470D1">
            <w:pPr>
              <w:suppressAutoHyphens w:val="0"/>
              <w:spacing w:before="40" w:after="120"/>
              <w:ind w:right="113"/>
            </w:pPr>
          </w:p>
        </w:tc>
        <w:tc>
          <w:tcPr>
            <w:tcW w:w="6784" w:type="dxa"/>
            <w:shd w:val="clear" w:color="auto" w:fill="auto"/>
            <w:tcMar>
              <w:left w:w="57" w:type="dxa"/>
              <w:right w:w="57" w:type="dxa"/>
            </w:tcMar>
          </w:tcPr>
          <w:p w:rsidR="00841166" w:rsidRPr="007470D1" w:rsidRDefault="00841166" w:rsidP="00841166">
            <w:pPr>
              <w:suppressAutoHyphens w:val="0"/>
              <w:spacing w:before="40" w:after="120"/>
              <w:ind w:right="113"/>
            </w:pPr>
            <w:r w:rsidRPr="007470D1">
              <w:t>Members: Ibrahim Abdulaziz Alsheddi, Alessio Bruni, Lazhari Bouzid (Rapporteur), Xinsheng Liu, Kaoru Obata</w:t>
            </w:r>
          </w:p>
          <w:p w:rsidR="00841166" w:rsidRPr="007470D1" w:rsidRDefault="00841166" w:rsidP="00841166">
            <w:pPr>
              <w:suppressAutoHyphens w:val="0"/>
              <w:spacing w:before="40" w:after="120"/>
              <w:ind w:right="113"/>
            </w:pPr>
            <w:r w:rsidRPr="007470D1">
              <w:t xml:space="preserve">Observer States: Bolivia (Plurinational State of), China, Tunisia, Venezuela (Bolivarian  Republic of) </w:t>
            </w:r>
          </w:p>
        </w:tc>
      </w:tr>
      <w:tr w:rsidR="0075566A" w:rsidRPr="007470D1" w:rsidTr="006232D5">
        <w:trPr>
          <w:cantSplit/>
        </w:trPr>
        <w:tc>
          <w:tcPr>
            <w:tcW w:w="5253" w:type="dxa"/>
            <w:shd w:val="clear" w:color="auto" w:fill="auto"/>
            <w:tcMar>
              <w:left w:w="57" w:type="dxa"/>
              <w:right w:w="57" w:type="dxa"/>
            </w:tcMar>
          </w:tcPr>
          <w:p w:rsidR="0075566A" w:rsidRPr="007470D1" w:rsidRDefault="0075566A" w:rsidP="008F3622">
            <w:pPr>
              <w:suppressAutoHyphens w:val="0"/>
              <w:spacing w:before="40" w:after="120"/>
              <w:ind w:right="113"/>
            </w:pPr>
            <w:r w:rsidRPr="007470D1">
              <w:t xml:space="preserve">(h) </w:t>
            </w:r>
            <w:r w:rsidRPr="007470D1">
              <w:tab/>
              <w:t>The importance of a legally binding instrument on the right to development</w:t>
            </w:r>
          </w:p>
        </w:tc>
        <w:tc>
          <w:tcPr>
            <w:tcW w:w="1739" w:type="dxa"/>
            <w:shd w:val="clear" w:color="auto" w:fill="auto"/>
            <w:tcMar>
              <w:left w:w="57" w:type="dxa"/>
              <w:right w:w="57" w:type="dxa"/>
            </w:tcMar>
          </w:tcPr>
          <w:p w:rsidR="0075566A" w:rsidRPr="007470D1" w:rsidRDefault="0075566A" w:rsidP="007470D1">
            <w:pPr>
              <w:suppressAutoHyphens w:val="0"/>
              <w:spacing w:before="40" w:after="120"/>
              <w:ind w:right="113"/>
            </w:pPr>
            <w:r w:rsidRPr="007470D1">
              <w:t>4th meeting</w:t>
            </w:r>
          </w:p>
          <w:p w:rsidR="0075566A" w:rsidRPr="007470D1" w:rsidRDefault="0075566A" w:rsidP="008F3622">
            <w:pPr>
              <w:suppressAutoHyphens w:val="0"/>
              <w:spacing w:before="40" w:after="120"/>
              <w:ind w:right="113"/>
            </w:pPr>
            <w:r w:rsidRPr="007470D1">
              <w:t>23 August 2019</w:t>
            </w:r>
          </w:p>
        </w:tc>
        <w:tc>
          <w:tcPr>
            <w:tcW w:w="6784" w:type="dxa"/>
            <w:shd w:val="clear" w:color="auto" w:fill="auto"/>
            <w:tcMar>
              <w:left w:w="57" w:type="dxa"/>
              <w:right w:w="57" w:type="dxa"/>
            </w:tcMar>
          </w:tcPr>
          <w:p w:rsidR="0075566A" w:rsidRPr="007470D1" w:rsidRDefault="0075566A" w:rsidP="007470D1">
            <w:pPr>
              <w:suppressAutoHyphens w:val="0"/>
              <w:spacing w:before="40" w:after="120"/>
              <w:ind w:right="113"/>
              <w:rPr>
                <w:lang w:val="fr-FR"/>
              </w:rPr>
            </w:pPr>
            <w:r w:rsidRPr="007470D1">
              <w:rPr>
                <w:lang w:val="fr-FR"/>
              </w:rPr>
              <w:t>Members: Ion Diaconu, Ajai Malhotra (Rapporteur)</w:t>
            </w:r>
          </w:p>
          <w:p w:rsidR="0075566A" w:rsidRPr="007470D1" w:rsidRDefault="0075566A" w:rsidP="007470D1">
            <w:pPr>
              <w:suppressAutoHyphens w:val="0"/>
              <w:spacing w:before="40" w:after="120"/>
              <w:ind w:right="113"/>
            </w:pPr>
            <w:r w:rsidRPr="007470D1">
              <w:t xml:space="preserve">Observer States: Bolivia (Plurinational State of), China, Cuba, Venezuela (Bolivarian  Republic of), </w:t>
            </w:r>
          </w:p>
          <w:p w:rsidR="0075566A" w:rsidRPr="007470D1" w:rsidRDefault="0075566A" w:rsidP="007470D1">
            <w:pPr>
              <w:suppressAutoHyphens w:val="0"/>
              <w:spacing w:before="40" w:after="120"/>
              <w:ind w:right="113"/>
            </w:pPr>
            <w:r w:rsidRPr="007470D1">
              <w:t>Non-Governmental Organization: International Human Rights Association of America Minorities</w:t>
            </w:r>
          </w:p>
        </w:tc>
      </w:tr>
      <w:tr w:rsidR="0075566A" w:rsidRPr="007470D1" w:rsidTr="006232D5">
        <w:trPr>
          <w:cantSplit/>
        </w:trPr>
        <w:tc>
          <w:tcPr>
            <w:tcW w:w="5253" w:type="dxa"/>
            <w:shd w:val="clear" w:color="auto" w:fill="auto"/>
            <w:tcMar>
              <w:left w:w="57" w:type="dxa"/>
              <w:right w:w="57" w:type="dxa"/>
            </w:tcMar>
          </w:tcPr>
          <w:p w:rsidR="0075566A" w:rsidRPr="007470D1" w:rsidRDefault="0075566A" w:rsidP="007470D1">
            <w:pPr>
              <w:suppressAutoHyphens w:val="0"/>
              <w:spacing w:before="40" w:after="120"/>
              <w:ind w:right="113"/>
            </w:pPr>
            <w:r w:rsidRPr="007470D1">
              <w:lastRenderedPageBreak/>
              <w:t>(j)</w:t>
            </w:r>
            <w:r w:rsidRPr="007470D1">
              <w:tab/>
              <w:t>New and emerging digital technologies</w:t>
            </w:r>
          </w:p>
        </w:tc>
        <w:tc>
          <w:tcPr>
            <w:tcW w:w="1739" w:type="dxa"/>
            <w:shd w:val="clear" w:color="auto" w:fill="auto"/>
            <w:tcMar>
              <w:left w:w="57" w:type="dxa"/>
              <w:right w:w="57" w:type="dxa"/>
            </w:tcMar>
          </w:tcPr>
          <w:p w:rsidR="0075566A" w:rsidRPr="007470D1" w:rsidRDefault="0075566A" w:rsidP="007470D1">
            <w:pPr>
              <w:suppressAutoHyphens w:val="0"/>
              <w:spacing w:before="40" w:after="120"/>
              <w:ind w:right="113"/>
            </w:pPr>
            <w:r w:rsidRPr="007470D1">
              <w:t>6th meeting</w:t>
            </w:r>
          </w:p>
          <w:p w:rsidR="0075566A" w:rsidRPr="007470D1" w:rsidRDefault="0075566A" w:rsidP="007470D1">
            <w:pPr>
              <w:suppressAutoHyphens w:val="0"/>
              <w:spacing w:before="40" w:after="120"/>
              <w:ind w:right="113"/>
            </w:pPr>
            <w:r w:rsidRPr="007470D1">
              <w:t>24 July 2019</w:t>
            </w:r>
          </w:p>
        </w:tc>
        <w:tc>
          <w:tcPr>
            <w:tcW w:w="6784" w:type="dxa"/>
            <w:shd w:val="clear" w:color="auto" w:fill="auto"/>
            <w:tcMar>
              <w:left w:w="57" w:type="dxa"/>
              <w:right w:w="57" w:type="dxa"/>
            </w:tcMar>
          </w:tcPr>
          <w:p w:rsidR="0075566A" w:rsidRPr="007470D1" w:rsidRDefault="0075566A" w:rsidP="007470D1">
            <w:pPr>
              <w:suppressAutoHyphens w:val="0"/>
              <w:spacing w:before="40" w:after="120"/>
              <w:ind w:right="113"/>
            </w:pPr>
            <w:r w:rsidRPr="007470D1">
              <w:t>Members: Mona Omar, Dheerujlall Baramlall Seetulsingh, Changrok Soh</w:t>
            </w:r>
          </w:p>
          <w:p w:rsidR="0075566A" w:rsidRPr="007470D1" w:rsidRDefault="0075566A" w:rsidP="007470D1">
            <w:pPr>
              <w:suppressAutoHyphens w:val="0"/>
              <w:spacing w:before="40" w:after="120"/>
              <w:ind w:right="113"/>
            </w:pPr>
            <w:r w:rsidRPr="007470D1">
              <w:t>Observer States: China, Nepal, Republic of Korea</w:t>
            </w:r>
          </w:p>
        </w:tc>
      </w:tr>
      <w:tr w:rsidR="0075566A" w:rsidRPr="007470D1" w:rsidTr="00B63EC1">
        <w:trPr>
          <w:cantSplit/>
        </w:trPr>
        <w:tc>
          <w:tcPr>
            <w:tcW w:w="5253" w:type="dxa"/>
            <w:shd w:val="clear" w:color="auto" w:fill="auto"/>
            <w:tcMar>
              <w:left w:w="57" w:type="dxa"/>
              <w:right w:w="57" w:type="dxa"/>
            </w:tcMar>
          </w:tcPr>
          <w:p w:rsidR="0075566A" w:rsidRPr="007470D1" w:rsidRDefault="0075566A" w:rsidP="007470D1">
            <w:pPr>
              <w:suppressAutoHyphens w:val="0"/>
              <w:spacing w:before="40" w:after="120"/>
              <w:ind w:right="113"/>
            </w:pPr>
            <w:r w:rsidRPr="007470D1">
              <w:t>(k)</w:t>
            </w:r>
            <w:r w:rsidR="006679DE" w:rsidRPr="007470D1">
              <w:t xml:space="preserve"> </w:t>
            </w:r>
            <w:r w:rsidR="006679DE" w:rsidRPr="007470D1">
              <w:tab/>
            </w:r>
            <w:r w:rsidRPr="007470D1">
              <w:t>Current levels of representation of women in human rights organs and mechanisms</w:t>
            </w:r>
          </w:p>
          <w:p w:rsidR="0075566A" w:rsidRPr="007470D1" w:rsidRDefault="0075566A" w:rsidP="007470D1">
            <w:pPr>
              <w:suppressAutoHyphens w:val="0"/>
              <w:spacing w:before="40" w:after="120"/>
              <w:ind w:right="113"/>
            </w:pPr>
          </w:p>
          <w:p w:rsidR="0075566A" w:rsidRPr="007470D1" w:rsidRDefault="0075566A" w:rsidP="00B63EC1">
            <w:pPr>
              <w:suppressAutoHyphens w:val="0"/>
              <w:spacing w:before="40" w:after="120"/>
              <w:ind w:right="113"/>
            </w:pPr>
            <w:r w:rsidRPr="007470D1">
              <w:t>3.</w:t>
            </w:r>
            <w:r w:rsidRPr="007470D1">
              <w:tab/>
              <w:t>Implementation of sections III and IV of the annex to Human Rights Council resolution 5/1 and section III of the annex to Council resolution 16/21</w:t>
            </w:r>
          </w:p>
        </w:tc>
        <w:tc>
          <w:tcPr>
            <w:tcW w:w="1739" w:type="dxa"/>
            <w:shd w:val="clear" w:color="auto" w:fill="auto"/>
            <w:tcMar>
              <w:left w:w="57" w:type="dxa"/>
              <w:right w:w="57" w:type="dxa"/>
            </w:tcMar>
          </w:tcPr>
          <w:p w:rsidR="0075566A" w:rsidRPr="007470D1" w:rsidRDefault="0075566A" w:rsidP="007470D1">
            <w:pPr>
              <w:suppressAutoHyphens w:val="0"/>
              <w:spacing w:before="40" w:after="120"/>
              <w:ind w:right="113"/>
            </w:pPr>
            <w:r w:rsidRPr="007470D1">
              <w:t>6th meeting</w:t>
            </w:r>
          </w:p>
          <w:p w:rsidR="0075566A" w:rsidRPr="007470D1" w:rsidRDefault="0075566A" w:rsidP="007470D1">
            <w:pPr>
              <w:suppressAutoHyphens w:val="0"/>
              <w:spacing w:before="40" w:after="120"/>
              <w:ind w:right="113"/>
            </w:pPr>
            <w:r w:rsidRPr="007470D1">
              <w:t>24 July 2019</w:t>
            </w:r>
          </w:p>
          <w:p w:rsidR="0075566A" w:rsidRPr="007470D1" w:rsidRDefault="0075566A" w:rsidP="007470D1">
            <w:pPr>
              <w:suppressAutoHyphens w:val="0"/>
              <w:spacing w:before="40" w:after="120"/>
              <w:ind w:right="113"/>
            </w:pPr>
          </w:p>
          <w:p w:rsidR="0075566A" w:rsidRPr="007470D1" w:rsidRDefault="0075566A" w:rsidP="007470D1">
            <w:pPr>
              <w:suppressAutoHyphens w:val="0"/>
              <w:spacing w:before="40" w:after="120"/>
              <w:ind w:right="113"/>
            </w:pPr>
          </w:p>
          <w:p w:rsidR="0075566A" w:rsidRPr="007470D1" w:rsidRDefault="0075566A" w:rsidP="007470D1">
            <w:pPr>
              <w:suppressAutoHyphens w:val="0"/>
              <w:spacing w:before="40" w:after="120"/>
              <w:ind w:right="113"/>
            </w:pPr>
          </w:p>
        </w:tc>
        <w:tc>
          <w:tcPr>
            <w:tcW w:w="6784" w:type="dxa"/>
            <w:shd w:val="clear" w:color="auto" w:fill="auto"/>
            <w:tcMar>
              <w:left w:w="57" w:type="dxa"/>
              <w:right w:w="57" w:type="dxa"/>
            </w:tcMar>
          </w:tcPr>
          <w:p w:rsidR="0075566A" w:rsidRPr="007470D1" w:rsidRDefault="0075566A" w:rsidP="007470D1">
            <w:pPr>
              <w:suppressAutoHyphens w:val="0"/>
              <w:spacing w:before="40" w:after="120"/>
              <w:ind w:right="113"/>
            </w:pPr>
            <w:r w:rsidRPr="007470D1">
              <w:t>Members: Ludovic Hennebel</w:t>
            </w:r>
          </w:p>
          <w:p w:rsidR="0075566A" w:rsidRPr="007470D1" w:rsidRDefault="0075566A" w:rsidP="007470D1">
            <w:pPr>
              <w:suppressAutoHyphens w:val="0"/>
              <w:spacing w:before="40" w:after="120"/>
              <w:ind w:right="113"/>
            </w:pPr>
            <w:r w:rsidRPr="007470D1">
              <w:t xml:space="preserve">Observer States: Bolivia (Plurinational State of), Mexico, Peru </w:t>
            </w:r>
          </w:p>
          <w:p w:rsidR="0075566A" w:rsidRPr="007470D1" w:rsidRDefault="0075566A" w:rsidP="007470D1">
            <w:pPr>
              <w:suppressAutoHyphens w:val="0"/>
              <w:spacing w:before="40" w:after="120"/>
              <w:ind w:right="113"/>
            </w:pPr>
          </w:p>
          <w:p w:rsidR="0075566A" w:rsidRPr="007470D1" w:rsidRDefault="0075566A" w:rsidP="007470D1">
            <w:pPr>
              <w:suppressAutoHyphens w:val="0"/>
              <w:spacing w:before="40" w:after="120"/>
              <w:ind w:right="113"/>
            </w:pPr>
          </w:p>
          <w:p w:rsidR="0075566A" w:rsidRPr="007470D1" w:rsidRDefault="0075566A" w:rsidP="007470D1">
            <w:pPr>
              <w:suppressAutoHyphens w:val="0"/>
              <w:spacing w:before="40" w:after="120"/>
              <w:ind w:right="113"/>
            </w:pPr>
          </w:p>
        </w:tc>
      </w:tr>
      <w:tr w:rsidR="00B63EC1" w:rsidRPr="007470D1" w:rsidTr="006232D5">
        <w:trPr>
          <w:cantSplit/>
        </w:trPr>
        <w:tc>
          <w:tcPr>
            <w:tcW w:w="5253" w:type="dxa"/>
            <w:tcBorders>
              <w:bottom w:val="single" w:sz="12" w:space="0" w:color="auto"/>
            </w:tcBorders>
            <w:shd w:val="clear" w:color="auto" w:fill="auto"/>
            <w:tcMar>
              <w:left w:w="57" w:type="dxa"/>
              <w:right w:w="57" w:type="dxa"/>
            </w:tcMar>
          </w:tcPr>
          <w:p w:rsidR="00B63EC1" w:rsidRPr="007470D1" w:rsidRDefault="00B63EC1" w:rsidP="007470D1">
            <w:pPr>
              <w:suppressAutoHyphens w:val="0"/>
              <w:spacing w:before="40" w:after="120"/>
              <w:ind w:right="113"/>
            </w:pPr>
            <w:r w:rsidRPr="007470D1">
              <w:t>(b)</w:t>
            </w:r>
            <w:r w:rsidRPr="007470D1">
              <w:tab/>
              <w:t>Agenda and annual programme of work</w:t>
            </w:r>
          </w:p>
        </w:tc>
        <w:tc>
          <w:tcPr>
            <w:tcW w:w="1739" w:type="dxa"/>
            <w:tcBorders>
              <w:bottom w:val="single" w:sz="12" w:space="0" w:color="auto"/>
            </w:tcBorders>
            <w:shd w:val="clear" w:color="auto" w:fill="auto"/>
            <w:tcMar>
              <w:left w:w="57" w:type="dxa"/>
              <w:right w:w="57" w:type="dxa"/>
            </w:tcMar>
          </w:tcPr>
          <w:p w:rsidR="00B63EC1" w:rsidRPr="007470D1" w:rsidRDefault="00B63EC1" w:rsidP="00B63EC1">
            <w:pPr>
              <w:suppressAutoHyphens w:val="0"/>
              <w:spacing w:before="40" w:after="120"/>
              <w:ind w:right="113"/>
            </w:pPr>
            <w:r w:rsidRPr="007470D1">
              <w:t>8th meeting</w:t>
            </w:r>
          </w:p>
          <w:p w:rsidR="00B63EC1" w:rsidRPr="007470D1" w:rsidRDefault="00B63EC1" w:rsidP="00B63EC1">
            <w:pPr>
              <w:suppressAutoHyphens w:val="0"/>
              <w:spacing w:before="40" w:after="120"/>
              <w:ind w:right="113"/>
            </w:pPr>
            <w:r w:rsidRPr="007470D1">
              <w:t>25 July 2019</w:t>
            </w:r>
          </w:p>
        </w:tc>
        <w:tc>
          <w:tcPr>
            <w:tcW w:w="6784" w:type="dxa"/>
            <w:tcBorders>
              <w:bottom w:val="single" w:sz="12" w:space="0" w:color="auto"/>
            </w:tcBorders>
            <w:shd w:val="clear" w:color="auto" w:fill="auto"/>
            <w:tcMar>
              <w:left w:w="57" w:type="dxa"/>
              <w:right w:w="57" w:type="dxa"/>
            </w:tcMar>
          </w:tcPr>
          <w:p w:rsidR="00B63EC1" w:rsidRPr="007470D1" w:rsidRDefault="00B63EC1" w:rsidP="00B63EC1">
            <w:pPr>
              <w:suppressAutoHyphens w:val="0"/>
              <w:spacing w:before="40" w:after="120"/>
              <w:ind w:right="113"/>
            </w:pPr>
            <w:r w:rsidRPr="007470D1">
              <w:t>Members: José Augusto Lindgren Alves, Alessio Bruni, Ion Diaconu, Ludovic Hennebel,</w:t>
            </w:r>
            <w:r w:rsidRPr="007470D1">
              <w:rPr>
                <w:rFonts w:eastAsia="SimSun"/>
                <w:lang w:eastAsia="zh-CN"/>
              </w:rPr>
              <w:t xml:space="preserve"> </w:t>
            </w:r>
            <w:r w:rsidRPr="007470D1">
              <w:t>Mikhail Lebedev</w:t>
            </w:r>
            <w:r w:rsidRPr="007470D1">
              <w:rPr>
                <w:rFonts w:eastAsia="SimSun"/>
                <w:lang w:eastAsia="zh-CN"/>
              </w:rPr>
              <w:t xml:space="preserve">, </w:t>
            </w:r>
            <w:r w:rsidRPr="007470D1">
              <w:t>Xinsheng Liu,</w:t>
            </w:r>
            <w:r w:rsidRPr="007470D1">
              <w:rPr>
                <w:rFonts w:eastAsia="SimSun"/>
                <w:lang w:eastAsia="zh-CN"/>
              </w:rPr>
              <w:t xml:space="preserve"> </w:t>
            </w:r>
            <w:r w:rsidRPr="007470D1">
              <w:t xml:space="preserve">Ajai Malhotra, </w:t>
            </w:r>
            <w:r w:rsidRPr="007470D1">
              <w:rPr>
                <w:rFonts w:eastAsia="SimSun"/>
                <w:lang w:eastAsia="zh-CN"/>
              </w:rPr>
              <w:t xml:space="preserve">Kaoru Obata, </w:t>
            </w:r>
            <w:r w:rsidRPr="007470D1">
              <w:t>Mona Omar, Changrok Soh, Jean Ziegler</w:t>
            </w:r>
          </w:p>
          <w:p w:rsidR="00B63EC1" w:rsidRPr="007470D1" w:rsidRDefault="00B63EC1" w:rsidP="00B63EC1">
            <w:pPr>
              <w:suppressAutoHyphens w:val="0"/>
              <w:spacing w:before="40" w:after="120"/>
              <w:ind w:right="113"/>
            </w:pPr>
            <w:r w:rsidRPr="007470D1">
              <w:t>Observer State: Russian Federation</w:t>
            </w:r>
          </w:p>
        </w:tc>
      </w:tr>
    </w:tbl>
    <w:p w:rsidR="007268F9" w:rsidRPr="00E75317" w:rsidRDefault="000E7585" w:rsidP="00A27DF6">
      <w:pPr>
        <w:spacing w:before="240"/>
        <w:jc w:val="center"/>
      </w:pPr>
      <w:r>
        <w:rPr>
          <w:u w:val="single"/>
        </w:rPr>
        <w:tab/>
      </w:r>
      <w:r>
        <w:rPr>
          <w:u w:val="single"/>
        </w:rPr>
        <w:tab/>
      </w:r>
      <w:r>
        <w:rPr>
          <w:u w:val="single"/>
        </w:rPr>
        <w:tab/>
      </w:r>
    </w:p>
    <w:sectPr w:rsidR="007268F9" w:rsidRPr="00E75317" w:rsidSect="000E7585">
      <w:headerReference w:type="even" r:id="rId12"/>
      <w:headerReference w:type="default" r:id="rId13"/>
      <w:footerReference w:type="even" r:id="rId14"/>
      <w:footerReference w:type="default" r:id="rId15"/>
      <w:endnotePr>
        <w:numFmt w:val="decimal"/>
      </w:endnotePr>
      <w:pgSz w:w="16840" w:h="11907" w:orient="landscape" w:code="9"/>
      <w:pgMar w:top="1134" w:right="1417" w:bottom="1134"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3F2" w:rsidRPr="00C47B2E" w:rsidRDefault="000603F2" w:rsidP="00C47B2E">
      <w:pPr>
        <w:pStyle w:val="Footer"/>
      </w:pPr>
    </w:p>
  </w:endnote>
  <w:endnote w:type="continuationSeparator" w:id="0">
    <w:p w:rsidR="000603F2" w:rsidRPr="00C47B2E" w:rsidRDefault="000603F2" w:rsidP="00C47B2E">
      <w:pPr>
        <w:pStyle w:val="Footer"/>
      </w:pPr>
    </w:p>
  </w:endnote>
  <w:endnote w:type="continuationNotice" w:id="1">
    <w:p w:rsidR="000603F2" w:rsidRPr="00C47B2E" w:rsidRDefault="000603F2"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7C3" w:rsidRDefault="004837C3" w:rsidP="004837C3">
    <w:pPr>
      <w:pStyle w:val="Footer"/>
      <w:tabs>
        <w:tab w:val="right" w:pos="9638"/>
      </w:tabs>
    </w:pPr>
    <w:r w:rsidRPr="004837C3">
      <w:rPr>
        <w:b/>
        <w:bCs/>
        <w:sz w:val="18"/>
      </w:rPr>
      <w:fldChar w:fldCharType="begin"/>
    </w:r>
    <w:r w:rsidRPr="004837C3">
      <w:rPr>
        <w:b/>
        <w:bCs/>
        <w:sz w:val="18"/>
      </w:rPr>
      <w:instrText xml:space="preserve"> PAGE  \* MERGEFORMAT </w:instrText>
    </w:r>
    <w:r w:rsidRPr="004837C3">
      <w:rPr>
        <w:b/>
        <w:bCs/>
        <w:sz w:val="18"/>
      </w:rPr>
      <w:fldChar w:fldCharType="separate"/>
    </w:r>
    <w:r w:rsidR="00C80055">
      <w:rPr>
        <w:b/>
        <w:bCs/>
        <w:noProof/>
        <w:sz w:val="18"/>
      </w:rPr>
      <w:t>2</w:t>
    </w:r>
    <w:r w:rsidRPr="004837C3">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231048"/>
      <w:docPartObj>
        <w:docPartGallery w:val="Page Numbers (Bottom of Page)"/>
        <w:docPartUnique/>
      </w:docPartObj>
    </w:sdtPr>
    <w:sdtEndPr>
      <w:rPr>
        <w:b/>
        <w:noProof/>
        <w:sz w:val="18"/>
        <w:szCs w:val="18"/>
      </w:rPr>
    </w:sdtEndPr>
    <w:sdtContent>
      <w:p w:rsidR="00C9763D" w:rsidRPr="002877B0" w:rsidRDefault="00C9763D">
        <w:pPr>
          <w:pStyle w:val="Footer"/>
          <w:jc w:val="right"/>
          <w:rPr>
            <w:b/>
            <w:sz w:val="18"/>
            <w:szCs w:val="18"/>
          </w:rPr>
        </w:pPr>
        <w:r w:rsidRPr="002877B0">
          <w:rPr>
            <w:b/>
            <w:sz w:val="18"/>
            <w:szCs w:val="18"/>
          </w:rPr>
          <w:fldChar w:fldCharType="begin"/>
        </w:r>
        <w:r w:rsidRPr="002877B0">
          <w:rPr>
            <w:b/>
            <w:sz w:val="18"/>
            <w:szCs w:val="18"/>
          </w:rPr>
          <w:instrText xml:space="preserve"> PAGE   \* MERGEFORMAT </w:instrText>
        </w:r>
        <w:r w:rsidRPr="002877B0">
          <w:rPr>
            <w:b/>
            <w:sz w:val="18"/>
            <w:szCs w:val="18"/>
          </w:rPr>
          <w:fldChar w:fldCharType="separate"/>
        </w:r>
        <w:r w:rsidR="00C80055">
          <w:rPr>
            <w:b/>
            <w:noProof/>
            <w:sz w:val="18"/>
            <w:szCs w:val="18"/>
          </w:rPr>
          <w:t>3</w:t>
        </w:r>
        <w:r w:rsidRPr="002877B0">
          <w:rPr>
            <w:b/>
            <w:noProof/>
            <w:sz w:val="18"/>
            <w:szCs w:val="18"/>
          </w:rPr>
          <w:fldChar w:fldCharType="end"/>
        </w:r>
      </w:p>
    </w:sdtContent>
  </w:sdt>
  <w:p w:rsidR="00C9763D" w:rsidRDefault="00C976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585" w:rsidRPr="000E7585" w:rsidRDefault="000E7585" w:rsidP="000E7585">
    <w:pPr>
      <w:pStyle w:val="Footer"/>
    </w:pPr>
    <w:r>
      <w:rPr>
        <w:noProof/>
        <w:lang w:eastAsia="en-GB"/>
      </w:rPr>
      <mc:AlternateContent>
        <mc:Choice Requires="wps">
          <w:drawing>
            <wp:anchor distT="0" distB="0" distL="114300" distR="114300" simplePos="0" relativeHeight="251674624" behindDoc="0" locked="1" layoutInCell="1" allowOverlap="1">
              <wp:simplePos x="0" y="0"/>
              <wp:positionH relativeFrom="page">
                <wp:posOffset>276860</wp:posOffset>
              </wp:positionH>
              <wp:positionV relativeFrom="page">
                <wp:posOffset>719455</wp:posOffset>
              </wp:positionV>
              <wp:extent cx="222885" cy="61595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 cy="6159500"/>
                      </a:xfrm>
                      <a:prstGeom prst="rect">
                        <a:avLst/>
                      </a:prstGeom>
                      <a:solidFill>
                        <a:schemeClr val="accent1">
                          <a:alpha val="0"/>
                        </a:schemeClr>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0E7585" w:rsidRDefault="000E7585" w:rsidP="000E7585">
                          <w:pPr>
                            <w:pStyle w:val="Footer"/>
                            <w:tabs>
                              <w:tab w:val="right" w:pos="9638"/>
                            </w:tabs>
                          </w:pPr>
                          <w:r w:rsidRPr="004837C3">
                            <w:rPr>
                              <w:b/>
                              <w:bCs/>
                              <w:sz w:val="18"/>
                            </w:rPr>
                            <w:fldChar w:fldCharType="begin"/>
                          </w:r>
                          <w:r w:rsidRPr="004837C3">
                            <w:rPr>
                              <w:b/>
                              <w:bCs/>
                              <w:sz w:val="18"/>
                            </w:rPr>
                            <w:instrText xml:space="preserve"> PAGE  \* MERGEFORMAT </w:instrText>
                          </w:r>
                          <w:r w:rsidRPr="004837C3">
                            <w:rPr>
                              <w:b/>
                              <w:bCs/>
                              <w:sz w:val="18"/>
                            </w:rPr>
                            <w:fldChar w:fldCharType="separate"/>
                          </w:r>
                          <w:r w:rsidR="00C80055">
                            <w:rPr>
                              <w:b/>
                              <w:bCs/>
                              <w:noProof/>
                              <w:sz w:val="18"/>
                            </w:rPr>
                            <w:t>16</w:t>
                          </w:r>
                          <w:r w:rsidRPr="004837C3">
                            <w:rPr>
                              <w:b/>
                              <w:bCs/>
                              <w:sz w:val="18"/>
                            </w:rPr>
                            <w:fldChar w:fldCharType="end"/>
                          </w:r>
                          <w:r>
                            <w:tab/>
                          </w:r>
                        </w:p>
                        <w:p w:rsidR="000E7585" w:rsidRDefault="000E7585"/>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21.8pt;margin-top:56.65pt;width:17.55pt;height:4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KUBAMAAMwGAAAOAAAAZHJzL2Uyb0RvYy54bWzEVclu2zAQvRfoPxC8O1rgHZEDJ66LAkYS&#10;IClyHlOUJYQiWZK25Rb99w4py9l6SIsCvVBDcjjLmzej84umFmTHja2UzGhyFlPCJVN5JTcZ/Xq/&#10;7I0psQ5kDkJJntEDt/Ri9vHD+V5PeapKJXJuCBqRdrrXGS2d09MosqzkNdgzpbnEy0KZGhxuzSbK&#10;DezRei2iNI6H0V6ZXBvFuLV4umgv6SzYLwrO3E1RWO6IyCjG5sJqwrr2azQ7h+nGgC4rdgwD/iKK&#10;GiqJTk+mFuCAbE31xlRdMaOsKtwZU3WkiqJiPOSA2STxq2zuStA85ILgWH2Cyf47s+x6d2tIlWd0&#10;RImEGkt0zxtHLlVDRh6dvbZTVLrTqOYaPMYqh0ytXin2aFEleqbTPrCo7dFoClP7L+ZJ8CEW4HAC&#10;3XtheJim6Xg8oITh1TAZTAZxqEr09Fob6z5zVRMvZNRgUUMEsFtZ5/3DtFPxzqwSVb6shAgbTyR+&#10;JQzZAVIAGOPStQmA0CW0x53HQDuvHYy+MCQk2Wd0Mkh9qIBMLQQ4FGuN2Fm5oQTEBluAOROCk8qH&#10;EOjlg1uALVtfwWrLO6O2Mg8qJYf8k8yJO2isgMRWod5dzXNKBEezXgqaDirxHk0ERUiPAOKMMB2l&#10;lpM/Jknajy/TSW85HI96/WV/0JuM4nEvTiaXk2Hcn/QXy58+jaQ/Las853JVSd71R9J/H/+Ondoy&#10;O3TIn0H4An8P4qmMawHs0eOBWb7R+g9Qv4ApRIWod9+AfuiRti18t7hm3YSuS7seW6v8gC1mFDIc&#10;+8Rqtqww5RVYdwsGZxIe4px1N7gUQiE51FGipFTm++/OvX5G/YpswhmHRP22BYPcEl8kDhE/EDvB&#10;dMK6E+S2vlLYM0mIJoj4wDjRiYVR9QOO37n3glcgGUaSUfTWileunbQ4vhmfz4MSjj0NbiXvNOsm&#10;iS/tffMARh873CF616qbfjB91eitrme0VPOtU0UVpoDHtUURkfcbHJmhBsfx7mfy833QevoJzX4B&#10;AAD//wMAUEsDBBQABgAIAAAAIQCECNlO4QAAAAoBAAAPAAAAZHJzL2Rvd25yZXYueG1sTI9NT8Mw&#10;DIbvSPyHyEhcJpaOoq2UphNCQhwm8bFNGse08dqOxKmabCv/HnOCox+/ev24WI7OihMOofOkYDZN&#10;QCDV3nTUKNhunm8yECFqMtp6QgXfGGBZXl4UOjf+TB94WsdGcAmFXCtoY+xzKUPdotNh6nsk3u39&#10;4HTkcWikGfSZy52Vt0kyl053xBda3eNTi/XX+ugUfK6sWSW7/fvr28smq9zkMHH3B6Wur8bHBxAR&#10;x/gXhl99VoeSnSp/JBOEVXCXzjnJfJamIDiwyBYgKgZJxkSWhfz/QvkDAAD//wMAUEsBAi0AFAAG&#10;AAgAAAAhALaDOJL+AAAA4QEAABMAAAAAAAAAAAAAAAAAAAAAAFtDb250ZW50X1R5cGVzXS54bWxQ&#10;SwECLQAUAAYACAAAACEAOP0h/9YAAACUAQAACwAAAAAAAAAAAAAAAAAvAQAAX3JlbHMvLnJlbHNQ&#10;SwECLQAUAAYACAAAACEAkwrilAQDAADMBgAADgAAAAAAAAAAAAAAAAAuAgAAZHJzL2Uyb0RvYy54&#10;bWxQSwECLQAUAAYACAAAACEAhAjZTuEAAAAKAQAADwAAAAAAAAAAAAAAAABeBQAAZHJzL2Rvd25y&#10;ZXYueG1sUEsFBgAAAAAEAAQA8wAAAGwGAAAAAA==&#10;" fillcolor="#4f81bd [3204]" stroked="f">
              <v:fill opacity="0"/>
              <v:stroke joinstyle="round"/>
              <v:path arrowok="t"/>
              <v:textbox style="layout-flow:vertical" inset="0,0,0,0">
                <w:txbxContent>
                  <w:p w:rsidR="000E7585" w:rsidRDefault="000E7585" w:rsidP="000E7585">
                    <w:pPr>
                      <w:pStyle w:val="Footer"/>
                      <w:tabs>
                        <w:tab w:val="right" w:pos="9638"/>
                      </w:tabs>
                    </w:pPr>
                    <w:r w:rsidRPr="004837C3">
                      <w:rPr>
                        <w:b/>
                        <w:bCs/>
                        <w:sz w:val="18"/>
                      </w:rPr>
                      <w:fldChar w:fldCharType="begin"/>
                    </w:r>
                    <w:r w:rsidRPr="004837C3">
                      <w:rPr>
                        <w:b/>
                        <w:bCs/>
                        <w:sz w:val="18"/>
                      </w:rPr>
                      <w:instrText xml:space="preserve"> PAGE  \* MERGEFORMAT </w:instrText>
                    </w:r>
                    <w:r w:rsidRPr="004837C3">
                      <w:rPr>
                        <w:b/>
                        <w:bCs/>
                        <w:sz w:val="18"/>
                      </w:rPr>
                      <w:fldChar w:fldCharType="separate"/>
                    </w:r>
                    <w:r w:rsidR="00C80055">
                      <w:rPr>
                        <w:b/>
                        <w:bCs/>
                        <w:noProof/>
                        <w:sz w:val="18"/>
                      </w:rPr>
                      <w:t>16</w:t>
                    </w:r>
                    <w:r w:rsidRPr="004837C3">
                      <w:rPr>
                        <w:b/>
                        <w:bCs/>
                        <w:sz w:val="18"/>
                      </w:rPr>
                      <w:fldChar w:fldCharType="end"/>
                    </w:r>
                    <w:r>
                      <w:tab/>
                    </w:r>
                  </w:p>
                  <w:p w:rsidR="000E7585" w:rsidRDefault="000E7585"/>
                </w:txbxContent>
              </v:textbox>
              <w10:wrap anchorx="page"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585" w:rsidRPr="000E7585" w:rsidRDefault="000E7585" w:rsidP="000E7585">
    <w:pPr>
      <w:pStyle w:val="Footer"/>
    </w:pPr>
    <w:r>
      <w:rPr>
        <w:noProof/>
        <w:lang w:eastAsia="en-GB"/>
      </w:rPr>
      <mc:AlternateContent>
        <mc:Choice Requires="wps">
          <w:drawing>
            <wp:anchor distT="0" distB="0" distL="114300" distR="114300" simplePos="0" relativeHeight="251665408" behindDoc="0" locked="1" layoutInCell="1" allowOverlap="1">
              <wp:simplePos x="0" y="0"/>
              <wp:positionH relativeFrom="page">
                <wp:posOffset>276860</wp:posOffset>
              </wp:positionH>
              <wp:positionV relativeFrom="page">
                <wp:posOffset>719455</wp:posOffset>
              </wp:positionV>
              <wp:extent cx="222885" cy="61595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 cy="6159500"/>
                      </a:xfrm>
                      <a:prstGeom prst="rect">
                        <a:avLst/>
                      </a:prstGeom>
                      <a:solidFill>
                        <a:schemeClr val="accent1">
                          <a:alpha val="0"/>
                        </a:schemeClr>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0E7585" w:rsidRDefault="000E7585" w:rsidP="000E7585">
                          <w:pPr>
                            <w:pStyle w:val="Footer"/>
                            <w:tabs>
                              <w:tab w:val="right" w:pos="9638"/>
                            </w:tabs>
                          </w:pPr>
                          <w:r>
                            <w:tab/>
                          </w:r>
                          <w:r w:rsidRPr="004837C3">
                            <w:rPr>
                              <w:b/>
                              <w:bCs/>
                              <w:sz w:val="18"/>
                            </w:rPr>
                            <w:fldChar w:fldCharType="begin"/>
                          </w:r>
                          <w:r w:rsidRPr="004837C3">
                            <w:rPr>
                              <w:b/>
                              <w:bCs/>
                              <w:sz w:val="18"/>
                            </w:rPr>
                            <w:instrText xml:space="preserve"> PAGE  \* MERGEFORMAT </w:instrText>
                          </w:r>
                          <w:r w:rsidRPr="004837C3">
                            <w:rPr>
                              <w:b/>
                              <w:bCs/>
                              <w:sz w:val="18"/>
                            </w:rPr>
                            <w:fldChar w:fldCharType="separate"/>
                          </w:r>
                          <w:r w:rsidR="00C80055">
                            <w:rPr>
                              <w:b/>
                              <w:bCs/>
                              <w:noProof/>
                              <w:sz w:val="18"/>
                            </w:rPr>
                            <w:t>15</w:t>
                          </w:r>
                          <w:r w:rsidRPr="004837C3">
                            <w:rPr>
                              <w:b/>
                              <w:bCs/>
                              <w:sz w:val="18"/>
                            </w:rPr>
                            <w:fldChar w:fldCharType="end"/>
                          </w:r>
                        </w:p>
                        <w:p w:rsidR="000E7585" w:rsidRDefault="000E7585"/>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21.8pt;margin-top:56.65pt;width:17.55pt;height:4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6/1BgMAAMwGAAAOAAAAZHJzL2Uyb0RvYy54bWzEVUtv2zAMvg/YfxB0T+14ThYbdYq0WYYB&#10;QVugHXpmZDk2KkuapDy6Yf99lBynrx26YcAuMiVRfHz8SJ+e7VtBttzYRsmCDk9iSrhkqmzkuqBf&#10;bxeDCSXWgSxBKMkL+sAtPZu+f3e60zlPVK1EyQ1BI9LmO13Q2jmdR5FlNW/BnijNJV5WyrTgcGvW&#10;UWlgh9ZbESVxPI52ypTaKMatxdN5d0mnwX5VceauqspyR0RBMTYXVhPWlV+j6SnkawO6btghDPiL&#10;KFpoJDo9mpqDA7IxzStTbcOMsqpyJ0y1kaqqhvGQA2YzjF9kc1OD5iEXBMfqI0z235lll9trQ5qy&#10;oCklElos0S3fO3Ku9iT16Oy0zVHpRqOa2+MxVjlkavVSsXuLKtETne6BRW2Pxr4yrf9ingQfYgEe&#10;jqB7LwwPkySZTEaUMLwaD0fZKA5ViR5fa2PdZ65a4oWCGixqiAC2S+u8f8h7Fe/MKtGUi0aIsPFE&#10;4hfCkC0gBYAxLl2XAAhdQ3fcewy089rB6DNDQpJdQbNR4kMFZGolwKHYasTOyjUlINbYAsyZEJxU&#10;PoRALx/cHGzd+QpWO94ZtZFlUKk5lJ9kSdyDxgpIbBXq3bW8pERwNOuloOmgEW/RRFCE9AggzgjT&#10;Qeo4+SMbJml8nmSDxXjycZAu0tEg+xhPBvEwO8/GcZql88VPn8YwzeumLLlcNpL3/TFM38a/Q6d2&#10;zA4d8mcQPsPfg3gs40oAu/d4YJavtP4D1M9gClEh6v03oB96pGsL3y1uv9qHrvvQ99hKlQ/YYkYh&#10;w7FPrGaLBlNegnXXYHAm4SHOWXeFSyUUkkMdJEpqZb7/7tzrF9SvyCaccUjUbxswyC3xReIQ8QOx&#10;F0wvrHpBbtoLhT0zDNEEER8YJ3qxMqq9w/E7817wCiTDSAqK3jrxwnWTFsc347NZUMKxp8Et5Y1m&#10;/STxpb3d34HRhw53iN6l6qcf5C8avdP1jJZqtnGqasIU8Lh2KCLyfoMjM9TgMN79TH66D1qPP6Hp&#10;LwAAAP//AwBQSwMEFAAGAAgAAAAhAIQI2U7hAAAACgEAAA8AAABkcnMvZG93bnJldi54bWxMj01P&#10;wzAMhu9I/IfISFwmlo6irZSmE0JCHCbxsU0ax7Tx2o7EqZpsK/8ec4KjH796/bhYjs6KEw6h86Rg&#10;Nk1AINXedNQo2G6ebzIQIWoy2npCBd8YYFleXhQ6N/5MH3hax0ZwCYVcK2hj7HMpQ92i02HqeyTe&#10;7f3gdORxaKQZ9JnLnZW3STKXTnfEF1rd41OL9df66BR8rqxZJbv9++vbyyar3OQwcfcHpa6vxscH&#10;EBHH+BeGX31Wh5KdKn8kE4RVcJfOOcl8lqYgOLDIFiAqBknGRJaF/P9C+QMAAP//AwBQSwECLQAU&#10;AAYACAAAACEAtoM4kv4AAADhAQAAEwAAAAAAAAAAAAAAAAAAAAAAW0NvbnRlbnRfVHlwZXNdLnht&#10;bFBLAQItABQABgAIAAAAIQA4/SH/1gAAAJQBAAALAAAAAAAAAAAAAAAAAC8BAABfcmVscy8ucmVs&#10;c1BLAQItABQABgAIAAAAIQBV56/1BgMAAMwGAAAOAAAAAAAAAAAAAAAAAC4CAABkcnMvZTJvRG9j&#10;LnhtbFBLAQItABQABgAIAAAAIQCECNlO4QAAAAoBAAAPAAAAAAAAAAAAAAAAAGAFAABkcnMvZG93&#10;bnJldi54bWxQSwUGAAAAAAQABADzAAAAbgYAAAAA&#10;" fillcolor="#4f81bd [3204]" stroked="f">
              <v:fill opacity="0"/>
              <v:stroke joinstyle="round"/>
              <v:path arrowok="t"/>
              <v:textbox style="layout-flow:vertical" inset="0,0,0,0">
                <w:txbxContent>
                  <w:p w:rsidR="000E7585" w:rsidRDefault="000E7585" w:rsidP="000E7585">
                    <w:pPr>
                      <w:pStyle w:val="Footer"/>
                      <w:tabs>
                        <w:tab w:val="right" w:pos="9638"/>
                      </w:tabs>
                    </w:pPr>
                    <w:r>
                      <w:tab/>
                    </w:r>
                    <w:r w:rsidRPr="004837C3">
                      <w:rPr>
                        <w:b/>
                        <w:bCs/>
                        <w:sz w:val="18"/>
                      </w:rPr>
                      <w:fldChar w:fldCharType="begin"/>
                    </w:r>
                    <w:r w:rsidRPr="004837C3">
                      <w:rPr>
                        <w:b/>
                        <w:bCs/>
                        <w:sz w:val="18"/>
                      </w:rPr>
                      <w:instrText xml:space="preserve"> PAGE  \* MERGEFORMAT </w:instrText>
                    </w:r>
                    <w:r w:rsidRPr="004837C3">
                      <w:rPr>
                        <w:b/>
                        <w:bCs/>
                        <w:sz w:val="18"/>
                      </w:rPr>
                      <w:fldChar w:fldCharType="separate"/>
                    </w:r>
                    <w:r w:rsidR="00C80055">
                      <w:rPr>
                        <w:b/>
                        <w:bCs/>
                        <w:noProof/>
                        <w:sz w:val="18"/>
                      </w:rPr>
                      <w:t>15</w:t>
                    </w:r>
                    <w:r w:rsidRPr="004837C3">
                      <w:rPr>
                        <w:b/>
                        <w:bCs/>
                        <w:sz w:val="18"/>
                      </w:rPr>
                      <w:fldChar w:fldCharType="end"/>
                    </w:r>
                  </w:p>
                  <w:p w:rsidR="000E7585" w:rsidRDefault="000E7585"/>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3F2" w:rsidRPr="00C47B2E" w:rsidRDefault="000603F2" w:rsidP="00C47B2E">
      <w:pPr>
        <w:tabs>
          <w:tab w:val="right" w:pos="2155"/>
        </w:tabs>
        <w:spacing w:after="80" w:line="240" w:lineRule="auto"/>
        <w:ind w:left="680"/>
      </w:pPr>
      <w:r>
        <w:rPr>
          <w:u w:val="single"/>
        </w:rPr>
        <w:tab/>
      </w:r>
    </w:p>
  </w:footnote>
  <w:footnote w:type="continuationSeparator" w:id="0">
    <w:p w:rsidR="000603F2" w:rsidRPr="00C47B2E" w:rsidRDefault="000603F2" w:rsidP="005E716E">
      <w:pPr>
        <w:tabs>
          <w:tab w:val="right" w:pos="2155"/>
        </w:tabs>
        <w:spacing w:after="80" w:line="240" w:lineRule="auto"/>
        <w:ind w:left="680"/>
      </w:pPr>
      <w:r>
        <w:rPr>
          <w:u w:val="single"/>
        </w:rPr>
        <w:tab/>
      </w:r>
    </w:p>
  </w:footnote>
  <w:footnote w:type="continuationNotice" w:id="1">
    <w:p w:rsidR="000603F2" w:rsidRPr="00C47B2E" w:rsidRDefault="000603F2" w:rsidP="00C47B2E">
      <w:pPr>
        <w:pStyle w:val="Footer"/>
      </w:pPr>
    </w:p>
  </w:footnote>
  <w:footnote w:id="2">
    <w:p w:rsidR="004B22E9" w:rsidRPr="00EA4376" w:rsidRDefault="004B22E9" w:rsidP="004B22E9">
      <w:pPr>
        <w:pStyle w:val="FootnoteText"/>
      </w:pPr>
      <w:r w:rsidRPr="009C3DB0">
        <w:rPr>
          <w:sz w:val="20"/>
          <w:szCs w:val="22"/>
        </w:rPr>
        <w:tab/>
        <w:t>*</w:t>
      </w:r>
      <w:r w:rsidRPr="009C3DB0">
        <w:rPr>
          <w:sz w:val="20"/>
          <w:szCs w:val="22"/>
        </w:rPr>
        <w:tab/>
      </w:r>
      <w:r w:rsidRPr="00D35975">
        <w:t xml:space="preserve">The annexes to the present report are </w:t>
      </w:r>
      <w:r>
        <w:t>being circulated</w:t>
      </w:r>
      <w:r w:rsidRPr="00D35975">
        <w:t xml:space="preserve"> </w:t>
      </w:r>
      <w:r>
        <w:t>in the language of submission only</w:t>
      </w:r>
      <w:r w:rsidRPr="00D35975">
        <w:t>.</w:t>
      </w:r>
    </w:p>
  </w:footnote>
  <w:footnote w:id="3">
    <w:p w:rsidR="00E817A0" w:rsidRPr="005946C6" w:rsidRDefault="00E817A0" w:rsidP="00E817A0">
      <w:pPr>
        <w:pStyle w:val="FootnoteText"/>
        <w:widowControl w:val="0"/>
        <w:tabs>
          <w:tab w:val="clear" w:pos="1021"/>
          <w:tab w:val="right" w:pos="1020"/>
        </w:tabs>
        <w:rPr>
          <w:lang w:val="en-US"/>
        </w:rPr>
      </w:pPr>
      <w:r>
        <w:tab/>
      </w:r>
      <w:r>
        <w:rPr>
          <w:rStyle w:val="FootnoteReference"/>
        </w:rPr>
        <w:footnoteRef/>
      </w:r>
      <w:r>
        <w:tab/>
      </w:r>
      <w:r w:rsidRPr="00BE605C">
        <w:t>A/HRC/AC/23/CRP/1</w:t>
      </w:r>
      <w:r>
        <w:t>.</w:t>
      </w:r>
    </w:p>
  </w:footnote>
  <w:footnote w:id="4">
    <w:p w:rsidR="001C4DA3" w:rsidRPr="005E06D1" w:rsidRDefault="001C4DA3" w:rsidP="001C4DA3">
      <w:pPr>
        <w:pStyle w:val="FootnoteText"/>
        <w:widowControl w:val="0"/>
        <w:tabs>
          <w:tab w:val="clear" w:pos="1021"/>
          <w:tab w:val="right" w:pos="1020"/>
        </w:tabs>
        <w:rPr>
          <w:lang w:val="en-US"/>
        </w:rPr>
      </w:pPr>
      <w:r>
        <w:tab/>
      </w:r>
      <w:r>
        <w:rPr>
          <w:rStyle w:val="FootnoteReference"/>
        </w:rPr>
        <w:footnoteRef/>
      </w:r>
      <w:r>
        <w:tab/>
        <w:t>A/HRC/41/21.</w:t>
      </w:r>
    </w:p>
  </w:footnote>
  <w:footnote w:id="5">
    <w:p w:rsidR="008B4ADA" w:rsidRPr="00D724EC" w:rsidRDefault="008B4ADA" w:rsidP="008B4ADA">
      <w:pPr>
        <w:pStyle w:val="FootnoteText"/>
        <w:widowControl w:val="0"/>
        <w:tabs>
          <w:tab w:val="clear" w:pos="1021"/>
          <w:tab w:val="right" w:pos="1020"/>
        </w:tabs>
        <w:rPr>
          <w:lang w:val="en-US"/>
        </w:rPr>
      </w:pPr>
      <w:r>
        <w:tab/>
      </w:r>
      <w:r>
        <w:rPr>
          <w:rStyle w:val="FootnoteReference"/>
        </w:rPr>
        <w:footnoteRef/>
      </w:r>
      <w:r>
        <w:tab/>
      </w:r>
      <w:r w:rsidRPr="0069136B">
        <w:t>A/HRC/AC/23/CRP/2</w:t>
      </w:r>
      <w:r>
        <w:t>.</w:t>
      </w:r>
    </w:p>
  </w:footnote>
  <w:footnote w:id="6">
    <w:p w:rsidR="00415944" w:rsidRDefault="00415944" w:rsidP="00415944">
      <w:pPr>
        <w:pStyle w:val="FootnoteText"/>
        <w:rPr>
          <w:lang w:val="en-US"/>
        </w:rPr>
      </w:pPr>
      <w:r>
        <w:tab/>
      </w:r>
      <w:r w:rsidRPr="007943BB">
        <w:rPr>
          <w:rStyle w:val="FootnoteReference"/>
        </w:rPr>
        <w:footnoteRef/>
      </w:r>
      <w:r>
        <w:tab/>
      </w:r>
      <w:r w:rsidRPr="000E6B6C">
        <w:rPr>
          <w:lang w:val="en-US"/>
        </w:rPr>
        <w:t>A/HRC/AC/23/CRP.</w:t>
      </w:r>
      <w:r>
        <w:rPr>
          <w:lang w:val="en-US"/>
        </w:rPr>
        <w:t>3</w:t>
      </w:r>
      <w:r w:rsidRPr="000E6B6C">
        <w:rPr>
          <w:lang w:val="en-US"/>
        </w:rPr>
        <w:t>.</w:t>
      </w:r>
    </w:p>
  </w:footnote>
  <w:footnote w:id="7">
    <w:p w:rsidR="00F773A7" w:rsidRPr="00FE5A5F" w:rsidRDefault="00F773A7" w:rsidP="00F773A7">
      <w:pPr>
        <w:pStyle w:val="FootnoteText"/>
        <w:widowControl w:val="0"/>
        <w:tabs>
          <w:tab w:val="clear" w:pos="1021"/>
          <w:tab w:val="right" w:pos="1020"/>
        </w:tabs>
        <w:rPr>
          <w:lang w:val="en-US"/>
        </w:rPr>
      </w:pPr>
      <w:r>
        <w:tab/>
      </w:r>
      <w:r>
        <w:rPr>
          <w:rStyle w:val="FootnoteReference"/>
        </w:rPr>
        <w:footnoteRef/>
      </w:r>
      <w:r>
        <w:tab/>
        <w:t xml:space="preserve">A/HRC/AC/23/CRP.4 </w:t>
      </w:r>
    </w:p>
  </w:footnote>
  <w:footnote w:id="8">
    <w:p w:rsidR="00E278E4" w:rsidRPr="00490AF6" w:rsidRDefault="00E278E4" w:rsidP="00E278E4">
      <w:pPr>
        <w:pStyle w:val="FootnoteText"/>
      </w:pPr>
      <w:r>
        <w:tab/>
      </w:r>
      <w:r w:rsidRPr="00713B38">
        <w:rPr>
          <w:rStyle w:val="FootnoteReference"/>
        </w:rPr>
        <w:footnoteRef/>
      </w:r>
      <w:r>
        <w:tab/>
        <w:t>Years in parenthese</w:t>
      </w:r>
      <w:r w:rsidRPr="005C6ECE">
        <w:t xml:space="preserve">s indicate </w:t>
      </w:r>
      <w:r>
        <w:t xml:space="preserve">the expiry of the </w:t>
      </w:r>
      <w:r w:rsidRPr="005C6ECE">
        <w:t>term</w:t>
      </w:r>
      <w:r>
        <w:t>s</w:t>
      </w:r>
      <w:r w:rsidRPr="005C6ECE">
        <w:t xml:space="preserve"> of office </w:t>
      </w:r>
      <w:r>
        <w:t xml:space="preserve">(terms of office end </w:t>
      </w:r>
      <w:r w:rsidRPr="007F04B6">
        <w:t>on 30 September</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7C3" w:rsidRDefault="004837C3" w:rsidP="004837C3">
    <w:pPr>
      <w:pStyle w:val="Header"/>
    </w:pPr>
    <w:r>
      <w:t>A/HRC/AC/2</w:t>
    </w:r>
    <w:r w:rsidR="002062E7">
      <w:t>3</w:t>
    </w:r>
    <w: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7C3" w:rsidRDefault="002062E7" w:rsidP="004837C3">
    <w:pPr>
      <w:pStyle w:val="Header"/>
      <w:jc w:val="right"/>
    </w:pPr>
    <w:r>
      <w:t>A/HRC/AC/23</w:t>
    </w:r>
    <w:r w:rsidR="004837C3">
      <w:t>/2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585" w:rsidRPr="000E7585" w:rsidRDefault="000E7585" w:rsidP="000E7585">
    <w:pPr>
      <w:pStyle w:val="Header"/>
      <w:pBdr>
        <w:bottom w:val="none" w:sz="0" w:space="0" w:color="auto"/>
      </w:pBdr>
    </w:pPr>
    <w:r>
      <w:rPr>
        <w:noProof/>
        <w:lang w:eastAsia="en-GB"/>
      </w:rPr>
      <mc:AlternateContent>
        <mc:Choice Requires="wps">
          <w:drawing>
            <wp:anchor distT="0" distB="0" distL="114300" distR="114300" simplePos="0" relativeHeight="251670528" behindDoc="0" locked="1" layoutInCell="1" allowOverlap="1">
              <wp:simplePos x="0" y="0"/>
              <wp:positionH relativeFrom="page">
                <wp:posOffset>9935845</wp:posOffset>
              </wp:positionH>
              <wp:positionV relativeFrom="page">
                <wp:posOffset>719455</wp:posOffset>
              </wp:positionV>
              <wp:extent cx="292100" cy="612013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6120130"/>
                      </a:xfrm>
                      <a:prstGeom prst="rect">
                        <a:avLst/>
                      </a:prstGeom>
                      <a:solidFill>
                        <a:schemeClr val="accent1">
                          <a:alpha val="0"/>
                        </a:schemeClr>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0E7585" w:rsidRDefault="00F54982" w:rsidP="000E7585">
                          <w:pPr>
                            <w:pStyle w:val="Header"/>
                          </w:pPr>
                          <w:r>
                            <w:t>A/HRC/AC/23</w:t>
                          </w:r>
                          <w:r w:rsidR="000E7585">
                            <w:t>/2</w:t>
                          </w:r>
                        </w:p>
                        <w:p w:rsidR="000E7585" w:rsidRDefault="000E7585"/>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782.35pt;margin-top:56.65pt;width:23pt;height:481.9pt;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szDAQMAAMUGAAAOAAAAZHJzL2Uyb0RvYy54bWzEVV1v0zAUfUfiP1h+75KUrqzVsmkfFCFV&#10;G9KGeL51nCaaYxvbXTsQ/51jp9kY8AAIiRfn2r6+H+eee3N8uusUu5fOt0aXvDjIOZNamKrV65J/&#10;uF2MjjjzgXRFymhZ8gfp+enJyxfHWzuXY9MYVUnHYET7+daWvAnBzrPMi0Z25A+MlRqXtXEdBWzd&#10;OqscbWG9U9k4z6fZ1rjKOiOk9zi97C/5SbJf11KE67r2MjBVcsQW0urSuoprdnJM87Uj27RiHwb9&#10;RRQdtRpOH01dUiC2ce1PprpWOONNHQ6E6TJT162QKQdkU+Q/ZHPTkJUpF4Dj7SNM/t+ZFVf37x1r&#10;q5JPOdPUoUS3chfYudmxaURna/0cSjcWamGHY1Q5Zert0og7D5XsO53+gYd2RGNXuy5+kSfDQxTg&#10;4RH06EXgcDwbFzluBK6mBVB4laqSPb22zoe30nQsCiV3KGqKgO6XPkT/NB9UojNvVFstWqXSJhJJ&#10;XijH7gkUICGkDn0CpGxD/fHgMdEuaiejzwwpzbYlnx2ODxEqgam1ogCxs8DO6zVnpNZoARFcCk6b&#10;GEKiVwzuknzT+0pWe945s9FVUmkkVW90xcKDRQU0WoVHd52sOFMSZqOUNAO16nc0AYrSEQHgDJj2&#10;Us/JL7NiPMnPx7PRYnr0ejRZTA5Hs9f50SgvZuezaT6ZTS4XX2MaxWTetFUl9bLVcuiPYvJ7/Nt3&#10;as/s1CF/BuEz/COIj2VcKRJ3EQ9k+ZPWf4D6GUwpKqA+fBP6qUf6tojdEnarHcKP4spUD+gtZ0Bt&#10;tIG3YtEi1yX58J4chhEOMWDDNZZaGbDC7CXOGuM+/+o86pc8rqARhhsY+mlDDqRS7zSmB0yGQXCD&#10;sBoEvekuDJqlSNEkEQ9cUINYO9N9xNw9i15wRVogkpLDWy9ehH7EYm4LeXaWlDDvLIWlvrFiGCGx&#10;pre7j+TsvrUDYLsyw9ij+Q8d3utGKmtztgmmblP7P6EIyOMGszKBv5/rcRh/v09aT3+fk28AAAD/&#10;/wMAUEsDBBQABgAIAAAAIQD6jIwP5AAAAA4BAAAPAAAAZHJzL2Rvd25yZXYueG1sTI9LT8MwEITv&#10;SPwHa5G4VNQOhaSEOBVCQhwq8WgrlaMTb5MUP6LYbcO/Z3uC28zuaPbbYjFaw444hM47CclUAENX&#10;e925RsJm/XIzBxaicloZ71DCDwZYlJcXhcq1P7lPPK5iw6jEhVxJaGPsc85D3aJVYep7dLTb+cGq&#10;SHZouB7Uicqt4bdCpNyqztGFVvX43GL9vTpYCV9Lo5diu/t4e39dzys72U/sw17K66vx6RFYxDH+&#10;heGMT+hQElPlD04HZsjfp3cZZUklsxmwcyRNBI0qUiLLEuBlwf+/Uf4CAAD//wMAUEsBAi0AFAAG&#10;AAgAAAAhALaDOJL+AAAA4QEAABMAAAAAAAAAAAAAAAAAAAAAAFtDb250ZW50X1R5cGVzXS54bWxQ&#10;SwECLQAUAAYACAAAACEAOP0h/9YAAACUAQAACwAAAAAAAAAAAAAAAAAvAQAAX3JlbHMvLnJlbHNQ&#10;SwECLQAUAAYACAAAACEADrrMwwEDAADFBgAADgAAAAAAAAAAAAAAAAAuAgAAZHJzL2Uyb0RvYy54&#10;bWxQSwECLQAUAAYACAAAACEA+oyMD+QAAAAOAQAADwAAAAAAAAAAAAAAAABbBQAAZHJzL2Rvd25y&#10;ZXYueG1sUEsFBgAAAAAEAAQA8wAAAGwGAAAAAA==&#10;" fillcolor="#4f81bd [3204]" stroked="f">
              <v:fill opacity="0"/>
              <v:stroke joinstyle="round"/>
              <v:path arrowok="t"/>
              <v:textbox style="layout-flow:vertical" inset="0,0,0,0">
                <w:txbxContent>
                  <w:p w:rsidR="000E7585" w:rsidRDefault="00F54982" w:rsidP="000E7585">
                    <w:pPr>
                      <w:pStyle w:val="Header"/>
                    </w:pPr>
                    <w:r>
                      <w:t>A/HRC/AC/23</w:t>
                    </w:r>
                    <w:r w:rsidR="000E7585">
                      <w:t>/2</w:t>
                    </w:r>
                  </w:p>
                  <w:p w:rsidR="000E7585" w:rsidRDefault="000E7585"/>
                </w:txbxContent>
              </v:textbox>
              <w10:wrap anchorx="page" anchory="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585" w:rsidRPr="000E7585" w:rsidRDefault="000E7585" w:rsidP="000E7585">
    <w:pPr>
      <w:pStyle w:val="Header"/>
      <w:pBdr>
        <w:bottom w:val="none" w:sz="0" w:space="0" w:color="auto"/>
      </w:pBdr>
    </w:pPr>
    <w:r>
      <w:rPr>
        <w:noProof/>
        <w:lang w:eastAsia="en-GB"/>
      </w:rPr>
      <mc:AlternateContent>
        <mc:Choice Requires="wps">
          <w:drawing>
            <wp:anchor distT="0" distB="0" distL="114300" distR="114300" simplePos="0" relativeHeight="251653120" behindDoc="0" locked="1" layoutInCell="1" allowOverlap="1">
              <wp:simplePos x="0" y="0"/>
              <wp:positionH relativeFrom="page">
                <wp:posOffset>9935845</wp:posOffset>
              </wp:positionH>
              <wp:positionV relativeFrom="page">
                <wp:posOffset>719455</wp:posOffset>
              </wp:positionV>
              <wp:extent cx="292100" cy="612013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6120130"/>
                      </a:xfrm>
                      <a:prstGeom prst="rect">
                        <a:avLst/>
                      </a:prstGeom>
                      <a:solidFill>
                        <a:schemeClr val="accent1">
                          <a:alpha val="0"/>
                        </a:schemeClr>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0E7585" w:rsidRDefault="0023232F" w:rsidP="000E7585">
                          <w:pPr>
                            <w:pStyle w:val="Header"/>
                            <w:jc w:val="right"/>
                          </w:pPr>
                          <w:r>
                            <w:t>A/HRC/AC/23</w:t>
                          </w:r>
                          <w:r w:rsidR="000E7585">
                            <w:t>/2</w:t>
                          </w:r>
                        </w:p>
                        <w:p w:rsidR="000E7585" w:rsidRDefault="000E7585"/>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782.35pt;margin-top:56.65pt;width:23pt;height:481.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7jBQMAAMwGAAAOAAAAZHJzL2Uyb0RvYy54bWzEVUtv2zAMvg/YfxB0T22naVobdYq0WYYB&#10;QVugHXpmZDk2KkuapCTOhv33UXKcvnbohgG7yJRE8fHxI31+0TaCbLixtZI5TY5iSrhkqqjlKqdf&#10;7+eDM0qsA1mAUJLndMctvZh8/HC+1RkfqkqJghuCRqTNtjqnlXM6iyLLKt6APVKaS7wslWnA4das&#10;osLAFq03IhrG8TjaKlNooxi3Fk9n3SWdBPtlyZm7KUvLHRE5xdhcWE1Yl36NJueQrQzoqmb7MOAv&#10;omigluj0YGoGDsja1G9MNTUzyqrSHTHVRKosa8ZDDphNEr/K5q4CzUMuCI7VB5jsvzPLrje3htRF&#10;To8pkdBgie5568ilasmxR2erbYZKdxrVXIvHWOWQqdULxR4tqkTPdLoHFrU9Gm1pGv/FPAk+xALs&#10;DqB7LwwPh+kwifGG4dU4QRSOQ1Wip9faWPeZq4Z4IacGixoigM3COu8fsl7FO7NK1MW8FiJsPJH4&#10;lTBkA0gBYIxL1yUAQlfQHfceA+28djD6wpCQZJvT9GR4gqECMrUU4FBsNGJn5YoSECtsAeZMCE4q&#10;H0Kglw9uBrbqfAWrHe+MWssiqFQcik+yIG6nsQISW4V6dw0vKBEczXopaDqoxXs0ERQhPQKIM8K0&#10;lzpO/kiT4Si+HKaD+fjsdDCaj04G6Wl8NoiT9DIdx6N0NJv/9Gkko6yqi4LLRS153x/J6H3823dq&#10;x+zQIX8G4Qv8PYiHMi4FsEePB2b5Rus/QP0CphAVot5/A/qhR7q28N3i2mUbui7pe2ypih22mFHI&#10;cOwGq9m8xpQXYN0tGJxJeIhz1t3gUgqF5FB7iZJKme+/O/f6OfUrsglnHBL12xoMckt8kThE0KTr&#10;BdMLy16Q6+ZKYc8kIZog4gPjRC+WRjUPOH6n3gtegWQYSU7RWydeuW7S4vhmfDoNSjj2NLiFvNOs&#10;nyS+tPftAxi973CH6F2rfvpB9qrRO13PaKmma6fKOkwBj2uHIiLvNzgyQw32493P5Of7oPX0E5r8&#10;AgAA//8DAFBLAwQUAAYACAAAACEA+oyMD+QAAAAOAQAADwAAAGRycy9kb3ducmV2LnhtbEyPS0/D&#10;MBCE70j8B2uRuFTUDoWkhDgVQkIcKvFoK5WjE2+TFD+i2G3Dv2d7gtvM7mj222IxWsOOOITOOwnJ&#10;VABDV3vduUbCZv1yMwcWonJaGe9Qwg8GWJSXF4XKtT+5TzyuYsOoxIVcSWhj7HPOQ92iVWHqe3S0&#10;2/nBqkh2aLge1InKreG3QqTcqs7RhVb1+Nxi/b06WAlfS6OXYrv7eHt/Xc8rO9lP7MNeyuur8ekR&#10;WMQx/oXhjE/oUBJT5Q9OB2bI36d3GWVJJbMZsHMkTQSNKlIiyxLgZcH/v1H+AgAA//8DAFBLAQIt&#10;ABQABgAIAAAAIQC2gziS/gAAAOEBAAATAAAAAAAAAAAAAAAAAAAAAABbQ29udGVudF9UeXBlc10u&#10;eG1sUEsBAi0AFAAGAAgAAAAhADj9If/WAAAAlAEAAAsAAAAAAAAAAAAAAAAALwEAAF9yZWxzLy5y&#10;ZWxzUEsBAi0AFAAGAAgAAAAhAKJ7vuMFAwAAzAYAAA4AAAAAAAAAAAAAAAAALgIAAGRycy9lMm9E&#10;b2MueG1sUEsBAi0AFAAGAAgAAAAhAPqMjA/kAAAADgEAAA8AAAAAAAAAAAAAAAAAXwUAAGRycy9k&#10;b3ducmV2LnhtbFBLBQYAAAAABAAEAPMAAABwBgAAAAA=&#10;" fillcolor="#4f81bd [3204]" stroked="f">
              <v:fill opacity="0"/>
              <v:stroke joinstyle="round"/>
              <v:path arrowok="t"/>
              <v:textbox style="layout-flow:vertical" inset="0,0,0,0">
                <w:txbxContent>
                  <w:p w:rsidR="000E7585" w:rsidRDefault="0023232F" w:rsidP="000E7585">
                    <w:pPr>
                      <w:pStyle w:val="Header"/>
                      <w:jc w:val="right"/>
                    </w:pPr>
                    <w:r>
                      <w:t>A/HRC/AC/23</w:t>
                    </w:r>
                    <w:r w:rsidR="000E7585">
                      <w:t>/2</w:t>
                    </w:r>
                  </w:p>
                  <w:p w:rsidR="000E7585" w:rsidRDefault="000E758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9"/>
  </w:num>
  <w:num w:numId="7">
    <w:abstractNumId w:val="2"/>
  </w:num>
  <w:num w:numId="8">
    <w:abstractNumId w:val="1"/>
  </w:num>
  <w:num w:numId="9">
    <w:abstractNumId w:val="8"/>
  </w:num>
  <w:num w:numId="10">
    <w:abstractNumId w:val="1"/>
  </w:num>
  <w:num w:numId="11">
    <w:abstractNumId w:val="8"/>
  </w:num>
  <w:num w:numId="12">
    <w:abstractNumId w:val="4"/>
  </w:num>
  <w:num w:numId="13">
    <w:abstractNumId w:val="3"/>
  </w:num>
  <w:num w:numId="14">
    <w:abstractNumId w:val="0"/>
  </w:num>
  <w:num w:numId="15">
    <w:abstractNumId w:val="7"/>
  </w:num>
  <w:num w:numId="16">
    <w:abstractNumId w:val="9"/>
  </w:num>
  <w:num w:numId="17">
    <w:abstractNumId w:val="4"/>
  </w:num>
  <w:num w:numId="18">
    <w:abstractNumId w:val="3"/>
  </w:num>
  <w:num w:numId="19">
    <w:abstractNumId w:val="0"/>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ttachedTemplate r:id="rId1"/>
  <w:defaultTabStop w:val="567"/>
  <w:evenAndOddHeaders/>
  <w:characterSpacingControl w:val="doNotCompress"/>
  <w:hdrShapeDefaults>
    <o:shapedefaults v:ext="edit" spidmax="45057"/>
  </w:hdrShapeDefaults>
  <w:footnotePr>
    <w:footnote w:id="-1"/>
    <w:footnote w:id="0"/>
    <w:footnote w:id="1"/>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03F2"/>
    <w:rsid w:val="000106E4"/>
    <w:rsid w:val="00011E8E"/>
    <w:rsid w:val="00031E25"/>
    <w:rsid w:val="00046E92"/>
    <w:rsid w:val="00047ABD"/>
    <w:rsid w:val="00051652"/>
    <w:rsid w:val="000603F2"/>
    <w:rsid w:val="00063C90"/>
    <w:rsid w:val="00072607"/>
    <w:rsid w:val="000909E9"/>
    <w:rsid w:val="00091C14"/>
    <w:rsid w:val="00093368"/>
    <w:rsid w:val="000A060D"/>
    <w:rsid w:val="000A3936"/>
    <w:rsid w:val="000C6703"/>
    <w:rsid w:val="000E23FE"/>
    <w:rsid w:val="000E7585"/>
    <w:rsid w:val="00101B98"/>
    <w:rsid w:val="00120DA7"/>
    <w:rsid w:val="001338C9"/>
    <w:rsid w:val="00140B57"/>
    <w:rsid w:val="00160480"/>
    <w:rsid w:val="00177412"/>
    <w:rsid w:val="001806B7"/>
    <w:rsid w:val="001827D1"/>
    <w:rsid w:val="001B15B0"/>
    <w:rsid w:val="001C4DA3"/>
    <w:rsid w:val="00201446"/>
    <w:rsid w:val="002062E7"/>
    <w:rsid w:val="00206463"/>
    <w:rsid w:val="00226740"/>
    <w:rsid w:val="0023232F"/>
    <w:rsid w:val="002371AA"/>
    <w:rsid w:val="00247E2C"/>
    <w:rsid w:val="00250CDB"/>
    <w:rsid w:val="00267A3D"/>
    <w:rsid w:val="002877B0"/>
    <w:rsid w:val="00297AE9"/>
    <w:rsid w:val="002A32CB"/>
    <w:rsid w:val="002B54F1"/>
    <w:rsid w:val="002B6396"/>
    <w:rsid w:val="002D6C53"/>
    <w:rsid w:val="002F5595"/>
    <w:rsid w:val="002F56B3"/>
    <w:rsid w:val="003175AF"/>
    <w:rsid w:val="00334F6A"/>
    <w:rsid w:val="00342AC8"/>
    <w:rsid w:val="00346BB5"/>
    <w:rsid w:val="003570FD"/>
    <w:rsid w:val="00376D8E"/>
    <w:rsid w:val="003A2753"/>
    <w:rsid w:val="003B4550"/>
    <w:rsid w:val="003D40BB"/>
    <w:rsid w:val="0040017C"/>
    <w:rsid w:val="004078E2"/>
    <w:rsid w:val="00415944"/>
    <w:rsid w:val="00452407"/>
    <w:rsid w:val="00456E18"/>
    <w:rsid w:val="00460036"/>
    <w:rsid w:val="00461253"/>
    <w:rsid w:val="004837C3"/>
    <w:rsid w:val="00485FB2"/>
    <w:rsid w:val="00486A88"/>
    <w:rsid w:val="004A2814"/>
    <w:rsid w:val="004B22E9"/>
    <w:rsid w:val="004C0622"/>
    <w:rsid w:val="004C1E48"/>
    <w:rsid w:val="004C2E4F"/>
    <w:rsid w:val="004D10F9"/>
    <w:rsid w:val="005042C2"/>
    <w:rsid w:val="005E716E"/>
    <w:rsid w:val="006207F2"/>
    <w:rsid w:val="006232D5"/>
    <w:rsid w:val="00660267"/>
    <w:rsid w:val="006679DE"/>
    <w:rsid w:val="00670FF7"/>
    <w:rsid w:val="00671529"/>
    <w:rsid w:val="0068678B"/>
    <w:rsid w:val="006A6D4B"/>
    <w:rsid w:val="006E7EB6"/>
    <w:rsid w:val="006F2AF9"/>
    <w:rsid w:val="006F4368"/>
    <w:rsid w:val="0070489D"/>
    <w:rsid w:val="00717FD1"/>
    <w:rsid w:val="007268F9"/>
    <w:rsid w:val="00726E91"/>
    <w:rsid w:val="007470D1"/>
    <w:rsid w:val="0075566A"/>
    <w:rsid w:val="007943BB"/>
    <w:rsid w:val="007A6394"/>
    <w:rsid w:val="007B4AB4"/>
    <w:rsid w:val="007C52B0"/>
    <w:rsid w:val="007D60D8"/>
    <w:rsid w:val="007F0216"/>
    <w:rsid w:val="007F5E30"/>
    <w:rsid w:val="00806E62"/>
    <w:rsid w:val="008258A4"/>
    <w:rsid w:val="00841166"/>
    <w:rsid w:val="00854A70"/>
    <w:rsid w:val="00861B4E"/>
    <w:rsid w:val="0086533F"/>
    <w:rsid w:val="00865520"/>
    <w:rsid w:val="00871B90"/>
    <w:rsid w:val="008823FF"/>
    <w:rsid w:val="008A46E9"/>
    <w:rsid w:val="008B4ADA"/>
    <w:rsid w:val="008B7C8C"/>
    <w:rsid w:val="008F3622"/>
    <w:rsid w:val="00913573"/>
    <w:rsid w:val="009411B4"/>
    <w:rsid w:val="00955A9E"/>
    <w:rsid w:val="00955D39"/>
    <w:rsid w:val="009808B7"/>
    <w:rsid w:val="00986569"/>
    <w:rsid w:val="00995375"/>
    <w:rsid w:val="009C3DB0"/>
    <w:rsid w:val="009D0139"/>
    <w:rsid w:val="009D0F78"/>
    <w:rsid w:val="009D5F38"/>
    <w:rsid w:val="009D717D"/>
    <w:rsid w:val="009E3EC4"/>
    <w:rsid w:val="009E56DA"/>
    <w:rsid w:val="009F5CDC"/>
    <w:rsid w:val="00A003B8"/>
    <w:rsid w:val="00A20236"/>
    <w:rsid w:val="00A27DF6"/>
    <w:rsid w:val="00A42308"/>
    <w:rsid w:val="00A731C7"/>
    <w:rsid w:val="00A74355"/>
    <w:rsid w:val="00A775CF"/>
    <w:rsid w:val="00A7796B"/>
    <w:rsid w:val="00AB0CAF"/>
    <w:rsid w:val="00AC3597"/>
    <w:rsid w:val="00AC39AF"/>
    <w:rsid w:val="00AD007F"/>
    <w:rsid w:val="00AE4ABA"/>
    <w:rsid w:val="00B05339"/>
    <w:rsid w:val="00B06045"/>
    <w:rsid w:val="00B4536D"/>
    <w:rsid w:val="00B52134"/>
    <w:rsid w:val="00B52EF4"/>
    <w:rsid w:val="00B612B3"/>
    <w:rsid w:val="00B63EC1"/>
    <w:rsid w:val="00B65B01"/>
    <w:rsid w:val="00B92F59"/>
    <w:rsid w:val="00BA1D3E"/>
    <w:rsid w:val="00C03015"/>
    <w:rsid w:val="00C0358D"/>
    <w:rsid w:val="00C1158C"/>
    <w:rsid w:val="00C35A27"/>
    <w:rsid w:val="00C46722"/>
    <w:rsid w:val="00C47B2E"/>
    <w:rsid w:val="00C775BE"/>
    <w:rsid w:val="00C80055"/>
    <w:rsid w:val="00C9763D"/>
    <w:rsid w:val="00CA1B04"/>
    <w:rsid w:val="00CB2FA1"/>
    <w:rsid w:val="00CD26A6"/>
    <w:rsid w:val="00CD7326"/>
    <w:rsid w:val="00D04E92"/>
    <w:rsid w:val="00D15FBB"/>
    <w:rsid w:val="00D4645F"/>
    <w:rsid w:val="00D90F8A"/>
    <w:rsid w:val="00D9317E"/>
    <w:rsid w:val="00DF2C49"/>
    <w:rsid w:val="00E02C2B"/>
    <w:rsid w:val="00E278E4"/>
    <w:rsid w:val="00E52109"/>
    <w:rsid w:val="00E53E9C"/>
    <w:rsid w:val="00E555F9"/>
    <w:rsid w:val="00E63EBF"/>
    <w:rsid w:val="00E67E15"/>
    <w:rsid w:val="00E7046A"/>
    <w:rsid w:val="00E75317"/>
    <w:rsid w:val="00E817A0"/>
    <w:rsid w:val="00EA2A17"/>
    <w:rsid w:val="00EA7F02"/>
    <w:rsid w:val="00EB6E65"/>
    <w:rsid w:val="00EC11BD"/>
    <w:rsid w:val="00ED6C48"/>
    <w:rsid w:val="00EF17E9"/>
    <w:rsid w:val="00EF3BCB"/>
    <w:rsid w:val="00F54982"/>
    <w:rsid w:val="00F64764"/>
    <w:rsid w:val="00F65F5D"/>
    <w:rsid w:val="00F773A7"/>
    <w:rsid w:val="00F86A3A"/>
    <w:rsid w:val="00FF1947"/>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854ABEB"/>
  <w15:docId w15:val="{86F2B62F-EAB8-4F40-9126-B0E053FB6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2D5"/>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047ABD"/>
    <w:pPr>
      <w:pBdr>
        <w:bottom w:val="single" w:sz="4" w:space="4" w:color="auto"/>
      </w:pBdr>
      <w:suppressAutoHyphens w:val="0"/>
      <w:kinsoku/>
      <w:overflowPunct/>
      <w:autoSpaceDE/>
      <w:autoSpaceDN/>
      <w:adjustRightInd/>
      <w:snapToGrid/>
      <w:spacing w:line="240" w:lineRule="auto"/>
    </w:pPr>
    <w:rPr>
      <w:rFonts w:eastAsia="SimSun"/>
      <w:b/>
      <w:sz w:val="18"/>
      <w:lang w:eastAsia="zh-CN"/>
    </w:rPr>
  </w:style>
  <w:style w:type="character" w:customStyle="1" w:styleId="HeaderChar">
    <w:name w:val="Header Char"/>
    <w:aliases w:val="6_G Char"/>
    <w:basedOn w:val="DefaultParagraphFont"/>
    <w:link w:val="Header"/>
    <w:rsid w:val="00047ABD"/>
    <w:rPr>
      <w:rFonts w:ascii="Times New Roman" w:hAnsi="Times New Roman" w:cs="Times New Roman"/>
      <w:b/>
      <w:sz w:val="18"/>
      <w:szCs w:val="20"/>
    </w:rPr>
  </w:style>
  <w:style w:type="paragraph" w:styleId="Footer">
    <w:name w:val="footer"/>
    <w:aliases w:val="3_G"/>
    <w:basedOn w:val="Normal"/>
    <w:link w:val="FooterChar"/>
    <w:uiPriority w:val="99"/>
    <w:rsid w:val="00047ABD"/>
    <w:pPr>
      <w:suppressAutoHyphens w:val="0"/>
      <w:kinsoku/>
      <w:overflowPunct/>
      <w:autoSpaceDE/>
      <w:autoSpaceDN/>
      <w:adjustRightInd/>
      <w:snapToGrid/>
      <w:spacing w:line="240" w:lineRule="auto"/>
    </w:pPr>
    <w:rPr>
      <w:rFonts w:eastAsia="SimSun"/>
      <w:sz w:val="16"/>
      <w:lang w:eastAsia="zh-CN"/>
    </w:rPr>
  </w:style>
  <w:style w:type="character" w:customStyle="1" w:styleId="FooterChar">
    <w:name w:val="Footer Char"/>
    <w:aliases w:val="3_G Char"/>
    <w:basedOn w:val="DefaultParagraphFont"/>
    <w:link w:val="Footer"/>
    <w:uiPriority w:val="99"/>
    <w:rsid w:val="00047ABD"/>
    <w:rPr>
      <w:rFonts w:ascii="Times New Roman" w:hAnsi="Times New Roman" w:cs="Times New Roman"/>
      <w:sz w:val="16"/>
      <w:szCs w:val="20"/>
    </w:rPr>
  </w:style>
  <w:style w:type="paragraph" w:customStyle="1" w:styleId="HMG">
    <w:name w:val="_ H __M_G"/>
    <w:basedOn w:val="Normal"/>
    <w:next w:val="Normal"/>
    <w:rsid w:val="00047ABD"/>
    <w:pPr>
      <w:keepNext/>
      <w:keepLines/>
      <w:tabs>
        <w:tab w:val="right" w:pos="851"/>
      </w:tabs>
      <w:suppressAutoHyphens w:val="0"/>
      <w:kinsoku/>
      <w:overflowPunct/>
      <w:autoSpaceDE/>
      <w:autoSpaceDN/>
      <w:adjustRightInd/>
      <w:snapToGrid/>
      <w:spacing w:before="240" w:after="240" w:line="360" w:lineRule="exact"/>
      <w:ind w:left="1134" w:right="1134" w:hanging="1134"/>
    </w:pPr>
    <w:rPr>
      <w:rFonts w:eastAsia="SimSun"/>
      <w:b/>
      <w:sz w:val="34"/>
      <w:lang w:eastAsia="zh-CN"/>
    </w:rPr>
  </w:style>
  <w:style w:type="paragraph" w:customStyle="1" w:styleId="HChG">
    <w:name w:val="_ H _Ch_G"/>
    <w:basedOn w:val="Normal"/>
    <w:next w:val="Normal"/>
    <w:qFormat/>
    <w:rsid w:val="00047ABD"/>
    <w:pPr>
      <w:keepNext/>
      <w:keepLines/>
      <w:tabs>
        <w:tab w:val="right" w:pos="851"/>
      </w:tabs>
      <w:suppressAutoHyphens w:val="0"/>
      <w:kinsoku/>
      <w:overflowPunct/>
      <w:autoSpaceDE/>
      <w:autoSpaceDN/>
      <w:adjustRightInd/>
      <w:snapToGrid/>
      <w:spacing w:before="360" w:after="240" w:line="300" w:lineRule="exact"/>
      <w:ind w:left="1134" w:right="1134" w:hanging="1134"/>
    </w:pPr>
    <w:rPr>
      <w:rFonts w:eastAsia="SimSun"/>
      <w:b/>
      <w:sz w:val="28"/>
      <w:lang w:eastAsia="zh-CN"/>
    </w:rPr>
  </w:style>
  <w:style w:type="paragraph" w:customStyle="1" w:styleId="H1G">
    <w:name w:val="_ H_1_G"/>
    <w:basedOn w:val="Normal"/>
    <w:next w:val="Normal"/>
    <w:link w:val="H1GChar"/>
    <w:qFormat/>
    <w:rsid w:val="00047ABD"/>
    <w:pPr>
      <w:keepNext/>
      <w:keepLines/>
      <w:tabs>
        <w:tab w:val="right" w:pos="851"/>
      </w:tabs>
      <w:suppressAutoHyphens w:val="0"/>
      <w:kinsoku/>
      <w:overflowPunct/>
      <w:autoSpaceDE/>
      <w:autoSpaceDN/>
      <w:adjustRightInd/>
      <w:snapToGrid/>
      <w:spacing w:before="360" w:after="240" w:line="270" w:lineRule="exact"/>
      <w:ind w:left="1134" w:right="1134" w:hanging="1134"/>
    </w:pPr>
    <w:rPr>
      <w:rFonts w:eastAsia="SimSun"/>
      <w:b/>
      <w:sz w:val="24"/>
      <w:lang w:eastAsia="zh-CN"/>
    </w:rPr>
  </w:style>
  <w:style w:type="paragraph" w:customStyle="1" w:styleId="H23G">
    <w:name w:val="_ H_2/3_G"/>
    <w:basedOn w:val="Normal"/>
    <w:next w:val="Normal"/>
    <w:qFormat/>
    <w:rsid w:val="00047ABD"/>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b/>
      <w:lang w:eastAsia="zh-CN"/>
    </w:rPr>
  </w:style>
  <w:style w:type="paragraph" w:customStyle="1" w:styleId="H4G">
    <w:name w:val="_ H_4_G"/>
    <w:basedOn w:val="Normal"/>
    <w:next w:val="Normal"/>
    <w:qFormat/>
    <w:rsid w:val="00047ABD"/>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i/>
      <w:lang w:eastAsia="zh-CN"/>
    </w:rPr>
  </w:style>
  <w:style w:type="paragraph" w:customStyle="1" w:styleId="H56G">
    <w:name w:val="_ H_5/6_G"/>
    <w:basedOn w:val="Normal"/>
    <w:next w:val="Normal"/>
    <w:qFormat/>
    <w:rsid w:val="00047ABD"/>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lang w:eastAsia="zh-CN"/>
    </w:rPr>
  </w:style>
  <w:style w:type="paragraph" w:customStyle="1" w:styleId="SingleTxtG">
    <w:name w:val="_ Single Txt_G"/>
    <w:basedOn w:val="Normal"/>
    <w:link w:val="SingleTxtGChar"/>
    <w:qFormat/>
    <w:rsid w:val="00047ABD"/>
    <w:pPr>
      <w:suppressAutoHyphens w:val="0"/>
      <w:kinsoku/>
      <w:overflowPunct/>
      <w:autoSpaceDE/>
      <w:autoSpaceDN/>
      <w:adjustRightInd/>
      <w:snapToGrid/>
      <w:spacing w:after="120"/>
      <w:ind w:left="1134" w:right="1134"/>
      <w:jc w:val="both"/>
    </w:pPr>
    <w:rPr>
      <w:rFonts w:eastAsia="SimSun"/>
      <w:lang w:eastAsia="zh-CN"/>
    </w:rPr>
  </w:style>
  <w:style w:type="paragraph" w:customStyle="1" w:styleId="SLG">
    <w:name w:val="__S_L_G"/>
    <w:basedOn w:val="Normal"/>
    <w:next w:val="Normal"/>
    <w:rsid w:val="00047ABD"/>
    <w:pPr>
      <w:keepNext/>
      <w:keepLines/>
      <w:suppressAutoHyphens w:val="0"/>
      <w:kinsoku/>
      <w:overflowPunct/>
      <w:autoSpaceDE/>
      <w:autoSpaceDN/>
      <w:adjustRightInd/>
      <w:snapToGrid/>
      <w:spacing w:before="240" w:after="240" w:line="580" w:lineRule="exact"/>
      <w:ind w:left="1134" w:right="1134"/>
    </w:pPr>
    <w:rPr>
      <w:rFonts w:eastAsia="SimSun"/>
      <w:b/>
      <w:sz w:val="56"/>
      <w:lang w:eastAsia="zh-CN"/>
    </w:rPr>
  </w:style>
  <w:style w:type="paragraph" w:customStyle="1" w:styleId="SMG">
    <w:name w:val="__S_M_G"/>
    <w:basedOn w:val="Normal"/>
    <w:next w:val="Normal"/>
    <w:rsid w:val="00047ABD"/>
    <w:pPr>
      <w:keepNext/>
      <w:keepLines/>
      <w:suppressAutoHyphens w:val="0"/>
      <w:kinsoku/>
      <w:overflowPunct/>
      <w:autoSpaceDE/>
      <w:autoSpaceDN/>
      <w:adjustRightInd/>
      <w:snapToGrid/>
      <w:spacing w:before="240" w:after="240" w:line="420" w:lineRule="exact"/>
      <w:ind w:left="1134" w:right="1134"/>
    </w:pPr>
    <w:rPr>
      <w:rFonts w:eastAsia="SimSun"/>
      <w:b/>
      <w:sz w:val="40"/>
      <w:lang w:eastAsia="zh-CN"/>
    </w:rPr>
  </w:style>
  <w:style w:type="paragraph" w:customStyle="1" w:styleId="SSG">
    <w:name w:val="__S_S_G"/>
    <w:basedOn w:val="Normal"/>
    <w:next w:val="Normal"/>
    <w:rsid w:val="00047ABD"/>
    <w:pPr>
      <w:keepNext/>
      <w:keepLines/>
      <w:suppressAutoHyphens w:val="0"/>
      <w:kinsoku/>
      <w:overflowPunct/>
      <w:autoSpaceDE/>
      <w:autoSpaceDN/>
      <w:adjustRightInd/>
      <w:snapToGrid/>
      <w:spacing w:before="240" w:after="240" w:line="300" w:lineRule="exact"/>
      <w:ind w:left="1134" w:right="1134"/>
    </w:pPr>
    <w:rPr>
      <w:rFonts w:eastAsia="SimSun"/>
      <w:b/>
      <w:sz w:val="28"/>
      <w:lang w:eastAsia="zh-CN"/>
    </w:rPr>
  </w:style>
  <w:style w:type="paragraph" w:customStyle="1" w:styleId="XLargeG">
    <w:name w:val="__XLarge_G"/>
    <w:basedOn w:val="Normal"/>
    <w:next w:val="Normal"/>
    <w:rsid w:val="00047ABD"/>
    <w:pPr>
      <w:keepNext/>
      <w:keepLines/>
      <w:suppressAutoHyphens w:val="0"/>
      <w:kinsoku/>
      <w:overflowPunct/>
      <w:autoSpaceDE/>
      <w:autoSpaceDN/>
      <w:adjustRightInd/>
      <w:snapToGrid/>
      <w:spacing w:before="240" w:after="240" w:line="420" w:lineRule="exact"/>
      <w:ind w:left="1134" w:right="1134"/>
    </w:pPr>
    <w:rPr>
      <w:rFonts w:eastAsia="SimSun"/>
      <w:b/>
      <w:sz w:val="40"/>
      <w:lang w:eastAsia="zh-CN"/>
    </w:rPr>
  </w:style>
  <w:style w:type="paragraph" w:customStyle="1" w:styleId="Bullet1G">
    <w:name w:val="_Bullet 1_G"/>
    <w:basedOn w:val="Normal"/>
    <w:qFormat/>
    <w:rsid w:val="00047ABD"/>
    <w:pPr>
      <w:numPr>
        <w:numId w:val="17"/>
      </w:numPr>
      <w:suppressAutoHyphens w:val="0"/>
      <w:kinsoku/>
      <w:overflowPunct/>
      <w:autoSpaceDE/>
      <w:autoSpaceDN/>
      <w:adjustRightInd/>
      <w:snapToGrid/>
      <w:spacing w:after="120" w:line="240" w:lineRule="auto"/>
      <w:ind w:right="1134"/>
      <w:jc w:val="both"/>
    </w:pPr>
    <w:rPr>
      <w:rFonts w:eastAsia="SimSun"/>
      <w:lang w:eastAsia="zh-CN"/>
    </w:rPr>
  </w:style>
  <w:style w:type="paragraph" w:customStyle="1" w:styleId="Bullet2G">
    <w:name w:val="_Bullet 2_G"/>
    <w:basedOn w:val="Normal"/>
    <w:qFormat/>
    <w:rsid w:val="00047ABD"/>
    <w:pPr>
      <w:numPr>
        <w:numId w:val="18"/>
      </w:numPr>
      <w:suppressAutoHyphens w:val="0"/>
      <w:kinsoku/>
      <w:overflowPunct/>
      <w:autoSpaceDE/>
      <w:autoSpaceDN/>
      <w:adjustRightInd/>
      <w:snapToGrid/>
      <w:spacing w:after="120" w:line="240" w:lineRule="auto"/>
      <w:ind w:right="1134"/>
      <w:jc w:val="both"/>
    </w:pPr>
    <w:rPr>
      <w:rFonts w:eastAsia="SimSun"/>
      <w:lang w:eastAsia="zh-CN"/>
    </w:rPr>
  </w:style>
  <w:style w:type="paragraph" w:customStyle="1" w:styleId="ParaNoG">
    <w:name w:val="_ParaNo._G"/>
    <w:basedOn w:val="SingleTxtG"/>
    <w:rsid w:val="00047ABD"/>
    <w:pPr>
      <w:numPr>
        <w:numId w:val="19"/>
      </w:numPr>
    </w:pPr>
  </w:style>
  <w:style w:type="numbering" w:styleId="111111">
    <w:name w:val="Outline List 2"/>
    <w:basedOn w:val="NoList"/>
    <w:semiHidden/>
    <w:rsid w:val="00047ABD"/>
    <w:pPr>
      <w:numPr>
        <w:numId w:val="15"/>
      </w:numPr>
    </w:pPr>
  </w:style>
  <w:style w:type="numbering" w:styleId="1ai">
    <w:name w:val="Outline List 1"/>
    <w:basedOn w:val="NoList"/>
    <w:semiHidden/>
    <w:rsid w:val="00047ABD"/>
    <w:pPr>
      <w:numPr>
        <w:numId w:val="6"/>
      </w:numPr>
    </w:pPr>
  </w:style>
  <w:style w:type="character" w:styleId="EndnoteReference">
    <w:name w:val="endnote reference"/>
    <w:aliases w:val="1_G"/>
    <w:rsid w:val="00047ABD"/>
    <w:rPr>
      <w:rFonts w:ascii="Times New Roman" w:hAnsi="Times New Roman"/>
      <w:sz w:val="18"/>
      <w:vertAlign w:val="superscript"/>
    </w:rPr>
  </w:style>
  <w:style w:type="paragraph" w:styleId="FootnoteText">
    <w:name w:val="footnote text"/>
    <w:aliases w:val="5_G"/>
    <w:basedOn w:val="Normal"/>
    <w:link w:val="FootnoteTextChar"/>
    <w:rsid w:val="00047ABD"/>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047ABD"/>
    <w:rPr>
      <w:rFonts w:ascii="Times New Roman" w:hAnsi="Times New Roman" w:cs="Times New Roman"/>
      <w:sz w:val="18"/>
      <w:szCs w:val="20"/>
    </w:rPr>
  </w:style>
  <w:style w:type="paragraph" w:styleId="EndnoteText">
    <w:name w:val="endnote text"/>
    <w:aliases w:val="2_G"/>
    <w:basedOn w:val="FootnoteText"/>
    <w:link w:val="EndnoteTextChar"/>
    <w:rsid w:val="00047ABD"/>
  </w:style>
  <w:style w:type="character" w:customStyle="1" w:styleId="EndnoteTextChar">
    <w:name w:val="Endnote Text Char"/>
    <w:aliases w:val="2_G Char"/>
    <w:basedOn w:val="DefaultParagraphFont"/>
    <w:link w:val="EndnoteText"/>
    <w:rsid w:val="00047ABD"/>
    <w:rPr>
      <w:rFonts w:ascii="Times New Roman" w:hAnsi="Times New Roman" w:cs="Times New Roman"/>
      <w:sz w:val="18"/>
      <w:szCs w:val="20"/>
    </w:rPr>
  </w:style>
  <w:style w:type="character" w:styleId="FootnoteReference">
    <w:name w:val="footnote reference"/>
    <w:aliases w:val="4_G"/>
    <w:link w:val="4GChar"/>
    <w:qFormat/>
    <w:rsid w:val="00047ABD"/>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047ABD"/>
    <w:pPr>
      <w:suppressAutoHyphens w:val="0"/>
      <w:kinsoku/>
      <w:overflowPunct/>
      <w:autoSpaceDE/>
      <w:autoSpaceDN/>
      <w:adjustRightInd/>
      <w:snapToGrid/>
      <w:spacing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semiHidden/>
    <w:rsid w:val="00047ABD"/>
    <w:rPr>
      <w:rFonts w:ascii="Tahoma" w:hAnsi="Tahoma" w:cs="Tahoma"/>
      <w:sz w:val="16"/>
      <w:szCs w:val="16"/>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rsid w:val="00091C14"/>
    <w:rPr>
      <w:rFonts w:ascii="Times New Roman" w:hAnsi="Times New Roman" w:cs="Times New Roman"/>
      <w:sz w:val="20"/>
      <w:szCs w:val="20"/>
    </w:rPr>
  </w:style>
  <w:style w:type="paragraph" w:styleId="TOC1">
    <w:name w:val="toc 1"/>
    <w:basedOn w:val="Normal"/>
    <w:next w:val="Normal"/>
    <w:autoRedefine/>
    <w:uiPriority w:val="39"/>
    <w:unhideWhenUsed/>
    <w:rsid w:val="00A27DF6"/>
    <w:pPr>
      <w:spacing w:after="100"/>
    </w:pPr>
  </w:style>
  <w:style w:type="paragraph" w:styleId="TOC2">
    <w:name w:val="toc 2"/>
    <w:basedOn w:val="Normal"/>
    <w:next w:val="Normal"/>
    <w:autoRedefine/>
    <w:uiPriority w:val="39"/>
    <w:unhideWhenUsed/>
    <w:rsid w:val="00A27DF6"/>
    <w:pPr>
      <w:spacing w:after="100"/>
      <w:ind w:left="200"/>
    </w:pPr>
  </w:style>
  <w:style w:type="paragraph" w:customStyle="1" w:styleId="4GChar">
    <w:name w:val="4_G Char"/>
    <w:aliases w:val="Footnotes refss Char,ftref Char,BVI fnr Char,BVI fnr Car Car Char,BVI fnr Car Char,BVI fnr Car Car Car Car Char,BVI fnr Char Car Car Car Char,BVI fnr Car Car Car Car Char Char Char"/>
    <w:basedOn w:val="Normal"/>
    <w:link w:val="FootnoteReference"/>
    <w:rsid w:val="00E817A0"/>
    <w:pPr>
      <w:suppressAutoHyphens w:val="0"/>
      <w:kinsoku/>
      <w:overflowPunct/>
      <w:autoSpaceDE/>
      <w:autoSpaceDN/>
      <w:adjustRightInd/>
      <w:snapToGrid/>
      <w:spacing w:after="160" w:line="240" w:lineRule="exact"/>
      <w:jc w:val="both"/>
    </w:pPr>
    <w:rPr>
      <w:rFonts w:eastAsia="SimSun" w:cstheme="minorBidi"/>
      <w:sz w:val="18"/>
      <w:szCs w:val="22"/>
      <w:vertAlign w:val="superscript"/>
      <w:lang w:eastAsia="zh-CN"/>
    </w:rPr>
  </w:style>
  <w:style w:type="character" w:customStyle="1" w:styleId="H1GChar">
    <w:name w:val="_ H_1_G Char"/>
    <w:link w:val="H1G"/>
    <w:rsid w:val="00B4536D"/>
    <w:rPr>
      <w:rFonts w:ascii="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ACF1618-548E-4DA7-BD32-18E092002AFE}">
  <ds:schemaRefs>
    <ds:schemaRef ds:uri="http://schemas.openxmlformats.org/officeDocument/2006/bibliography"/>
  </ds:schemaRefs>
</ds:datastoreItem>
</file>

<file path=customXml/itemProps2.xml><?xml version="1.0" encoding="utf-8"?>
<ds:datastoreItem xmlns:ds="http://schemas.openxmlformats.org/officeDocument/2006/customXml" ds:itemID="{929CD036-CD32-4AB2-B75D-2E609F2D0EBC}"/>
</file>

<file path=customXml/itemProps3.xml><?xml version="1.0" encoding="utf-8"?>
<ds:datastoreItem xmlns:ds="http://schemas.openxmlformats.org/officeDocument/2006/customXml" ds:itemID="{C0BDF16B-618D-41A3-86E4-9060F02050AA}"/>
</file>

<file path=customXml/itemProps4.xml><?xml version="1.0" encoding="utf-8"?>
<ds:datastoreItem xmlns:ds="http://schemas.openxmlformats.org/officeDocument/2006/customXml" ds:itemID="{721065D4-1681-4CB8-AA1D-0BE03E0C5ADF}"/>
</file>

<file path=docProps/app.xml><?xml version="1.0" encoding="utf-8"?>
<Properties xmlns="http://schemas.openxmlformats.org/officeDocument/2006/extended-properties" xmlns:vt="http://schemas.openxmlformats.org/officeDocument/2006/docPropsVTypes">
  <Template>A.dotm</Template>
  <TotalTime>0</TotalTime>
  <Pages>16</Pages>
  <Words>5677</Words>
  <Characters>32360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A/HRC/AC/22/2</vt:lpstr>
    </vt:vector>
  </TitlesOfParts>
  <Company>DCM</Company>
  <LinksUpToDate>false</LinksUpToDate>
  <CharactersWithSpaces>37962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A/HRC/AC/22/2</dc:title>
  <dc:subject>1905246</dc:subject>
  <dc:creator>Generic Desk Anglais</dc:creator>
  <cp:keywords/>
  <dc:description/>
  <cp:lastModifiedBy>GONZALEZ PEREZ Mareel</cp:lastModifiedBy>
  <cp:revision>2</cp:revision>
  <cp:lastPrinted>2019-08-16T11:15:00Z</cp:lastPrinted>
  <dcterms:created xsi:type="dcterms:W3CDTF">2019-08-23T11:37:00Z</dcterms:created>
  <dcterms:modified xsi:type="dcterms:W3CDTF">2019-08-23T11:37:00Z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