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11" w:rsidRPr="00030611" w:rsidRDefault="00030611" w:rsidP="00030611">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rPr>
          <w:rFonts w:ascii="Times New Roman" w:eastAsia="Calibri" w:hAnsi="Times New Roman" w:cs="Times New Roman"/>
          <w:b/>
          <w:sz w:val="28"/>
          <w:szCs w:val="20"/>
          <w:lang w:val="en-GB"/>
        </w:rPr>
      </w:pPr>
      <w:bookmarkStart w:id="0" w:name="_GoBack"/>
      <w:proofErr w:type="spellStart"/>
      <w:r w:rsidRPr="00030611">
        <w:rPr>
          <w:rFonts w:ascii="Times New Roman" w:eastAsia="Calibri" w:hAnsi="Times New Roman" w:cs="Times New Roman"/>
          <w:b/>
          <w:sz w:val="28"/>
          <w:szCs w:val="20"/>
          <w:lang w:val="en-GB"/>
        </w:rPr>
        <w:t>Alessio</w:t>
      </w:r>
      <w:proofErr w:type="spellEnd"/>
      <w:r w:rsidRPr="00030611">
        <w:rPr>
          <w:rFonts w:ascii="Times New Roman" w:eastAsia="Calibri" w:hAnsi="Times New Roman" w:cs="Times New Roman"/>
          <w:b/>
          <w:sz w:val="28"/>
          <w:szCs w:val="20"/>
          <w:lang w:val="en-GB"/>
        </w:rPr>
        <w:t xml:space="preserve"> </w:t>
      </w:r>
      <w:proofErr w:type="spellStart"/>
      <w:r w:rsidRPr="00030611">
        <w:rPr>
          <w:rFonts w:ascii="Times New Roman" w:eastAsia="Calibri" w:hAnsi="Times New Roman" w:cs="Times New Roman"/>
          <w:b/>
          <w:sz w:val="28"/>
          <w:szCs w:val="20"/>
          <w:lang w:val="en-GB"/>
        </w:rPr>
        <w:t>Bruni</w:t>
      </w:r>
      <w:proofErr w:type="spellEnd"/>
      <w:r w:rsidRPr="00030611">
        <w:rPr>
          <w:rFonts w:ascii="Times New Roman" w:eastAsia="Calibri" w:hAnsi="Times New Roman" w:cs="Times New Roman"/>
          <w:b/>
          <w:sz w:val="28"/>
          <w:szCs w:val="20"/>
          <w:lang w:val="en-GB"/>
        </w:rPr>
        <w:t xml:space="preserve"> (Italy)</w:t>
      </w:r>
    </w:p>
    <w:bookmarkEnd w:id="0"/>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 xml:space="preserve">Working languages: Fluent in </w:t>
      </w:r>
      <w:proofErr w:type="gramStart"/>
      <w:r w:rsidRPr="00030611">
        <w:rPr>
          <w:rFonts w:ascii="Times New Roman" w:eastAsia="Calibri" w:hAnsi="Times New Roman" w:cs="Times New Roman"/>
          <w:sz w:val="20"/>
          <w:szCs w:val="20"/>
          <w:lang w:val="en-GB"/>
        </w:rPr>
        <w:t>English and French</w:t>
      </w:r>
      <w:proofErr w:type="gramEnd"/>
      <w:r w:rsidRPr="00030611">
        <w:rPr>
          <w:rFonts w:ascii="Times New Roman" w:eastAsia="Calibri" w:hAnsi="Times New Roman" w:cs="Times New Roman"/>
          <w:sz w:val="20"/>
          <w:szCs w:val="20"/>
          <w:lang w:val="en-GB"/>
        </w:rPr>
        <w:t xml:space="preserve"> and working knowledge of Spanish (Italian mother tongue)</w:t>
      </w:r>
    </w:p>
    <w:p w:rsidR="00030611" w:rsidRPr="00030611" w:rsidRDefault="00030611" w:rsidP="00030611">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rPr>
          <w:rFonts w:ascii="Times New Roman" w:eastAsia="Calibri" w:hAnsi="Times New Roman" w:cs="Times New Roman"/>
          <w:b/>
          <w:sz w:val="20"/>
          <w:szCs w:val="20"/>
          <w:lang w:val="en-GB"/>
        </w:rPr>
      </w:pPr>
      <w:r w:rsidRPr="00030611">
        <w:rPr>
          <w:rFonts w:ascii="Times New Roman" w:eastAsia="Calibri" w:hAnsi="Times New Roman" w:cs="Times New Roman"/>
          <w:b/>
          <w:sz w:val="20"/>
          <w:szCs w:val="20"/>
          <w:lang w:val="en-GB"/>
        </w:rPr>
        <w:tab/>
      </w:r>
      <w:r w:rsidRPr="00030611">
        <w:rPr>
          <w:rFonts w:ascii="Times New Roman" w:eastAsia="Calibri" w:hAnsi="Times New Roman" w:cs="Times New Roman"/>
          <w:b/>
          <w:sz w:val="20"/>
          <w:szCs w:val="20"/>
          <w:lang w:val="en-GB"/>
        </w:rPr>
        <w:tab/>
        <w:t>Most recent position:</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International expert of the United Nations, member of the Committee against Torture from 1 January 2010 to 31 December 2017 (two mandates)</w:t>
      </w:r>
    </w:p>
    <w:p w:rsidR="00030611" w:rsidRPr="00030611" w:rsidRDefault="00030611" w:rsidP="00030611">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rPr>
          <w:rFonts w:ascii="Times New Roman" w:eastAsia="Calibri" w:hAnsi="Times New Roman" w:cs="Times New Roman"/>
          <w:b/>
          <w:sz w:val="20"/>
          <w:szCs w:val="20"/>
          <w:lang w:val="en-GB"/>
        </w:rPr>
      </w:pPr>
      <w:r w:rsidRPr="00030611">
        <w:rPr>
          <w:rFonts w:ascii="Times New Roman" w:eastAsia="Calibri" w:hAnsi="Times New Roman" w:cs="Times New Roman"/>
          <w:b/>
          <w:sz w:val="20"/>
          <w:szCs w:val="20"/>
          <w:lang w:val="en-GB"/>
        </w:rPr>
        <w:tab/>
      </w:r>
      <w:r w:rsidRPr="00030611">
        <w:rPr>
          <w:rFonts w:ascii="Times New Roman" w:eastAsia="Calibri" w:hAnsi="Times New Roman" w:cs="Times New Roman"/>
          <w:b/>
          <w:sz w:val="20"/>
          <w:szCs w:val="20"/>
          <w:lang w:val="en-GB"/>
        </w:rPr>
        <w:tab/>
        <w:t>Some main assignments during his recent position:</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(1)</w:t>
      </w:r>
      <w:r w:rsidRPr="00030611">
        <w:rPr>
          <w:rFonts w:ascii="Times New Roman" w:eastAsia="Calibri" w:hAnsi="Times New Roman" w:cs="Times New Roman"/>
          <w:sz w:val="20"/>
          <w:szCs w:val="20"/>
          <w:lang w:val="en-GB"/>
        </w:rPr>
        <w:tab/>
        <w:t>Consultant on behalf of the Committee against Torture in meetings of States, international governmental and non-governmental organizations with regard to the Treaty Strengthening Process launched by the United Nations in 2009;</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(2)</w:t>
      </w:r>
      <w:r w:rsidRPr="00030611">
        <w:rPr>
          <w:rFonts w:ascii="Times New Roman" w:eastAsia="Calibri" w:hAnsi="Times New Roman" w:cs="Times New Roman"/>
          <w:sz w:val="20"/>
          <w:szCs w:val="20"/>
          <w:lang w:val="en-GB"/>
        </w:rPr>
        <w:tab/>
        <w:t xml:space="preserve">Drafter and Rapporteur on the Committee’s General Comment No 4 on the principle of “non </w:t>
      </w:r>
      <w:proofErr w:type="spellStart"/>
      <w:r w:rsidRPr="00030611">
        <w:rPr>
          <w:rFonts w:ascii="Times New Roman" w:eastAsia="Calibri" w:hAnsi="Times New Roman" w:cs="Times New Roman"/>
          <w:sz w:val="20"/>
          <w:szCs w:val="20"/>
          <w:lang w:val="en-GB"/>
        </w:rPr>
        <w:t>refoulement</w:t>
      </w:r>
      <w:proofErr w:type="spellEnd"/>
      <w:r w:rsidRPr="00030611">
        <w:rPr>
          <w:rFonts w:ascii="Times New Roman" w:eastAsia="Calibri" w:hAnsi="Times New Roman" w:cs="Times New Roman"/>
          <w:sz w:val="20"/>
          <w:szCs w:val="20"/>
          <w:lang w:val="en-GB"/>
        </w:rPr>
        <w:t>” for migrants and asylum seekers at risk of being subjected to torture if they are deported, adopted by the Committee on 6 December 2017;</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(3)</w:t>
      </w:r>
      <w:r w:rsidRPr="00030611">
        <w:rPr>
          <w:rFonts w:ascii="Times New Roman" w:eastAsia="Calibri" w:hAnsi="Times New Roman" w:cs="Times New Roman"/>
          <w:sz w:val="20"/>
          <w:szCs w:val="20"/>
          <w:lang w:val="en-GB"/>
        </w:rPr>
        <w:tab/>
        <w:t>Rapporteur on issues relating to reprisals against persons addressing the Committee;</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(4)</w:t>
      </w:r>
      <w:r w:rsidRPr="00030611">
        <w:rPr>
          <w:rFonts w:ascii="Times New Roman" w:eastAsia="Calibri" w:hAnsi="Times New Roman" w:cs="Times New Roman"/>
          <w:sz w:val="20"/>
          <w:szCs w:val="20"/>
          <w:lang w:val="en-GB"/>
        </w:rPr>
        <w:tab/>
        <w:t>Rapporteur on interim measures of protection of complainants to the Committee;</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(5)</w:t>
      </w:r>
      <w:r w:rsidRPr="00030611">
        <w:rPr>
          <w:rFonts w:ascii="Times New Roman" w:eastAsia="Calibri" w:hAnsi="Times New Roman" w:cs="Times New Roman"/>
          <w:sz w:val="20"/>
          <w:szCs w:val="20"/>
          <w:lang w:val="en-GB"/>
        </w:rPr>
        <w:tab/>
        <w:t>Representative of the Committee in meetings and workshops of the Board of Trustees of the United Nations Voluntary Fund for the Victims of Torture;</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(6)</w:t>
      </w:r>
      <w:r w:rsidRPr="00030611">
        <w:rPr>
          <w:rFonts w:ascii="Times New Roman" w:eastAsia="Calibri" w:hAnsi="Times New Roman" w:cs="Times New Roman"/>
          <w:sz w:val="20"/>
          <w:szCs w:val="20"/>
          <w:lang w:val="en-GB"/>
        </w:rPr>
        <w:tab/>
        <w:t>Rapporteur for the consideration of 30 State party’s reports under the Convention against Torture;</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(7)</w:t>
      </w:r>
      <w:r w:rsidRPr="00030611">
        <w:rPr>
          <w:rFonts w:ascii="Times New Roman" w:eastAsia="Calibri" w:hAnsi="Times New Roman" w:cs="Times New Roman"/>
          <w:sz w:val="20"/>
          <w:szCs w:val="20"/>
          <w:lang w:val="en-GB"/>
        </w:rPr>
        <w:tab/>
        <w:t>Rapporteur for 33 individual communications concerning complaints for violation of the Convention.</w:t>
      </w:r>
    </w:p>
    <w:p w:rsidR="00030611" w:rsidRPr="00030611" w:rsidRDefault="00030611" w:rsidP="00030611">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rPr>
          <w:rFonts w:ascii="Times New Roman" w:eastAsia="Calibri" w:hAnsi="Times New Roman" w:cs="Times New Roman"/>
          <w:b/>
          <w:sz w:val="20"/>
          <w:szCs w:val="20"/>
          <w:lang w:val="en-GB"/>
        </w:rPr>
      </w:pPr>
      <w:r w:rsidRPr="00030611">
        <w:rPr>
          <w:rFonts w:ascii="Times New Roman" w:eastAsia="Calibri" w:hAnsi="Times New Roman" w:cs="Times New Roman"/>
          <w:b/>
          <w:sz w:val="20"/>
          <w:szCs w:val="20"/>
          <w:lang w:val="en-GB"/>
        </w:rPr>
        <w:tab/>
      </w:r>
      <w:r w:rsidRPr="00030611">
        <w:rPr>
          <w:rFonts w:ascii="Times New Roman" w:eastAsia="Calibri" w:hAnsi="Times New Roman" w:cs="Times New Roman"/>
          <w:b/>
          <w:sz w:val="20"/>
          <w:szCs w:val="20"/>
          <w:lang w:val="en-GB"/>
        </w:rPr>
        <w:tab/>
        <w:t>Previous main professional activities</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(1)</w:t>
      </w:r>
      <w:r w:rsidRPr="00030611">
        <w:rPr>
          <w:rFonts w:ascii="Times New Roman" w:eastAsia="Calibri" w:hAnsi="Times New Roman" w:cs="Times New Roman"/>
          <w:sz w:val="20"/>
          <w:szCs w:val="20"/>
          <w:lang w:val="en-GB"/>
        </w:rPr>
        <w:tab/>
        <w:t>From July 2006 to 30 June 2007, Chief ad interim of the Treaties and Human rights Council Branch of the Office of the High Commissioner for Human Rights;</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(2)</w:t>
      </w:r>
      <w:r w:rsidRPr="00030611">
        <w:rPr>
          <w:rFonts w:ascii="Times New Roman" w:eastAsia="Calibri" w:hAnsi="Times New Roman" w:cs="Times New Roman"/>
          <w:sz w:val="20"/>
          <w:szCs w:val="20"/>
          <w:lang w:val="en-GB"/>
        </w:rPr>
        <w:tab/>
        <w:t>From 2000 to 2006, Treaty Implementation Team Leader supervising the work of the OHCHR relating to four treaty bodies and two working groups of the Commission on Human Rights</w:t>
      </w:r>
      <w:proofErr w:type="gramStart"/>
      <w:r w:rsidRPr="00030611">
        <w:rPr>
          <w:rFonts w:ascii="Times New Roman" w:eastAsia="Calibri" w:hAnsi="Times New Roman" w:cs="Times New Roman"/>
          <w:sz w:val="20"/>
          <w:szCs w:val="20"/>
          <w:lang w:val="en-GB"/>
        </w:rPr>
        <w:t>;</w:t>
      </w:r>
      <w:proofErr w:type="gramEnd"/>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(3)</w:t>
      </w:r>
      <w:r w:rsidRPr="00030611">
        <w:rPr>
          <w:rFonts w:ascii="Times New Roman" w:eastAsia="Calibri" w:hAnsi="Times New Roman" w:cs="Times New Roman"/>
          <w:sz w:val="20"/>
          <w:szCs w:val="20"/>
          <w:lang w:val="en-GB"/>
        </w:rPr>
        <w:tab/>
        <w:t>From 1987 to 2000, responsible for the implementation of the treaty based mechanisms to prevent and combat torture within the United Nations Human rights Programme, including the organization of inquiry missions and the coordination with non-conventional United Nations mechanisms to combat torture;</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(4)</w:t>
      </w:r>
      <w:r w:rsidRPr="00030611">
        <w:rPr>
          <w:rFonts w:ascii="Times New Roman" w:eastAsia="Calibri" w:hAnsi="Times New Roman" w:cs="Times New Roman"/>
          <w:sz w:val="20"/>
          <w:szCs w:val="20"/>
          <w:lang w:val="en-GB"/>
        </w:rPr>
        <w:tab/>
        <w:t>From 1975 to 1987, professional experience in numerous areas of the United Nations Human rights Programme, including the elaboration and implementation of several human rights treaties.</w:t>
      </w:r>
    </w:p>
    <w:p w:rsidR="00030611" w:rsidRPr="00030611" w:rsidRDefault="00030611" w:rsidP="00030611">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rPr>
          <w:rFonts w:ascii="Times New Roman" w:eastAsia="Calibri" w:hAnsi="Times New Roman" w:cs="Times New Roman"/>
          <w:b/>
          <w:sz w:val="20"/>
          <w:szCs w:val="20"/>
          <w:lang w:val="en-GB"/>
        </w:rPr>
      </w:pPr>
      <w:r w:rsidRPr="00030611">
        <w:rPr>
          <w:rFonts w:ascii="Times New Roman" w:eastAsia="Calibri" w:hAnsi="Times New Roman" w:cs="Times New Roman"/>
          <w:b/>
          <w:sz w:val="20"/>
          <w:szCs w:val="20"/>
          <w:lang w:val="en-GB"/>
        </w:rPr>
        <w:tab/>
      </w:r>
      <w:r w:rsidRPr="00030611">
        <w:rPr>
          <w:rFonts w:ascii="Times New Roman" w:eastAsia="Calibri" w:hAnsi="Times New Roman" w:cs="Times New Roman"/>
          <w:b/>
          <w:sz w:val="20"/>
          <w:szCs w:val="20"/>
          <w:lang w:val="en-GB"/>
        </w:rPr>
        <w:tab/>
        <w:t>Educational background</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Advanced University Degree in Political Science (summa cum laude) with specialization in International Relations and International Law, University of Florence (Italy), 1973.</w:t>
      </w:r>
    </w:p>
    <w:p w:rsidR="00030611" w:rsidRPr="00030611" w:rsidRDefault="00030611" w:rsidP="00030611">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rPr>
          <w:rFonts w:ascii="Times New Roman" w:eastAsia="Calibri" w:hAnsi="Times New Roman" w:cs="Times New Roman"/>
          <w:b/>
          <w:sz w:val="20"/>
          <w:szCs w:val="20"/>
          <w:lang w:val="en-GB"/>
        </w:rPr>
      </w:pPr>
      <w:r w:rsidRPr="00030611">
        <w:rPr>
          <w:rFonts w:ascii="Times New Roman" w:eastAsia="Calibri" w:hAnsi="Times New Roman" w:cs="Times New Roman"/>
          <w:b/>
          <w:sz w:val="20"/>
          <w:szCs w:val="20"/>
          <w:lang w:val="en-GB"/>
        </w:rPr>
        <w:lastRenderedPageBreak/>
        <w:tab/>
      </w:r>
      <w:r w:rsidRPr="00030611">
        <w:rPr>
          <w:rFonts w:ascii="Times New Roman" w:eastAsia="Calibri" w:hAnsi="Times New Roman" w:cs="Times New Roman"/>
          <w:b/>
          <w:sz w:val="20"/>
          <w:szCs w:val="20"/>
          <w:lang w:val="en-GB"/>
        </w:rPr>
        <w:tab/>
        <w:t>Publications</w:t>
      </w:r>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(1)</w:t>
      </w:r>
      <w:r w:rsidRPr="00030611">
        <w:rPr>
          <w:rFonts w:ascii="Times New Roman" w:eastAsia="Calibri" w:hAnsi="Times New Roman" w:cs="Times New Roman"/>
          <w:sz w:val="20"/>
          <w:szCs w:val="20"/>
          <w:lang w:val="en-GB"/>
        </w:rPr>
        <w:tab/>
        <w:t>Participant in the elaboration of the “Manual on the Effective Investigation and Documentation of Torture and Other Cruel, Inhuman or Degrading Treatment or Punishment” also called the “Istanbul Protocol” which was published by the United Nations in 2004</w:t>
      </w:r>
      <w:proofErr w:type="gramStart"/>
      <w:r w:rsidRPr="00030611">
        <w:rPr>
          <w:rFonts w:ascii="Times New Roman" w:eastAsia="Calibri" w:hAnsi="Times New Roman" w:cs="Times New Roman"/>
          <w:sz w:val="20"/>
          <w:szCs w:val="20"/>
          <w:lang w:val="en-GB"/>
        </w:rPr>
        <w:t>;</w:t>
      </w:r>
      <w:proofErr w:type="gramEnd"/>
    </w:p>
    <w:p w:rsidR="00030611" w:rsidRPr="00030611" w:rsidRDefault="00030611" w:rsidP="00030611">
      <w:pPr>
        <w:suppressAutoHyphens/>
        <w:kinsoku w:val="0"/>
        <w:overflowPunct w:val="0"/>
        <w:autoSpaceDE w:val="0"/>
        <w:autoSpaceDN w:val="0"/>
        <w:adjustRightInd w:val="0"/>
        <w:snapToGrid w:val="0"/>
        <w:spacing w:after="120" w:line="240" w:lineRule="atLeast"/>
        <w:ind w:left="1134" w:right="1134"/>
        <w:jc w:val="both"/>
        <w:rPr>
          <w:rFonts w:ascii="Times New Roman" w:eastAsia="Calibri" w:hAnsi="Times New Roman" w:cs="Times New Roman"/>
          <w:sz w:val="20"/>
          <w:szCs w:val="20"/>
          <w:lang w:val="en-GB"/>
        </w:rPr>
      </w:pPr>
      <w:r w:rsidRPr="00030611">
        <w:rPr>
          <w:rFonts w:ascii="Times New Roman" w:eastAsia="Calibri" w:hAnsi="Times New Roman" w:cs="Times New Roman"/>
          <w:sz w:val="20"/>
          <w:szCs w:val="20"/>
          <w:lang w:val="en-GB"/>
        </w:rPr>
        <w:t>(2)</w:t>
      </w:r>
      <w:r w:rsidRPr="00030611">
        <w:rPr>
          <w:rFonts w:ascii="Times New Roman" w:eastAsia="Calibri" w:hAnsi="Times New Roman" w:cs="Times New Roman"/>
          <w:sz w:val="20"/>
          <w:szCs w:val="20"/>
          <w:lang w:val="en-GB"/>
        </w:rPr>
        <w:tab/>
        <w:t>“Enhancing visits to places of detention: promoting collaboration” article published in “Human Rights Briefs” by the American University, Washington College of Law, August 2011.</w:t>
      </w:r>
    </w:p>
    <w:p w:rsidR="003E19CD" w:rsidRDefault="00030611" w:rsidP="00030611">
      <w:r w:rsidRPr="00030611">
        <w:rPr>
          <w:rFonts w:ascii="Times New Roman" w:eastAsia="Calibri" w:hAnsi="Times New Roman" w:cs="Times New Roman"/>
          <w:sz w:val="20"/>
          <w:szCs w:val="20"/>
          <w:lang w:val="en-GB"/>
        </w:rPr>
        <w:br w:type="page"/>
      </w:r>
    </w:p>
    <w:sectPr w:rsidR="003E19CD" w:rsidSect="0042695C">
      <w:type w:val="continuous"/>
      <w:pgSz w:w="12240" w:h="15840" w:code="1"/>
      <w:pgMar w:top="1742" w:right="1195" w:bottom="1901" w:left="1195" w:header="578" w:footer="103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11"/>
    <w:rsid w:val="00030611"/>
    <w:rsid w:val="003E19CD"/>
    <w:rsid w:val="0042695C"/>
    <w:rsid w:val="009E6B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1FB74-92B8-409F-A033-C57ECE88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53433D-61FB-4AA0-9250-23B172AC41F8}"/>
</file>

<file path=customXml/itemProps2.xml><?xml version="1.0" encoding="utf-8"?>
<ds:datastoreItem xmlns:ds="http://schemas.openxmlformats.org/officeDocument/2006/customXml" ds:itemID="{43A21E80-3207-4E82-8EFA-656AE65B8ACC}"/>
</file>

<file path=customXml/itemProps3.xml><?xml version="1.0" encoding="utf-8"?>
<ds:datastoreItem xmlns:ds="http://schemas.openxmlformats.org/officeDocument/2006/customXml" ds:itemID="{1177B5BC-ACC5-4C57-83D6-E303C1A37ABF}"/>
</file>

<file path=docProps/app.xml><?xml version="1.0" encoding="utf-8"?>
<Properties xmlns="http://schemas.openxmlformats.org/officeDocument/2006/extended-properties" xmlns:vt="http://schemas.openxmlformats.org/officeDocument/2006/docPropsVTypes">
  <Template>Normal.dotm</Template>
  <TotalTime>26</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Alessio Bruni CV</dc:title>
  <dc:subject/>
  <dc:creator>JAMAL Bashar</dc:creator>
  <cp:keywords/>
  <dc:description/>
  <cp:lastModifiedBy>JAMAL Bashar</cp:lastModifiedBy>
  <cp:revision>1</cp:revision>
  <dcterms:created xsi:type="dcterms:W3CDTF">2019-10-18T12:40:00Z</dcterms:created>
  <dcterms:modified xsi:type="dcterms:W3CDTF">2019-10-18T13:06:00Z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