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3320" w14:textId="77777777" w:rsidR="008F00BB" w:rsidRPr="0081534E" w:rsidRDefault="008F00BB"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u w:val="single"/>
        </w:rPr>
      </w:pPr>
      <w:bookmarkStart w:id="0" w:name="_GoBack"/>
      <w:bookmarkEnd w:id="0"/>
    </w:p>
    <w:p w14:paraId="6E023321" w14:textId="77777777" w:rsidR="00FA28E6" w:rsidRPr="0081534E" w:rsidRDefault="00BC1D01"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6"/>
          <w:szCs w:val="26"/>
          <w:u w:val="single"/>
        </w:rPr>
      </w:pPr>
      <w:r w:rsidRPr="0081534E">
        <w:rPr>
          <w:rFonts w:ascii="Times New Roman" w:hAnsi="Times New Roman"/>
          <w:b/>
          <w:sz w:val="26"/>
          <w:szCs w:val="26"/>
          <w:u w:val="single"/>
        </w:rPr>
        <w:t>The negative impact of the non-repatriation of funds of illicit origin</w:t>
      </w:r>
      <w:r w:rsidRPr="0081534E">
        <w:rPr>
          <w:rFonts w:ascii="Times New Roman" w:hAnsi="Times New Roman"/>
          <w:b/>
          <w:sz w:val="26"/>
          <w:szCs w:val="26"/>
          <w:u w:val="single"/>
        </w:rPr>
        <w:br/>
        <w:t>to the countries of origin on the enjoyment of human rights,</w:t>
      </w:r>
      <w:r w:rsidRPr="0081534E">
        <w:rPr>
          <w:rFonts w:ascii="Times New Roman" w:hAnsi="Times New Roman"/>
          <w:b/>
          <w:sz w:val="26"/>
          <w:szCs w:val="26"/>
          <w:u w:val="single"/>
        </w:rPr>
        <w:br/>
        <w:t>and the importance of improving international cooperation</w:t>
      </w:r>
    </w:p>
    <w:p w14:paraId="6E023322" w14:textId="77777777" w:rsidR="001B1920" w:rsidRPr="0081534E" w:rsidRDefault="001B1920"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u w:val="single"/>
        </w:rPr>
      </w:pPr>
    </w:p>
    <w:p w14:paraId="6E023323" w14:textId="77777777" w:rsidR="00D8366A" w:rsidRPr="0081534E" w:rsidRDefault="00FA28E6"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sz w:val="24"/>
          <w:szCs w:val="24"/>
        </w:rPr>
      </w:pPr>
      <w:r w:rsidRPr="0081534E">
        <w:rPr>
          <w:rFonts w:ascii="Times New Roman" w:hAnsi="Times New Roman"/>
          <w:sz w:val="24"/>
          <w:szCs w:val="24"/>
        </w:rPr>
        <w:t>QUESTIONNAIRE</w:t>
      </w:r>
    </w:p>
    <w:p w14:paraId="6E023324" w14:textId="77777777" w:rsidR="0029649D" w:rsidRPr="0081534E" w:rsidRDefault="0029649D" w:rsidP="00D8366A">
      <w:pPr>
        <w:pStyle w:val="MediumGrid21"/>
        <w:pBdr>
          <w:top w:val="single" w:sz="4" w:space="0" w:color="auto"/>
          <w:left w:val="single" w:sz="4" w:space="4" w:color="auto"/>
          <w:bottom w:val="single" w:sz="4" w:space="1" w:color="auto"/>
          <w:right w:val="single" w:sz="4" w:space="4" w:color="auto"/>
        </w:pBdr>
        <w:jc w:val="center"/>
        <w:rPr>
          <w:rFonts w:ascii="Times New Roman" w:hAnsi="Times New Roman"/>
          <w:b/>
          <w:sz w:val="24"/>
          <w:szCs w:val="24"/>
        </w:rPr>
      </w:pPr>
    </w:p>
    <w:p w14:paraId="6E023325" w14:textId="77777777" w:rsidR="00FA28E6" w:rsidRPr="0081534E" w:rsidRDefault="0012473C" w:rsidP="00D8366A">
      <w:pPr>
        <w:pStyle w:val="MediumGrid21"/>
        <w:pBdr>
          <w:top w:val="single" w:sz="4" w:space="0" w:color="auto"/>
          <w:left w:val="single" w:sz="4" w:space="4" w:color="auto"/>
          <w:bottom w:val="single" w:sz="4" w:space="1" w:color="auto"/>
          <w:right w:val="single" w:sz="4" w:space="4" w:color="auto"/>
        </w:pBdr>
        <w:jc w:val="both"/>
        <w:rPr>
          <w:rFonts w:ascii="Times New Roman" w:eastAsia="MS Mincho" w:hAnsi="Times New Roman"/>
          <w:i/>
          <w:sz w:val="24"/>
          <w:szCs w:val="24"/>
        </w:rPr>
      </w:pPr>
      <w:r w:rsidRPr="0081534E">
        <w:rPr>
          <w:rFonts w:ascii="Times New Roman" w:hAnsi="Times New Roman"/>
          <w:i/>
          <w:sz w:val="24"/>
          <w:szCs w:val="24"/>
        </w:rPr>
        <w:t>A</w:t>
      </w:r>
      <w:r w:rsidR="00FA28E6" w:rsidRPr="0081534E">
        <w:rPr>
          <w:rFonts w:ascii="Times New Roman" w:hAnsi="Times New Roman"/>
          <w:i/>
          <w:sz w:val="24"/>
          <w:szCs w:val="24"/>
        </w:rPr>
        <w:t xml:space="preserve">s part of the consultations undertaken by the Human Rights Council Advisory Committee with </w:t>
      </w:r>
      <w:r w:rsidR="00BC1D01" w:rsidRPr="0081534E">
        <w:rPr>
          <w:rFonts w:ascii="Times New Roman" w:hAnsi="Times New Roman"/>
          <w:b/>
          <w:i/>
          <w:sz w:val="24"/>
          <w:szCs w:val="24"/>
        </w:rPr>
        <w:t>Member</w:t>
      </w:r>
      <w:r w:rsidR="00FA28E6" w:rsidRPr="0081534E">
        <w:rPr>
          <w:rFonts w:ascii="Times New Roman" w:hAnsi="Times New Roman"/>
          <w:b/>
          <w:i/>
          <w:sz w:val="24"/>
          <w:szCs w:val="24"/>
        </w:rPr>
        <w:t>States</w:t>
      </w:r>
      <w:r w:rsidR="008D1DDC" w:rsidRPr="0081534E">
        <w:rPr>
          <w:rFonts w:ascii="Times New Roman" w:hAnsi="Times New Roman"/>
          <w:b/>
          <w:i/>
          <w:sz w:val="24"/>
          <w:szCs w:val="24"/>
        </w:rPr>
        <w:t>,</w:t>
      </w:r>
      <w:r w:rsidR="00FA28E6" w:rsidRPr="0081534E">
        <w:rPr>
          <w:rFonts w:ascii="Times New Roman" w:hAnsi="Times New Roman"/>
          <w:i/>
          <w:sz w:val="24"/>
          <w:szCs w:val="24"/>
        </w:rPr>
        <w:t xml:space="preserve">with a view to preparing a </w:t>
      </w:r>
      <w:r w:rsidR="002B7D28" w:rsidRPr="0081534E">
        <w:rPr>
          <w:rFonts w:ascii="Times New Roman" w:eastAsia="MS Mincho" w:hAnsi="Times New Roman"/>
          <w:i/>
          <w:sz w:val="24"/>
          <w:szCs w:val="24"/>
        </w:rPr>
        <w:t xml:space="preserve">report on the </w:t>
      </w:r>
      <w:r w:rsidR="00BC1D01" w:rsidRPr="0081534E">
        <w:rPr>
          <w:rFonts w:ascii="Times New Roman" w:hAnsi="Times New Roman"/>
          <w:i/>
          <w:sz w:val="24"/>
          <w:szCs w:val="24"/>
        </w:rPr>
        <w:t>negative impact of the non-repatriation of funds of illicit origin to the countries of origin on the enjoyment of human rights, and the importance of improving international cooperation</w:t>
      </w:r>
      <w:r w:rsidR="00FA28E6" w:rsidRPr="0081534E">
        <w:rPr>
          <w:rFonts w:ascii="Times New Roman" w:eastAsia="MS Mincho" w:hAnsi="Times New Roman"/>
          <w:i/>
          <w:sz w:val="24"/>
          <w:szCs w:val="24"/>
        </w:rPr>
        <w:t xml:space="preserve">, pursuant to Council resolution </w:t>
      </w:r>
      <w:r w:rsidR="00BC1D01" w:rsidRPr="0081534E">
        <w:rPr>
          <w:rFonts w:ascii="Times New Roman" w:eastAsia="MS Mincho" w:hAnsi="Times New Roman"/>
          <w:i/>
          <w:sz w:val="24"/>
          <w:szCs w:val="24"/>
        </w:rPr>
        <w:t>31/22</w:t>
      </w:r>
      <w:r w:rsidR="00FA28E6" w:rsidRPr="0081534E">
        <w:rPr>
          <w:rFonts w:ascii="Times New Roman" w:eastAsia="MS Mincho" w:hAnsi="Times New Roman"/>
          <w:i/>
          <w:sz w:val="24"/>
          <w:szCs w:val="24"/>
        </w:rPr>
        <w:t>.</w:t>
      </w:r>
    </w:p>
    <w:p w14:paraId="6E023326" w14:textId="77777777" w:rsidR="00FA28E6" w:rsidRPr="0081534E" w:rsidRDefault="00FA28E6" w:rsidP="00FA28E6">
      <w:pPr>
        <w:pStyle w:val="MediumGrid21"/>
        <w:pBdr>
          <w:top w:val="single" w:sz="4" w:space="0" w:color="auto"/>
          <w:left w:val="single" w:sz="4" w:space="4" w:color="auto"/>
          <w:bottom w:val="single" w:sz="4" w:space="1" w:color="auto"/>
          <w:right w:val="single" w:sz="4" w:space="4" w:color="auto"/>
        </w:pBdr>
        <w:rPr>
          <w:rFonts w:ascii="Times New Roman" w:eastAsia="MS Mincho" w:hAnsi="Times New Roman"/>
          <w:sz w:val="24"/>
          <w:szCs w:val="24"/>
        </w:rPr>
      </w:pPr>
    </w:p>
    <w:p w14:paraId="6E023327" w14:textId="77777777" w:rsidR="00FA28E6" w:rsidRPr="0081534E" w:rsidRDefault="00FA28E6" w:rsidP="00FA28E6">
      <w:pPr>
        <w:rPr>
          <w:b/>
          <w:sz w:val="24"/>
          <w:szCs w:val="24"/>
        </w:rPr>
      </w:pPr>
    </w:p>
    <w:p w14:paraId="6E023328" w14:textId="77777777" w:rsidR="009B3CD0" w:rsidRPr="0081534E" w:rsidRDefault="009B3CD0" w:rsidP="00FA28E6">
      <w:pPr>
        <w:rPr>
          <w:b/>
          <w:sz w:val="24"/>
          <w:szCs w:val="24"/>
        </w:rPr>
      </w:pPr>
    </w:p>
    <w:p w14:paraId="6E023329" w14:textId="77777777" w:rsidR="00D8366A" w:rsidRPr="0081534E" w:rsidRDefault="00D8366A" w:rsidP="009B3CD0">
      <w:pPr>
        <w:spacing w:after="120"/>
        <w:rPr>
          <w:b/>
          <w:sz w:val="24"/>
          <w:szCs w:val="24"/>
        </w:rPr>
      </w:pPr>
      <w:r w:rsidRPr="0081534E">
        <w:rPr>
          <w:b/>
          <w:sz w:val="24"/>
          <w:szCs w:val="24"/>
          <w:u w:val="single"/>
        </w:rPr>
        <w:t>Background</w:t>
      </w:r>
    </w:p>
    <w:p w14:paraId="6E02332A" w14:textId="77777777" w:rsidR="00BC1D01" w:rsidRPr="0081534E" w:rsidRDefault="00BC1D01" w:rsidP="00972839">
      <w:pPr>
        <w:pStyle w:val="NormalWeb"/>
        <w:shd w:val="clear" w:color="auto" w:fill="FFFFFF"/>
        <w:spacing w:line="288" w:lineRule="atLeast"/>
        <w:jc w:val="both"/>
        <w:rPr>
          <w:color w:val="000000"/>
        </w:rPr>
      </w:pPr>
      <w:r w:rsidRPr="0081534E">
        <w:rPr>
          <w:color w:val="000000"/>
        </w:rPr>
        <w:t>At its thirty-first session in March 2016, the Human Rights Council adopted resolution 31/22 (</w:t>
      </w:r>
      <w:hyperlink r:id="rId11" w:history="1">
        <w:r w:rsidRPr="0081534E">
          <w:rPr>
            <w:rStyle w:val="Hyperlink"/>
          </w:rPr>
          <w:t>A/HRC/RES/31/22</w:t>
        </w:r>
      </w:hyperlink>
      <w:r w:rsidRPr="0081534E">
        <w:rPr>
          <w:color w:val="000000"/>
        </w:rPr>
        <w:t>), on funds of illicit origin and the non-repatriation thereof to the countries of origin, mandating the Advisory Committee to conduct a comprehensive research-based study on the impact of flow of funds of illicit origin and the non-repatriation thereof to the countries of origin on the enjoyment of human rights, including economic, social and cultural rights, with a special emphasis on the right to development, with a view to compiling relevant best practices and main challenges, and to make recommendations on tackling those challenges based on the best practices in question, and to present a progress report on the requested study to the Council at its thirty-sixth session (September 2017).</w:t>
      </w:r>
    </w:p>
    <w:p w14:paraId="6E02332B" w14:textId="77777777" w:rsidR="00BC1D01" w:rsidRPr="0081534E" w:rsidRDefault="00BC1D01" w:rsidP="00972839">
      <w:pPr>
        <w:pStyle w:val="NormalWeb"/>
        <w:shd w:val="clear" w:color="auto" w:fill="FFFFFF"/>
        <w:spacing w:line="288" w:lineRule="atLeast"/>
        <w:jc w:val="both"/>
        <w:rPr>
          <w:color w:val="000000"/>
        </w:rPr>
      </w:pPr>
      <w:r w:rsidRPr="0081534E">
        <w:rPr>
          <w:color w:val="000000"/>
        </w:rPr>
        <w:t xml:space="preserve">The Council also requested the Committee to </w:t>
      </w:r>
      <w:r w:rsidR="002D735C" w:rsidRPr="002D735C">
        <w:rPr>
          <w:color w:val="000000"/>
        </w:rPr>
        <w:t xml:space="preserve">seek, if necessary, further views and the input of Member States, relevant international and regional organizations, the United Nations High Commissioner for Human Rights and relevant special procedures, national human rights institutions and non-governmental organizations in order to finalize the above-mentioned study, taking into account, inter alia, </w:t>
      </w:r>
      <w:r w:rsidR="002D735C">
        <w:rPr>
          <w:color w:val="000000"/>
        </w:rPr>
        <w:t xml:space="preserve">the </w:t>
      </w:r>
      <w:r w:rsidRPr="0081534E">
        <w:rPr>
          <w:color w:val="000000"/>
        </w:rPr>
        <w:t>study conducted by the Independent Expert on foreign debt on</w:t>
      </w:r>
      <w:r w:rsidRPr="0081534E">
        <w:rPr>
          <w:rStyle w:val="apple-converted-space"/>
          <w:color w:val="000000"/>
        </w:rPr>
        <w:t> </w:t>
      </w:r>
      <w:hyperlink r:id="rId12" w:history="1">
        <w:r w:rsidRPr="0081534E">
          <w:rPr>
            <w:rStyle w:val="Hyperlink"/>
          </w:rPr>
          <w:t>illicit financial flows</w:t>
        </w:r>
      </w:hyperlink>
      <w:r w:rsidRPr="0081534E">
        <w:rPr>
          <w:color w:val="000000"/>
        </w:rPr>
        <w:t>, human rights and the 2030 Agenda for Sustainable Development, which was presented to the Council at its thirty-first session in March 2016.</w:t>
      </w:r>
    </w:p>
    <w:p w14:paraId="6E02332C" w14:textId="77777777" w:rsidR="00BC1D01" w:rsidRPr="0081534E" w:rsidRDefault="00BC1D01" w:rsidP="00773606">
      <w:pPr>
        <w:suppressAutoHyphens w:val="0"/>
        <w:autoSpaceDE w:val="0"/>
        <w:autoSpaceDN w:val="0"/>
        <w:adjustRightInd w:val="0"/>
        <w:spacing w:line="240" w:lineRule="auto"/>
        <w:jc w:val="both"/>
        <w:rPr>
          <w:color w:val="000000"/>
          <w:sz w:val="24"/>
          <w:szCs w:val="24"/>
          <w:lang w:eastAsia="en-GB"/>
        </w:rPr>
      </w:pPr>
      <w:r w:rsidRPr="0081534E">
        <w:rPr>
          <w:color w:val="000000"/>
          <w:sz w:val="24"/>
          <w:szCs w:val="24"/>
          <w:lang w:eastAsia="en-GB"/>
        </w:rPr>
        <w:t xml:space="preserve">At its seventeenth session in August 2016, the Committee </w:t>
      </w:r>
      <w:r w:rsidR="002D735C" w:rsidRPr="0081534E">
        <w:rPr>
          <w:sz w:val="24"/>
          <w:szCs w:val="24"/>
        </w:rPr>
        <w:t>establish</w:t>
      </w:r>
      <w:r w:rsidR="002D735C">
        <w:rPr>
          <w:sz w:val="24"/>
          <w:szCs w:val="24"/>
        </w:rPr>
        <w:t>ed</w:t>
      </w:r>
      <w:r w:rsidR="002D735C" w:rsidRPr="0081534E">
        <w:rPr>
          <w:sz w:val="24"/>
          <w:szCs w:val="24"/>
        </w:rPr>
        <w:t xml:space="preserve"> a drafting group</w:t>
      </w:r>
      <w:r w:rsidR="002D735C" w:rsidRPr="0081534E">
        <w:rPr>
          <w:rStyle w:val="FootnoteReference"/>
          <w:sz w:val="24"/>
          <w:szCs w:val="24"/>
        </w:rPr>
        <w:footnoteReference w:id="2"/>
      </w:r>
      <w:r w:rsidR="002D735C" w:rsidRPr="0081534E">
        <w:rPr>
          <w:sz w:val="24"/>
          <w:szCs w:val="24"/>
        </w:rPr>
        <w:t xml:space="preserve"> in charge of the preparation of th</w:t>
      </w:r>
      <w:r w:rsidR="002D735C">
        <w:rPr>
          <w:sz w:val="24"/>
          <w:szCs w:val="24"/>
        </w:rPr>
        <w:t>e</w:t>
      </w:r>
      <w:r w:rsidR="002D735C" w:rsidRPr="0081534E">
        <w:rPr>
          <w:sz w:val="24"/>
          <w:szCs w:val="24"/>
        </w:rPr>
        <w:t xml:space="preserve"> report</w:t>
      </w:r>
      <w:r w:rsidR="002D735C">
        <w:rPr>
          <w:sz w:val="24"/>
          <w:szCs w:val="24"/>
        </w:rPr>
        <w:t xml:space="preserve"> mandated by Council resolution 31/22</w:t>
      </w:r>
      <w:r w:rsidR="002D735C" w:rsidRPr="0081534E">
        <w:rPr>
          <w:sz w:val="24"/>
          <w:szCs w:val="24"/>
        </w:rPr>
        <w:t xml:space="preserve">.The drafting group will present a draft progress report at the eighteenth session of the Committee in </w:t>
      </w:r>
      <w:r w:rsidR="002D735C">
        <w:rPr>
          <w:sz w:val="24"/>
          <w:szCs w:val="24"/>
        </w:rPr>
        <w:t>February</w:t>
      </w:r>
      <w:r w:rsidR="002D735C" w:rsidRPr="0081534E">
        <w:rPr>
          <w:sz w:val="24"/>
          <w:szCs w:val="24"/>
        </w:rPr>
        <w:t xml:space="preserve"> 201</w:t>
      </w:r>
      <w:r w:rsidR="002D735C">
        <w:rPr>
          <w:sz w:val="24"/>
          <w:szCs w:val="24"/>
        </w:rPr>
        <w:t>7</w:t>
      </w:r>
      <w:r w:rsidR="002D735C" w:rsidRPr="0081534E">
        <w:rPr>
          <w:sz w:val="24"/>
          <w:szCs w:val="24"/>
        </w:rPr>
        <w:t>, before its submission to the thirty-six session of the Council.</w:t>
      </w:r>
    </w:p>
    <w:p w14:paraId="6E02332D" w14:textId="77777777" w:rsidR="00BC1D01" w:rsidRPr="0081534E" w:rsidRDefault="00BC1D01" w:rsidP="002B7D28">
      <w:pPr>
        <w:jc w:val="both"/>
        <w:rPr>
          <w:sz w:val="24"/>
          <w:szCs w:val="24"/>
        </w:rPr>
      </w:pPr>
    </w:p>
    <w:p w14:paraId="6E02332E" w14:textId="77777777" w:rsidR="00313262" w:rsidRPr="0081534E" w:rsidRDefault="003A5866" w:rsidP="00F8207B">
      <w:pPr>
        <w:jc w:val="both"/>
        <w:rPr>
          <w:sz w:val="24"/>
          <w:szCs w:val="24"/>
        </w:rPr>
      </w:pPr>
      <w:r w:rsidRPr="0081534E">
        <w:rPr>
          <w:sz w:val="24"/>
          <w:szCs w:val="24"/>
        </w:rPr>
        <w:t xml:space="preserve">It is therefore in this context that the </w:t>
      </w:r>
      <w:r w:rsidR="009D0888" w:rsidRPr="0081534E">
        <w:rPr>
          <w:sz w:val="24"/>
          <w:szCs w:val="24"/>
        </w:rPr>
        <w:t xml:space="preserve">drafting group elaborated the hereunder questionnaire </w:t>
      </w:r>
      <w:r w:rsidR="00B75AFA" w:rsidRPr="0081534E">
        <w:rPr>
          <w:sz w:val="24"/>
          <w:szCs w:val="24"/>
        </w:rPr>
        <w:t xml:space="preserve">in order </w:t>
      </w:r>
      <w:r w:rsidR="009D0888" w:rsidRPr="0081534E">
        <w:rPr>
          <w:sz w:val="24"/>
          <w:szCs w:val="24"/>
        </w:rPr>
        <w:t xml:space="preserve">to seek the views and inputs of </w:t>
      </w:r>
      <w:r w:rsidR="0081534E" w:rsidRPr="0081534E">
        <w:rPr>
          <w:sz w:val="24"/>
          <w:szCs w:val="24"/>
        </w:rPr>
        <w:t>Member States, relevant international and regional organizations, the United Nations High Commissioner for Human Rights and relevant special procedures, national human rights institutions and non-governmental organizations</w:t>
      </w:r>
      <w:r w:rsidR="009D0888" w:rsidRPr="0081534E">
        <w:rPr>
          <w:sz w:val="24"/>
          <w:szCs w:val="24"/>
        </w:rPr>
        <w:t>.</w:t>
      </w:r>
    </w:p>
    <w:p w14:paraId="6E02332F" w14:textId="77777777" w:rsidR="00F8207B" w:rsidRPr="0081534E" w:rsidRDefault="00F8207B" w:rsidP="00F8207B">
      <w:pPr>
        <w:jc w:val="both"/>
        <w:rPr>
          <w:sz w:val="24"/>
          <w:szCs w:val="24"/>
        </w:rPr>
      </w:pPr>
    </w:p>
    <w:p w14:paraId="6E023330" w14:textId="77777777" w:rsidR="001F2E05" w:rsidRPr="0081534E" w:rsidRDefault="0029649D" w:rsidP="00112C70">
      <w:pPr>
        <w:keepNext/>
        <w:jc w:val="center"/>
        <w:rPr>
          <w:b/>
          <w:sz w:val="24"/>
          <w:szCs w:val="24"/>
        </w:rPr>
      </w:pPr>
      <w:r w:rsidRPr="0081534E">
        <w:rPr>
          <w:b/>
          <w:sz w:val="24"/>
          <w:szCs w:val="24"/>
        </w:rPr>
        <w:lastRenderedPageBreak/>
        <w:t>QUESTIONNAIRE</w:t>
      </w:r>
    </w:p>
    <w:p w14:paraId="6E023331" w14:textId="77777777" w:rsidR="0054413D" w:rsidRPr="0081534E" w:rsidRDefault="0054413D" w:rsidP="00112C70">
      <w:pPr>
        <w:keepNext/>
        <w:spacing w:after="120" w:line="240" w:lineRule="auto"/>
        <w:jc w:val="both"/>
        <w:rPr>
          <w:sz w:val="24"/>
          <w:szCs w:val="24"/>
          <w:u w:val="single"/>
        </w:rPr>
      </w:pPr>
    </w:p>
    <w:p w14:paraId="6E023332" w14:textId="77777777" w:rsidR="004D3392" w:rsidRPr="0081534E" w:rsidRDefault="004D3392" w:rsidP="00B1400E">
      <w:pPr>
        <w:numPr>
          <w:ilvl w:val="0"/>
          <w:numId w:val="29"/>
        </w:numPr>
        <w:spacing w:after="120" w:line="240" w:lineRule="auto"/>
        <w:jc w:val="both"/>
        <w:rPr>
          <w:sz w:val="24"/>
          <w:szCs w:val="24"/>
        </w:rPr>
      </w:pPr>
      <w:r w:rsidRPr="0081534E">
        <w:rPr>
          <w:sz w:val="24"/>
          <w:szCs w:val="24"/>
        </w:rPr>
        <w:t xml:space="preserve">Has your country ever </w:t>
      </w:r>
      <w:r w:rsidR="0043177D" w:rsidRPr="0081534E">
        <w:rPr>
          <w:sz w:val="24"/>
          <w:szCs w:val="24"/>
        </w:rPr>
        <w:t xml:space="preserve">frozen, </w:t>
      </w:r>
      <w:r w:rsidRPr="0081534E">
        <w:rPr>
          <w:sz w:val="24"/>
          <w:szCs w:val="24"/>
        </w:rPr>
        <w:t>seizedor retained funds of illicit origin</w:t>
      </w:r>
      <w:r w:rsidR="00795592" w:rsidRPr="0081534E">
        <w:rPr>
          <w:sz w:val="24"/>
          <w:szCs w:val="24"/>
        </w:rPr>
        <w:t xml:space="preserve"> belonging to citizens of another country</w:t>
      </w:r>
      <w:r w:rsidRPr="0081534E">
        <w:rPr>
          <w:sz w:val="24"/>
          <w:szCs w:val="24"/>
        </w:rPr>
        <w:t>? If yes, please specify the following points:</w:t>
      </w:r>
    </w:p>
    <w:p w14:paraId="6E023333" w14:textId="77777777" w:rsidR="004D3392" w:rsidRDefault="004D3392" w:rsidP="004D3392">
      <w:pPr>
        <w:numPr>
          <w:ilvl w:val="0"/>
          <w:numId w:val="30"/>
        </w:numPr>
        <w:spacing w:after="120" w:line="240" w:lineRule="auto"/>
        <w:jc w:val="both"/>
        <w:rPr>
          <w:sz w:val="24"/>
          <w:szCs w:val="24"/>
        </w:rPr>
      </w:pPr>
      <w:r w:rsidRPr="0081534E">
        <w:rPr>
          <w:sz w:val="24"/>
          <w:szCs w:val="24"/>
        </w:rPr>
        <w:t xml:space="preserve">What were the amounts of illicit funds which were </w:t>
      </w:r>
      <w:r w:rsidR="0043177D" w:rsidRPr="0081534E">
        <w:rPr>
          <w:sz w:val="24"/>
          <w:szCs w:val="24"/>
        </w:rPr>
        <w:t xml:space="preserve">frozen, </w:t>
      </w:r>
      <w:r w:rsidRPr="0081534E">
        <w:rPr>
          <w:sz w:val="24"/>
          <w:szCs w:val="24"/>
        </w:rPr>
        <w:t>seized or retained?</w:t>
      </w:r>
    </w:p>
    <w:p w14:paraId="6E023334" w14:textId="77777777" w:rsidR="00956843" w:rsidRPr="00956843" w:rsidRDefault="00956843" w:rsidP="00956843">
      <w:pPr>
        <w:spacing w:after="120" w:line="240" w:lineRule="auto"/>
        <w:ind w:left="1287"/>
        <w:jc w:val="both"/>
        <w:rPr>
          <w:b/>
          <w:i/>
          <w:sz w:val="24"/>
          <w:szCs w:val="24"/>
        </w:rPr>
      </w:pPr>
      <w:r w:rsidRPr="00030227">
        <w:rPr>
          <w:b/>
          <w:i/>
          <w:sz w:val="24"/>
          <w:szCs w:val="24"/>
        </w:rPr>
        <w:t>Jamaica</w:t>
      </w:r>
      <w:r w:rsidR="00030227">
        <w:rPr>
          <w:b/>
          <w:i/>
          <w:sz w:val="24"/>
          <w:szCs w:val="24"/>
        </w:rPr>
        <w:t xml:space="preserve"> has seized sums based on fraud perpetrated against</w:t>
      </w:r>
      <w:r w:rsidRPr="00030227">
        <w:rPr>
          <w:b/>
          <w:i/>
          <w:sz w:val="24"/>
          <w:szCs w:val="24"/>
        </w:rPr>
        <w:t xml:space="preserve"> foreign citizens, particularly with respect to lottery scamming. These </w:t>
      </w:r>
      <w:r w:rsidR="00030227" w:rsidRPr="00030227">
        <w:rPr>
          <w:b/>
          <w:i/>
          <w:sz w:val="24"/>
          <w:szCs w:val="24"/>
        </w:rPr>
        <w:t>sums amount to approximately</w:t>
      </w:r>
      <w:r w:rsidR="0074409C">
        <w:rPr>
          <w:b/>
          <w:i/>
          <w:sz w:val="24"/>
          <w:szCs w:val="24"/>
        </w:rPr>
        <w:t xml:space="preserve"> </w:t>
      </w:r>
      <w:r w:rsidR="00A51657" w:rsidRPr="00030227">
        <w:rPr>
          <w:b/>
          <w:i/>
          <w:sz w:val="24"/>
          <w:szCs w:val="24"/>
        </w:rPr>
        <w:t>USD 1,034,998</w:t>
      </w:r>
      <w:r w:rsidR="00030227" w:rsidRPr="00030227">
        <w:rPr>
          <w:b/>
          <w:i/>
          <w:sz w:val="24"/>
          <w:szCs w:val="24"/>
        </w:rPr>
        <w:t>.</w:t>
      </w:r>
    </w:p>
    <w:p w14:paraId="6E023335" w14:textId="77777777" w:rsidR="004D3392" w:rsidRDefault="004D3392" w:rsidP="004D3392">
      <w:pPr>
        <w:numPr>
          <w:ilvl w:val="0"/>
          <w:numId w:val="30"/>
        </w:numPr>
        <w:spacing w:after="120" w:line="240" w:lineRule="auto"/>
        <w:jc w:val="both"/>
        <w:rPr>
          <w:sz w:val="24"/>
          <w:szCs w:val="24"/>
        </w:rPr>
      </w:pPr>
      <w:r w:rsidRPr="0074409C">
        <w:rPr>
          <w:sz w:val="24"/>
          <w:szCs w:val="24"/>
        </w:rPr>
        <w:t>When</w:t>
      </w:r>
      <w:r w:rsidRPr="0081534E">
        <w:rPr>
          <w:sz w:val="24"/>
          <w:szCs w:val="24"/>
        </w:rPr>
        <w:t xml:space="preserve"> and from which country did the funds originate?</w:t>
      </w:r>
    </w:p>
    <w:p w14:paraId="6E023336" w14:textId="77777777" w:rsidR="00956843" w:rsidRPr="009F2F65" w:rsidRDefault="002C17A5" w:rsidP="00956843">
      <w:pPr>
        <w:spacing w:after="120" w:line="240" w:lineRule="auto"/>
        <w:ind w:left="1287"/>
        <w:jc w:val="both"/>
        <w:rPr>
          <w:b/>
          <w:i/>
          <w:color w:val="FF0000"/>
          <w:sz w:val="24"/>
          <w:szCs w:val="24"/>
        </w:rPr>
      </w:pPr>
      <w:r w:rsidRPr="0074409C">
        <w:rPr>
          <w:b/>
          <w:i/>
          <w:sz w:val="24"/>
          <w:szCs w:val="24"/>
        </w:rPr>
        <w:t>The funds originated in the United States</w:t>
      </w:r>
      <w:r w:rsidR="009F2F65" w:rsidRPr="0074409C">
        <w:rPr>
          <w:b/>
          <w:i/>
          <w:sz w:val="24"/>
          <w:szCs w:val="24"/>
        </w:rPr>
        <w:t>.</w:t>
      </w:r>
      <w:r w:rsidR="009F2F65">
        <w:rPr>
          <w:b/>
          <w:i/>
          <w:sz w:val="24"/>
          <w:szCs w:val="24"/>
        </w:rPr>
        <w:t xml:space="preserve"> </w:t>
      </w:r>
    </w:p>
    <w:p w14:paraId="6E023337" w14:textId="77777777" w:rsidR="004D3392" w:rsidRDefault="004D3392" w:rsidP="004D3392">
      <w:pPr>
        <w:numPr>
          <w:ilvl w:val="0"/>
          <w:numId w:val="30"/>
        </w:numPr>
        <w:spacing w:after="120" w:line="240" w:lineRule="auto"/>
        <w:jc w:val="both"/>
        <w:rPr>
          <w:sz w:val="24"/>
          <w:szCs w:val="24"/>
        </w:rPr>
      </w:pPr>
      <w:r w:rsidRPr="0081534E">
        <w:rPr>
          <w:sz w:val="24"/>
          <w:szCs w:val="24"/>
        </w:rPr>
        <w:t xml:space="preserve">Why were the funds </w:t>
      </w:r>
      <w:r w:rsidR="0043177D" w:rsidRPr="0081534E">
        <w:rPr>
          <w:sz w:val="24"/>
          <w:szCs w:val="24"/>
        </w:rPr>
        <w:t xml:space="preserve">frozen, </w:t>
      </w:r>
      <w:r w:rsidRPr="0081534E">
        <w:rPr>
          <w:sz w:val="24"/>
          <w:szCs w:val="24"/>
        </w:rPr>
        <w:t>seized</w:t>
      </w:r>
      <w:r w:rsidR="0043177D" w:rsidRPr="0081534E">
        <w:rPr>
          <w:sz w:val="24"/>
          <w:szCs w:val="24"/>
        </w:rPr>
        <w:t xml:space="preserve"> or retained</w:t>
      </w:r>
      <w:r w:rsidRPr="0081534E">
        <w:rPr>
          <w:sz w:val="24"/>
          <w:szCs w:val="24"/>
        </w:rPr>
        <w:t xml:space="preserve">? </w:t>
      </w:r>
    </w:p>
    <w:p w14:paraId="6E023338" w14:textId="77777777" w:rsidR="00956843" w:rsidRPr="00956843" w:rsidRDefault="00956843" w:rsidP="00956843">
      <w:pPr>
        <w:spacing w:after="120" w:line="240" w:lineRule="auto"/>
        <w:ind w:left="1287"/>
        <w:jc w:val="both"/>
        <w:rPr>
          <w:b/>
          <w:i/>
          <w:sz w:val="24"/>
          <w:szCs w:val="24"/>
        </w:rPr>
      </w:pPr>
      <w:r w:rsidRPr="00956843">
        <w:rPr>
          <w:b/>
          <w:i/>
          <w:sz w:val="24"/>
          <w:szCs w:val="24"/>
        </w:rPr>
        <w:t>The funds were seized as proceeds of crimes. Some funds may be forfeited under the Law Reform (Fraudulent Transactions) (Special Measures) Act.</w:t>
      </w:r>
    </w:p>
    <w:p w14:paraId="6E023339" w14:textId="77777777" w:rsidR="0074409C" w:rsidRPr="0074409C" w:rsidRDefault="00E073EC" w:rsidP="004D3392">
      <w:pPr>
        <w:numPr>
          <w:ilvl w:val="0"/>
          <w:numId w:val="30"/>
        </w:numPr>
        <w:spacing w:after="120" w:line="240" w:lineRule="auto"/>
        <w:jc w:val="both"/>
        <w:rPr>
          <w:b/>
          <w:i/>
          <w:color w:val="F79646" w:themeColor="accent6"/>
          <w:sz w:val="24"/>
          <w:szCs w:val="24"/>
        </w:rPr>
      </w:pPr>
      <w:r w:rsidRPr="0081534E">
        <w:rPr>
          <w:sz w:val="24"/>
          <w:szCs w:val="24"/>
        </w:rPr>
        <w:t>How long were the funds frozen in your country? What happens when the freeze ends?</w:t>
      </w:r>
      <w:r w:rsidR="00225621">
        <w:rPr>
          <w:sz w:val="24"/>
          <w:szCs w:val="24"/>
        </w:rPr>
        <w:t xml:space="preserve"> </w:t>
      </w:r>
    </w:p>
    <w:p w14:paraId="6E02333A" w14:textId="77777777" w:rsidR="0074409C" w:rsidRPr="0074409C" w:rsidRDefault="00956843" w:rsidP="0074409C">
      <w:pPr>
        <w:spacing w:after="120" w:line="240" w:lineRule="auto"/>
        <w:ind w:left="1287"/>
        <w:jc w:val="both"/>
        <w:rPr>
          <w:b/>
          <w:i/>
          <w:color w:val="F79646" w:themeColor="accent6"/>
          <w:sz w:val="24"/>
          <w:szCs w:val="24"/>
        </w:rPr>
      </w:pPr>
      <w:r w:rsidRPr="002C4B70">
        <w:rPr>
          <w:b/>
          <w:i/>
          <w:sz w:val="24"/>
          <w:szCs w:val="24"/>
        </w:rPr>
        <w:t>Funds are frozen until proceedings are completed.</w:t>
      </w:r>
      <w:r w:rsidR="002C4B70" w:rsidRPr="002C4B70">
        <w:rPr>
          <w:b/>
          <w:i/>
          <w:sz w:val="24"/>
          <w:szCs w:val="24"/>
        </w:rPr>
        <w:t xml:space="preserve"> This depends on several factors</w:t>
      </w:r>
      <w:r w:rsidR="002C4B70">
        <w:rPr>
          <w:b/>
          <w:i/>
          <w:sz w:val="24"/>
          <w:szCs w:val="24"/>
        </w:rPr>
        <w:t>,</w:t>
      </w:r>
      <w:r w:rsidR="002C4B70" w:rsidRPr="002C4B70">
        <w:rPr>
          <w:b/>
          <w:i/>
          <w:sz w:val="24"/>
          <w:szCs w:val="24"/>
        </w:rPr>
        <w:t xml:space="preserve"> including whether there is a guilty plea or settlement</w:t>
      </w:r>
      <w:r w:rsidR="002C4B70">
        <w:rPr>
          <w:b/>
          <w:i/>
          <w:sz w:val="24"/>
          <w:szCs w:val="24"/>
        </w:rPr>
        <w:t>,</w:t>
      </w:r>
      <w:r w:rsidR="002C4B70" w:rsidRPr="002C4B70">
        <w:rPr>
          <w:b/>
          <w:i/>
          <w:sz w:val="24"/>
          <w:szCs w:val="24"/>
        </w:rPr>
        <w:t xml:space="preserve"> or whether the matter will go to trial.</w:t>
      </w:r>
      <w:r w:rsidR="002C4B70">
        <w:rPr>
          <w:b/>
          <w:i/>
          <w:sz w:val="24"/>
          <w:szCs w:val="24"/>
        </w:rPr>
        <w:t xml:space="preserve"> If the matter goes to trial, </w:t>
      </w:r>
      <w:r w:rsidR="002C4B70" w:rsidRPr="002C4B70">
        <w:rPr>
          <w:b/>
          <w:i/>
          <w:sz w:val="24"/>
          <w:szCs w:val="24"/>
        </w:rPr>
        <w:t>resolution of the case could take up to five years, or longer if there are appeals.</w:t>
      </w:r>
    </w:p>
    <w:p w14:paraId="6E02333B" w14:textId="77777777" w:rsidR="004D3392" w:rsidRPr="0074409C" w:rsidRDefault="00BD2AE4" w:rsidP="0074409C">
      <w:pPr>
        <w:spacing w:after="120" w:line="240" w:lineRule="auto"/>
        <w:ind w:left="1287"/>
        <w:jc w:val="both"/>
        <w:rPr>
          <w:b/>
          <w:i/>
          <w:sz w:val="24"/>
          <w:szCs w:val="24"/>
        </w:rPr>
      </w:pPr>
      <w:r w:rsidRPr="0074409C">
        <w:rPr>
          <w:b/>
          <w:i/>
          <w:sz w:val="24"/>
          <w:szCs w:val="24"/>
        </w:rPr>
        <w:t>Once the matter is completed and third party rights are established, funds are returned to those owners.</w:t>
      </w:r>
    </w:p>
    <w:p w14:paraId="6E02333C" w14:textId="77777777" w:rsidR="00E073EC" w:rsidRDefault="00E073EC" w:rsidP="004D3392">
      <w:pPr>
        <w:numPr>
          <w:ilvl w:val="0"/>
          <w:numId w:val="30"/>
        </w:numPr>
        <w:spacing w:after="120" w:line="240" w:lineRule="auto"/>
        <w:jc w:val="both"/>
        <w:rPr>
          <w:sz w:val="24"/>
          <w:szCs w:val="24"/>
        </w:rPr>
      </w:pPr>
      <w:r w:rsidRPr="0081534E">
        <w:rPr>
          <w:sz w:val="24"/>
          <w:szCs w:val="24"/>
        </w:rPr>
        <w:t>How much was returned to the country of origin? When? To which countries?</w:t>
      </w:r>
    </w:p>
    <w:p w14:paraId="6E02333D" w14:textId="77777777" w:rsidR="002C4B70" w:rsidRPr="00E3250D" w:rsidRDefault="00225621" w:rsidP="002C4B70">
      <w:pPr>
        <w:spacing w:after="120" w:line="240" w:lineRule="auto"/>
        <w:ind w:left="1287"/>
        <w:jc w:val="both"/>
        <w:rPr>
          <w:b/>
          <w:i/>
          <w:sz w:val="24"/>
          <w:szCs w:val="24"/>
        </w:rPr>
      </w:pPr>
      <w:r w:rsidRPr="0074409C">
        <w:rPr>
          <w:b/>
          <w:i/>
          <w:sz w:val="24"/>
          <w:szCs w:val="24"/>
        </w:rPr>
        <w:t>T</w:t>
      </w:r>
      <w:r w:rsidR="003778B2" w:rsidRPr="0074409C">
        <w:rPr>
          <w:b/>
          <w:i/>
          <w:sz w:val="24"/>
          <w:szCs w:val="24"/>
        </w:rPr>
        <w:t>he United States was t</w:t>
      </w:r>
      <w:r w:rsidR="009372A2" w:rsidRPr="0074409C">
        <w:rPr>
          <w:b/>
          <w:i/>
          <w:sz w:val="24"/>
          <w:szCs w:val="24"/>
        </w:rPr>
        <w:t>he</w:t>
      </w:r>
      <w:r w:rsidR="003778B2" w:rsidRPr="0074409C">
        <w:rPr>
          <w:b/>
          <w:i/>
          <w:sz w:val="24"/>
          <w:szCs w:val="24"/>
        </w:rPr>
        <w:t xml:space="preserve"> country of or</w:t>
      </w:r>
      <w:r w:rsidR="009372A2" w:rsidRPr="0074409C">
        <w:rPr>
          <w:b/>
          <w:i/>
          <w:sz w:val="24"/>
          <w:szCs w:val="24"/>
        </w:rPr>
        <w:t>i</w:t>
      </w:r>
      <w:r w:rsidR="003778B2" w:rsidRPr="0074409C">
        <w:rPr>
          <w:b/>
          <w:i/>
          <w:sz w:val="24"/>
          <w:szCs w:val="24"/>
        </w:rPr>
        <w:t>gin for all the funds</w:t>
      </w:r>
      <w:r w:rsidR="009372A2" w:rsidRPr="0074409C">
        <w:rPr>
          <w:b/>
          <w:i/>
          <w:sz w:val="24"/>
          <w:szCs w:val="24"/>
        </w:rPr>
        <w:t>.</w:t>
      </w:r>
      <w:r w:rsidR="009372A2">
        <w:rPr>
          <w:b/>
          <w:i/>
          <w:sz w:val="24"/>
          <w:szCs w:val="24"/>
        </w:rPr>
        <w:t xml:space="preserve"> </w:t>
      </w:r>
      <w:r w:rsidR="002C4B70" w:rsidRPr="00E3250D">
        <w:rPr>
          <w:b/>
          <w:i/>
          <w:sz w:val="24"/>
          <w:szCs w:val="24"/>
        </w:rPr>
        <w:t>Funds have been returned</w:t>
      </w:r>
      <w:r w:rsidR="009372A2">
        <w:rPr>
          <w:b/>
          <w:i/>
          <w:sz w:val="24"/>
          <w:szCs w:val="24"/>
        </w:rPr>
        <w:t xml:space="preserve"> to </w:t>
      </w:r>
      <w:r w:rsidR="009372A2" w:rsidRPr="0074409C">
        <w:rPr>
          <w:b/>
          <w:i/>
          <w:sz w:val="24"/>
          <w:szCs w:val="24"/>
        </w:rPr>
        <w:t>agencies and individual victims</w:t>
      </w:r>
      <w:r w:rsidR="002C4B70" w:rsidRPr="00E3250D">
        <w:rPr>
          <w:b/>
          <w:i/>
          <w:sz w:val="24"/>
          <w:szCs w:val="24"/>
        </w:rPr>
        <w:t xml:space="preserve"> as follows:</w:t>
      </w:r>
    </w:p>
    <w:p w14:paraId="6E02333E" w14:textId="77777777" w:rsidR="00E3250D" w:rsidRPr="00E3250D" w:rsidRDefault="00E3250D" w:rsidP="00E3250D">
      <w:pPr>
        <w:numPr>
          <w:ilvl w:val="0"/>
          <w:numId w:val="33"/>
        </w:numPr>
        <w:spacing w:after="120" w:line="240" w:lineRule="auto"/>
        <w:jc w:val="both"/>
        <w:rPr>
          <w:b/>
          <w:i/>
          <w:sz w:val="24"/>
          <w:szCs w:val="24"/>
        </w:rPr>
      </w:pPr>
      <w:r w:rsidRPr="00E3250D">
        <w:rPr>
          <w:b/>
          <w:i/>
          <w:sz w:val="24"/>
          <w:szCs w:val="24"/>
        </w:rPr>
        <w:t>Over JMD 107 million paid to the US Internal Revenue Services in March 2016</w:t>
      </w:r>
    </w:p>
    <w:p w14:paraId="6E02333F" w14:textId="77777777" w:rsidR="00E3250D" w:rsidRPr="00E3250D" w:rsidRDefault="00E3250D" w:rsidP="00E3250D">
      <w:pPr>
        <w:numPr>
          <w:ilvl w:val="0"/>
          <w:numId w:val="33"/>
        </w:numPr>
        <w:spacing w:after="120" w:line="240" w:lineRule="auto"/>
        <w:jc w:val="both"/>
        <w:rPr>
          <w:b/>
          <w:i/>
          <w:sz w:val="24"/>
          <w:szCs w:val="24"/>
        </w:rPr>
      </w:pPr>
      <w:r w:rsidRPr="00E3250D">
        <w:rPr>
          <w:b/>
          <w:i/>
          <w:sz w:val="24"/>
          <w:szCs w:val="24"/>
        </w:rPr>
        <w:t xml:space="preserve">Approximately USD 45,000 and JMD 3.7 </w:t>
      </w:r>
      <w:r w:rsidR="00030227">
        <w:rPr>
          <w:b/>
          <w:i/>
          <w:sz w:val="24"/>
          <w:szCs w:val="24"/>
        </w:rPr>
        <w:t>million  paid over to US Marsha</w:t>
      </w:r>
      <w:r w:rsidRPr="00E3250D">
        <w:rPr>
          <w:b/>
          <w:i/>
          <w:sz w:val="24"/>
          <w:szCs w:val="24"/>
        </w:rPr>
        <w:t>ls in April 2016</w:t>
      </w:r>
    </w:p>
    <w:p w14:paraId="6E023340" w14:textId="77777777" w:rsidR="00E3250D" w:rsidRPr="00E3250D" w:rsidRDefault="00E3250D" w:rsidP="00E3250D">
      <w:pPr>
        <w:numPr>
          <w:ilvl w:val="0"/>
          <w:numId w:val="33"/>
        </w:numPr>
        <w:spacing w:after="120" w:line="240" w:lineRule="auto"/>
        <w:jc w:val="both"/>
        <w:rPr>
          <w:b/>
          <w:i/>
          <w:sz w:val="24"/>
          <w:szCs w:val="24"/>
        </w:rPr>
      </w:pPr>
      <w:r w:rsidRPr="00E3250D">
        <w:rPr>
          <w:b/>
          <w:i/>
          <w:sz w:val="24"/>
          <w:szCs w:val="24"/>
        </w:rPr>
        <w:t>USD 27,078.10 repaid to US victim of fraud in May 2016</w:t>
      </w:r>
    </w:p>
    <w:p w14:paraId="6E023341" w14:textId="77777777" w:rsidR="00E3250D" w:rsidRPr="00E3250D" w:rsidRDefault="00E3250D" w:rsidP="00E3250D">
      <w:pPr>
        <w:numPr>
          <w:ilvl w:val="0"/>
          <w:numId w:val="33"/>
        </w:numPr>
        <w:spacing w:after="120" w:line="240" w:lineRule="auto"/>
        <w:jc w:val="both"/>
        <w:rPr>
          <w:b/>
          <w:i/>
          <w:sz w:val="24"/>
          <w:szCs w:val="24"/>
        </w:rPr>
      </w:pPr>
      <w:r w:rsidRPr="00E3250D">
        <w:rPr>
          <w:b/>
          <w:i/>
          <w:sz w:val="24"/>
          <w:szCs w:val="24"/>
        </w:rPr>
        <w:t>USD 106,644.21 repaid to US victim of fraud in December 2014</w:t>
      </w:r>
    </w:p>
    <w:p w14:paraId="6E023342" w14:textId="77777777" w:rsidR="00E3250D" w:rsidRPr="00E3250D" w:rsidRDefault="00E3250D" w:rsidP="00E3250D">
      <w:pPr>
        <w:numPr>
          <w:ilvl w:val="0"/>
          <w:numId w:val="33"/>
        </w:numPr>
        <w:spacing w:after="120" w:line="240" w:lineRule="auto"/>
        <w:jc w:val="both"/>
        <w:rPr>
          <w:b/>
          <w:i/>
          <w:sz w:val="24"/>
          <w:szCs w:val="24"/>
        </w:rPr>
      </w:pPr>
      <w:r w:rsidRPr="00E3250D">
        <w:rPr>
          <w:b/>
          <w:i/>
          <w:sz w:val="24"/>
          <w:szCs w:val="24"/>
        </w:rPr>
        <w:t>USD 45,509.73 repaid to US victim of fraud in February 2013</w:t>
      </w:r>
    </w:p>
    <w:p w14:paraId="6E023343" w14:textId="77777777" w:rsidR="0074409C" w:rsidRPr="0074409C" w:rsidRDefault="00E073EC" w:rsidP="004D3392">
      <w:pPr>
        <w:numPr>
          <w:ilvl w:val="0"/>
          <w:numId w:val="30"/>
        </w:numPr>
        <w:spacing w:after="120" w:line="240" w:lineRule="auto"/>
        <w:jc w:val="both"/>
        <w:rPr>
          <w:b/>
          <w:i/>
          <w:sz w:val="24"/>
          <w:szCs w:val="24"/>
        </w:rPr>
      </w:pPr>
      <w:r w:rsidRPr="00225621">
        <w:rPr>
          <w:sz w:val="24"/>
          <w:szCs w:val="24"/>
        </w:rPr>
        <w:t>How much was not returned? Why?</w:t>
      </w:r>
    </w:p>
    <w:p w14:paraId="6E023344" w14:textId="77777777" w:rsidR="00225621" w:rsidRPr="00225621" w:rsidRDefault="00E3250D" w:rsidP="0074409C">
      <w:pPr>
        <w:spacing w:after="120" w:line="240" w:lineRule="auto"/>
        <w:ind w:left="1287"/>
        <w:jc w:val="both"/>
        <w:rPr>
          <w:b/>
          <w:i/>
          <w:sz w:val="24"/>
          <w:szCs w:val="24"/>
        </w:rPr>
      </w:pPr>
      <w:r w:rsidRPr="00225621">
        <w:rPr>
          <w:b/>
          <w:i/>
          <w:sz w:val="24"/>
          <w:szCs w:val="24"/>
        </w:rPr>
        <w:t>All funds for which legitimate owners can be identified are handed over once the appropriate process is followed.</w:t>
      </w:r>
      <w:r w:rsidR="00463C35" w:rsidRPr="00225621">
        <w:rPr>
          <w:b/>
          <w:i/>
          <w:color w:val="FF0000"/>
          <w:sz w:val="24"/>
          <w:szCs w:val="24"/>
        </w:rPr>
        <w:t xml:space="preserve"> </w:t>
      </w:r>
    </w:p>
    <w:p w14:paraId="6E023345" w14:textId="77777777" w:rsidR="0074409C" w:rsidRPr="0074409C" w:rsidRDefault="00E073EC" w:rsidP="004D3392">
      <w:pPr>
        <w:numPr>
          <w:ilvl w:val="0"/>
          <w:numId w:val="30"/>
        </w:numPr>
        <w:spacing w:after="120" w:line="240" w:lineRule="auto"/>
        <w:jc w:val="both"/>
        <w:rPr>
          <w:b/>
          <w:i/>
          <w:sz w:val="24"/>
          <w:szCs w:val="24"/>
        </w:rPr>
      </w:pPr>
      <w:r w:rsidRPr="00225621">
        <w:rPr>
          <w:sz w:val="24"/>
          <w:szCs w:val="24"/>
        </w:rPr>
        <w:t>If your country is retaining funds</w:t>
      </w:r>
      <w:r w:rsidR="0043177D" w:rsidRPr="00225621">
        <w:rPr>
          <w:sz w:val="24"/>
          <w:szCs w:val="24"/>
        </w:rPr>
        <w:t xml:space="preserve"> of illicit origin</w:t>
      </w:r>
      <w:r w:rsidRPr="00225621">
        <w:rPr>
          <w:sz w:val="24"/>
          <w:szCs w:val="24"/>
        </w:rPr>
        <w:t>, could you indicate which countries</w:t>
      </w:r>
      <w:r w:rsidR="0043177D" w:rsidRPr="00225621">
        <w:rPr>
          <w:sz w:val="24"/>
          <w:szCs w:val="24"/>
        </w:rPr>
        <w:t xml:space="preserve"> the funds originated from</w:t>
      </w:r>
      <w:r w:rsidRPr="00225621">
        <w:rPr>
          <w:sz w:val="24"/>
          <w:szCs w:val="24"/>
        </w:rPr>
        <w:t>?</w:t>
      </w:r>
      <w:r w:rsidR="00455CE0">
        <w:rPr>
          <w:sz w:val="24"/>
          <w:szCs w:val="24"/>
        </w:rPr>
        <w:t xml:space="preserve"> </w:t>
      </w:r>
    </w:p>
    <w:p w14:paraId="6E023346" w14:textId="77777777" w:rsidR="00E073EC" w:rsidRPr="00225621" w:rsidRDefault="004D77F3" w:rsidP="0074409C">
      <w:pPr>
        <w:spacing w:after="120" w:line="240" w:lineRule="auto"/>
        <w:ind w:left="1287"/>
        <w:jc w:val="both"/>
        <w:rPr>
          <w:b/>
          <w:i/>
          <w:sz w:val="24"/>
          <w:szCs w:val="24"/>
        </w:rPr>
      </w:pPr>
      <w:r w:rsidRPr="00225621">
        <w:rPr>
          <w:b/>
          <w:i/>
          <w:sz w:val="24"/>
          <w:szCs w:val="24"/>
        </w:rPr>
        <w:t>Jamaica does not retain funds of illicit origin once the owners can be identified.</w:t>
      </w:r>
    </w:p>
    <w:p w14:paraId="6E023347" w14:textId="77777777" w:rsidR="004D3392" w:rsidRPr="0081534E" w:rsidRDefault="00B1483F" w:rsidP="00B1400E">
      <w:pPr>
        <w:numPr>
          <w:ilvl w:val="0"/>
          <w:numId w:val="29"/>
        </w:numPr>
        <w:spacing w:after="120" w:line="240" w:lineRule="auto"/>
        <w:jc w:val="both"/>
        <w:rPr>
          <w:sz w:val="24"/>
          <w:szCs w:val="24"/>
        </w:rPr>
      </w:pPr>
      <w:r w:rsidRPr="0081534E">
        <w:rPr>
          <w:sz w:val="24"/>
          <w:szCs w:val="24"/>
        </w:rPr>
        <w:t>To countries of origin:</w:t>
      </w:r>
    </w:p>
    <w:p w14:paraId="6E023348" w14:textId="77777777" w:rsidR="000D70D1" w:rsidRPr="000D70D1" w:rsidRDefault="00B1483F" w:rsidP="00B1483F">
      <w:pPr>
        <w:numPr>
          <w:ilvl w:val="0"/>
          <w:numId w:val="31"/>
        </w:numPr>
        <w:spacing w:after="120" w:line="240" w:lineRule="auto"/>
        <w:jc w:val="both"/>
        <w:rPr>
          <w:strike/>
          <w:sz w:val="24"/>
          <w:szCs w:val="24"/>
        </w:rPr>
      </w:pPr>
      <w:r w:rsidRPr="0074409C">
        <w:rPr>
          <w:sz w:val="24"/>
          <w:szCs w:val="24"/>
        </w:rPr>
        <w:t xml:space="preserve">What requests have you made to other governments with regard to </w:t>
      </w:r>
      <w:r w:rsidR="0043177D" w:rsidRPr="0074409C">
        <w:rPr>
          <w:sz w:val="24"/>
          <w:szCs w:val="24"/>
        </w:rPr>
        <w:t>illicit funds originating from your country that were frozen, seized or retained by them</w:t>
      </w:r>
      <w:r w:rsidRPr="0074409C">
        <w:rPr>
          <w:sz w:val="24"/>
          <w:szCs w:val="24"/>
        </w:rPr>
        <w:t>?</w:t>
      </w:r>
      <w:r w:rsidR="00225621" w:rsidRPr="0074409C">
        <w:rPr>
          <w:sz w:val="24"/>
          <w:szCs w:val="24"/>
        </w:rPr>
        <w:t xml:space="preserve"> </w:t>
      </w:r>
    </w:p>
    <w:p w14:paraId="6E023349" w14:textId="77777777" w:rsidR="00B1483F" w:rsidRPr="0074409C" w:rsidRDefault="00463C35" w:rsidP="000D70D1">
      <w:pPr>
        <w:spacing w:after="120" w:line="240" w:lineRule="auto"/>
        <w:ind w:left="1287"/>
        <w:jc w:val="both"/>
        <w:rPr>
          <w:strike/>
          <w:sz w:val="24"/>
          <w:szCs w:val="24"/>
        </w:rPr>
      </w:pPr>
      <w:r w:rsidRPr="0074409C">
        <w:rPr>
          <w:b/>
          <w:sz w:val="24"/>
          <w:szCs w:val="24"/>
        </w:rPr>
        <w:t xml:space="preserve">No requests have been made to </w:t>
      </w:r>
      <w:r w:rsidR="00EE6A78" w:rsidRPr="0074409C">
        <w:rPr>
          <w:b/>
          <w:sz w:val="24"/>
          <w:szCs w:val="24"/>
        </w:rPr>
        <w:t>foreign governments</w:t>
      </w:r>
      <w:r w:rsidR="00455CE0" w:rsidRPr="0074409C">
        <w:rPr>
          <w:b/>
          <w:sz w:val="24"/>
          <w:szCs w:val="24"/>
        </w:rPr>
        <w:t>.</w:t>
      </w:r>
    </w:p>
    <w:p w14:paraId="6E02334A" w14:textId="77777777" w:rsidR="00BD2AE4" w:rsidRPr="0074409C" w:rsidRDefault="0043177D" w:rsidP="0054413D">
      <w:pPr>
        <w:numPr>
          <w:ilvl w:val="0"/>
          <w:numId w:val="29"/>
        </w:numPr>
        <w:spacing w:after="120" w:line="240" w:lineRule="auto"/>
        <w:jc w:val="both"/>
        <w:rPr>
          <w:sz w:val="24"/>
          <w:szCs w:val="24"/>
        </w:rPr>
      </w:pPr>
      <w:r w:rsidRPr="0074409C">
        <w:rPr>
          <w:sz w:val="24"/>
          <w:szCs w:val="24"/>
        </w:rPr>
        <w:lastRenderedPageBreak/>
        <w:t>What forms of repatriation of the illicit funds originating from your country would you prefer? For</w:t>
      </w:r>
      <w:r w:rsidR="00795592" w:rsidRPr="0074409C">
        <w:rPr>
          <w:sz w:val="24"/>
          <w:szCs w:val="24"/>
        </w:rPr>
        <w:t xml:space="preserve"> example, voluntary restitution</w:t>
      </w:r>
      <w:r w:rsidRPr="0074409C">
        <w:rPr>
          <w:sz w:val="24"/>
          <w:szCs w:val="24"/>
        </w:rPr>
        <w:t>?</w:t>
      </w:r>
      <w:r w:rsidR="00455CE0" w:rsidRPr="0074409C">
        <w:rPr>
          <w:b/>
          <w:sz w:val="24"/>
          <w:szCs w:val="24"/>
        </w:rPr>
        <w:t xml:space="preserve"> </w:t>
      </w:r>
    </w:p>
    <w:p w14:paraId="6E02334B" w14:textId="77777777" w:rsidR="00455CE0" w:rsidRPr="0074409C" w:rsidRDefault="00455CE0" w:rsidP="00455CE0">
      <w:pPr>
        <w:spacing w:after="120" w:line="240" w:lineRule="auto"/>
        <w:ind w:left="927"/>
        <w:jc w:val="both"/>
        <w:rPr>
          <w:sz w:val="24"/>
          <w:szCs w:val="24"/>
        </w:rPr>
      </w:pPr>
    </w:p>
    <w:p w14:paraId="6E02334C" w14:textId="77777777" w:rsidR="0054413D" w:rsidRPr="00BD2AE4" w:rsidRDefault="0054413D" w:rsidP="0054413D">
      <w:pPr>
        <w:numPr>
          <w:ilvl w:val="0"/>
          <w:numId w:val="29"/>
        </w:numPr>
        <w:spacing w:after="120" w:line="240" w:lineRule="auto"/>
        <w:jc w:val="both"/>
        <w:rPr>
          <w:sz w:val="24"/>
          <w:szCs w:val="24"/>
        </w:rPr>
      </w:pPr>
      <w:r w:rsidRPr="00BD2AE4">
        <w:rPr>
          <w:sz w:val="24"/>
          <w:szCs w:val="24"/>
        </w:rPr>
        <w:t>What are the challenges that inhibit repatriation</w:t>
      </w:r>
      <w:r w:rsidR="0043177D" w:rsidRPr="00BD2AE4">
        <w:rPr>
          <w:sz w:val="24"/>
          <w:szCs w:val="24"/>
        </w:rPr>
        <w:t xml:space="preserve"> of illicit funds to countries of origin</w:t>
      </w:r>
      <w:r w:rsidRPr="00BD2AE4">
        <w:rPr>
          <w:sz w:val="24"/>
          <w:szCs w:val="24"/>
        </w:rPr>
        <w:t>?</w:t>
      </w:r>
    </w:p>
    <w:p w14:paraId="6E02334D" w14:textId="77777777" w:rsidR="004D77F3" w:rsidRPr="004D77F3" w:rsidRDefault="004D77F3" w:rsidP="004D77F3">
      <w:pPr>
        <w:spacing w:after="120" w:line="240" w:lineRule="auto"/>
        <w:ind w:left="927"/>
        <w:jc w:val="both"/>
        <w:rPr>
          <w:b/>
          <w:i/>
          <w:sz w:val="24"/>
          <w:szCs w:val="24"/>
        </w:rPr>
      </w:pPr>
      <w:r w:rsidRPr="004D77F3">
        <w:rPr>
          <w:b/>
          <w:i/>
          <w:sz w:val="24"/>
          <w:szCs w:val="24"/>
        </w:rPr>
        <w:t>(i) In many cases, the procedures for dealing with victims and parties with third party claims do not differentiate between residents and non-residents. Thus the domestic law may specify that a third party with a claim must file that claim in the domestic courts. This can prove challenging where the victim is abroad. (ii)  In several cases there may be co</w:t>
      </w:r>
      <w:r w:rsidR="00455CE0">
        <w:rPr>
          <w:b/>
          <w:i/>
          <w:sz w:val="24"/>
          <w:szCs w:val="24"/>
        </w:rPr>
        <w:t>-</w:t>
      </w:r>
      <w:r w:rsidRPr="004D77F3">
        <w:rPr>
          <w:b/>
          <w:i/>
          <w:sz w:val="24"/>
          <w:szCs w:val="24"/>
        </w:rPr>
        <w:t>mingling of funds to which multiple victims may have a claim. There is no specific mechanism for resolving this issue and for ensuring an equitable distribution among victims.</w:t>
      </w:r>
    </w:p>
    <w:p w14:paraId="6E02334E" w14:textId="77777777" w:rsidR="0054413D" w:rsidRDefault="0054413D" w:rsidP="00550D79">
      <w:pPr>
        <w:numPr>
          <w:ilvl w:val="0"/>
          <w:numId w:val="29"/>
        </w:numPr>
        <w:spacing w:after="120" w:line="240" w:lineRule="auto"/>
        <w:jc w:val="both"/>
        <w:rPr>
          <w:sz w:val="24"/>
          <w:szCs w:val="24"/>
        </w:rPr>
      </w:pPr>
      <w:r w:rsidRPr="0081534E">
        <w:rPr>
          <w:sz w:val="24"/>
          <w:szCs w:val="24"/>
        </w:rPr>
        <w:t>What are the negative impacts of non-repatriation of funds of illicit origin on the enjoyment of human rights? What were the positive impacts in cases in which such funds were returned to the country of origin?</w:t>
      </w:r>
    </w:p>
    <w:p w14:paraId="6E02334F" w14:textId="77777777" w:rsidR="00BD2AE4" w:rsidRPr="00BD2AE4" w:rsidRDefault="00BD2AE4" w:rsidP="00BD2AE4">
      <w:pPr>
        <w:spacing w:after="120" w:line="240" w:lineRule="auto"/>
        <w:ind w:left="927"/>
        <w:jc w:val="both"/>
        <w:rPr>
          <w:b/>
          <w:sz w:val="24"/>
          <w:szCs w:val="24"/>
        </w:rPr>
      </w:pPr>
      <w:r w:rsidRPr="00BD2AE4">
        <w:rPr>
          <w:b/>
          <w:i/>
          <w:sz w:val="24"/>
          <w:szCs w:val="24"/>
        </w:rPr>
        <w:t>The non-repatriation of funds of illicit origin must affect those victims and by extension the economies of</w:t>
      </w:r>
      <w:r w:rsidR="00FC0114">
        <w:rPr>
          <w:b/>
          <w:i/>
          <w:sz w:val="24"/>
          <w:szCs w:val="24"/>
        </w:rPr>
        <w:t xml:space="preserve"> </w:t>
      </w:r>
      <w:r w:rsidRPr="00BD2AE4">
        <w:rPr>
          <w:b/>
          <w:i/>
          <w:sz w:val="24"/>
          <w:szCs w:val="24"/>
        </w:rPr>
        <w:t xml:space="preserve">those victims. In some cases particularly those relating to scamming, the victims are elderly, and often sickly. In such cases, they are easily deprived of a substantial part of their wealth. This leads to economic hardship, depression and </w:t>
      </w:r>
      <w:r>
        <w:rPr>
          <w:b/>
          <w:i/>
          <w:sz w:val="24"/>
          <w:szCs w:val="24"/>
        </w:rPr>
        <w:t>in some extreme cases</w:t>
      </w:r>
      <w:r w:rsidR="00C503CF">
        <w:rPr>
          <w:b/>
          <w:i/>
          <w:sz w:val="24"/>
          <w:szCs w:val="24"/>
        </w:rPr>
        <w:t>,</w:t>
      </w:r>
      <w:r>
        <w:rPr>
          <w:b/>
          <w:i/>
          <w:sz w:val="24"/>
          <w:szCs w:val="24"/>
        </w:rPr>
        <w:t xml:space="preserve"> suicide.</w:t>
      </w:r>
    </w:p>
    <w:p w14:paraId="6E023350" w14:textId="77777777" w:rsidR="00795592" w:rsidRDefault="00795592" w:rsidP="00BD2AE4">
      <w:pPr>
        <w:spacing w:after="120" w:line="240" w:lineRule="auto"/>
        <w:ind w:left="927"/>
        <w:jc w:val="both"/>
        <w:rPr>
          <w:sz w:val="24"/>
          <w:szCs w:val="24"/>
        </w:rPr>
      </w:pPr>
      <w:r w:rsidRPr="0081534E">
        <w:rPr>
          <w:sz w:val="24"/>
          <w:szCs w:val="24"/>
        </w:rPr>
        <w:t>What are the roles of national courts and procedures in establishing the illicit nature of funds required to be restituted?</w:t>
      </w:r>
    </w:p>
    <w:p w14:paraId="6E023351" w14:textId="77777777" w:rsidR="00FE31C5" w:rsidRPr="00FE31C5" w:rsidRDefault="00FE31C5" w:rsidP="00FE31C5">
      <w:pPr>
        <w:spacing w:after="120" w:line="240" w:lineRule="auto"/>
        <w:ind w:left="927"/>
        <w:jc w:val="both"/>
        <w:rPr>
          <w:b/>
          <w:i/>
          <w:sz w:val="24"/>
          <w:szCs w:val="24"/>
        </w:rPr>
      </w:pPr>
      <w:r w:rsidRPr="00FE31C5">
        <w:rPr>
          <w:b/>
          <w:i/>
          <w:sz w:val="24"/>
          <w:szCs w:val="24"/>
        </w:rPr>
        <w:t xml:space="preserve">In most cases, the domestic courts have to address the issue of restitution under specific statues, such as those dealing with lottery scamming or human trafficking. In cases involving proceeds of crime, the judge </w:t>
      </w:r>
      <w:r w:rsidR="00464FE2">
        <w:rPr>
          <w:b/>
          <w:i/>
          <w:sz w:val="24"/>
          <w:szCs w:val="24"/>
        </w:rPr>
        <w:t>h</w:t>
      </w:r>
      <w:r w:rsidRPr="00FE31C5">
        <w:rPr>
          <w:b/>
          <w:i/>
          <w:sz w:val="24"/>
          <w:szCs w:val="24"/>
        </w:rPr>
        <w:t>as to adjudicate on the rights of third parties to the funds adjudged to be proceeds of crime.</w:t>
      </w:r>
    </w:p>
    <w:p w14:paraId="6E023352" w14:textId="77777777" w:rsidR="00550D79" w:rsidRPr="00464FE2" w:rsidRDefault="007B1DC5" w:rsidP="00550D79">
      <w:pPr>
        <w:numPr>
          <w:ilvl w:val="0"/>
          <w:numId w:val="29"/>
        </w:numPr>
        <w:spacing w:after="120" w:line="240" w:lineRule="auto"/>
        <w:jc w:val="both"/>
        <w:rPr>
          <w:sz w:val="24"/>
          <w:szCs w:val="24"/>
        </w:rPr>
      </w:pPr>
      <w:r w:rsidRPr="0081534E">
        <w:rPr>
          <w:sz w:val="24"/>
          <w:szCs w:val="24"/>
        </w:rPr>
        <w:t>From your perspective</w:t>
      </w:r>
      <w:r>
        <w:rPr>
          <w:sz w:val="24"/>
          <w:szCs w:val="24"/>
        </w:rPr>
        <w:t>,</w:t>
      </w:r>
      <w:r w:rsidR="0074409C">
        <w:rPr>
          <w:sz w:val="24"/>
          <w:szCs w:val="24"/>
        </w:rPr>
        <w:t xml:space="preserve"> </w:t>
      </w:r>
      <w:r>
        <w:rPr>
          <w:sz w:val="24"/>
          <w:szCs w:val="24"/>
        </w:rPr>
        <w:t>w</w:t>
      </w:r>
      <w:r w:rsidR="00B1483F" w:rsidRPr="0081534E">
        <w:rPr>
          <w:sz w:val="24"/>
          <w:szCs w:val="24"/>
        </w:rPr>
        <w:t xml:space="preserve">hat is the </w:t>
      </w:r>
      <w:r w:rsidR="0054413D" w:rsidRPr="0081534E">
        <w:rPr>
          <w:sz w:val="24"/>
          <w:szCs w:val="24"/>
        </w:rPr>
        <w:t xml:space="preserve">applicable </w:t>
      </w:r>
      <w:r w:rsidR="00B1483F" w:rsidRPr="0081534E">
        <w:rPr>
          <w:sz w:val="24"/>
          <w:szCs w:val="24"/>
        </w:rPr>
        <w:t>legal framework regarding funds</w:t>
      </w:r>
      <w:r w:rsidR="0043177D" w:rsidRPr="0081534E">
        <w:rPr>
          <w:sz w:val="24"/>
          <w:szCs w:val="24"/>
        </w:rPr>
        <w:t xml:space="preserve"> of illicit </w:t>
      </w:r>
      <w:r w:rsidR="0043177D" w:rsidRPr="00464FE2">
        <w:rPr>
          <w:sz w:val="24"/>
          <w:szCs w:val="24"/>
        </w:rPr>
        <w:t>origin and their re</w:t>
      </w:r>
      <w:r w:rsidR="00B1483F" w:rsidRPr="00464FE2">
        <w:rPr>
          <w:sz w:val="24"/>
          <w:szCs w:val="24"/>
        </w:rPr>
        <w:t xml:space="preserve">patriation, in terms of domestic law and </w:t>
      </w:r>
      <w:r w:rsidR="0054413D" w:rsidRPr="00464FE2">
        <w:rPr>
          <w:sz w:val="24"/>
          <w:szCs w:val="24"/>
        </w:rPr>
        <w:t xml:space="preserve">international </w:t>
      </w:r>
      <w:r w:rsidR="00B1483F" w:rsidRPr="00464FE2">
        <w:rPr>
          <w:sz w:val="24"/>
          <w:szCs w:val="24"/>
        </w:rPr>
        <w:t>treaties?</w:t>
      </w:r>
    </w:p>
    <w:p w14:paraId="6E023353" w14:textId="77777777" w:rsidR="009F2F65" w:rsidRDefault="00502FA6" w:rsidP="009F2F65">
      <w:pPr>
        <w:spacing w:after="120" w:line="240" w:lineRule="auto"/>
        <w:ind w:left="927"/>
        <w:jc w:val="both"/>
        <w:rPr>
          <w:b/>
          <w:i/>
          <w:sz w:val="24"/>
          <w:szCs w:val="24"/>
        </w:rPr>
      </w:pPr>
      <w:r w:rsidRPr="00464FE2">
        <w:rPr>
          <w:b/>
          <w:i/>
          <w:sz w:val="24"/>
          <w:szCs w:val="24"/>
        </w:rPr>
        <w:t>The framework includes specific statutes that govern restitution, proceeds of crimes legislation, as well as Mutual Legal Assistance (Criminal Matters) Legislation, where one country assists another to access assets or funds situated in the former that are the subject of confiscation orders issued in the second country.</w:t>
      </w:r>
      <w:r w:rsidR="00FC0114">
        <w:rPr>
          <w:b/>
          <w:i/>
          <w:sz w:val="24"/>
          <w:szCs w:val="24"/>
        </w:rPr>
        <w:t xml:space="preserve"> </w:t>
      </w:r>
      <w:r w:rsidR="009F2F65">
        <w:rPr>
          <w:b/>
          <w:i/>
          <w:sz w:val="24"/>
          <w:szCs w:val="24"/>
        </w:rPr>
        <w:t>For the purposes of this Act the relevant treaties are:</w:t>
      </w:r>
    </w:p>
    <w:p w14:paraId="6E023354"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The Convention on the Prevention and Punishment of Crimes Against Internationally Protected Persons, including Diplomatic Agents, adopted by the General Assembly of the United Nations on December 14, 1973. </w:t>
      </w:r>
    </w:p>
    <w:p w14:paraId="6E023355"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The International Convention Against the Taking of Hostages, adopted by the General Assembly of the United Nations on December 17,1979. </w:t>
      </w:r>
    </w:p>
    <w:p w14:paraId="6E023356"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 The International Conve</w:t>
      </w:r>
      <w:r w:rsidR="00C503CF">
        <w:rPr>
          <w:b/>
          <w:i/>
          <w:sz w:val="24"/>
          <w:szCs w:val="24"/>
        </w:rPr>
        <w:t>ntion for the Suppression of Terro</w:t>
      </w:r>
      <w:r w:rsidRPr="009F2F65">
        <w:rPr>
          <w:b/>
          <w:i/>
          <w:sz w:val="24"/>
          <w:szCs w:val="24"/>
        </w:rPr>
        <w:t xml:space="preserve">rist Financing, adopted by the General Assembly of the United Nations on December 9, 1999. </w:t>
      </w:r>
    </w:p>
    <w:p w14:paraId="6E023357"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 The Convention on the Physical Protection of Nuclear Material, adopted at Vienna on October 26,1979. </w:t>
      </w:r>
    </w:p>
    <w:p w14:paraId="6E023358"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 The Convention for the Suppression of Unlawful Acts Against the Safety of Maritime Navigation and the Protocol for the Suppression of Unlawful Acts Against the Safety of Fixed Platforms Located on the Continental Shelf, done at Rome on March 10,1988. </w:t>
      </w:r>
    </w:p>
    <w:p w14:paraId="6E023359"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The International Convention for the Suppression of Terrorist Bombings, adopted by the General Assembly of the United Nations on December 15,1997. </w:t>
      </w:r>
    </w:p>
    <w:p w14:paraId="6E02335A" w14:textId="77777777" w:rsid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 The Convention for the Suppression of Unlawful Seizure of Aircraft, signed at the Hague on December 16, 1970. </w:t>
      </w:r>
    </w:p>
    <w:p w14:paraId="6E02335B" w14:textId="77777777" w:rsidR="009F2F65" w:rsidRPr="009F2F65" w:rsidRDefault="009F2F65" w:rsidP="009F2F65">
      <w:pPr>
        <w:pStyle w:val="ListParagraph"/>
        <w:numPr>
          <w:ilvl w:val="0"/>
          <w:numId w:val="34"/>
        </w:numPr>
        <w:spacing w:after="120" w:line="240" w:lineRule="auto"/>
        <w:jc w:val="both"/>
        <w:rPr>
          <w:b/>
          <w:i/>
          <w:sz w:val="24"/>
          <w:szCs w:val="24"/>
        </w:rPr>
      </w:pPr>
      <w:r w:rsidRPr="009F2F65">
        <w:rPr>
          <w:b/>
          <w:i/>
          <w:sz w:val="24"/>
          <w:szCs w:val="24"/>
        </w:rPr>
        <w:t xml:space="preserve"> The Convention for the Suppression of Unlawful Acts against the Safety of Civil Aviation, signed at Montreal on September 23, 1971, and the Protocol to that Convention, done at Montreal on February 24,1988</w:t>
      </w:r>
    </w:p>
    <w:p w14:paraId="6E02335C" w14:textId="77777777" w:rsidR="009F2F65" w:rsidRDefault="00C503CF" w:rsidP="009F2F65">
      <w:pPr>
        <w:spacing w:after="120" w:line="240" w:lineRule="auto"/>
        <w:ind w:left="927"/>
        <w:jc w:val="both"/>
        <w:rPr>
          <w:b/>
          <w:i/>
          <w:sz w:val="24"/>
          <w:szCs w:val="24"/>
        </w:rPr>
      </w:pPr>
      <w:r>
        <w:rPr>
          <w:b/>
          <w:i/>
          <w:sz w:val="24"/>
          <w:szCs w:val="24"/>
        </w:rPr>
        <w:t>Jamaica is also signatory to a number of bilateral asset</w:t>
      </w:r>
      <w:r w:rsidR="00FC0114">
        <w:rPr>
          <w:b/>
          <w:i/>
          <w:sz w:val="24"/>
          <w:szCs w:val="24"/>
        </w:rPr>
        <w:t>-</w:t>
      </w:r>
      <w:r>
        <w:rPr>
          <w:b/>
          <w:i/>
          <w:sz w:val="24"/>
          <w:szCs w:val="24"/>
        </w:rPr>
        <w:t>sharing agreements and protocols with the USA, Canada and the United Kingdom.</w:t>
      </w:r>
    </w:p>
    <w:p w14:paraId="6E02335D" w14:textId="77777777" w:rsidR="0074409C" w:rsidRDefault="00B1483F" w:rsidP="009F2F65">
      <w:pPr>
        <w:spacing w:after="120" w:line="240" w:lineRule="auto"/>
        <w:ind w:left="927"/>
        <w:jc w:val="both"/>
        <w:rPr>
          <w:sz w:val="24"/>
          <w:szCs w:val="24"/>
        </w:rPr>
      </w:pPr>
      <w:r w:rsidRPr="00464FE2">
        <w:rPr>
          <w:sz w:val="24"/>
          <w:szCs w:val="24"/>
        </w:rPr>
        <w:t xml:space="preserve">Can you provide examples of best practices </w:t>
      </w:r>
      <w:r w:rsidR="000217C7" w:rsidRPr="00464FE2">
        <w:rPr>
          <w:sz w:val="24"/>
          <w:szCs w:val="24"/>
        </w:rPr>
        <w:t xml:space="preserve">or recommendations </w:t>
      </w:r>
      <w:r w:rsidRPr="00464FE2">
        <w:rPr>
          <w:sz w:val="24"/>
          <w:szCs w:val="24"/>
        </w:rPr>
        <w:t xml:space="preserve">for </w:t>
      </w:r>
      <w:r w:rsidR="000217C7" w:rsidRPr="00464FE2">
        <w:rPr>
          <w:sz w:val="24"/>
          <w:szCs w:val="24"/>
        </w:rPr>
        <w:t xml:space="preserve">the successful return of </w:t>
      </w:r>
      <w:r w:rsidRPr="00464FE2">
        <w:rPr>
          <w:sz w:val="24"/>
          <w:szCs w:val="24"/>
        </w:rPr>
        <w:t>funds of illicit origin?</w:t>
      </w:r>
    </w:p>
    <w:p w14:paraId="6E02335E" w14:textId="77777777" w:rsidR="00B1483F" w:rsidRPr="00464FE2" w:rsidRDefault="00502FA6" w:rsidP="009F2F65">
      <w:pPr>
        <w:spacing w:after="120" w:line="240" w:lineRule="auto"/>
        <w:ind w:left="927"/>
        <w:jc w:val="both"/>
        <w:rPr>
          <w:b/>
          <w:i/>
          <w:sz w:val="24"/>
          <w:szCs w:val="24"/>
        </w:rPr>
      </w:pPr>
      <w:r w:rsidRPr="00464FE2">
        <w:rPr>
          <w:b/>
          <w:i/>
          <w:sz w:val="24"/>
          <w:szCs w:val="24"/>
        </w:rPr>
        <w:t>To best facilitate the return of assets the requesting country must provide</w:t>
      </w:r>
      <w:r w:rsidR="00FC0114">
        <w:rPr>
          <w:b/>
          <w:i/>
          <w:sz w:val="24"/>
          <w:szCs w:val="24"/>
        </w:rPr>
        <w:t xml:space="preserve"> </w:t>
      </w:r>
      <w:r w:rsidR="00464FE2">
        <w:rPr>
          <w:b/>
          <w:i/>
          <w:sz w:val="24"/>
          <w:szCs w:val="24"/>
        </w:rPr>
        <w:t>compelling</w:t>
      </w:r>
      <w:r w:rsidR="00170836" w:rsidRPr="00464FE2">
        <w:rPr>
          <w:b/>
          <w:i/>
          <w:sz w:val="24"/>
          <w:szCs w:val="24"/>
        </w:rPr>
        <w:t xml:space="preserve"> evidence that establishes a person</w:t>
      </w:r>
      <w:r w:rsidR="00FC0114">
        <w:rPr>
          <w:b/>
          <w:i/>
          <w:sz w:val="24"/>
          <w:szCs w:val="24"/>
        </w:rPr>
        <w:t>’s</w:t>
      </w:r>
      <w:r w:rsidR="00170836" w:rsidRPr="00464FE2">
        <w:rPr>
          <w:b/>
          <w:i/>
          <w:sz w:val="24"/>
          <w:szCs w:val="24"/>
        </w:rPr>
        <w:t xml:space="preserve"> or jurisdiction’s right to such property in order for the appropriate court orders to be made.</w:t>
      </w:r>
    </w:p>
    <w:p w14:paraId="6E02335F" w14:textId="77777777" w:rsidR="000217C7" w:rsidRDefault="000217C7" w:rsidP="00550D79">
      <w:pPr>
        <w:numPr>
          <w:ilvl w:val="0"/>
          <w:numId w:val="29"/>
        </w:numPr>
        <w:spacing w:after="120" w:line="240" w:lineRule="auto"/>
        <w:jc w:val="both"/>
        <w:rPr>
          <w:sz w:val="24"/>
          <w:szCs w:val="24"/>
        </w:rPr>
      </w:pPr>
      <w:r w:rsidRPr="0081534E">
        <w:rPr>
          <w:sz w:val="24"/>
          <w:szCs w:val="24"/>
        </w:rPr>
        <w:t xml:space="preserve">How can States, the </w:t>
      </w:r>
      <w:r w:rsidR="000B4F13" w:rsidRPr="0081534E">
        <w:rPr>
          <w:sz w:val="24"/>
          <w:szCs w:val="24"/>
        </w:rPr>
        <w:t>United Nations</w:t>
      </w:r>
      <w:r w:rsidRPr="0081534E">
        <w:rPr>
          <w:sz w:val="24"/>
          <w:szCs w:val="24"/>
        </w:rPr>
        <w:t xml:space="preserve">, </w:t>
      </w:r>
      <w:r w:rsidR="00D61926">
        <w:rPr>
          <w:sz w:val="24"/>
          <w:szCs w:val="24"/>
        </w:rPr>
        <w:t>non-governmental organizations, national human rights institutions</w:t>
      </w:r>
      <w:r w:rsidRPr="0081534E">
        <w:rPr>
          <w:sz w:val="24"/>
          <w:szCs w:val="24"/>
        </w:rPr>
        <w:t xml:space="preserve">, </w:t>
      </w:r>
      <w:r w:rsidR="00AB2EE6" w:rsidRPr="0081534E">
        <w:rPr>
          <w:sz w:val="24"/>
          <w:szCs w:val="24"/>
        </w:rPr>
        <w:t xml:space="preserve">and </w:t>
      </w:r>
      <w:r w:rsidRPr="0081534E">
        <w:rPr>
          <w:sz w:val="24"/>
          <w:szCs w:val="24"/>
        </w:rPr>
        <w:t xml:space="preserve">financial institutions contribute to </w:t>
      </w:r>
      <w:r w:rsidR="0054413D" w:rsidRPr="0081534E">
        <w:rPr>
          <w:sz w:val="24"/>
          <w:szCs w:val="24"/>
        </w:rPr>
        <w:t>the successful return of funds of illicit origin</w:t>
      </w:r>
      <w:r w:rsidR="0043177D" w:rsidRPr="0081534E">
        <w:rPr>
          <w:sz w:val="24"/>
          <w:szCs w:val="24"/>
        </w:rPr>
        <w:t xml:space="preserve"> to their countries of origin</w:t>
      </w:r>
      <w:r w:rsidRPr="0081534E">
        <w:rPr>
          <w:sz w:val="24"/>
          <w:szCs w:val="24"/>
        </w:rPr>
        <w:t>?</w:t>
      </w:r>
    </w:p>
    <w:p w14:paraId="6E023360" w14:textId="77777777" w:rsidR="00CD14F6" w:rsidRPr="00CD14F6" w:rsidRDefault="00E45843" w:rsidP="00FC0114">
      <w:pPr>
        <w:spacing w:after="120" w:line="240" w:lineRule="auto"/>
        <w:ind w:left="927"/>
        <w:jc w:val="both"/>
        <w:rPr>
          <w:b/>
          <w:i/>
          <w:sz w:val="24"/>
          <w:szCs w:val="24"/>
        </w:rPr>
      </w:pPr>
      <w:r w:rsidRPr="00E45843">
        <w:rPr>
          <w:b/>
          <w:i/>
          <w:sz w:val="24"/>
          <w:szCs w:val="24"/>
        </w:rPr>
        <w:t>The successful return of funds depends on the ability of law enforcement authorities to successfully prosecute transnational crime. Without this foundation, the</w:t>
      </w:r>
      <w:r>
        <w:rPr>
          <w:b/>
          <w:i/>
          <w:sz w:val="24"/>
          <w:szCs w:val="24"/>
        </w:rPr>
        <w:t xml:space="preserve"> issue of return of funds will falter. Key to this is the arrangements for international cooperation particularly as regards the provision of evidence including the attendances of witnesses </w:t>
      </w:r>
      <w:r w:rsidR="00C503CF">
        <w:rPr>
          <w:b/>
          <w:i/>
          <w:sz w:val="24"/>
          <w:szCs w:val="24"/>
        </w:rPr>
        <w:t xml:space="preserve">from abroad </w:t>
      </w:r>
      <w:r>
        <w:rPr>
          <w:b/>
          <w:i/>
          <w:sz w:val="24"/>
          <w:szCs w:val="24"/>
        </w:rPr>
        <w:t>to properly prosecute the case</w:t>
      </w:r>
      <w:r w:rsidR="00C503CF">
        <w:rPr>
          <w:b/>
          <w:i/>
          <w:sz w:val="24"/>
          <w:szCs w:val="24"/>
        </w:rPr>
        <w:t xml:space="preserve"> Special measures such as the taking of evidence by video-conference should be instituted as international best practice to ensure that such facilities are available globally</w:t>
      </w:r>
      <w:r>
        <w:rPr>
          <w:b/>
          <w:i/>
          <w:sz w:val="24"/>
          <w:szCs w:val="24"/>
        </w:rPr>
        <w:t xml:space="preserve">. The issue of returning the funds to victims is not difficult </w:t>
      </w:r>
      <w:r w:rsidR="00C503CF">
        <w:rPr>
          <w:b/>
          <w:i/>
          <w:sz w:val="24"/>
          <w:szCs w:val="24"/>
        </w:rPr>
        <w:t xml:space="preserve">in simple cases </w:t>
      </w:r>
      <w:r>
        <w:rPr>
          <w:b/>
          <w:i/>
          <w:sz w:val="24"/>
          <w:szCs w:val="24"/>
        </w:rPr>
        <w:t>once the court is aware of the claim of these parties.</w:t>
      </w:r>
      <w:r w:rsidR="00C503CF">
        <w:rPr>
          <w:b/>
          <w:i/>
          <w:sz w:val="24"/>
          <w:szCs w:val="24"/>
        </w:rPr>
        <w:t xml:space="preserve"> More difficult cases can arise when there are multiple victims and the funds that are recovered cannot meet the claims of all victims. In such cases there is the need for a universally accepted formulae or procedure that will achieve equity in such cases</w:t>
      </w:r>
      <w:r w:rsidR="00FC0114">
        <w:rPr>
          <w:b/>
          <w:i/>
          <w:sz w:val="24"/>
          <w:szCs w:val="24"/>
        </w:rPr>
        <w:t>.</w:t>
      </w:r>
    </w:p>
    <w:p w14:paraId="6E023361" w14:textId="77777777" w:rsidR="000217C7" w:rsidRPr="0081534E" w:rsidRDefault="000217C7" w:rsidP="00CD14F6">
      <w:pPr>
        <w:numPr>
          <w:ilvl w:val="0"/>
          <w:numId w:val="29"/>
        </w:numPr>
        <w:spacing w:after="120" w:line="240" w:lineRule="auto"/>
        <w:jc w:val="both"/>
        <w:rPr>
          <w:sz w:val="24"/>
          <w:szCs w:val="24"/>
        </w:rPr>
      </w:pPr>
      <w:r w:rsidRPr="0081534E">
        <w:rPr>
          <w:sz w:val="24"/>
          <w:szCs w:val="24"/>
        </w:rPr>
        <w:t>Would you be in favour or against the following points related to off-shore companies?</w:t>
      </w:r>
    </w:p>
    <w:p w14:paraId="6E023362" w14:textId="77777777" w:rsidR="00686EB4" w:rsidRDefault="000217C7" w:rsidP="000217C7">
      <w:pPr>
        <w:numPr>
          <w:ilvl w:val="0"/>
          <w:numId w:val="32"/>
        </w:numPr>
        <w:spacing w:after="120" w:line="240" w:lineRule="auto"/>
        <w:jc w:val="both"/>
        <w:rPr>
          <w:sz w:val="24"/>
          <w:szCs w:val="24"/>
        </w:rPr>
      </w:pPr>
      <w:r w:rsidRPr="00686EB4">
        <w:rPr>
          <w:sz w:val="24"/>
          <w:szCs w:val="24"/>
        </w:rPr>
        <w:t>A</w:t>
      </w:r>
      <w:r w:rsidR="0043177D" w:rsidRPr="00686EB4">
        <w:rPr>
          <w:sz w:val="24"/>
          <w:szCs w:val="24"/>
        </w:rPr>
        <w:t xml:space="preserve"> publicly available </w:t>
      </w:r>
      <w:r w:rsidRPr="00686EB4">
        <w:rPr>
          <w:sz w:val="24"/>
          <w:szCs w:val="24"/>
        </w:rPr>
        <w:t>international register of offshore companies.</w:t>
      </w:r>
    </w:p>
    <w:p w14:paraId="6E023363" w14:textId="77777777" w:rsidR="00686EB4" w:rsidRPr="0045687A" w:rsidRDefault="00E357F3" w:rsidP="00686EB4">
      <w:pPr>
        <w:spacing w:after="120" w:line="240" w:lineRule="auto"/>
        <w:ind w:left="1287"/>
        <w:jc w:val="both"/>
        <w:rPr>
          <w:b/>
          <w:i/>
          <w:sz w:val="24"/>
          <w:szCs w:val="24"/>
        </w:rPr>
      </w:pPr>
      <w:r w:rsidRPr="0045687A">
        <w:rPr>
          <w:b/>
          <w:i/>
          <w:sz w:val="24"/>
          <w:szCs w:val="24"/>
        </w:rPr>
        <w:t>This matter would require further study as t</w:t>
      </w:r>
      <w:r w:rsidR="00304778" w:rsidRPr="0045687A">
        <w:rPr>
          <w:b/>
          <w:i/>
          <w:sz w:val="24"/>
          <w:szCs w:val="24"/>
        </w:rPr>
        <w:t>he value of the registry would be dependent on the nature of the information to be captured in such a registry and the obligations for such information to be maintained in an up-to-date manner.</w:t>
      </w:r>
      <w:r w:rsidR="00FC0114">
        <w:rPr>
          <w:b/>
          <w:i/>
          <w:sz w:val="24"/>
          <w:szCs w:val="24"/>
        </w:rPr>
        <w:t xml:space="preserve"> </w:t>
      </w:r>
      <w:r w:rsidR="00C503CF">
        <w:rPr>
          <w:b/>
          <w:i/>
          <w:sz w:val="24"/>
          <w:szCs w:val="24"/>
        </w:rPr>
        <w:t>For such a registry to be valuable in the case of retuning funds to other countries, such registers may have to record the assets of the relevant entity.</w:t>
      </w:r>
    </w:p>
    <w:p w14:paraId="6E023364" w14:textId="77777777" w:rsidR="0074409C" w:rsidRDefault="002D388F" w:rsidP="00304778">
      <w:pPr>
        <w:numPr>
          <w:ilvl w:val="0"/>
          <w:numId w:val="32"/>
        </w:numPr>
        <w:spacing w:after="120" w:line="240" w:lineRule="auto"/>
        <w:jc w:val="both"/>
        <w:rPr>
          <w:sz w:val="24"/>
          <w:szCs w:val="24"/>
        </w:rPr>
      </w:pPr>
      <w:r w:rsidRPr="00FC0114">
        <w:rPr>
          <w:sz w:val="24"/>
          <w:szCs w:val="24"/>
        </w:rPr>
        <w:t>Prohibition of anonymous shares in limited liability companies (L</w:t>
      </w:r>
      <w:r w:rsidR="00EC52F4" w:rsidRPr="00FC0114">
        <w:rPr>
          <w:sz w:val="24"/>
          <w:szCs w:val="24"/>
        </w:rPr>
        <w:t>LC</w:t>
      </w:r>
      <w:r w:rsidRPr="00FC0114">
        <w:rPr>
          <w:sz w:val="24"/>
          <w:szCs w:val="24"/>
        </w:rPr>
        <w:t>s).</w:t>
      </w:r>
      <w:r w:rsidR="007342FC">
        <w:rPr>
          <w:sz w:val="24"/>
          <w:szCs w:val="24"/>
        </w:rPr>
        <w:t xml:space="preserve"> </w:t>
      </w:r>
    </w:p>
    <w:p w14:paraId="6E023365" w14:textId="77777777" w:rsidR="000217C7" w:rsidRPr="00FC0114" w:rsidRDefault="00A51657" w:rsidP="0074409C">
      <w:pPr>
        <w:spacing w:after="120" w:line="240" w:lineRule="auto"/>
        <w:ind w:left="1287"/>
        <w:jc w:val="both"/>
        <w:rPr>
          <w:sz w:val="24"/>
          <w:szCs w:val="24"/>
        </w:rPr>
      </w:pPr>
      <w:r w:rsidRPr="00FC0114">
        <w:rPr>
          <w:b/>
          <w:i/>
          <w:sz w:val="24"/>
          <w:szCs w:val="24"/>
        </w:rPr>
        <w:t xml:space="preserve">Jamaica </w:t>
      </w:r>
      <w:r w:rsidR="00C503CF" w:rsidRPr="00FC0114">
        <w:rPr>
          <w:b/>
          <w:i/>
          <w:sz w:val="24"/>
          <w:szCs w:val="24"/>
        </w:rPr>
        <w:t>support</w:t>
      </w:r>
      <w:r w:rsidR="007342FC">
        <w:rPr>
          <w:b/>
          <w:i/>
          <w:sz w:val="24"/>
          <w:szCs w:val="24"/>
        </w:rPr>
        <w:t>s</w:t>
      </w:r>
      <w:r w:rsidR="00C503CF" w:rsidRPr="00FC0114">
        <w:rPr>
          <w:b/>
          <w:i/>
          <w:sz w:val="24"/>
          <w:szCs w:val="24"/>
        </w:rPr>
        <w:t xml:space="preserve"> this and notes that the International Standards for Anti Money Laundering and Countering the Financing of Terrorism already prohibit this</w:t>
      </w:r>
      <w:r w:rsidR="0045687A" w:rsidRPr="00FC0114">
        <w:rPr>
          <w:b/>
          <w:i/>
          <w:sz w:val="24"/>
          <w:szCs w:val="24"/>
        </w:rPr>
        <w:t>.</w:t>
      </w:r>
    </w:p>
    <w:p w14:paraId="6E023366" w14:textId="77777777" w:rsidR="0074409C" w:rsidRPr="0074409C" w:rsidRDefault="000217C7" w:rsidP="000217C7">
      <w:pPr>
        <w:numPr>
          <w:ilvl w:val="0"/>
          <w:numId w:val="32"/>
        </w:numPr>
        <w:spacing w:after="120" w:line="240" w:lineRule="auto"/>
        <w:jc w:val="both"/>
        <w:rPr>
          <w:sz w:val="24"/>
          <w:szCs w:val="24"/>
        </w:rPr>
      </w:pPr>
      <w:r w:rsidRPr="0081534E">
        <w:rPr>
          <w:sz w:val="24"/>
          <w:szCs w:val="24"/>
        </w:rPr>
        <w:t xml:space="preserve">Making the ultimate beneficiary nominee </w:t>
      </w:r>
      <w:r w:rsidR="008661D7" w:rsidRPr="0081534E">
        <w:rPr>
          <w:sz w:val="24"/>
          <w:szCs w:val="24"/>
        </w:rPr>
        <w:t xml:space="preserve">of shares </w:t>
      </w:r>
      <w:r w:rsidRPr="0081534E">
        <w:rPr>
          <w:sz w:val="24"/>
          <w:szCs w:val="24"/>
        </w:rPr>
        <w:t>publicly known</w:t>
      </w:r>
      <w:r w:rsidR="002D388F" w:rsidRPr="0081534E">
        <w:rPr>
          <w:sz w:val="24"/>
          <w:szCs w:val="24"/>
        </w:rPr>
        <w:t xml:space="preserve"> to avoid tax evasion</w:t>
      </w:r>
      <w:r w:rsidR="002D388F" w:rsidRPr="00E357F3">
        <w:rPr>
          <w:b/>
          <w:i/>
          <w:sz w:val="24"/>
          <w:szCs w:val="24"/>
        </w:rPr>
        <w:t>.</w:t>
      </w:r>
    </w:p>
    <w:p w14:paraId="6E023367" w14:textId="77777777" w:rsidR="000217C7" w:rsidRPr="0081534E" w:rsidRDefault="007342FC" w:rsidP="0074409C">
      <w:pPr>
        <w:spacing w:after="120" w:line="240" w:lineRule="auto"/>
        <w:ind w:left="1287"/>
        <w:jc w:val="both"/>
        <w:rPr>
          <w:sz w:val="24"/>
          <w:szCs w:val="24"/>
        </w:rPr>
      </w:pPr>
      <w:r>
        <w:rPr>
          <w:b/>
          <w:i/>
          <w:sz w:val="24"/>
          <w:szCs w:val="24"/>
        </w:rPr>
        <w:t xml:space="preserve"> </w:t>
      </w:r>
      <w:r w:rsidR="00E357F3" w:rsidRPr="00E357F3">
        <w:rPr>
          <w:b/>
          <w:i/>
          <w:sz w:val="24"/>
          <w:szCs w:val="24"/>
        </w:rPr>
        <w:t>Jamaica is in support of this, in principle, but we note that t</w:t>
      </w:r>
      <w:r w:rsidR="005942D2" w:rsidRPr="00E357F3">
        <w:rPr>
          <w:b/>
          <w:i/>
          <w:sz w:val="24"/>
          <w:szCs w:val="24"/>
        </w:rPr>
        <w:t>his would be difficult to administer and to verify.</w:t>
      </w:r>
    </w:p>
    <w:p w14:paraId="6E023368" w14:textId="77777777" w:rsidR="00935D0C" w:rsidRPr="0081534E" w:rsidRDefault="00935D0C" w:rsidP="00935D0C">
      <w:pPr>
        <w:spacing w:after="120" w:line="240" w:lineRule="auto"/>
        <w:ind w:left="720"/>
        <w:jc w:val="both"/>
        <w:rPr>
          <w:rFonts w:eastAsia="Calibri"/>
          <w:sz w:val="24"/>
          <w:szCs w:val="24"/>
        </w:rPr>
      </w:pPr>
    </w:p>
    <w:p w14:paraId="6E023369" w14:textId="77777777" w:rsidR="0045687A" w:rsidRDefault="0045687A" w:rsidP="0045687A">
      <w:pPr>
        <w:rPr>
          <w:rFonts w:eastAsia="Calibri"/>
          <w:sz w:val="24"/>
          <w:szCs w:val="24"/>
        </w:rPr>
      </w:pPr>
    </w:p>
    <w:p w14:paraId="6E02336A" w14:textId="77777777" w:rsidR="00050AA1" w:rsidRPr="0045687A" w:rsidRDefault="0045687A" w:rsidP="0045687A">
      <w:pPr>
        <w:tabs>
          <w:tab w:val="left" w:pos="870"/>
        </w:tabs>
        <w:rPr>
          <w:rFonts w:eastAsia="Calibri"/>
          <w:b/>
          <w:i/>
          <w:sz w:val="24"/>
          <w:szCs w:val="24"/>
        </w:rPr>
      </w:pPr>
      <w:r w:rsidRPr="0045687A">
        <w:rPr>
          <w:rFonts w:eastAsia="Calibri"/>
          <w:b/>
          <w:i/>
          <w:sz w:val="24"/>
          <w:szCs w:val="24"/>
        </w:rPr>
        <w:t xml:space="preserve">Government of Jamaica </w:t>
      </w:r>
    </w:p>
    <w:p w14:paraId="6E02336B" w14:textId="77777777" w:rsidR="0045687A" w:rsidRPr="0045687A" w:rsidRDefault="0045687A" w:rsidP="0045687A">
      <w:pPr>
        <w:tabs>
          <w:tab w:val="left" w:pos="870"/>
        </w:tabs>
        <w:rPr>
          <w:rFonts w:eastAsia="Calibri"/>
          <w:b/>
          <w:i/>
          <w:sz w:val="24"/>
          <w:szCs w:val="24"/>
        </w:rPr>
      </w:pPr>
      <w:r w:rsidRPr="0045687A">
        <w:rPr>
          <w:rFonts w:eastAsia="Calibri"/>
          <w:b/>
          <w:i/>
          <w:sz w:val="24"/>
          <w:szCs w:val="24"/>
        </w:rPr>
        <w:t>December 2016</w:t>
      </w:r>
    </w:p>
    <w:sectPr w:rsidR="0045687A" w:rsidRPr="0045687A" w:rsidSect="00130E5F">
      <w:headerReference w:type="default" r:id="rId13"/>
      <w:footerReference w:type="default" r:id="rId14"/>
      <w:endnotePr>
        <w:numFmt w:val="decimal"/>
      </w:endnotePr>
      <w:pgSz w:w="11907" w:h="16840" w:code="9"/>
      <w:pgMar w:top="1418" w:right="1134" w:bottom="1134" w:left="1134" w:header="709"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2336F" w14:textId="77777777" w:rsidR="00B67AAF" w:rsidRDefault="00B67AAF"/>
  </w:endnote>
  <w:endnote w:type="continuationSeparator" w:id="0">
    <w:p w14:paraId="6E023370" w14:textId="77777777" w:rsidR="00B67AAF" w:rsidRDefault="00B67AAF"/>
  </w:endnote>
  <w:endnote w:type="continuationNotice" w:id="1">
    <w:p w14:paraId="6E023371" w14:textId="77777777" w:rsidR="00B67AAF" w:rsidRDefault="00B6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3373" w14:textId="40AAADFD" w:rsidR="00A87045" w:rsidRDefault="00056EB7">
    <w:pPr>
      <w:pStyle w:val="Footer"/>
      <w:jc w:val="center"/>
    </w:pPr>
    <w:r>
      <w:fldChar w:fldCharType="begin"/>
    </w:r>
    <w:r w:rsidR="00210D53">
      <w:instrText xml:space="preserve"> PAGE   \* MERGEFORMAT </w:instrText>
    </w:r>
    <w:r>
      <w:fldChar w:fldCharType="separate"/>
    </w:r>
    <w:r w:rsidR="005722CE">
      <w:rPr>
        <w:noProof/>
      </w:rPr>
      <w:t>1</w:t>
    </w:r>
    <w:r>
      <w:rPr>
        <w:noProof/>
      </w:rPr>
      <w:fldChar w:fldCharType="end"/>
    </w:r>
  </w:p>
  <w:p w14:paraId="6E023374" w14:textId="77777777" w:rsidR="00A87045" w:rsidRDefault="00A8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336C" w14:textId="77777777" w:rsidR="00B67AAF" w:rsidRPr="000B175B" w:rsidRDefault="00B67AAF" w:rsidP="000B175B">
      <w:pPr>
        <w:tabs>
          <w:tab w:val="right" w:pos="2155"/>
        </w:tabs>
        <w:spacing w:after="80"/>
        <w:ind w:left="680"/>
        <w:rPr>
          <w:u w:val="single"/>
        </w:rPr>
      </w:pPr>
      <w:r>
        <w:rPr>
          <w:u w:val="single"/>
        </w:rPr>
        <w:tab/>
      </w:r>
    </w:p>
  </w:footnote>
  <w:footnote w:type="continuationSeparator" w:id="0">
    <w:p w14:paraId="6E02336D" w14:textId="77777777" w:rsidR="00B67AAF" w:rsidRPr="00FC68B7" w:rsidRDefault="00B67AAF" w:rsidP="00FC68B7">
      <w:pPr>
        <w:tabs>
          <w:tab w:val="left" w:pos="2155"/>
        </w:tabs>
        <w:spacing w:after="80"/>
        <w:ind w:left="680"/>
        <w:rPr>
          <w:u w:val="single"/>
        </w:rPr>
      </w:pPr>
      <w:r>
        <w:rPr>
          <w:u w:val="single"/>
        </w:rPr>
        <w:tab/>
      </w:r>
    </w:p>
  </w:footnote>
  <w:footnote w:type="continuationNotice" w:id="1">
    <w:p w14:paraId="6E02336E" w14:textId="77777777" w:rsidR="00B67AAF" w:rsidRDefault="00B67AAF"/>
  </w:footnote>
  <w:footnote w:id="2">
    <w:p w14:paraId="6E023375" w14:textId="77777777" w:rsidR="00A87045" w:rsidRPr="000F6940" w:rsidRDefault="00A87045" w:rsidP="002D735C">
      <w:pPr>
        <w:pStyle w:val="FootnoteText"/>
      </w:pPr>
      <w:r w:rsidRPr="000F6940">
        <w:rPr>
          <w:rStyle w:val="FootnoteReference"/>
        </w:rPr>
        <w:footnoteRef/>
      </w:r>
      <w:r w:rsidRPr="000F6940">
        <w:t xml:space="preserve"> A/HRC/AC/1</w:t>
      </w:r>
      <w:r>
        <w:t>7</w:t>
      </w:r>
      <w:r w:rsidRPr="000F6940">
        <w:t xml:space="preserve">/L.3, </w:t>
      </w:r>
      <w:r>
        <w:t xml:space="preserve">12August </w:t>
      </w:r>
      <w:r w:rsidRPr="000F6940">
        <w:t>201</w:t>
      </w:r>
      <w:r>
        <w:t>6</w:t>
      </w:r>
      <w:r w:rsidRPr="000F694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3372" w14:textId="77777777" w:rsidR="00A87045" w:rsidRPr="008F00BB" w:rsidRDefault="00A87045" w:rsidP="0070595A">
    <w:pPr>
      <w:pStyle w:val="Header"/>
      <w:pBdr>
        <w:bottom w:val="none" w:sz="0" w:space="0" w:color="auto"/>
      </w:pBdr>
      <w:jc w:val="center"/>
      <w:rPr>
        <w:sz w:val="24"/>
        <w:szCs w:val="24"/>
        <w:lang w:val="fr-CH"/>
      </w:rPr>
    </w:pPr>
    <w:r>
      <w:rPr>
        <w:sz w:val="24"/>
        <w:szCs w:val="24"/>
        <w:lang w:val="fr-CH"/>
      </w:rPr>
      <w:t>HumanRights Council AdvisoryCommittee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00FBD"/>
    <w:multiLevelType w:val="hybridMultilevel"/>
    <w:tmpl w:val="7240A1E8"/>
    <w:lvl w:ilvl="0" w:tplc="D780E732">
      <w:start w:val="1"/>
      <w:numFmt w:val="decimal"/>
      <w:lvlText w:val="%1."/>
      <w:lvlJc w:val="left"/>
      <w:pPr>
        <w:ind w:left="1080" w:hanging="360"/>
      </w:pPr>
      <w:rPr>
        <w:rFonts w:ascii="Times New Roman" w:eastAsia="Times New Roman" w:hAnsi="Times New Roman" w:cs="Times New Roman"/>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01A139A7"/>
    <w:multiLevelType w:val="hybridMultilevel"/>
    <w:tmpl w:val="D06AF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5045F7"/>
    <w:multiLevelType w:val="hybridMultilevel"/>
    <w:tmpl w:val="4D425CEE"/>
    <w:lvl w:ilvl="0" w:tplc="9FEEDF4C">
      <w:start w:val="1"/>
      <w:numFmt w:val="lowerLetter"/>
      <w:lvlText w:val="(%1)"/>
      <w:lvlJc w:val="left"/>
      <w:pPr>
        <w:ind w:left="1287" w:hanging="360"/>
      </w:pPr>
      <w:rPr>
        <w:rFonts w:hint="default"/>
        <w:strike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357F1"/>
    <w:multiLevelType w:val="hybridMultilevel"/>
    <w:tmpl w:val="9FC0F894"/>
    <w:lvl w:ilvl="0" w:tplc="1214ED64">
      <w:start w:val="1"/>
      <w:numFmt w:val="bullet"/>
      <w:lvlText w:val="-"/>
      <w:lvlJc w:val="left"/>
      <w:pPr>
        <w:ind w:left="1440" w:hanging="360"/>
      </w:pPr>
      <w:rPr>
        <w:rFonts w:ascii="Times New Roman" w:eastAsia="Times New Roman" w:hAnsi="Times New Roman" w:cs="Times New Roman"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BA2D2B"/>
    <w:multiLevelType w:val="hybridMultilevel"/>
    <w:tmpl w:val="1E54CA62"/>
    <w:lvl w:ilvl="0" w:tplc="20090001">
      <w:start w:val="1"/>
      <w:numFmt w:val="bullet"/>
      <w:lvlText w:val=""/>
      <w:lvlJc w:val="left"/>
      <w:pPr>
        <w:ind w:left="2007" w:hanging="360"/>
      </w:pPr>
      <w:rPr>
        <w:rFonts w:ascii="Symbol" w:hAnsi="Symbol" w:hint="default"/>
      </w:rPr>
    </w:lvl>
    <w:lvl w:ilvl="1" w:tplc="20090003" w:tentative="1">
      <w:start w:val="1"/>
      <w:numFmt w:val="bullet"/>
      <w:lvlText w:val="o"/>
      <w:lvlJc w:val="left"/>
      <w:pPr>
        <w:ind w:left="2727" w:hanging="360"/>
      </w:pPr>
      <w:rPr>
        <w:rFonts w:ascii="Courier New" w:hAnsi="Courier New" w:cs="Courier New" w:hint="default"/>
      </w:rPr>
    </w:lvl>
    <w:lvl w:ilvl="2" w:tplc="20090005" w:tentative="1">
      <w:start w:val="1"/>
      <w:numFmt w:val="bullet"/>
      <w:lvlText w:val=""/>
      <w:lvlJc w:val="left"/>
      <w:pPr>
        <w:ind w:left="3447" w:hanging="360"/>
      </w:pPr>
      <w:rPr>
        <w:rFonts w:ascii="Wingdings" w:hAnsi="Wingdings" w:hint="default"/>
      </w:rPr>
    </w:lvl>
    <w:lvl w:ilvl="3" w:tplc="20090001" w:tentative="1">
      <w:start w:val="1"/>
      <w:numFmt w:val="bullet"/>
      <w:lvlText w:val=""/>
      <w:lvlJc w:val="left"/>
      <w:pPr>
        <w:ind w:left="4167" w:hanging="360"/>
      </w:pPr>
      <w:rPr>
        <w:rFonts w:ascii="Symbol" w:hAnsi="Symbol" w:hint="default"/>
      </w:rPr>
    </w:lvl>
    <w:lvl w:ilvl="4" w:tplc="20090003" w:tentative="1">
      <w:start w:val="1"/>
      <w:numFmt w:val="bullet"/>
      <w:lvlText w:val="o"/>
      <w:lvlJc w:val="left"/>
      <w:pPr>
        <w:ind w:left="4887" w:hanging="360"/>
      </w:pPr>
      <w:rPr>
        <w:rFonts w:ascii="Courier New" w:hAnsi="Courier New" w:cs="Courier New" w:hint="default"/>
      </w:rPr>
    </w:lvl>
    <w:lvl w:ilvl="5" w:tplc="20090005" w:tentative="1">
      <w:start w:val="1"/>
      <w:numFmt w:val="bullet"/>
      <w:lvlText w:val=""/>
      <w:lvlJc w:val="left"/>
      <w:pPr>
        <w:ind w:left="5607" w:hanging="360"/>
      </w:pPr>
      <w:rPr>
        <w:rFonts w:ascii="Wingdings" w:hAnsi="Wingdings" w:hint="default"/>
      </w:rPr>
    </w:lvl>
    <w:lvl w:ilvl="6" w:tplc="20090001" w:tentative="1">
      <w:start w:val="1"/>
      <w:numFmt w:val="bullet"/>
      <w:lvlText w:val=""/>
      <w:lvlJc w:val="left"/>
      <w:pPr>
        <w:ind w:left="6327" w:hanging="360"/>
      </w:pPr>
      <w:rPr>
        <w:rFonts w:ascii="Symbol" w:hAnsi="Symbol" w:hint="default"/>
      </w:rPr>
    </w:lvl>
    <w:lvl w:ilvl="7" w:tplc="20090003" w:tentative="1">
      <w:start w:val="1"/>
      <w:numFmt w:val="bullet"/>
      <w:lvlText w:val="o"/>
      <w:lvlJc w:val="left"/>
      <w:pPr>
        <w:ind w:left="7047" w:hanging="360"/>
      </w:pPr>
      <w:rPr>
        <w:rFonts w:ascii="Courier New" w:hAnsi="Courier New" w:cs="Courier New" w:hint="default"/>
      </w:rPr>
    </w:lvl>
    <w:lvl w:ilvl="8" w:tplc="20090005" w:tentative="1">
      <w:start w:val="1"/>
      <w:numFmt w:val="bullet"/>
      <w:lvlText w:val=""/>
      <w:lvlJc w:val="left"/>
      <w:pPr>
        <w:ind w:left="7767" w:hanging="360"/>
      </w:pPr>
      <w:rPr>
        <w:rFonts w:ascii="Wingdings" w:hAnsi="Wingdings" w:hint="default"/>
      </w:r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3B0C47"/>
    <w:multiLevelType w:val="hybridMultilevel"/>
    <w:tmpl w:val="78F864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22CB71D0"/>
    <w:multiLevelType w:val="hybridMultilevel"/>
    <w:tmpl w:val="C41622B2"/>
    <w:lvl w:ilvl="0" w:tplc="ADCA8D8C">
      <w:start w:val="1"/>
      <w:numFmt w:val="decimal"/>
      <w:lvlText w:val="%1."/>
      <w:lvlJc w:val="left"/>
      <w:pPr>
        <w:ind w:left="1287" w:hanging="360"/>
      </w:pPr>
      <w:rPr>
        <w:rFonts w:hint="default"/>
      </w:rPr>
    </w:lvl>
    <w:lvl w:ilvl="1" w:tplc="20090019" w:tentative="1">
      <w:start w:val="1"/>
      <w:numFmt w:val="lowerLetter"/>
      <w:lvlText w:val="%2."/>
      <w:lvlJc w:val="left"/>
      <w:pPr>
        <w:ind w:left="2007" w:hanging="360"/>
      </w:pPr>
    </w:lvl>
    <w:lvl w:ilvl="2" w:tplc="2009001B" w:tentative="1">
      <w:start w:val="1"/>
      <w:numFmt w:val="lowerRoman"/>
      <w:lvlText w:val="%3."/>
      <w:lvlJc w:val="right"/>
      <w:pPr>
        <w:ind w:left="2727" w:hanging="180"/>
      </w:pPr>
    </w:lvl>
    <w:lvl w:ilvl="3" w:tplc="2009000F" w:tentative="1">
      <w:start w:val="1"/>
      <w:numFmt w:val="decimal"/>
      <w:lvlText w:val="%4."/>
      <w:lvlJc w:val="left"/>
      <w:pPr>
        <w:ind w:left="3447" w:hanging="360"/>
      </w:pPr>
    </w:lvl>
    <w:lvl w:ilvl="4" w:tplc="20090019" w:tentative="1">
      <w:start w:val="1"/>
      <w:numFmt w:val="lowerLetter"/>
      <w:lvlText w:val="%5."/>
      <w:lvlJc w:val="left"/>
      <w:pPr>
        <w:ind w:left="4167" w:hanging="360"/>
      </w:pPr>
    </w:lvl>
    <w:lvl w:ilvl="5" w:tplc="2009001B" w:tentative="1">
      <w:start w:val="1"/>
      <w:numFmt w:val="lowerRoman"/>
      <w:lvlText w:val="%6."/>
      <w:lvlJc w:val="right"/>
      <w:pPr>
        <w:ind w:left="4887" w:hanging="180"/>
      </w:pPr>
    </w:lvl>
    <w:lvl w:ilvl="6" w:tplc="2009000F" w:tentative="1">
      <w:start w:val="1"/>
      <w:numFmt w:val="decimal"/>
      <w:lvlText w:val="%7."/>
      <w:lvlJc w:val="left"/>
      <w:pPr>
        <w:ind w:left="5607" w:hanging="360"/>
      </w:pPr>
    </w:lvl>
    <w:lvl w:ilvl="7" w:tplc="20090019" w:tentative="1">
      <w:start w:val="1"/>
      <w:numFmt w:val="lowerLetter"/>
      <w:lvlText w:val="%8."/>
      <w:lvlJc w:val="left"/>
      <w:pPr>
        <w:ind w:left="6327" w:hanging="360"/>
      </w:pPr>
    </w:lvl>
    <w:lvl w:ilvl="8" w:tplc="2009001B" w:tentative="1">
      <w:start w:val="1"/>
      <w:numFmt w:val="lowerRoman"/>
      <w:lvlText w:val="%9."/>
      <w:lvlJc w:val="right"/>
      <w:pPr>
        <w:ind w:left="7047" w:hanging="180"/>
      </w:pPr>
    </w:lvl>
  </w:abstractNum>
  <w:abstractNum w:abstractNumId="22" w15:restartNumberingAfterBreak="0">
    <w:nsid w:val="29D34D9D"/>
    <w:multiLevelType w:val="hybridMultilevel"/>
    <w:tmpl w:val="AA061A0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06960E5"/>
    <w:multiLevelType w:val="hybridMultilevel"/>
    <w:tmpl w:val="6240D0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1F1C58"/>
    <w:multiLevelType w:val="hybridMultilevel"/>
    <w:tmpl w:val="17D0E30E"/>
    <w:lvl w:ilvl="0" w:tplc="100C000F">
      <w:start w:val="1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7C14692"/>
    <w:multiLevelType w:val="hybridMultilevel"/>
    <w:tmpl w:val="5E1CAFAC"/>
    <w:lvl w:ilvl="0" w:tplc="D5DE5A78">
      <w:start w:val="1"/>
      <w:numFmt w:val="lowerLetter"/>
      <w:lvlText w:val="(%1)"/>
      <w:lvlJc w:val="left"/>
      <w:pPr>
        <w:ind w:left="1287" w:hanging="360"/>
      </w:pPr>
      <w:rPr>
        <w:rFonts w:hint="default"/>
        <w:b w:val="0"/>
        <w:i w:val="0"/>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A7A30E4"/>
    <w:multiLevelType w:val="hybridMultilevel"/>
    <w:tmpl w:val="9E362EDA"/>
    <w:lvl w:ilvl="0" w:tplc="01D46E38">
      <w:start w:val="1"/>
      <w:numFmt w:val="decimal"/>
      <w:lvlText w:val="%1."/>
      <w:lvlJc w:val="left"/>
      <w:pPr>
        <w:ind w:left="720" w:hanging="360"/>
      </w:pPr>
      <w:rPr>
        <w:rFonts w:ascii="Calibri" w:eastAsia="Calibri" w:hAnsi="Calibri"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420F7"/>
    <w:multiLevelType w:val="hybridMultilevel"/>
    <w:tmpl w:val="6BC4B632"/>
    <w:lvl w:ilvl="0" w:tplc="7BEED47E">
      <w:start w:val="1"/>
      <w:numFmt w:val="lowerLetter"/>
      <w:lvlText w:val="(%1)"/>
      <w:lvlJc w:val="left"/>
      <w:pPr>
        <w:ind w:left="1287" w:hanging="360"/>
      </w:pPr>
      <w:rPr>
        <w:rFonts w:hint="default"/>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8D4D00"/>
    <w:multiLevelType w:val="hybridMultilevel"/>
    <w:tmpl w:val="C9CE6406"/>
    <w:lvl w:ilvl="0" w:tplc="C5FAC010">
      <w:start w:val="1"/>
      <w:numFmt w:val="decimal"/>
      <w:lvlText w:val="%1."/>
      <w:lvlJc w:val="left"/>
      <w:pPr>
        <w:ind w:left="720" w:hanging="360"/>
      </w:pPr>
      <w:rPr>
        <w:rFonts w:ascii="Calibri" w:eastAsia="Calibri" w:hAnsi="Calibri" w:cs="Times New Roman"/>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D7000D9"/>
    <w:multiLevelType w:val="hybridMultilevel"/>
    <w:tmpl w:val="D06C6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C43F7"/>
    <w:multiLevelType w:val="hybridMultilevel"/>
    <w:tmpl w:val="566CCEEC"/>
    <w:lvl w:ilvl="0" w:tplc="AE601194">
      <w:start w:val="1"/>
      <w:numFmt w:val="decimal"/>
      <w:lvlText w:val="%1."/>
      <w:lvlJc w:val="left"/>
      <w:pPr>
        <w:ind w:left="927" w:hanging="360"/>
      </w:pPr>
      <w:rPr>
        <w:rFonts w:hint="default"/>
        <w:b w:val="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19"/>
  </w:num>
  <w:num w:numId="13">
    <w:abstractNumId w:val="10"/>
  </w:num>
  <w:num w:numId="14">
    <w:abstractNumId w:val="16"/>
  </w:num>
  <w:num w:numId="15">
    <w:abstractNumId w:val="26"/>
  </w:num>
  <w:num w:numId="16">
    <w:abstractNumId w:val="18"/>
  </w:num>
  <w:num w:numId="17">
    <w:abstractNumId w:val="14"/>
  </w:num>
  <w:num w:numId="18">
    <w:abstractNumId w:val="29"/>
  </w:num>
  <w:num w:numId="19">
    <w:abstractNumId w:val="12"/>
  </w:num>
  <w:num w:numId="20">
    <w:abstractNumId w:val="32"/>
  </w:num>
  <w:num w:numId="21">
    <w:abstractNumId w:val="23"/>
  </w:num>
  <w:num w:numId="22">
    <w:abstractNumId w:val="31"/>
  </w:num>
  <w:num w:numId="23">
    <w:abstractNumId w:val="22"/>
  </w:num>
  <w:num w:numId="24">
    <w:abstractNumId w:val="20"/>
  </w:num>
  <w:num w:numId="25">
    <w:abstractNumId w:val="28"/>
  </w:num>
  <w:num w:numId="26">
    <w:abstractNumId w:val="11"/>
  </w:num>
  <w:num w:numId="27">
    <w:abstractNumId w:val="15"/>
  </w:num>
  <w:num w:numId="28">
    <w:abstractNumId w:val="25"/>
  </w:num>
  <w:num w:numId="29">
    <w:abstractNumId w:val="33"/>
  </w:num>
  <w:num w:numId="30">
    <w:abstractNumId w:val="27"/>
  </w:num>
  <w:num w:numId="31">
    <w:abstractNumId w:val="13"/>
  </w:num>
  <w:num w:numId="32">
    <w:abstractNumId w:val="30"/>
  </w:num>
  <w:num w:numId="33">
    <w:abstractNumId w:val="17"/>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05"/>
    <w:rsid w:val="00002A7D"/>
    <w:rsid w:val="000038A8"/>
    <w:rsid w:val="00006790"/>
    <w:rsid w:val="000138FB"/>
    <w:rsid w:val="000211D7"/>
    <w:rsid w:val="000217C7"/>
    <w:rsid w:val="00027525"/>
    <w:rsid w:val="00027624"/>
    <w:rsid w:val="00030227"/>
    <w:rsid w:val="00034BE1"/>
    <w:rsid w:val="00047483"/>
    <w:rsid w:val="00050AA1"/>
    <w:rsid w:val="00050F6B"/>
    <w:rsid w:val="00056EB7"/>
    <w:rsid w:val="00060714"/>
    <w:rsid w:val="000678CD"/>
    <w:rsid w:val="0007091A"/>
    <w:rsid w:val="00072C8C"/>
    <w:rsid w:val="00081CE0"/>
    <w:rsid w:val="00084D30"/>
    <w:rsid w:val="00087744"/>
    <w:rsid w:val="00090320"/>
    <w:rsid w:val="000931C0"/>
    <w:rsid w:val="000A2E09"/>
    <w:rsid w:val="000B175B"/>
    <w:rsid w:val="000B231D"/>
    <w:rsid w:val="000B33CE"/>
    <w:rsid w:val="000B36F0"/>
    <w:rsid w:val="000B3A0F"/>
    <w:rsid w:val="000B4F13"/>
    <w:rsid w:val="000C16CE"/>
    <w:rsid w:val="000C57E0"/>
    <w:rsid w:val="000C7963"/>
    <w:rsid w:val="000D5CE6"/>
    <w:rsid w:val="000D70D1"/>
    <w:rsid w:val="000E0415"/>
    <w:rsid w:val="000E2FF9"/>
    <w:rsid w:val="000E3DCF"/>
    <w:rsid w:val="000F56E2"/>
    <w:rsid w:val="000F6940"/>
    <w:rsid w:val="000F7715"/>
    <w:rsid w:val="000F7B6F"/>
    <w:rsid w:val="000F7B76"/>
    <w:rsid w:val="001005B3"/>
    <w:rsid w:val="00112C70"/>
    <w:rsid w:val="0012473C"/>
    <w:rsid w:val="00130E5F"/>
    <w:rsid w:val="00131C5F"/>
    <w:rsid w:val="00132DB4"/>
    <w:rsid w:val="001366FB"/>
    <w:rsid w:val="00140187"/>
    <w:rsid w:val="00142058"/>
    <w:rsid w:val="00146BB7"/>
    <w:rsid w:val="00156B99"/>
    <w:rsid w:val="00166124"/>
    <w:rsid w:val="00166158"/>
    <w:rsid w:val="00170836"/>
    <w:rsid w:val="00176EF7"/>
    <w:rsid w:val="0018490B"/>
    <w:rsid w:val="00184DDA"/>
    <w:rsid w:val="001900CD"/>
    <w:rsid w:val="001A0452"/>
    <w:rsid w:val="001A1BE7"/>
    <w:rsid w:val="001A2BD0"/>
    <w:rsid w:val="001A3FA6"/>
    <w:rsid w:val="001B1920"/>
    <w:rsid w:val="001B4B04"/>
    <w:rsid w:val="001B5875"/>
    <w:rsid w:val="001C02BA"/>
    <w:rsid w:val="001C4B9C"/>
    <w:rsid w:val="001C6663"/>
    <w:rsid w:val="001C7895"/>
    <w:rsid w:val="001D26DF"/>
    <w:rsid w:val="001E3705"/>
    <w:rsid w:val="001F1599"/>
    <w:rsid w:val="001F19C4"/>
    <w:rsid w:val="001F2E05"/>
    <w:rsid w:val="002043F0"/>
    <w:rsid w:val="00210D53"/>
    <w:rsid w:val="00211E0B"/>
    <w:rsid w:val="00225621"/>
    <w:rsid w:val="0023098D"/>
    <w:rsid w:val="002324DA"/>
    <w:rsid w:val="00232575"/>
    <w:rsid w:val="002373AF"/>
    <w:rsid w:val="00247258"/>
    <w:rsid w:val="00247D90"/>
    <w:rsid w:val="00257CAC"/>
    <w:rsid w:val="00262B65"/>
    <w:rsid w:val="0026791F"/>
    <w:rsid w:val="0029649D"/>
    <w:rsid w:val="002974E9"/>
    <w:rsid w:val="002A7F94"/>
    <w:rsid w:val="002B109A"/>
    <w:rsid w:val="002B26F2"/>
    <w:rsid w:val="002B527C"/>
    <w:rsid w:val="002B7D28"/>
    <w:rsid w:val="002C17A5"/>
    <w:rsid w:val="002C4B70"/>
    <w:rsid w:val="002C6D45"/>
    <w:rsid w:val="002C7A1B"/>
    <w:rsid w:val="002D06FB"/>
    <w:rsid w:val="002D388F"/>
    <w:rsid w:val="002D6E53"/>
    <w:rsid w:val="002D735C"/>
    <w:rsid w:val="002E39B0"/>
    <w:rsid w:val="002E3E4B"/>
    <w:rsid w:val="002F03D8"/>
    <w:rsid w:val="002F046D"/>
    <w:rsid w:val="002F592D"/>
    <w:rsid w:val="002F7982"/>
    <w:rsid w:val="00301764"/>
    <w:rsid w:val="00304778"/>
    <w:rsid w:val="00310516"/>
    <w:rsid w:val="00313262"/>
    <w:rsid w:val="003225DB"/>
    <w:rsid w:val="003229D8"/>
    <w:rsid w:val="00336C97"/>
    <w:rsid w:val="0034106D"/>
    <w:rsid w:val="00342432"/>
    <w:rsid w:val="00352D4B"/>
    <w:rsid w:val="0035638C"/>
    <w:rsid w:val="00360870"/>
    <w:rsid w:val="003652C8"/>
    <w:rsid w:val="003709D8"/>
    <w:rsid w:val="00371963"/>
    <w:rsid w:val="003778B2"/>
    <w:rsid w:val="00380A9A"/>
    <w:rsid w:val="003812A1"/>
    <w:rsid w:val="003815E1"/>
    <w:rsid w:val="0039266C"/>
    <w:rsid w:val="003A46BB"/>
    <w:rsid w:val="003A4EC7"/>
    <w:rsid w:val="003A5866"/>
    <w:rsid w:val="003A7295"/>
    <w:rsid w:val="003B1F60"/>
    <w:rsid w:val="003C2CC4"/>
    <w:rsid w:val="003C3A7A"/>
    <w:rsid w:val="003D4B23"/>
    <w:rsid w:val="003D6C24"/>
    <w:rsid w:val="003E278A"/>
    <w:rsid w:val="003E5D58"/>
    <w:rsid w:val="003E7793"/>
    <w:rsid w:val="004002DF"/>
    <w:rsid w:val="00413520"/>
    <w:rsid w:val="0043177D"/>
    <w:rsid w:val="004317B5"/>
    <w:rsid w:val="0043244D"/>
    <w:rsid w:val="004325CB"/>
    <w:rsid w:val="00440A07"/>
    <w:rsid w:val="004506F7"/>
    <w:rsid w:val="00451982"/>
    <w:rsid w:val="00455CE0"/>
    <w:rsid w:val="0045601A"/>
    <w:rsid w:val="0045687A"/>
    <w:rsid w:val="00462880"/>
    <w:rsid w:val="00463C35"/>
    <w:rsid w:val="00464FE2"/>
    <w:rsid w:val="00466F85"/>
    <w:rsid w:val="00476F24"/>
    <w:rsid w:val="00493E5A"/>
    <w:rsid w:val="00494310"/>
    <w:rsid w:val="004951FF"/>
    <w:rsid w:val="004A61B5"/>
    <w:rsid w:val="004B08DD"/>
    <w:rsid w:val="004C4252"/>
    <w:rsid w:val="004C55B0"/>
    <w:rsid w:val="004C6B7B"/>
    <w:rsid w:val="004D3392"/>
    <w:rsid w:val="004D77F3"/>
    <w:rsid w:val="004E517A"/>
    <w:rsid w:val="004F5F3A"/>
    <w:rsid w:val="004F6BA0"/>
    <w:rsid w:val="00502279"/>
    <w:rsid w:val="00502FA6"/>
    <w:rsid w:val="00503BEA"/>
    <w:rsid w:val="00516A1F"/>
    <w:rsid w:val="00533616"/>
    <w:rsid w:val="0053418E"/>
    <w:rsid w:val="00535ABA"/>
    <w:rsid w:val="0053768B"/>
    <w:rsid w:val="005420F2"/>
    <w:rsid w:val="0054285C"/>
    <w:rsid w:val="0054413D"/>
    <w:rsid w:val="00546224"/>
    <w:rsid w:val="00550D79"/>
    <w:rsid w:val="0055596F"/>
    <w:rsid w:val="00555D1E"/>
    <w:rsid w:val="0056237B"/>
    <w:rsid w:val="005722CE"/>
    <w:rsid w:val="00584173"/>
    <w:rsid w:val="005942D2"/>
    <w:rsid w:val="00595520"/>
    <w:rsid w:val="005A3211"/>
    <w:rsid w:val="005A3A2D"/>
    <w:rsid w:val="005A4018"/>
    <w:rsid w:val="005A44B9"/>
    <w:rsid w:val="005B1BA0"/>
    <w:rsid w:val="005B2196"/>
    <w:rsid w:val="005B3DB3"/>
    <w:rsid w:val="005B4DBF"/>
    <w:rsid w:val="005D01D7"/>
    <w:rsid w:val="005D15CA"/>
    <w:rsid w:val="005D46E7"/>
    <w:rsid w:val="005D7C71"/>
    <w:rsid w:val="005E4779"/>
    <w:rsid w:val="005F3066"/>
    <w:rsid w:val="005F3E61"/>
    <w:rsid w:val="00604DDD"/>
    <w:rsid w:val="00605704"/>
    <w:rsid w:val="006115CC"/>
    <w:rsid w:val="0061167B"/>
    <w:rsid w:val="00611FC4"/>
    <w:rsid w:val="00616D12"/>
    <w:rsid w:val="006176FB"/>
    <w:rsid w:val="00630FCB"/>
    <w:rsid w:val="00636011"/>
    <w:rsid w:val="00640B26"/>
    <w:rsid w:val="00641130"/>
    <w:rsid w:val="00642C61"/>
    <w:rsid w:val="006573BE"/>
    <w:rsid w:val="006770B2"/>
    <w:rsid w:val="00686879"/>
    <w:rsid w:val="00686EB4"/>
    <w:rsid w:val="00687682"/>
    <w:rsid w:val="006940E1"/>
    <w:rsid w:val="006A3C72"/>
    <w:rsid w:val="006A7392"/>
    <w:rsid w:val="006B03A1"/>
    <w:rsid w:val="006B67D9"/>
    <w:rsid w:val="006C0CF5"/>
    <w:rsid w:val="006C4AD8"/>
    <w:rsid w:val="006C5535"/>
    <w:rsid w:val="006D0196"/>
    <w:rsid w:val="006D0589"/>
    <w:rsid w:val="006D34A4"/>
    <w:rsid w:val="006E564B"/>
    <w:rsid w:val="006E7154"/>
    <w:rsid w:val="006F2D45"/>
    <w:rsid w:val="007003CD"/>
    <w:rsid w:val="0070595A"/>
    <w:rsid w:val="0070701E"/>
    <w:rsid w:val="007070A5"/>
    <w:rsid w:val="0071067D"/>
    <w:rsid w:val="0071206E"/>
    <w:rsid w:val="0072420D"/>
    <w:rsid w:val="0072632A"/>
    <w:rsid w:val="007342FC"/>
    <w:rsid w:val="007358E8"/>
    <w:rsid w:val="00736ECE"/>
    <w:rsid w:val="00742ADC"/>
    <w:rsid w:val="0074409C"/>
    <w:rsid w:val="0074533B"/>
    <w:rsid w:val="007467D4"/>
    <w:rsid w:val="007643BC"/>
    <w:rsid w:val="0076548B"/>
    <w:rsid w:val="00767EA7"/>
    <w:rsid w:val="00772DEF"/>
    <w:rsid w:val="00773606"/>
    <w:rsid w:val="00776A28"/>
    <w:rsid w:val="00780C3C"/>
    <w:rsid w:val="00795592"/>
    <w:rsid w:val="007959FE"/>
    <w:rsid w:val="00796048"/>
    <w:rsid w:val="007A0CF1"/>
    <w:rsid w:val="007B1DC5"/>
    <w:rsid w:val="007B6BA5"/>
    <w:rsid w:val="007C3390"/>
    <w:rsid w:val="007C42D8"/>
    <w:rsid w:val="007C4F4B"/>
    <w:rsid w:val="007D5579"/>
    <w:rsid w:val="007D7362"/>
    <w:rsid w:val="007F4921"/>
    <w:rsid w:val="007F5CE2"/>
    <w:rsid w:val="007F6611"/>
    <w:rsid w:val="008071FF"/>
    <w:rsid w:val="00810BAC"/>
    <w:rsid w:val="0081534E"/>
    <w:rsid w:val="008175E9"/>
    <w:rsid w:val="008242D7"/>
    <w:rsid w:val="0082577B"/>
    <w:rsid w:val="00860685"/>
    <w:rsid w:val="008639D5"/>
    <w:rsid w:val="008661D7"/>
    <w:rsid w:val="00866893"/>
    <w:rsid w:val="00866F02"/>
    <w:rsid w:val="0086725F"/>
    <w:rsid w:val="00867D18"/>
    <w:rsid w:val="00867D9F"/>
    <w:rsid w:val="008701A6"/>
    <w:rsid w:val="00871F9A"/>
    <w:rsid w:val="00871FD5"/>
    <w:rsid w:val="008751E2"/>
    <w:rsid w:val="0088172E"/>
    <w:rsid w:val="00881EFA"/>
    <w:rsid w:val="0089289F"/>
    <w:rsid w:val="00897555"/>
    <w:rsid w:val="008978E6"/>
    <w:rsid w:val="008979B1"/>
    <w:rsid w:val="008A2DCA"/>
    <w:rsid w:val="008A41D9"/>
    <w:rsid w:val="008A6B25"/>
    <w:rsid w:val="008A6C4F"/>
    <w:rsid w:val="008A6EA9"/>
    <w:rsid w:val="008A7B48"/>
    <w:rsid w:val="008B389E"/>
    <w:rsid w:val="008B7964"/>
    <w:rsid w:val="008C2036"/>
    <w:rsid w:val="008C79AB"/>
    <w:rsid w:val="008D045E"/>
    <w:rsid w:val="008D0E0F"/>
    <w:rsid w:val="008D1DDC"/>
    <w:rsid w:val="008D3F25"/>
    <w:rsid w:val="008D4151"/>
    <w:rsid w:val="008D4D82"/>
    <w:rsid w:val="008E0E46"/>
    <w:rsid w:val="008E3D39"/>
    <w:rsid w:val="008E47FA"/>
    <w:rsid w:val="008E7116"/>
    <w:rsid w:val="008F00BB"/>
    <w:rsid w:val="008F143B"/>
    <w:rsid w:val="008F3882"/>
    <w:rsid w:val="008F4B7C"/>
    <w:rsid w:val="00913AB7"/>
    <w:rsid w:val="009265B3"/>
    <w:rsid w:val="00926E47"/>
    <w:rsid w:val="009323FA"/>
    <w:rsid w:val="00935D0C"/>
    <w:rsid w:val="009372A2"/>
    <w:rsid w:val="00947162"/>
    <w:rsid w:val="00956843"/>
    <w:rsid w:val="00957359"/>
    <w:rsid w:val="0096375C"/>
    <w:rsid w:val="009662E6"/>
    <w:rsid w:val="0097095E"/>
    <w:rsid w:val="0097177F"/>
    <w:rsid w:val="00971C89"/>
    <w:rsid w:val="00972289"/>
    <w:rsid w:val="00972839"/>
    <w:rsid w:val="0098592B"/>
    <w:rsid w:val="00985FC4"/>
    <w:rsid w:val="00990766"/>
    <w:rsid w:val="00991261"/>
    <w:rsid w:val="0099179E"/>
    <w:rsid w:val="009964C4"/>
    <w:rsid w:val="00997246"/>
    <w:rsid w:val="00997EB4"/>
    <w:rsid w:val="009A4E11"/>
    <w:rsid w:val="009A7B81"/>
    <w:rsid w:val="009B21AF"/>
    <w:rsid w:val="009B3CD0"/>
    <w:rsid w:val="009C2A88"/>
    <w:rsid w:val="009D01C0"/>
    <w:rsid w:val="009D0888"/>
    <w:rsid w:val="009D2320"/>
    <w:rsid w:val="009D6A08"/>
    <w:rsid w:val="009E0A16"/>
    <w:rsid w:val="009E7970"/>
    <w:rsid w:val="009F2EAC"/>
    <w:rsid w:val="009F2F65"/>
    <w:rsid w:val="009F57E3"/>
    <w:rsid w:val="00A031CB"/>
    <w:rsid w:val="00A079BD"/>
    <w:rsid w:val="00A10F4F"/>
    <w:rsid w:val="00A11067"/>
    <w:rsid w:val="00A12D9E"/>
    <w:rsid w:val="00A1704A"/>
    <w:rsid w:val="00A24A77"/>
    <w:rsid w:val="00A373C6"/>
    <w:rsid w:val="00A425EB"/>
    <w:rsid w:val="00A51657"/>
    <w:rsid w:val="00A56885"/>
    <w:rsid w:val="00A65B63"/>
    <w:rsid w:val="00A72F22"/>
    <w:rsid w:val="00A733BC"/>
    <w:rsid w:val="00A748A6"/>
    <w:rsid w:val="00A76A69"/>
    <w:rsid w:val="00A805D4"/>
    <w:rsid w:val="00A87045"/>
    <w:rsid w:val="00A879A4"/>
    <w:rsid w:val="00A91585"/>
    <w:rsid w:val="00A977AF"/>
    <w:rsid w:val="00AA1002"/>
    <w:rsid w:val="00AB2A4A"/>
    <w:rsid w:val="00AB2EE6"/>
    <w:rsid w:val="00AB3432"/>
    <w:rsid w:val="00AB4125"/>
    <w:rsid w:val="00AC0F2C"/>
    <w:rsid w:val="00AC502A"/>
    <w:rsid w:val="00AF58C1"/>
    <w:rsid w:val="00B06643"/>
    <w:rsid w:val="00B07742"/>
    <w:rsid w:val="00B07873"/>
    <w:rsid w:val="00B1400E"/>
    <w:rsid w:val="00B1483F"/>
    <w:rsid w:val="00B15055"/>
    <w:rsid w:val="00B23820"/>
    <w:rsid w:val="00B30179"/>
    <w:rsid w:val="00B33A88"/>
    <w:rsid w:val="00B37B15"/>
    <w:rsid w:val="00B42F4B"/>
    <w:rsid w:val="00B45C02"/>
    <w:rsid w:val="00B53C63"/>
    <w:rsid w:val="00B5401E"/>
    <w:rsid w:val="00B551CD"/>
    <w:rsid w:val="00B567C4"/>
    <w:rsid w:val="00B62E9A"/>
    <w:rsid w:val="00B67AAF"/>
    <w:rsid w:val="00B72A1E"/>
    <w:rsid w:val="00B74B38"/>
    <w:rsid w:val="00B75AFA"/>
    <w:rsid w:val="00B81E12"/>
    <w:rsid w:val="00BA2E75"/>
    <w:rsid w:val="00BA339B"/>
    <w:rsid w:val="00BA6E3F"/>
    <w:rsid w:val="00BB5649"/>
    <w:rsid w:val="00BC021A"/>
    <w:rsid w:val="00BC1D01"/>
    <w:rsid w:val="00BC1E7E"/>
    <w:rsid w:val="00BC74E9"/>
    <w:rsid w:val="00BC792A"/>
    <w:rsid w:val="00BD2AE4"/>
    <w:rsid w:val="00BD43B5"/>
    <w:rsid w:val="00BD6E01"/>
    <w:rsid w:val="00BE36A9"/>
    <w:rsid w:val="00BE618E"/>
    <w:rsid w:val="00BE7BEC"/>
    <w:rsid w:val="00BF0A5A"/>
    <w:rsid w:val="00BF0E63"/>
    <w:rsid w:val="00BF12A3"/>
    <w:rsid w:val="00BF16D7"/>
    <w:rsid w:val="00BF2373"/>
    <w:rsid w:val="00BF2C27"/>
    <w:rsid w:val="00BF58D1"/>
    <w:rsid w:val="00C00391"/>
    <w:rsid w:val="00C0316B"/>
    <w:rsid w:val="00C044E2"/>
    <w:rsid w:val="00C048CB"/>
    <w:rsid w:val="00C066F3"/>
    <w:rsid w:val="00C1597E"/>
    <w:rsid w:val="00C33ECB"/>
    <w:rsid w:val="00C3679E"/>
    <w:rsid w:val="00C36846"/>
    <w:rsid w:val="00C463DD"/>
    <w:rsid w:val="00C503CF"/>
    <w:rsid w:val="00C56E92"/>
    <w:rsid w:val="00C745C3"/>
    <w:rsid w:val="00C77E46"/>
    <w:rsid w:val="00C87276"/>
    <w:rsid w:val="00C93CAF"/>
    <w:rsid w:val="00CA24A4"/>
    <w:rsid w:val="00CB348D"/>
    <w:rsid w:val="00CC4EDE"/>
    <w:rsid w:val="00CD14F6"/>
    <w:rsid w:val="00CD318B"/>
    <w:rsid w:val="00CD46F5"/>
    <w:rsid w:val="00CE4A8F"/>
    <w:rsid w:val="00CE7F24"/>
    <w:rsid w:val="00CF071D"/>
    <w:rsid w:val="00D05E1A"/>
    <w:rsid w:val="00D14EA7"/>
    <w:rsid w:val="00D15B04"/>
    <w:rsid w:val="00D2031B"/>
    <w:rsid w:val="00D25FE2"/>
    <w:rsid w:val="00D37DA9"/>
    <w:rsid w:val="00D406A7"/>
    <w:rsid w:val="00D40CB6"/>
    <w:rsid w:val="00D43182"/>
    <w:rsid w:val="00D43252"/>
    <w:rsid w:val="00D44D86"/>
    <w:rsid w:val="00D50B7D"/>
    <w:rsid w:val="00D52012"/>
    <w:rsid w:val="00D61204"/>
    <w:rsid w:val="00D61926"/>
    <w:rsid w:val="00D704E5"/>
    <w:rsid w:val="00D72727"/>
    <w:rsid w:val="00D7526D"/>
    <w:rsid w:val="00D8366A"/>
    <w:rsid w:val="00D87200"/>
    <w:rsid w:val="00D973C4"/>
    <w:rsid w:val="00D978C6"/>
    <w:rsid w:val="00DA0956"/>
    <w:rsid w:val="00DA357F"/>
    <w:rsid w:val="00DA3E12"/>
    <w:rsid w:val="00DC18AD"/>
    <w:rsid w:val="00DD469C"/>
    <w:rsid w:val="00DE02A5"/>
    <w:rsid w:val="00DE591A"/>
    <w:rsid w:val="00DF0FBC"/>
    <w:rsid w:val="00DF7CAE"/>
    <w:rsid w:val="00E073EC"/>
    <w:rsid w:val="00E15023"/>
    <w:rsid w:val="00E3250D"/>
    <w:rsid w:val="00E357F3"/>
    <w:rsid w:val="00E41912"/>
    <w:rsid w:val="00E423C0"/>
    <w:rsid w:val="00E450D1"/>
    <w:rsid w:val="00E45843"/>
    <w:rsid w:val="00E54942"/>
    <w:rsid w:val="00E569BB"/>
    <w:rsid w:val="00E6414C"/>
    <w:rsid w:val="00E7260F"/>
    <w:rsid w:val="00E77B38"/>
    <w:rsid w:val="00E8702D"/>
    <w:rsid w:val="00E916A9"/>
    <w:rsid w:val="00E916DE"/>
    <w:rsid w:val="00E94D7C"/>
    <w:rsid w:val="00E96630"/>
    <w:rsid w:val="00EB520B"/>
    <w:rsid w:val="00EC52F4"/>
    <w:rsid w:val="00ED18DC"/>
    <w:rsid w:val="00ED5F24"/>
    <w:rsid w:val="00ED6201"/>
    <w:rsid w:val="00ED6892"/>
    <w:rsid w:val="00ED7A2A"/>
    <w:rsid w:val="00EE6A78"/>
    <w:rsid w:val="00EF1D7F"/>
    <w:rsid w:val="00F0137E"/>
    <w:rsid w:val="00F035E5"/>
    <w:rsid w:val="00F11BDB"/>
    <w:rsid w:val="00F17B25"/>
    <w:rsid w:val="00F21786"/>
    <w:rsid w:val="00F2741A"/>
    <w:rsid w:val="00F3742B"/>
    <w:rsid w:val="00F56D63"/>
    <w:rsid w:val="00F56D9B"/>
    <w:rsid w:val="00F609A9"/>
    <w:rsid w:val="00F643EB"/>
    <w:rsid w:val="00F70720"/>
    <w:rsid w:val="00F71800"/>
    <w:rsid w:val="00F71812"/>
    <w:rsid w:val="00F75677"/>
    <w:rsid w:val="00F80C99"/>
    <w:rsid w:val="00F8207B"/>
    <w:rsid w:val="00F82C26"/>
    <w:rsid w:val="00F867EC"/>
    <w:rsid w:val="00F91B2B"/>
    <w:rsid w:val="00FA28E6"/>
    <w:rsid w:val="00FA3AEC"/>
    <w:rsid w:val="00FA3EF1"/>
    <w:rsid w:val="00FB205F"/>
    <w:rsid w:val="00FC0114"/>
    <w:rsid w:val="00FC03CD"/>
    <w:rsid w:val="00FC0646"/>
    <w:rsid w:val="00FC145B"/>
    <w:rsid w:val="00FC40B1"/>
    <w:rsid w:val="00FC509F"/>
    <w:rsid w:val="00FC68B7"/>
    <w:rsid w:val="00FD081D"/>
    <w:rsid w:val="00FD3520"/>
    <w:rsid w:val="00FE31C5"/>
    <w:rsid w:val="00FE6985"/>
  </w:rsids>
  <m:mathPr>
    <m:mathFont m:val="Cambria Math"/>
    <m:brkBin m:val="before"/>
    <m:brkBinSub m:val="--"/>
    <m:smallFrac/>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23320"/>
  <w15:docId w15:val="{54731BF5-C65E-4CD4-BC00-7C99EE6E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JM" w:eastAsia="en-JM"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04"/>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D61204"/>
    <w:pPr>
      <w:spacing w:line="240" w:lineRule="auto"/>
      <w:outlineLvl w:val="1"/>
    </w:pPr>
  </w:style>
  <w:style w:type="paragraph" w:styleId="Heading3">
    <w:name w:val="heading 3"/>
    <w:basedOn w:val="Normal"/>
    <w:next w:val="Normal"/>
    <w:qFormat/>
    <w:rsid w:val="00D61204"/>
    <w:pPr>
      <w:spacing w:line="240" w:lineRule="auto"/>
      <w:outlineLvl w:val="2"/>
    </w:pPr>
  </w:style>
  <w:style w:type="paragraph" w:styleId="Heading4">
    <w:name w:val="heading 4"/>
    <w:basedOn w:val="Normal"/>
    <w:next w:val="Normal"/>
    <w:qFormat/>
    <w:rsid w:val="00D61204"/>
    <w:pPr>
      <w:spacing w:line="240" w:lineRule="auto"/>
      <w:outlineLvl w:val="3"/>
    </w:pPr>
  </w:style>
  <w:style w:type="paragraph" w:styleId="Heading5">
    <w:name w:val="heading 5"/>
    <w:basedOn w:val="Normal"/>
    <w:next w:val="Normal"/>
    <w:qFormat/>
    <w:rsid w:val="00D61204"/>
    <w:pPr>
      <w:spacing w:line="240" w:lineRule="auto"/>
      <w:outlineLvl w:val="4"/>
    </w:pPr>
  </w:style>
  <w:style w:type="paragraph" w:styleId="Heading6">
    <w:name w:val="heading 6"/>
    <w:basedOn w:val="Normal"/>
    <w:next w:val="Normal"/>
    <w:qFormat/>
    <w:rsid w:val="00D61204"/>
    <w:pPr>
      <w:spacing w:line="240" w:lineRule="auto"/>
      <w:outlineLvl w:val="5"/>
    </w:pPr>
  </w:style>
  <w:style w:type="paragraph" w:styleId="Heading7">
    <w:name w:val="heading 7"/>
    <w:basedOn w:val="Normal"/>
    <w:next w:val="Normal"/>
    <w:qFormat/>
    <w:rsid w:val="00D61204"/>
    <w:pPr>
      <w:spacing w:line="240" w:lineRule="auto"/>
      <w:outlineLvl w:val="6"/>
    </w:pPr>
  </w:style>
  <w:style w:type="paragraph" w:styleId="Heading8">
    <w:name w:val="heading 8"/>
    <w:basedOn w:val="Normal"/>
    <w:next w:val="Normal"/>
    <w:qFormat/>
    <w:rsid w:val="00D61204"/>
    <w:pPr>
      <w:spacing w:line="240" w:lineRule="auto"/>
      <w:outlineLvl w:val="7"/>
    </w:pPr>
  </w:style>
  <w:style w:type="paragraph" w:styleId="Heading9">
    <w:name w:val="heading 9"/>
    <w:basedOn w:val="Normal"/>
    <w:next w:val="Normal"/>
    <w:qFormat/>
    <w:rsid w:val="00D6120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D61204"/>
    <w:pPr>
      <w:spacing w:after="120"/>
      <w:ind w:left="1134" w:right="1134"/>
      <w:jc w:val="both"/>
    </w:pPr>
  </w:style>
  <w:style w:type="paragraph" w:customStyle="1" w:styleId="HMG">
    <w:name w:val="_ H __M_G"/>
    <w:basedOn w:val="Normal"/>
    <w:next w:val="Normal"/>
    <w:rsid w:val="00D6120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D61204"/>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rsid w:val="00D6120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6120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61204"/>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customStyle="1" w:styleId="MediumGrid21">
    <w:name w:val="Medium Grid 21"/>
    <w:uiPriority w:val="1"/>
    <w:qFormat/>
    <w:rsid w:val="00FA28E6"/>
    <w:rPr>
      <w:rFonts w:ascii="Calibri" w:eastAsia="Calibri" w:hAnsi="Calibri"/>
      <w:sz w:val="22"/>
      <w:szCs w:val="22"/>
      <w:lang w:val="en-GB" w:eastAsia="en-US"/>
    </w:rPr>
  </w:style>
  <w:style w:type="paragraph" w:styleId="BalloonText">
    <w:name w:val="Balloon Text"/>
    <w:basedOn w:val="Normal"/>
    <w:link w:val="BalloonTextChar"/>
    <w:rsid w:val="001E3705"/>
    <w:pPr>
      <w:spacing w:line="240" w:lineRule="auto"/>
    </w:pPr>
    <w:rPr>
      <w:rFonts w:ascii="Tahoma" w:hAnsi="Tahoma"/>
      <w:sz w:val="16"/>
      <w:szCs w:val="16"/>
    </w:rPr>
  </w:style>
  <w:style w:type="character" w:customStyle="1" w:styleId="BalloonTextChar">
    <w:name w:val="Balloon Text Char"/>
    <w:link w:val="BalloonText"/>
    <w:rsid w:val="001E3705"/>
    <w:rPr>
      <w:rFonts w:ascii="Tahoma" w:hAnsi="Tahoma" w:cs="Tahoma"/>
      <w:sz w:val="16"/>
      <w:szCs w:val="16"/>
      <w:lang w:val="en-GB"/>
    </w:rPr>
  </w:style>
  <w:style w:type="character" w:customStyle="1" w:styleId="FooterChar">
    <w:name w:val="Footer Char"/>
    <w:aliases w:val="3_G Char"/>
    <w:link w:val="Footer"/>
    <w:uiPriority w:val="99"/>
    <w:rsid w:val="003C3A7A"/>
    <w:rPr>
      <w:sz w:val="16"/>
      <w:lang w:eastAsia="en-US"/>
    </w:rPr>
  </w:style>
  <w:style w:type="character" w:styleId="CommentReference">
    <w:name w:val="annotation reference"/>
    <w:rsid w:val="008D0E0F"/>
    <w:rPr>
      <w:sz w:val="16"/>
      <w:szCs w:val="16"/>
    </w:rPr>
  </w:style>
  <w:style w:type="paragraph" w:styleId="CommentText">
    <w:name w:val="annotation text"/>
    <w:basedOn w:val="Normal"/>
    <w:link w:val="CommentTextChar"/>
    <w:rsid w:val="008D0E0F"/>
  </w:style>
  <w:style w:type="character" w:customStyle="1" w:styleId="CommentTextChar">
    <w:name w:val="Comment Text Char"/>
    <w:link w:val="CommentText"/>
    <w:rsid w:val="008D0E0F"/>
    <w:rPr>
      <w:lang w:val="en-GB" w:eastAsia="en-US"/>
    </w:rPr>
  </w:style>
  <w:style w:type="paragraph" w:styleId="CommentSubject">
    <w:name w:val="annotation subject"/>
    <w:basedOn w:val="CommentText"/>
    <w:next w:val="CommentText"/>
    <w:link w:val="CommentSubjectChar"/>
    <w:rsid w:val="008D0E0F"/>
    <w:rPr>
      <w:b/>
      <w:bCs/>
    </w:rPr>
  </w:style>
  <w:style w:type="character" w:customStyle="1" w:styleId="CommentSubjectChar">
    <w:name w:val="Comment Subject Char"/>
    <w:link w:val="CommentSubject"/>
    <w:rsid w:val="008D0E0F"/>
    <w:rPr>
      <w:b/>
      <w:bCs/>
      <w:lang w:val="en-GB" w:eastAsia="en-US"/>
    </w:rPr>
  </w:style>
  <w:style w:type="paragraph" w:styleId="NormalWeb">
    <w:name w:val="Normal (Web)"/>
    <w:basedOn w:val="Normal"/>
    <w:uiPriority w:val="99"/>
    <w:unhideWhenUsed/>
    <w:rsid w:val="00BC1D01"/>
    <w:pPr>
      <w:suppressAutoHyphens w:val="0"/>
      <w:spacing w:before="100" w:beforeAutospacing="1" w:after="100" w:afterAutospacing="1" w:line="240" w:lineRule="auto"/>
    </w:pPr>
    <w:rPr>
      <w:sz w:val="24"/>
      <w:szCs w:val="24"/>
      <w:lang w:eastAsia="en-GB"/>
    </w:rPr>
  </w:style>
  <w:style w:type="character" w:customStyle="1" w:styleId="apple-converted-space">
    <w:name w:val="apple-converted-space"/>
    <w:rsid w:val="00BC1D01"/>
  </w:style>
  <w:style w:type="paragraph" w:styleId="ListParagraph">
    <w:name w:val="List Paragraph"/>
    <w:basedOn w:val="Normal"/>
    <w:uiPriority w:val="34"/>
    <w:qFormat/>
    <w:rsid w:val="0046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2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Issues/Development/IEDebt/Pages/Consult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ohchr.org/documents/dpage_e.aspx?si=A/HRC/31/L.24/Rev.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35E9-929E-46B2-BB74-C2DAC0BC3E7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73F84B-F0C1-4189-900A-96A21CE00AA8}"/>
</file>

<file path=customXml/itemProps3.xml><?xml version="1.0" encoding="utf-8"?>
<ds:datastoreItem xmlns:ds="http://schemas.openxmlformats.org/officeDocument/2006/customXml" ds:itemID="{3A5265B3-B3AC-48C2-9FD3-17B7D6916CF3}">
  <ds:schemaRefs>
    <ds:schemaRef ds:uri="http://schemas.microsoft.com/sharepoint/v3/contenttype/forms"/>
  </ds:schemaRefs>
</ds:datastoreItem>
</file>

<file path=customXml/itemProps4.xml><?xml version="1.0" encoding="utf-8"?>
<ds:datastoreItem xmlns:ds="http://schemas.openxmlformats.org/officeDocument/2006/customXml" ds:itemID="{DD54E9EF-05CD-45D5-A5DB-313D973D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11527</CharactersWithSpaces>
  <SharedDoc>false</SharedDoc>
  <HLinks>
    <vt:vector size="12" baseType="variant">
      <vt:variant>
        <vt:i4>1114116</vt:i4>
      </vt:variant>
      <vt:variant>
        <vt:i4>3</vt:i4>
      </vt:variant>
      <vt:variant>
        <vt:i4>0</vt:i4>
      </vt:variant>
      <vt:variant>
        <vt:i4>5</vt:i4>
      </vt:variant>
      <vt:variant>
        <vt:lpwstr>http://www.ohchr.org/EN/Issues/Development/IEDebt/Pages/Consultation.aspx</vt:lpwstr>
      </vt:variant>
      <vt:variant>
        <vt:lpwstr/>
      </vt:variant>
      <vt:variant>
        <vt:i4>6881362</vt:i4>
      </vt:variant>
      <vt:variant>
        <vt:i4>0</vt:i4>
      </vt:variant>
      <vt:variant>
        <vt:i4>0</vt:i4>
      </vt:variant>
      <vt:variant>
        <vt:i4>5</vt:i4>
      </vt:variant>
      <vt:variant>
        <vt:lpwstr>http://ap.ohchr.org/documents/dpage_e.aspx?si=A/HRC/31/L.24/Rev.1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Tchouwo</dc:creator>
  <cp:lastModifiedBy>WARDA Ebrahim</cp:lastModifiedBy>
  <cp:revision>2</cp:revision>
  <cp:lastPrinted>2014-02-26T16:17:00Z</cp:lastPrinted>
  <dcterms:created xsi:type="dcterms:W3CDTF">2019-06-18T14:16:00Z</dcterms:created>
  <dcterms:modified xsi:type="dcterms:W3CDTF">2019-06-18T14:16:00Z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