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45" w:type="dxa"/>
        <w:tblLayout w:type="fixed"/>
        <w:tblCellMar>
          <w:left w:w="0" w:type="dxa"/>
          <w:right w:w="0" w:type="dxa"/>
        </w:tblCellMar>
        <w:tblLook w:val="01E0" w:firstRow="1" w:lastRow="1" w:firstColumn="1" w:lastColumn="1" w:noHBand="0" w:noVBand="0"/>
      </w:tblPr>
      <w:tblGrid>
        <w:gridCol w:w="1260"/>
        <w:gridCol w:w="2237"/>
        <w:gridCol w:w="3216"/>
        <w:gridCol w:w="2932"/>
      </w:tblGrid>
      <w:tr w:rsidR="006234BF" w:rsidRPr="00187FA2" w14:paraId="2ADC25C2" w14:textId="77777777" w:rsidTr="007247F7">
        <w:trPr>
          <w:trHeight w:val="851"/>
        </w:trPr>
        <w:tc>
          <w:tcPr>
            <w:tcW w:w="1260" w:type="dxa"/>
            <w:tcBorders>
              <w:top w:val="nil"/>
              <w:left w:val="nil"/>
              <w:bottom w:val="single" w:sz="4" w:space="0" w:color="auto"/>
              <w:right w:val="nil"/>
            </w:tcBorders>
          </w:tcPr>
          <w:p w14:paraId="38CBE83D" w14:textId="77777777" w:rsidR="006234BF" w:rsidRPr="006234BF" w:rsidRDefault="006234BF" w:rsidP="006234BF">
            <w:pPr>
              <w:tabs>
                <w:tab w:val="right" w:pos="850"/>
                <w:tab w:val="left" w:pos="1134"/>
                <w:tab w:val="right" w:leader="dot" w:pos="8504"/>
              </w:tabs>
              <w:spacing w:before="360" w:after="240"/>
            </w:pPr>
            <w:bookmarkStart w:id="0" w:name="_GoBack"/>
            <w:bookmarkEnd w:id="0"/>
          </w:p>
        </w:tc>
        <w:tc>
          <w:tcPr>
            <w:tcW w:w="2237" w:type="dxa"/>
            <w:tcBorders>
              <w:top w:val="nil"/>
              <w:left w:val="nil"/>
              <w:bottom w:val="single" w:sz="4" w:space="0" w:color="auto"/>
              <w:right w:val="nil"/>
            </w:tcBorders>
            <w:vAlign w:val="bottom"/>
          </w:tcPr>
          <w:p w14:paraId="01994EFF" w14:textId="77777777" w:rsidR="006234BF" w:rsidRPr="006234BF" w:rsidRDefault="006234BF" w:rsidP="006234BF">
            <w:pPr>
              <w:spacing w:after="80" w:line="300" w:lineRule="exact"/>
              <w:rPr>
                <w:sz w:val="28"/>
                <w:szCs w:val="28"/>
              </w:rPr>
            </w:pPr>
          </w:p>
        </w:tc>
        <w:tc>
          <w:tcPr>
            <w:tcW w:w="6148" w:type="dxa"/>
            <w:gridSpan w:val="2"/>
            <w:tcBorders>
              <w:top w:val="nil"/>
              <w:left w:val="nil"/>
              <w:bottom w:val="single" w:sz="4" w:space="0" w:color="auto"/>
              <w:right w:val="nil"/>
            </w:tcBorders>
            <w:vAlign w:val="bottom"/>
            <w:hideMark/>
          </w:tcPr>
          <w:p w14:paraId="71783026" w14:textId="348E0726" w:rsidR="006234BF" w:rsidRPr="00187FA2" w:rsidRDefault="006234BF" w:rsidP="0066100D">
            <w:pPr>
              <w:jc w:val="right"/>
            </w:pPr>
            <w:r w:rsidRPr="00187FA2">
              <w:rPr>
                <w:sz w:val="40"/>
              </w:rPr>
              <w:t>A</w:t>
            </w:r>
            <w:r w:rsidR="00D970D6" w:rsidRPr="00187FA2">
              <w:t>/HRC/</w:t>
            </w:r>
            <w:r w:rsidR="00945E8A" w:rsidRPr="00187FA2">
              <w:t>AC</w:t>
            </w:r>
            <w:r w:rsidRPr="00187FA2">
              <w:t>/</w:t>
            </w:r>
            <w:r w:rsidR="00755F97">
              <w:t>2</w:t>
            </w:r>
            <w:r w:rsidR="003D2A0D">
              <w:t>2</w:t>
            </w:r>
            <w:r w:rsidR="00945E8A" w:rsidRPr="00187FA2">
              <w:t>/</w:t>
            </w:r>
            <w:r w:rsidRPr="00187FA2">
              <w:t>CRP.</w:t>
            </w:r>
            <w:r w:rsidR="0066100D">
              <w:t>1</w:t>
            </w:r>
          </w:p>
        </w:tc>
      </w:tr>
      <w:tr w:rsidR="006234BF" w:rsidRPr="00187FA2" w14:paraId="516A03F1" w14:textId="77777777" w:rsidTr="007247F7">
        <w:trPr>
          <w:trHeight w:val="2835"/>
        </w:trPr>
        <w:tc>
          <w:tcPr>
            <w:tcW w:w="1260" w:type="dxa"/>
            <w:tcBorders>
              <w:top w:val="single" w:sz="4" w:space="0" w:color="auto"/>
              <w:left w:val="nil"/>
              <w:bottom w:val="single" w:sz="12" w:space="0" w:color="auto"/>
              <w:right w:val="nil"/>
            </w:tcBorders>
          </w:tcPr>
          <w:p w14:paraId="5AA13D8B" w14:textId="77777777" w:rsidR="006234BF" w:rsidRPr="00187FA2" w:rsidRDefault="006234BF" w:rsidP="006234BF">
            <w:pPr>
              <w:spacing w:before="120"/>
              <w:jc w:val="center"/>
            </w:pPr>
          </w:p>
        </w:tc>
        <w:tc>
          <w:tcPr>
            <w:tcW w:w="5453" w:type="dxa"/>
            <w:gridSpan w:val="2"/>
            <w:tcBorders>
              <w:top w:val="single" w:sz="4" w:space="0" w:color="auto"/>
              <w:left w:val="nil"/>
              <w:bottom w:val="single" w:sz="12" w:space="0" w:color="auto"/>
              <w:right w:val="nil"/>
            </w:tcBorders>
          </w:tcPr>
          <w:p w14:paraId="76C2F4EE" w14:textId="77777777" w:rsidR="006234BF" w:rsidRPr="00187FA2" w:rsidRDefault="006234BF" w:rsidP="006234BF">
            <w:pPr>
              <w:spacing w:before="120" w:line="420" w:lineRule="exact"/>
              <w:rPr>
                <w:b/>
                <w:sz w:val="40"/>
                <w:szCs w:val="40"/>
              </w:rPr>
            </w:pPr>
          </w:p>
        </w:tc>
        <w:tc>
          <w:tcPr>
            <w:tcW w:w="2932" w:type="dxa"/>
            <w:tcBorders>
              <w:top w:val="single" w:sz="4" w:space="0" w:color="auto"/>
              <w:left w:val="nil"/>
              <w:bottom w:val="single" w:sz="12" w:space="0" w:color="auto"/>
              <w:right w:val="nil"/>
            </w:tcBorders>
          </w:tcPr>
          <w:p w14:paraId="303B3CD5" w14:textId="5058880A" w:rsidR="006234BF" w:rsidRPr="00187FA2" w:rsidRDefault="006234BF" w:rsidP="006234BF">
            <w:pPr>
              <w:spacing w:before="240" w:line="240" w:lineRule="exact"/>
            </w:pPr>
          </w:p>
          <w:p w14:paraId="6B998048" w14:textId="70194796" w:rsidR="006234BF" w:rsidRPr="00187FA2" w:rsidRDefault="00195EC4" w:rsidP="006234BF">
            <w:pPr>
              <w:spacing w:line="240" w:lineRule="exact"/>
            </w:pPr>
            <w:r>
              <w:t>1</w:t>
            </w:r>
            <w:r w:rsidR="0066100D">
              <w:t>2</w:t>
            </w:r>
            <w:r>
              <w:t xml:space="preserve"> February </w:t>
            </w:r>
            <w:r w:rsidR="006234BF" w:rsidRPr="00187FA2">
              <w:t>201</w:t>
            </w:r>
            <w:r>
              <w:t>9</w:t>
            </w:r>
          </w:p>
          <w:p w14:paraId="7ADB403D" w14:textId="77777777" w:rsidR="006234BF" w:rsidRPr="00187FA2" w:rsidRDefault="006234BF" w:rsidP="006234BF">
            <w:pPr>
              <w:spacing w:line="240" w:lineRule="exact"/>
            </w:pPr>
          </w:p>
          <w:p w14:paraId="483C6E8D" w14:textId="77777777" w:rsidR="006234BF" w:rsidRPr="00187FA2" w:rsidRDefault="006234BF" w:rsidP="006234BF">
            <w:pPr>
              <w:spacing w:line="240" w:lineRule="exact"/>
            </w:pPr>
            <w:r w:rsidRPr="00187FA2">
              <w:t>English only</w:t>
            </w:r>
          </w:p>
        </w:tc>
      </w:tr>
    </w:tbl>
    <w:p w14:paraId="6B2623E4" w14:textId="598EAB15" w:rsidR="00E42674" w:rsidRPr="003D2A0D" w:rsidRDefault="0066100D" w:rsidP="0064786F">
      <w:pPr>
        <w:spacing w:before="120"/>
        <w:outlineLvl w:val="0"/>
        <w:rPr>
          <w:rFonts w:eastAsia="Batang"/>
          <w:b/>
          <w:highlight w:val="yellow"/>
          <w:lang w:eastAsia="ko-KR"/>
        </w:rPr>
      </w:pPr>
      <w:r w:rsidRPr="0066100D">
        <w:rPr>
          <w:b/>
          <w:sz w:val="24"/>
          <w:szCs w:val="24"/>
        </w:rPr>
        <w:t>Advisory Committee</w:t>
      </w:r>
      <w:r w:rsidR="001D3C57" w:rsidRPr="00187FA2">
        <w:rPr>
          <w:b/>
          <w:sz w:val="24"/>
          <w:szCs w:val="24"/>
        </w:rPr>
        <w:br/>
      </w:r>
      <w:r w:rsidR="00755F97">
        <w:rPr>
          <w:b/>
        </w:rPr>
        <w:t>Twent</w:t>
      </w:r>
      <w:r w:rsidR="00312C07">
        <w:rPr>
          <w:b/>
        </w:rPr>
        <w:t>y-</w:t>
      </w:r>
      <w:r w:rsidR="003D2A0D">
        <w:rPr>
          <w:b/>
        </w:rPr>
        <w:t xml:space="preserve">second </w:t>
      </w:r>
      <w:r w:rsidR="001D3C57" w:rsidRPr="00187FA2">
        <w:rPr>
          <w:b/>
        </w:rPr>
        <w:t>session</w:t>
      </w:r>
      <w:r w:rsidR="001D3C57" w:rsidRPr="00187FA2">
        <w:rPr>
          <w:b/>
          <w:sz w:val="24"/>
          <w:szCs w:val="24"/>
        </w:rPr>
        <w:br/>
      </w:r>
      <w:r w:rsidR="003D2A0D">
        <w:t>18</w:t>
      </w:r>
      <w:r w:rsidR="00755F97">
        <w:t>-</w:t>
      </w:r>
      <w:r w:rsidR="003D2A0D">
        <w:t>22 February</w:t>
      </w:r>
      <w:r w:rsidR="00755F97">
        <w:t xml:space="preserve"> 201</w:t>
      </w:r>
      <w:r w:rsidR="00950D37">
        <w:t>9</w:t>
      </w:r>
      <w:r w:rsidR="00945E8A" w:rsidRPr="00187FA2">
        <w:br/>
      </w:r>
      <w:r w:rsidR="00945E8A" w:rsidRPr="00950D37">
        <w:t xml:space="preserve">Item </w:t>
      </w:r>
      <w:r w:rsidR="003062EB" w:rsidRPr="00950D37">
        <w:t>3</w:t>
      </w:r>
      <w:r w:rsidR="00F74B0F" w:rsidRPr="00950D37">
        <w:t xml:space="preserve"> </w:t>
      </w:r>
      <w:r w:rsidR="00945E8A" w:rsidRPr="00F649C2">
        <w:t>of the provisional agenda</w:t>
      </w:r>
      <w:r w:rsidR="00945E8A" w:rsidRPr="003D2A0D">
        <w:rPr>
          <w:b/>
          <w:highlight w:val="yellow"/>
        </w:rPr>
        <w:br/>
      </w:r>
      <w:r w:rsidR="00945E8A" w:rsidRPr="003D2A0D">
        <w:rPr>
          <w:b/>
        </w:rPr>
        <w:t>Requests addressed to the Advisory Committee stemming from Human Rights resolution</w:t>
      </w:r>
      <w:r w:rsidR="0022180B" w:rsidRPr="003D2A0D">
        <w:rPr>
          <w:b/>
        </w:rPr>
        <w:t>s</w:t>
      </w:r>
      <w:r w:rsidR="00945E8A" w:rsidRPr="003D2A0D">
        <w:rPr>
          <w:b/>
        </w:rPr>
        <w:t>:</w:t>
      </w:r>
      <w:r w:rsidR="00945E8A" w:rsidRPr="003D2A0D">
        <w:rPr>
          <w:b/>
          <w:highlight w:val="yellow"/>
        </w:rPr>
        <w:br/>
      </w:r>
      <w:r>
        <w:rPr>
          <w:b/>
          <w:bCs/>
          <w:lang w:eastAsia="ko-KR"/>
        </w:rPr>
        <w:t xml:space="preserve">Contribution on the activities of vulture funds and the </w:t>
      </w:r>
      <w:r w:rsidR="00A808E0">
        <w:rPr>
          <w:b/>
          <w:bCs/>
          <w:lang w:eastAsia="ko-KR"/>
        </w:rPr>
        <w:t>impact</w:t>
      </w:r>
      <w:r>
        <w:rPr>
          <w:b/>
          <w:bCs/>
          <w:lang w:eastAsia="ko-KR"/>
        </w:rPr>
        <w:t xml:space="preserve"> of human rights</w:t>
      </w:r>
    </w:p>
    <w:p w14:paraId="3F44FB46" w14:textId="77777777" w:rsidR="0066100D" w:rsidRDefault="00BA639A" w:rsidP="0066100D">
      <w:pPr>
        <w:pStyle w:val="HChG"/>
      </w:pPr>
      <w:r w:rsidRPr="00F649C2">
        <w:tab/>
      </w:r>
      <w:r w:rsidR="003D2A0D" w:rsidRPr="003D2A0D">
        <w:rPr>
          <w:lang w:val="en-GB"/>
        </w:rPr>
        <w:tab/>
      </w:r>
      <w:r w:rsidR="003D2A0D" w:rsidRPr="003D2A0D">
        <w:rPr>
          <w:lang w:val="en-GB"/>
        </w:rPr>
        <w:tab/>
      </w:r>
      <w:r w:rsidR="0066100D">
        <w:rPr>
          <w:lang w:eastAsia="en-GB"/>
        </w:rPr>
        <w:t>Draft final r</w:t>
      </w:r>
      <w:r w:rsidR="0066100D" w:rsidRPr="00EF51CB">
        <w:t>eport o</w:t>
      </w:r>
      <w:r w:rsidR="0066100D">
        <w:t>f</w:t>
      </w:r>
      <w:r w:rsidR="0066100D" w:rsidRPr="00EF51CB">
        <w:t xml:space="preserve"> the </w:t>
      </w:r>
      <w:r w:rsidR="0066100D">
        <w:t xml:space="preserve">Human Rights Council Advisory Committee on the </w:t>
      </w:r>
      <w:r w:rsidR="0066100D" w:rsidRPr="00EF51CB">
        <w:t>activities of vulture funds and the impact on human rights</w:t>
      </w:r>
    </w:p>
    <w:p w14:paraId="54687C01" w14:textId="77777777" w:rsidR="0066100D" w:rsidRPr="001233D3" w:rsidRDefault="0066100D" w:rsidP="0066100D">
      <w:pPr>
        <w:pStyle w:val="SingleTxtG"/>
        <w:rPr>
          <w:b/>
          <w:lang w:eastAsia="en-GB"/>
        </w:rPr>
      </w:pPr>
      <w:r>
        <w:tab/>
      </w:r>
      <w:r>
        <w:tab/>
      </w:r>
      <w:r w:rsidRPr="001233D3">
        <w:t>(Draft final report, 8 February 2019), prepared by Jean Ziegler, Rapporteur of the drafting group. Updated version of A/HRC/33/54</w:t>
      </w:r>
      <w:r w:rsidRPr="001233D3">
        <w:rPr>
          <w:lang w:eastAsia="en-GB"/>
        </w:rPr>
        <w:t xml:space="preserve"> </w:t>
      </w:r>
    </w:p>
    <w:p w14:paraId="4661C5D3" w14:textId="77777777" w:rsidR="0066100D" w:rsidRDefault="006234BF" w:rsidP="00580555">
      <w:pPr>
        <w:tabs>
          <w:tab w:val="left" w:pos="8505"/>
        </w:tabs>
        <w:spacing w:after="120"/>
      </w:pPr>
      <w:r w:rsidRPr="00187FA2">
        <w:br w:type="page"/>
      </w:r>
    </w:p>
    <w:p w14:paraId="48F86917" w14:textId="77777777" w:rsidR="0066100D" w:rsidRPr="00466320" w:rsidRDefault="0066100D" w:rsidP="0066100D">
      <w:pPr>
        <w:pStyle w:val="HChG"/>
        <w:rPr>
          <w:lang w:eastAsia="en-GB"/>
        </w:rPr>
      </w:pPr>
      <w:r>
        <w:rPr>
          <w:lang w:eastAsia="en-GB"/>
        </w:rPr>
        <w:lastRenderedPageBreak/>
        <w:tab/>
      </w:r>
      <w:r>
        <w:rPr>
          <w:lang w:eastAsia="en-GB"/>
        </w:rPr>
        <w:tab/>
      </w:r>
      <w:r w:rsidRPr="0008396E">
        <w:rPr>
          <w:lang w:eastAsia="en-GB"/>
        </w:rPr>
        <w:t>Report of the Human Rights Council Advisory Committee on</w:t>
      </w:r>
      <w:r>
        <w:rPr>
          <w:lang w:eastAsia="en-GB"/>
        </w:rPr>
        <w:t> </w:t>
      </w:r>
      <w:r w:rsidRPr="0008396E">
        <w:rPr>
          <w:lang w:eastAsia="en-GB"/>
        </w:rPr>
        <w:t>the activities of vulture funds and the impact on human rights</w:t>
      </w:r>
    </w:p>
    <w:p w14:paraId="7CE46AE6" w14:textId="77777777" w:rsidR="0066100D" w:rsidRPr="005C5AAB" w:rsidRDefault="0066100D" w:rsidP="0066100D">
      <w:pPr>
        <w:rPr>
          <w:sz w:val="28"/>
          <w:szCs w:val="28"/>
          <w:lang w:eastAsia="en-GB"/>
        </w:rPr>
      </w:pPr>
      <w:r w:rsidRPr="005C5AAB">
        <w:rPr>
          <w:sz w:val="28"/>
          <w:szCs w:val="28"/>
          <w:lang w:eastAsia="en-GB"/>
        </w:rPr>
        <w:t>Contents</w:t>
      </w:r>
    </w:p>
    <w:p w14:paraId="61E5E7B3" w14:textId="77777777" w:rsidR="0066100D" w:rsidRPr="00B94680" w:rsidRDefault="0066100D" w:rsidP="0066100D">
      <w:pPr>
        <w:tabs>
          <w:tab w:val="right" w:pos="8929"/>
          <w:tab w:val="right" w:pos="9638"/>
        </w:tabs>
        <w:spacing w:after="120"/>
        <w:ind w:left="283"/>
        <w:rPr>
          <w:i/>
          <w:sz w:val="18"/>
        </w:rPr>
      </w:pPr>
      <w:r w:rsidRPr="00B94680">
        <w:rPr>
          <w:i/>
          <w:sz w:val="18"/>
        </w:rPr>
        <w:tab/>
      </w:r>
      <w:r w:rsidRPr="00B94680">
        <w:rPr>
          <w:i/>
          <w:sz w:val="18"/>
        </w:rPr>
        <w:tab/>
        <w:t>Page</w:t>
      </w:r>
    </w:p>
    <w:p w14:paraId="4BF69877"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I.</w:t>
      </w:r>
      <w:r w:rsidRPr="00B94680">
        <w:tab/>
        <w:t>Introduction</w:t>
      </w:r>
      <w:r w:rsidRPr="00B94680">
        <w:tab/>
      </w:r>
      <w:r w:rsidRPr="00B94680">
        <w:tab/>
        <w:t>3</w:t>
      </w:r>
    </w:p>
    <w:p w14:paraId="4E43F049"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II.</w:t>
      </w:r>
      <w:r w:rsidRPr="00B94680">
        <w:tab/>
        <w:t>What are vulture funds?</w:t>
      </w:r>
      <w:r w:rsidRPr="00B94680">
        <w:tab/>
      </w:r>
      <w:r w:rsidRPr="00B94680">
        <w:tab/>
        <w:t>3</w:t>
      </w:r>
    </w:p>
    <w:p w14:paraId="1F65FF4E"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III.</w:t>
      </w:r>
      <w:r w:rsidRPr="00B94680">
        <w:tab/>
        <w:t>Case studies</w:t>
      </w:r>
      <w:r w:rsidRPr="00B94680">
        <w:tab/>
      </w:r>
      <w:r w:rsidRPr="00B94680">
        <w:tab/>
        <w:t>6</w:t>
      </w:r>
    </w:p>
    <w:p w14:paraId="2700248F"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r>
      <w:r w:rsidRPr="00B94680">
        <w:tab/>
        <w:t>A.</w:t>
      </w:r>
      <w:r w:rsidRPr="00B94680">
        <w:tab/>
      </w:r>
      <w:r w:rsidRPr="0008396E">
        <w:rPr>
          <w:i/>
        </w:rPr>
        <w:t>Donegal International v. Zambia</w:t>
      </w:r>
      <w:r w:rsidRPr="00B94680">
        <w:tab/>
      </w:r>
      <w:r w:rsidRPr="00B94680">
        <w:tab/>
        <w:t>6</w:t>
      </w:r>
    </w:p>
    <w:p w14:paraId="4B8757E4"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r>
      <w:r w:rsidRPr="00B94680">
        <w:tab/>
        <w:t>B.</w:t>
      </w:r>
      <w:r w:rsidRPr="00B94680">
        <w:tab/>
      </w:r>
      <w:r w:rsidRPr="0008396E">
        <w:rPr>
          <w:i/>
        </w:rPr>
        <w:t>FG Hemisphere v. Democratic Republic of the Congo</w:t>
      </w:r>
      <w:r w:rsidRPr="00B94680">
        <w:tab/>
      </w:r>
      <w:r w:rsidRPr="00B94680">
        <w:tab/>
        <w:t>7</w:t>
      </w:r>
    </w:p>
    <w:p w14:paraId="2243ACC8"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r>
      <w:r w:rsidRPr="00B94680">
        <w:tab/>
        <w:t>C.</w:t>
      </w:r>
      <w:r w:rsidRPr="00B94680">
        <w:tab/>
      </w:r>
      <w:r w:rsidRPr="0008396E">
        <w:rPr>
          <w:i/>
        </w:rPr>
        <w:t xml:space="preserve">NML Capital </w:t>
      </w:r>
      <w:r>
        <w:rPr>
          <w:i/>
        </w:rPr>
        <w:t>Limited</w:t>
      </w:r>
      <w:r w:rsidRPr="0008396E">
        <w:rPr>
          <w:i/>
        </w:rPr>
        <w:t>. v. Argentina</w:t>
      </w:r>
      <w:r w:rsidRPr="00B94680">
        <w:tab/>
      </w:r>
      <w:r w:rsidRPr="00B94680">
        <w:tab/>
        <w:t>8</w:t>
      </w:r>
    </w:p>
    <w:p w14:paraId="19483E2A"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IV.</w:t>
      </w:r>
      <w:r w:rsidRPr="00B94680">
        <w:tab/>
        <w:t>Disruptive</w:t>
      </w:r>
      <w:r>
        <w:t xml:space="preserve"> litigation: a growing trend </w:t>
      </w:r>
      <w:r>
        <w:tab/>
      </w:r>
      <w:r>
        <w:tab/>
        <w:t>9</w:t>
      </w:r>
    </w:p>
    <w:p w14:paraId="03858C01"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V.</w:t>
      </w:r>
      <w:r w:rsidRPr="00B94680">
        <w:tab/>
        <w:t>National legislation</w:t>
      </w:r>
      <w:r w:rsidRPr="00B94680">
        <w:tab/>
      </w:r>
      <w:r w:rsidRPr="00B94680">
        <w:tab/>
        <w:t>11</w:t>
      </w:r>
    </w:p>
    <w:p w14:paraId="3558C56D"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VI.</w:t>
      </w:r>
      <w:r w:rsidRPr="00B94680">
        <w:tab/>
        <w:t>Forging international consensus</w:t>
      </w:r>
      <w:r w:rsidRPr="00B94680">
        <w:tab/>
      </w:r>
      <w:r w:rsidRPr="00B94680">
        <w:tab/>
        <w:t>1</w:t>
      </w:r>
      <w:r>
        <w:t>3</w:t>
      </w:r>
    </w:p>
    <w:p w14:paraId="299AAFE1"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VII.</w:t>
      </w:r>
      <w:r w:rsidRPr="00B94680">
        <w:tab/>
        <w:t>Towards a multilateral framework on debt restructuring</w:t>
      </w:r>
      <w:r w:rsidRPr="00B94680">
        <w:tab/>
      </w:r>
      <w:r w:rsidRPr="00B94680">
        <w:tab/>
      </w:r>
      <w:r>
        <w:t>14</w:t>
      </w:r>
    </w:p>
    <w:p w14:paraId="2E5A16F1"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VIII.</w:t>
      </w:r>
      <w:r w:rsidRPr="00B94680">
        <w:tab/>
      </w:r>
      <w:r>
        <w:t>Impact of the activities of vulture funds on human rights</w:t>
      </w:r>
      <w:r>
        <w:tab/>
      </w:r>
      <w:r w:rsidRPr="00B94680">
        <w:tab/>
      </w:r>
      <w:r>
        <w:t>15</w:t>
      </w:r>
    </w:p>
    <w:p w14:paraId="512EEAF9"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IX.</w:t>
      </w:r>
      <w:r w:rsidRPr="00B94680">
        <w:tab/>
        <w:t>Strengthening a human rights-based approach</w:t>
      </w:r>
      <w:r w:rsidRPr="00B94680">
        <w:tab/>
      </w:r>
      <w:r w:rsidRPr="00B94680">
        <w:tab/>
        <w:t>19</w:t>
      </w:r>
    </w:p>
    <w:p w14:paraId="0FF940FB" w14:textId="77777777" w:rsidR="0066100D" w:rsidRPr="00B94680" w:rsidRDefault="0066100D" w:rsidP="0066100D">
      <w:pPr>
        <w:tabs>
          <w:tab w:val="right" w:pos="850"/>
          <w:tab w:val="left" w:pos="1134"/>
          <w:tab w:val="left" w:pos="1559"/>
          <w:tab w:val="left" w:pos="1984"/>
          <w:tab w:val="left" w:leader="dot" w:pos="8931"/>
          <w:tab w:val="right" w:pos="9638"/>
        </w:tabs>
        <w:spacing w:after="120"/>
      </w:pPr>
      <w:r w:rsidRPr="00B94680">
        <w:tab/>
        <w:t>X.</w:t>
      </w:r>
      <w:r w:rsidRPr="00B94680">
        <w:tab/>
        <w:t>Conclusions and recommendations</w:t>
      </w:r>
      <w:r w:rsidRPr="00B94680">
        <w:tab/>
      </w:r>
      <w:r w:rsidRPr="00B94680">
        <w:tab/>
        <w:t>21</w:t>
      </w:r>
    </w:p>
    <w:p w14:paraId="385E6BB0" w14:textId="0952C528" w:rsidR="0066100D" w:rsidRPr="00B94680" w:rsidRDefault="0066100D" w:rsidP="00594EF8">
      <w:pPr>
        <w:pStyle w:val="HChG"/>
        <w:ind w:hanging="567"/>
      </w:pPr>
      <w:r w:rsidRPr="00B94680">
        <w:rPr>
          <w:lang w:eastAsia="en-GB"/>
        </w:rPr>
        <w:br w:type="page"/>
      </w:r>
    </w:p>
    <w:p w14:paraId="58E97342" w14:textId="39859C6C" w:rsidR="00594EF8" w:rsidRPr="00594EF8" w:rsidRDefault="00594EF8" w:rsidP="00594EF8">
      <w:pPr>
        <w:pStyle w:val="HChG"/>
      </w:pPr>
      <w:r>
        <w:rPr>
          <w:lang w:val="en-GB"/>
        </w:rPr>
        <w:lastRenderedPageBreak/>
        <w:tab/>
        <w:t>I.</w:t>
      </w:r>
      <w:r>
        <w:rPr>
          <w:lang w:val="en-GB"/>
        </w:rPr>
        <w:tab/>
      </w:r>
      <w:r>
        <w:rPr>
          <w:lang w:val="en-GB"/>
        </w:rPr>
        <w:tab/>
      </w:r>
      <w:r>
        <w:t>Introduction</w:t>
      </w:r>
    </w:p>
    <w:p w14:paraId="1955FE7B" w14:textId="6694D16B" w:rsidR="0066100D" w:rsidRPr="00B94680" w:rsidRDefault="0066100D" w:rsidP="0066100D">
      <w:pPr>
        <w:pStyle w:val="SingleTxtG"/>
      </w:pPr>
      <w:r w:rsidRPr="00B94680">
        <w:t>1.</w:t>
      </w:r>
      <w:r w:rsidRPr="00B94680">
        <w:tab/>
        <w:t>Th</w:t>
      </w:r>
      <w:r>
        <w:t>e</w:t>
      </w:r>
      <w:r w:rsidRPr="00B94680">
        <w:t xml:space="preserve"> </w:t>
      </w:r>
      <w:r>
        <w:t xml:space="preserve">present </w:t>
      </w:r>
      <w:r w:rsidRPr="00B94680">
        <w:t xml:space="preserve">report is submitted in accordance with Human Rights Council </w:t>
      </w:r>
      <w:r>
        <w:t>r</w:t>
      </w:r>
      <w:r w:rsidRPr="00B94680">
        <w:t xml:space="preserve">esolution 27/30, by which the Council requested the </w:t>
      </w:r>
      <w:r>
        <w:t xml:space="preserve">Human Rights Council </w:t>
      </w:r>
      <w:r w:rsidRPr="00B94680">
        <w:t>Advisory Committee to prepare a research-based report on the activities of vulture fund</w:t>
      </w:r>
      <w:r>
        <w:t>s</w:t>
      </w:r>
      <w:r w:rsidRPr="00B94680">
        <w:t xml:space="preserve"> and their impact on human rights.</w:t>
      </w:r>
    </w:p>
    <w:p w14:paraId="1310695C" w14:textId="77777777" w:rsidR="0066100D" w:rsidRPr="00B94680" w:rsidRDefault="0066100D" w:rsidP="0066100D">
      <w:pPr>
        <w:pStyle w:val="SingleTxtG"/>
      </w:pPr>
      <w:r w:rsidRPr="00B94680">
        <w:t>2.</w:t>
      </w:r>
      <w:r w:rsidRPr="00B94680">
        <w:tab/>
      </w:r>
      <w:r>
        <w:t>In</w:t>
      </w:r>
      <w:r w:rsidRPr="00B94680">
        <w:t xml:space="preserve"> the resolution, </w:t>
      </w:r>
      <w:r>
        <w:t xml:space="preserve">the Council reaffirmed that the activities of </w:t>
      </w:r>
      <w:r w:rsidRPr="00B94680">
        <w:t>vulture funds highlight</w:t>
      </w:r>
      <w:r>
        <w:t>ed</w:t>
      </w:r>
      <w:r w:rsidRPr="00B94680">
        <w:t xml:space="preserve"> some of the problems in the global financial system and </w:t>
      </w:r>
      <w:r>
        <w:t>were</w:t>
      </w:r>
      <w:r w:rsidRPr="00B94680">
        <w:t xml:space="preserve"> indicative of the unjust nature of the current system, which directly affec</w:t>
      </w:r>
      <w:r>
        <w:t>ted</w:t>
      </w:r>
      <w:r w:rsidRPr="00B94680">
        <w:t xml:space="preserve"> the enjoyment of human rights in debtor States. </w:t>
      </w:r>
      <w:r>
        <w:t xml:space="preserve">The Council called upon </w:t>
      </w:r>
      <w:r w:rsidRPr="00B94680">
        <w:t>States to consider implementing legal frameworks to curtail predatory funds activities within their jurisdictions.</w:t>
      </w:r>
    </w:p>
    <w:p w14:paraId="77A6BC7E" w14:textId="77777777" w:rsidR="0066100D" w:rsidRPr="00B94680" w:rsidRDefault="0066100D" w:rsidP="0066100D">
      <w:pPr>
        <w:pStyle w:val="SingleTxtG"/>
      </w:pPr>
      <w:r w:rsidRPr="00B94680">
        <w:t>3.</w:t>
      </w:r>
      <w:r w:rsidRPr="00B94680">
        <w:tab/>
        <w:t xml:space="preserve">In </w:t>
      </w:r>
      <w:r>
        <w:t>preparing the</w:t>
      </w:r>
      <w:r w:rsidRPr="00B94680">
        <w:t xml:space="preserve"> report, the Advisory Committee sought the views and inputs of Member States, United Nations agencies, relevant international and regional organizations, the Office of the </w:t>
      </w:r>
      <w:r>
        <w:t xml:space="preserve">United Nations </w:t>
      </w:r>
      <w:r w:rsidRPr="00B94680">
        <w:t>High Commissioner for Human Rights</w:t>
      </w:r>
      <w:r>
        <w:t xml:space="preserve"> (OHCHR)</w:t>
      </w:r>
      <w:r w:rsidRPr="00B94680">
        <w:t xml:space="preserve"> and relevant special procedures</w:t>
      </w:r>
      <w:r>
        <w:t xml:space="preserve"> mandate holders</w:t>
      </w:r>
      <w:r w:rsidRPr="00B94680">
        <w:t>, including the Independent Expert on the effects of foreign debt and other related international financial obligations of States on the full enjoyment of all human rights, particularly economic, social and cultural rights, as well as national human rights institutions, non-governmental organizations and eminent academics.</w:t>
      </w:r>
      <w:r>
        <w:t xml:space="preserve"> The report was prepared by the Rapporteur of the drafting group on</w:t>
      </w:r>
      <w:r w:rsidRPr="004A70CE">
        <w:t xml:space="preserve"> the activities of vulture funds </w:t>
      </w:r>
      <w:r>
        <w:t>and the impact on</w:t>
      </w:r>
      <w:r w:rsidRPr="004A70CE">
        <w:t xml:space="preserve"> human rights</w:t>
      </w:r>
      <w:r>
        <w:t>, Jean Ziegler.</w:t>
      </w:r>
    </w:p>
    <w:p w14:paraId="529A3851" w14:textId="77777777" w:rsidR="0066100D" w:rsidRPr="00B94680" w:rsidRDefault="0066100D" w:rsidP="0066100D">
      <w:pPr>
        <w:pStyle w:val="SingleTxtG"/>
      </w:pPr>
      <w:r w:rsidRPr="00B94680">
        <w:t>4.</w:t>
      </w:r>
      <w:r w:rsidRPr="00B94680">
        <w:tab/>
        <w:t xml:space="preserve">The Advisory Committee would like to thank in particular </w:t>
      </w:r>
      <w:r>
        <w:t xml:space="preserve">the Governments of </w:t>
      </w:r>
      <w:r w:rsidRPr="00B94680">
        <w:t xml:space="preserve">Argentina, Cuba, El Salvador, Kuwait, Mauritius, </w:t>
      </w:r>
      <w:r>
        <w:t xml:space="preserve">the </w:t>
      </w:r>
      <w:r w:rsidRPr="00B94680">
        <w:t>Philippines and the Bolivarian Republic of Venezuela, the Ombudsman</w:t>
      </w:r>
      <w:r>
        <w:t xml:space="preserve"> of Portugal</w:t>
      </w:r>
      <w:r w:rsidRPr="00B94680">
        <w:t>, the National Commission for Human Rights</w:t>
      </w:r>
      <w:r>
        <w:t xml:space="preserve"> of Greece</w:t>
      </w:r>
      <w:r w:rsidRPr="00B94680">
        <w:t>, the Centre for Legal and Social Studies</w:t>
      </w:r>
      <w:r>
        <w:t xml:space="preserve"> </w:t>
      </w:r>
      <w:r w:rsidRPr="00B94680">
        <w:t xml:space="preserve">(CELS), </w:t>
      </w:r>
      <w:r>
        <w:t xml:space="preserve">the </w:t>
      </w:r>
      <w:r w:rsidRPr="00B94680">
        <w:t>Centre Europe–</w:t>
      </w:r>
      <w:r>
        <w:t>t</w:t>
      </w:r>
      <w:r w:rsidRPr="00B94680">
        <w:t xml:space="preserve">iers </w:t>
      </w:r>
      <w:r>
        <w:t>m</w:t>
      </w:r>
      <w:r w:rsidRPr="00B94680">
        <w:t>onde (CETIM)</w:t>
      </w:r>
      <w:r>
        <w:t>, the Committee for the Abolition of Illegitimate Debt (CADTM)</w:t>
      </w:r>
      <w:r w:rsidRPr="00B94680">
        <w:t xml:space="preserve"> and the Asamblea Permanente por los Derechos Humanos </w:t>
      </w:r>
      <w:r>
        <w:t>(APDH)</w:t>
      </w:r>
      <w:r w:rsidRPr="00B94680">
        <w:t xml:space="preserve"> for the information provided in response to the questionnaire</w:t>
      </w:r>
      <w:r>
        <w:t>s sent in March 2015 and February 2018</w:t>
      </w:r>
      <w:r w:rsidRPr="00B94680">
        <w:t>.</w:t>
      </w:r>
    </w:p>
    <w:p w14:paraId="016F4FB9" w14:textId="77777777" w:rsidR="0066100D" w:rsidRPr="00B94680" w:rsidRDefault="0066100D" w:rsidP="0066100D">
      <w:pPr>
        <w:pStyle w:val="SingleTxtG"/>
      </w:pPr>
      <w:r w:rsidRPr="00B94680">
        <w:t>5.</w:t>
      </w:r>
      <w:r w:rsidRPr="00B94680">
        <w:tab/>
      </w:r>
      <w:r>
        <w:t>In this</w:t>
      </w:r>
      <w:r w:rsidRPr="00B94680">
        <w:t xml:space="preserve"> report </w:t>
      </w:r>
      <w:r>
        <w:t xml:space="preserve">the Rapporteur </w:t>
      </w:r>
      <w:r w:rsidRPr="00B94680">
        <w:t xml:space="preserve">highlights the growing concerns </w:t>
      </w:r>
      <w:r>
        <w:t>raised</w:t>
      </w:r>
      <w:r w:rsidRPr="00B94680">
        <w:t xml:space="preserve"> by </w:t>
      </w:r>
      <w:r>
        <w:t xml:space="preserve">the </w:t>
      </w:r>
      <w:r w:rsidRPr="00B94680">
        <w:t xml:space="preserve">strategies employed by vulture funds. </w:t>
      </w:r>
      <w:r>
        <w:t>He</w:t>
      </w:r>
      <w:r w:rsidRPr="00B94680">
        <w:t xml:space="preserve"> analyses some of the most striking examples </w:t>
      </w:r>
      <w:r>
        <w:t xml:space="preserve">as well as </w:t>
      </w:r>
      <w:r w:rsidRPr="00B94680">
        <w:t xml:space="preserve">national and international initiatives </w:t>
      </w:r>
      <w:r>
        <w:t xml:space="preserve">and efforts </w:t>
      </w:r>
      <w:r w:rsidRPr="00B94680">
        <w:t xml:space="preserve">undertaken to </w:t>
      </w:r>
      <w:r>
        <w:t xml:space="preserve">face and </w:t>
      </w:r>
      <w:r w:rsidRPr="00B94680">
        <w:t xml:space="preserve">mitigate the negative impact </w:t>
      </w:r>
      <w:r>
        <w:t xml:space="preserve">steaming from those activities on </w:t>
      </w:r>
      <w:r w:rsidRPr="00B94680">
        <w:t>the enjoyment of economic, social and cultural rights and the right to development.</w:t>
      </w:r>
    </w:p>
    <w:p w14:paraId="26522CF2" w14:textId="77777777" w:rsidR="0066100D" w:rsidRPr="00B94680" w:rsidRDefault="0066100D" w:rsidP="00594EF8">
      <w:pPr>
        <w:pStyle w:val="HChG"/>
      </w:pPr>
      <w:r w:rsidRPr="00B94680">
        <w:tab/>
        <w:t>II.</w:t>
      </w:r>
      <w:r w:rsidRPr="00B94680">
        <w:tab/>
        <w:t xml:space="preserve">What are </w:t>
      </w:r>
      <w:r w:rsidRPr="00594EF8">
        <w:t>vulture</w:t>
      </w:r>
      <w:r w:rsidRPr="00B94680">
        <w:t xml:space="preserve"> funds?</w:t>
      </w:r>
    </w:p>
    <w:p w14:paraId="3993175B" w14:textId="77777777" w:rsidR="0066100D" w:rsidRPr="00B94680" w:rsidRDefault="0066100D" w:rsidP="0066100D">
      <w:pPr>
        <w:pStyle w:val="SingleTxtG"/>
      </w:pPr>
      <w:r w:rsidRPr="00B94680">
        <w:t>6.</w:t>
      </w:r>
      <w:r w:rsidRPr="00B94680">
        <w:tab/>
        <w:t xml:space="preserve">There is no international legal regime governing cases of </w:t>
      </w:r>
      <w:r>
        <w:t>S</w:t>
      </w:r>
      <w:r w:rsidRPr="00B94680">
        <w:t xml:space="preserve">tate </w:t>
      </w:r>
      <w:r>
        <w:t>“</w:t>
      </w:r>
      <w:r w:rsidRPr="00B94680">
        <w:t>insolvency</w:t>
      </w:r>
      <w:r>
        <w:t>”</w:t>
      </w:r>
      <w:r w:rsidRPr="00B94680">
        <w:t xml:space="preserve"> or </w:t>
      </w:r>
      <w:r>
        <w:t>“</w:t>
      </w:r>
      <w:r w:rsidRPr="00B94680">
        <w:t>bankruptcy</w:t>
      </w:r>
      <w:r>
        <w:t>”</w:t>
      </w:r>
      <w:r w:rsidRPr="00B94680">
        <w:t xml:space="preserve">. When a </w:t>
      </w:r>
      <w:r>
        <w:t>S</w:t>
      </w:r>
      <w:r w:rsidRPr="00B94680">
        <w:t xml:space="preserve">tate defaults on its sovereign debt, a process for restructuring the debt must be initiated at its own initiative in order to get a reduction </w:t>
      </w:r>
      <w:r>
        <w:t>of the debt or</w:t>
      </w:r>
      <w:r w:rsidRPr="00B94680">
        <w:t xml:space="preserve"> an extension of </w:t>
      </w:r>
      <w:r>
        <w:t>the re</w:t>
      </w:r>
      <w:r w:rsidRPr="00B94680">
        <w:t xml:space="preserve">payment terms. This implies undertaking complex and protracted negotiations with a very </w:t>
      </w:r>
      <w:r>
        <w:t>diverse</w:t>
      </w:r>
      <w:r w:rsidRPr="00B94680">
        <w:t xml:space="preserve"> range of creditors.</w:t>
      </w:r>
      <w:r w:rsidRPr="0008396E">
        <w:rPr>
          <w:rStyle w:val="FootnoteReference"/>
        </w:rPr>
        <w:footnoteReference w:id="2"/>
      </w:r>
      <w:r w:rsidRPr="00B94680">
        <w:t xml:space="preserve"> Participation in restructuring processes is voluntary and</w:t>
      </w:r>
      <w:r>
        <w:t>,</w:t>
      </w:r>
      <w:r w:rsidRPr="00B94680">
        <w:t xml:space="preserve"> therefore, even a small percentage of creditors may well decide to hold out with a view </w:t>
      </w:r>
      <w:r>
        <w:t>to</w:t>
      </w:r>
      <w:r w:rsidRPr="00B94680">
        <w:t xml:space="preserve"> obtaining a higher level of repayment in the future. It is at this point that vulture funds come into play. </w:t>
      </w:r>
    </w:p>
    <w:p w14:paraId="5AF3E26C" w14:textId="77777777" w:rsidR="0066100D" w:rsidRPr="00B94680" w:rsidRDefault="0066100D" w:rsidP="00594EF8">
      <w:pPr>
        <w:pStyle w:val="SingleTxtG"/>
      </w:pPr>
      <w:r w:rsidRPr="00B94680">
        <w:t>7.</w:t>
      </w:r>
      <w:r w:rsidRPr="00B94680">
        <w:tab/>
        <w:t xml:space="preserve">According to Cephas Lumina, the former Independent Expert on the effects of foreign debt </w:t>
      </w:r>
      <w:r>
        <w:t>on</w:t>
      </w:r>
      <w:r w:rsidRPr="00B94680">
        <w:t xml:space="preserve"> human rights, </w:t>
      </w:r>
      <w:r>
        <w:t>vulture funds</w:t>
      </w:r>
      <w:r w:rsidRPr="00B94680">
        <w:t xml:space="preserve"> are:</w:t>
      </w:r>
    </w:p>
    <w:p w14:paraId="59424204" w14:textId="77777777" w:rsidR="0066100D" w:rsidRPr="00B94680" w:rsidRDefault="0066100D" w:rsidP="0066100D">
      <w:pPr>
        <w:pStyle w:val="SingleTxtG"/>
        <w:ind w:left="1701"/>
      </w:pPr>
      <w:r>
        <w:t>p</w:t>
      </w:r>
      <w:r w:rsidRPr="00B94680">
        <w:t xml:space="preserve">rivate commercial entities that acquire, either by purchase, assignment or some other form of transaction, defaulted or distressed debts, and sometimes actual court judgments, with the aim of achieving a high return. In the sovereign debt context, vulture funds (or </w:t>
      </w:r>
      <w:r>
        <w:t>“</w:t>
      </w:r>
      <w:r w:rsidRPr="00B94680">
        <w:t>distressed debt funds</w:t>
      </w:r>
      <w:r>
        <w:t>”</w:t>
      </w:r>
      <w:r w:rsidRPr="00B94680">
        <w:t>, as they often describe themselves) usually acquire the defaulted sovereign debt of poor countries (many of which are heavily indebted poor countries (HIPCs)</w:t>
      </w:r>
      <w:r>
        <w:t>,</w:t>
      </w:r>
      <w:r w:rsidRPr="00B94680">
        <w:t xml:space="preserve"> on the secondary market at a price far less than its face value and then attempt, through litigation, seizure of assets or political pressure, </w:t>
      </w:r>
      <w:r w:rsidRPr="00B94680">
        <w:lastRenderedPageBreak/>
        <w:t>to seek repayment of the full face value of the debt together with interest, penalties and legal fees</w:t>
      </w:r>
      <w:r>
        <w:t xml:space="preserve"> (see </w:t>
      </w:r>
      <w:r w:rsidRPr="00282C5F">
        <w:rPr>
          <w:szCs w:val="18"/>
        </w:rPr>
        <w:t>A/HRC/14/21, para. 8</w:t>
      </w:r>
      <w:r>
        <w:rPr>
          <w:szCs w:val="18"/>
        </w:rPr>
        <w:t>)</w:t>
      </w:r>
      <w:r w:rsidRPr="00B94680">
        <w:t>.</w:t>
      </w:r>
    </w:p>
    <w:p w14:paraId="5DEB8C29" w14:textId="77777777" w:rsidR="0066100D" w:rsidRPr="00B94680" w:rsidRDefault="0066100D" w:rsidP="0066100D">
      <w:pPr>
        <w:pStyle w:val="SingleTxtG"/>
      </w:pPr>
      <w:r w:rsidRPr="00B94680">
        <w:t>8.</w:t>
      </w:r>
      <w:r w:rsidRPr="00B94680">
        <w:tab/>
        <w:t>These commercial entities are not lenders, but private hedge funds that purchase on the secondary market (or collect from other bondholders) distressed debt at discounted prices</w:t>
      </w:r>
      <w:r>
        <w:t xml:space="preserve"> and</w:t>
      </w:r>
      <w:r w:rsidRPr="00B94680">
        <w:t xml:space="preserve"> then su</w:t>
      </w:r>
      <w:r>
        <w:t>e</w:t>
      </w:r>
      <w:r w:rsidRPr="00B94680">
        <w:t xml:space="preserve"> the debtor for a much higher amount. They are popularly called </w:t>
      </w:r>
      <w:r>
        <w:t>“</w:t>
      </w:r>
      <w:r w:rsidRPr="00B94680">
        <w:t>vulture</w:t>
      </w:r>
      <w:r>
        <w:t>s”</w:t>
      </w:r>
      <w:r w:rsidRPr="00B94680">
        <w:t xml:space="preserve"> because of their modus operandi</w:t>
      </w:r>
      <w:r>
        <w:t>,</w:t>
      </w:r>
      <w:r w:rsidRPr="00B94680">
        <w:t xml:space="preserve"> whereby they:</w:t>
      </w:r>
    </w:p>
    <w:p w14:paraId="306CF2A3" w14:textId="77777777" w:rsidR="0066100D" w:rsidRPr="00B94680" w:rsidRDefault="0066100D" w:rsidP="0066100D">
      <w:pPr>
        <w:pStyle w:val="SingleTxtG"/>
        <w:ind w:firstLine="567"/>
      </w:pPr>
      <w:r w:rsidRPr="00B94680">
        <w:t>(a)</w:t>
      </w:r>
      <w:r w:rsidRPr="00B94680">
        <w:tab/>
      </w:r>
      <w:r w:rsidRPr="0008396E">
        <w:rPr>
          <w:i/>
        </w:rPr>
        <w:t>Target sovereign States with distressed economies and frequently with weak capacity for legal defence</w:t>
      </w:r>
      <w:r>
        <w:t xml:space="preserve">. </w:t>
      </w:r>
      <w:r w:rsidRPr="00B94680">
        <w:t xml:space="preserve">According to the African Development Bank, 20 of the 36 poorest developing countries have been threatened or targeted by aggressive litigation </w:t>
      </w:r>
      <w:r>
        <w:t>by vulture funds</w:t>
      </w:r>
      <w:r w:rsidRPr="00B94680">
        <w:t xml:space="preserve"> since 1999.</w:t>
      </w:r>
      <w:r w:rsidRPr="0008396E">
        <w:rPr>
          <w:rStyle w:val="FootnoteReference"/>
        </w:rPr>
        <w:footnoteReference w:id="3"/>
      </w:r>
      <w:r w:rsidRPr="00B94680">
        <w:t xml:space="preserve"> The World Bank estimates that more than one</w:t>
      </w:r>
      <w:r>
        <w:t xml:space="preserve"> </w:t>
      </w:r>
      <w:r w:rsidRPr="00B94680">
        <w:t xml:space="preserve">third of the countries </w:t>
      </w:r>
      <w:r>
        <w:t xml:space="preserve">that </w:t>
      </w:r>
      <w:r w:rsidRPr="00B94680">
        <w:t xml:space="preserve">qualified for its debt relief initiative have been targeted </w:t>
      </w:r>
      <w:r>
        <w:t>by</w:t>
      </w:r>
      <w:r w:rsidRPr="00B94680">
        <w:t xml:space="preserve"> lawsuits by at least 38 litigating creditors</w:t>
      </w:r>
      <w:r>
        <w:t>,</w:t>
      </w:r>
      <w:r w:rsidRPr="00B94680">
        <w:t xml:space="preserve"> with judgments totalling $1 billion in 26 of the cases</w:t>
      </w:r>
      <w:r>
        <w:t>;</w:t>
      </w:r>
      <w:r w:rsidRPr="0008396E">
        <w:rPr>
          <w:rStyle w:val="FootnoteReference"/>
        </w:rPr>
        <w:footnoteReference w:id="4"/>
      </w:r>
      <w:r w:rsidRPr="00B94680">
        <w:rPr>
          <w:vertAlign w:val="superscript"/>
        </w:rPr>
        <w:t xml:space="preserve"> </w:t>
      </w:r>
    </w:p>
    <w:p w14:paraId="5EA526B6" w14:textId="77777777" w:rsidR="0066100D" w:rsidRPr="00B94680" w:rsidRDefault="0066100D" w:rsidP="0066100D">
      <w:pPr>
        <w:pStyle w:val="SingleTxtG"/>
        <w:ind w:firstLine="567"/>
      </w:pPr>
      <w:r w:rsidRPr="00B94680">
        <w:t>(b)</w:t>
      </w:r>
      <w:r w:rsidRPr="00B94680">
        <w:tab/>
      </w:r>
      <w:r w:rsidRPr="0008396E">
        <w:rPr>
          <w:i/>
        </w:rPr>
        <w:t xml:space="preserve">Operate and take advantage of the lack of </w:t>
      </w:r>
      <w:r>
        <w:rPr>
          <w:i/>
        </w:rPr>
        <w:t>regulation</w:t>
      </w:r>
      <w:r w:rsidRPr="0008396E">
        <w:rPr>
          <w:i/>
        </w:rPr>
        <w:t xml:space="preserve"> of the secondary market</w:t>
      </w:r>
      <w:r>
        <w:t xml:space="preserve">. </w:t>
      </w:r>
      <w:r w:rsidRPr="00B94680">
        <w:t xml:space="preserve">To obtain significant discounts, </w:t>
      </w:r>
      <w:r>
        <w:t>vulture funds</w:t>
      </w:r>
      <w:r w:rsidRPr="00B94680">
        <w:t xml:space="preserve"> acquire sovereign bonds when the indebted country is either close to default or has already defaulted on its debt. In the secondary market, investors can operate with great secrecy in terms of both ownership and operations. Sovereign bonds are thus traded between investors without the concerned debtor </w:t>
      </w:r>
      <w:r>
        <w:t>S</w:t>
      </w:r>
      <w:r w:rsidRPr="00B94680">
        <w:t xml:space="preserve">tate necessarily </w:t>
      </w:r>
      <w:r>
        <w:t>being</w:t>
      </w:r>
      <w:r w:rsidRPr="00B94680">
        <w:t xml:space="preserve"> aware or informed o</w:t>
      </w:r>
      <w:r>
        <w:t>f</w:t>
      </w:r>
      <w:r w:rsidRPr="00B94680">
        <w:t xml:space="preserve"> such operations</w:t>
      </w:r>
      <w:r>
        <w:t>;</w:t>
      </w:r>
      <w:r w:rsidRPr="0008396E">
        <w:rPr>
          <w:rStyle w:val="FootnoteReference"/>
        </w:rPr>
        <w:footnoteReference w:id="5"/>
      </w:r>
      <w:r w:rsidRPr="00BC141F">
        <w:t xml:space="preserve"> </w:t>
      </w:r>
    </w:p>
    <w:p w14:paraId="00CB099C" w14:textId="77777777" w:rsidR="0066100D" w:rsidRPr="00B94680" w:rsidRDefault="0066100D" w:rsidP="0066100D">
      <w:pPr>
        <w:pStyle w:val="SingleTxtG"/>
        <w:ind w:firstLine="567"/>
      </w:pPr>
      <w:r>
        <w:tab/>
      </w:r>
      <w:r w:rsidRPr="00B94680">
        <w:t>(c)</w:t>
      </w:r>
      <w:r w:rsidRPr="00B94680">
        <w:tab/>
      </w:r>
      <w:r w:rsidRPr="0008396E">
        <w:rPr>
          <w:i/>
        </w:rPr>
        <w:t>Refuse systematically to participate in orderly and voluntary debt restructuring processes</w:t>
      </w:r>
      <w:r>
        <w:t xml:space="preserve">. </w:t>
      </w:r>
      <w:r w:rsidRPr="00B94680">
        <w:t xml:space="preserve">Once a </w:t>
      </w:r>
      <w:r>
        <w:t>S</w:t>
      </w:r>
      <w:r w:rsidRPr="00B94680">
        <w:t xml:space="preserve">tate starts negotiations with private bondholders aimed at restructuring the sovereign debt, </w:t>
      </w:r>
      <w:r>
        <w:t>vulture funds</w:t>
      </w:r>
      <w:r w:rsidRPr="00B94680">
        <w:t xml:space="preserve"> exercise their </w:t>
      </w:r>
      <w:r>
        <w:t>“</w:t>
      </w:r>
      <w:r w:rsidRPr="00B94680">
        <w:t>right</w:t>
      </w:r>
      <w:r>
        <w:t>”</w:t>
      </w:r>
      <w:r w:rsidRPr="00B94680">
        <w:t xml:space="preserve"> to hold out or collect and purchase </w:t>
      </w:r>
      <w:r>
        <w:t xml:space="preserve">sovereign </w:t>
      </w:r>
      <w:r w:rsidRPr="00B94680">
        <w:t>distressed bonds</w:t>
      </w:r>
      <w:r>
        <w:t>,</w:t>
      </w:r>
      <w:r w:rsidRPr="00B94680">
        <w:t xml:space="preserve"> </w:t>
      </w:r>
      <w:r>
        <w:t>t</w:t>
      </w:r>
      <w:r w:rsidRPr="00B94680">
        <w:t xml:space="preserve">hen wait until the country’s financial situation has improved to start negotiations for a better deal. </w:t>
      </w:r>
      <w:r>
        <w:t>Their position is strengthened by d</w:t>
      </w:r>
      <w:r w:rsidRPr="00B94680">
        <w:t xml:space="preserve">ifficulties </w:t>
      </w:r>
      <w:r>
        <w:t xml:space="preserve">that </w:t>
      </w:r>
      <w:r w:rsidRPr="00B94680">
        <w:t xml:space="preserve">the debtor </w:t>
      </w:r>
      <w:r>
        <w:t>S</w:t>
      </w:r>
      <w:r w:rsidRPr="00B94680">
        <w:t xml:space="preserve">tate may encounter in reaccessing </w:t>
      </w:r>
      <w:r>
        <w:t>the</w:t>
      </w:r>
      <w:r w:rsidRPr="00B94680">
        <w:t xml:space="preserve"> international capital markets.</w:t>
      </w:r>
      <w:r w:rsidRPr="0008396E">
        <w:rPr>
          <w:rStyle w:val="FootnoteReference"/>
        </w:rPr>
        <w:footnoteReference w:id="6"/>
      </w:r>
      <w:r w:rsidRPr="00B94680">
        <w:t xml:space="preserve"> Under such circumstances, the threat of being subject</w:t>
      </w:r>
      <w:r>
        <w:t>ed</w:t>
      </w:r>
      <w:r w:rsidRPr="00B94680">
        <w:t xml:space="preserve"> to a long and costly process with a particularly </w:t>
      </w:r>
      <w:r>
        <w:t>“</w:t>
      </w:r>
      <w:r w:rsidRPr="00B94680">
        <w:t>aggressive</w:t>
      </w:r>
      <w:r>
        <w:t>”</w:t>
      </w:r>
      <w:r w:rsidRPr="00B94680">
        <w:t xml:space="preserve"> litigator </w:t>
      </w:r>
      <w:r>
        <w:t>imposes</w:t>
      </w:r>
      <w:r w:rsidRPr="00B94680">
        <w:t xml:space="preserve"> additional pressure </w:t>
      </w:r>
      <w:r>
        <w:t xml:space="preserve">on the State </w:t>
      </w:r>
      <w:r w:rsidRPr="00B94680">
        <w:t xml:space="preserve">that may prompt </w:t>
      </w:r>
      <w:r>
        <w:t>it</w:t>
      </w:r>
      <w:r w:rsidRPr="00B94680">
        <w:t xml:space="preserve"> to accept a </w:t>
      </w:r>
      <w:r>
        <w:t xml:space="preserve">less </w:t>
      </w:r>
      <w:r w:rsidRPr="00B94680">
        <w:t>favourable settlement</w:t>
      </w:r>
      <w:r>
        <w:t>;</w:t>
      </w:r>
      <w:r w:rsidRPr="00B94680">
        <w:t xml:space="preserve"> </w:t>
      </w:r>
    </w:p>
    <w:p w14:paraId="083C51F5" w14:textId="77777777" w:rsidR="0066100D" w:rsidRPr="00B94680" w:rsidRDefault="0066100D" w:rsidP="0066100D">
      <w:pPr>
        <w:pStyle w:val="SingleTxtG"/>
        <w:ind w:firstLine="567"/>
      </w:pPr>
      <w:r w:rsidRPr="00B94680">
        <w:t>(d)</w:t>
      </w:r>
      <w:r w:rsidRPr="00B94680">
        <w:tab/>
      </w:r>
      <w:r w:rsidRPr="0008396E">
        <w:rPr>
          <w:i/>
        </w:rPr>
        <w:t>Sue the country for reimbursement of the full value of the bond, plus interest and delay penalties</w:t>
      </w:r>
      <w:r>
        <w:t xml:space="preserve">. </w:t>
      </w:r>
      <w:r w:rsidRPr="00B94680">
        <w:t xml:space="preserve">In cases where an agreement with the </w:t>
      </w:r>
      <w:r>
        <w:t>S</w:t>
      </w:r>
      <w:r w:rsidRPr="00B94680">
        <w:t xml:space="preserve">tate is not reached, </w:t>
      </w:r>
      <w:r>
        <w:t>vulture funds</w:t>
      </w:r>
      <w:r w:rsidRPr="00B94680">
        <w:t xml:space="preserve"> </w:t>
      </w:r>
      <w:r>
        <w:t xml:space="preserve">can </w:t>
      </w:r>
      <w:r w:rsidRPr="00B94680">
        <w:t xml:space="preserve">file a </w:t>
      </w:r>
      <w:r>
        <w:t xml:space="preserve">legal </w:t>
      </w:r>
      <w:r w:rsidRPr="00B94680">
        <w:t xml:space="preserve">claim to seek reimbursement. To ensure that they get a favourable court decision, they make sure that </w:t>
      </w:r>
      <w:r>
        <w:t>“</w:t>
      </w:r>
      <w:r w:rsidRPr="00B94680">
        <w:t>creditor-friendly</w:t>
      </w:r>
      <w:r>
        <w:t>”</w:t>
      </w:r>
      <w:r w:rsidRPr="00B94680">
        <w:t xml:space="preserve"> jurisdictions are involved in the resolution of the dispute.</w:t>
      </w:r>
      <w:r w:rsidRPr="0008396E">
        <w:rPr>
          <w:rStyle w:val="FootnoteReference"/>
        </w:rPr>
        <w:footnoteReference w:id="7"/>
      </w:r>
      <w:r w:rsidRPr="00B94680">
        <w:t xml:space="preserve"> The courts of debtor countries are increasingly becoming an </w:t>
      </w:r>
      <w:r>
        <w:t xml:space="preserve">available </w:t>
      </w:r>
      <w:r w:rsidRPr="00B94680">
        <w:t>option as weaker legal systems are easily overwhelmed by the level of technical detail involved in this kind of litigation</w:t>
      </w:r>
      <w:r>
        <w:t>.</w:t>
      </w:r>
      <w:r w:rsidRPr="0008396E">
        <w:rPr>
          <w:rStyle w:val="FootnoteReference"/>
        </w:rPr>
        <w:footnoteReference w:id="8"/>
      </w:r>
      <w:r>
        <w:rPr>
          <w:vertAlign w:val="superscript"/>
        </w:rPr>
        <w:t xml:space="preserve"> </w:t>
      </w:r>
      <w:r w:rsidRPr="00B94680">
        <w:t xml:space="preserve">Cases brought by </w:t>
      </w:r>
      <w:r>
        <w:t>vulture funds</w:t>
      </w:r>
      <w:r w:rsidRPr="00B94680">
        <w:t xml:space="preserve"> are particularly protracted: the </w:t>
      </w:r>
      <w:r>
        <w:t>average</w:t>
      </w:r>
      <w:r w:rsidRPr="00B94680">
        <w:t xml:space="preserve"> estimated </w:t>
      </w:r>
      <w:r>
        <w:t xml:space="preserve">time </w:t>
      </w:r>
      <w:r w:rsidRPr="00B94680">
        <w:t>for recovery is six years</w:t>
      </w:r>
      <w:r>
        <w:t>,</w:t>
      </w:r>
      <w:r w:rsidRPr="00B94680">
        <w:t xml:space="preserve"> </w:t>
      </w:r>
      <w:r>
        <w:t xml:space="preserve">which would suggest </w:t>
      </w:r>
      <w:r w:rsidRPr="00B94680">
        <w:t>annualized returns averaging from 50 to 333 per</w:t>
      </w:r>
      <w:r>
        <w:t xml:space="preserve"> </w:t>
      </w:r>
      <w:r w:rsidRPr="00B94680">
        <w:t>cent.</w:t>
      </w:r>
      <w:r w:rsidRPr="0008396E">
        <w:rPr>
          <w:rStyle w:val="FootnoteReference"/>
        </w:rPr>
        <w:footnoteReference w:id="9"/>
      </w:r>
      <w:r w:rsidRPr="00B94680">
        <w:rPr>
          <w:vertAlign w:val="superscript"/>
        </w:rPr>
        <w:t xml:space="preserve"> </w:t>
      </w:r>
      <w:r w:rsidRPr="00B94680">
        <w:t>Such</w:t>
      </w:r>
      <w:r>
        <w:t xml:space="preserve"> long</w:t>
      </w:r>
      <w:r w:rsidRPr="00B94680">
        <w:t xml:space="preserve"> judicial proceedings are always burdensome and</w:t>
      </w:r>
      <w:r>
        <w:t xml:space="preserve"> </w:t>
      </w:r>
      <w:r w:rsidRPr="00B94680">
        <w:t xml:space="preserve">can complicate debtor </w:t>
      </w:r>
      <w:r>
        <w:t>S</w:t>
      </w:r>
      <w:r w:rsidRPr="00B94680">
        <w:t>tate</w:t>
      </w:r>
      <w:r>
        <w:t>s</w:t>
      </w:r>
      <w:r w:rsidRPr="00B94680">
        <w:t>’ financial and reserve management</w:t>
      </w:r>
      <w:r>
        <w:t>;</w:t>
      </w:r>
      <w:r w:rsidRPr="00B94680">
        <w:t xml:space="preserve"> </w:t>
      </w:r>
    </w:p>
    <w:p w14:paraId="0D20E4E5" w14:textId="77777777" w:rsidR="0066100D" w:rsidRPr="0008396E" w:rsidRDefault="0066100D" w:rsidP="0066100D">
      <w:pPr>
        <w:pStyle w:val="SingleTxtG"/>
        <w:ind w:firstLine="567"/>
      </w:pPr>
      <w:r w:rsidRPr="00B94680">
        <w:lastRenderedPageBreak/>
        <w:t>(e)</w:t>
      </w:r>
      <w:r w:rsidRPr="00B94680">
        <w:tab/>
      </w:r>
      <w:r w:rsidRPr="0008396E">
        <w:rPr>
          <w:i/>
        </w:rPr>
        <w:t>“Chase” the country to enforce the judgment</w:t>
      </w:r>
      <w:r>
        <w:t xml:space="preserve">. </w:t>
      </w:r>
      <w:r w:rsidRPr="00B94680">
        <w:t xml:space="preserve">Once </w:t>
      </w:r>
      <w:r>
        <w:t>vulture funds</w:t>
      </w:r>
      <w:r w:rsidRPr="00B94680">
        <w:t xml:space="preserve"> have obtained a favourable judgment, they seek its enforcement before different courts (i.e.</w:t>
      </w:r>
      <w:r>
        <w:t>,</w:t>
      </w:r>
      <w:r w:rsidRPr="00B94680">
        <w:t xml:space="preserve"> through </w:t>
      </w:r>
      <w:r>
        <w:t>“</w:t>
      </w:r>
      <w:r w:rsidRPr="00B94680">
        <w:t>forum shopping</w:t>
      </w:r>
      <w:r>
        <w:t>”</w:t>
      </w:r>
      <w:r w:rsidRPr="00B94680">
        <w:t xml:space="preserve"> practices) until they secure the enforcement action they desire. Figures show that attachment of the country’s assets abroad has become a particularly common enforcement strategy </w:t>
      </w:r>
      <w:r>
        <w:t>in</w:t>
      </w:r>
      <w:r w:rsidRPr="00B94680">
        <w:t xml:space="preserve"> past years.</w:t>
      </w:r>
      <w:r w:rsidRPr="0008396E">
        <w:rPr>
          <w:rStyle w:val="FootnoteReference"/>
        </w:rPr>
        <w:footnoteReference w:id="10"/>
      </w:r>
      <w:r>
        <w:t xml:space="preserve"> </w:t>
      </w:r>
      <w:r w:rsidRPr="00B94680">
        <w:t xml:space="preserve">Despite many </w:t>
      </w:r>
      <w:r>
        <w:t xml:space="preserve">unsuccessful </w:t>
      </w:r>
      <w:r w:rsidRPr="00B94680">
        <w:t>attempts, such actions have often help</w:t>
      </w:r>
      <w:r>
        <w:t>ed</w:t>
      </w:r>
      <w:r w:rsidRPr="00B94680">
        <w:t xml:space="preserve"> </w:t>
      </w:r>
      <w:r>
        <w:t>vulture funds</w:t>
      </w:r>
      <w:r w:rsidRPr="00B94680">
        <w:t xml:space="preserve"> to achieve a favourable out-of-court settlement. </w:t>
      </w:r>
      <w:r>
        <w:t>However, vulture funds</w:t>
      </w:r>
      <w:r w:rsidRPr="00B94680">
        <w:t xml:space="preserve"> </w:t>
      </w:r>
      <w:r>
        <w:t xml:space="preserve">continue to deploy a legal strategy before courts that seek to </w:t>
      </w:r>
      <w:r w:rsidRPr="00B94680">
        <w:t>enforce</w:t>
      </w:r>
      <w:r>
        <w:t xml:space="preserve"> </w:t>
      </w:r>
      <w:r w:rsidRPr="00B94680">
        <w:t xml:space="preserve">favourable rulings </w:t>
      </w:r>
      <w:r>
        <w:t>by challenging</w:t>
      </w:r>
      <w:r w:rsidRPr="00B94680">
        <w:t xml:space="preserve"> the doctrine o</w:t>
      </w:r>
      <w:r>
        <w:t>f</w:t>
      </w:r>
      <w:r w:rsidRPr="00B94680">
        <w:t xml:space="preserve"> </w:t>
      </w:r>
      <w:r>
        <w:t>sovereign immunity, which</w:t>
      </w:r>
      <w:r w:rsidRPr="00B94680">
        <w:t xml:space="preserve"> </w:t>
      </w:r>
      <w:r>
        <w:t xml:space="preserve">has </w:t>
      </w:r>
      <w:r w:rsidRPr="00B94680">
        <w:t xml:space="preserve">traditionally protected </w:t>
      </w:r>
      <w:r>
        <w:t>certain State properties and assets from seizure;</w:t>
      </w:r>
      <w:r w:rsidRPr="0008396E">
        <w:rPr>
          <w:rStyle w:val="FootnoteReference"/>
        </w:rPr>
        <w:footnoteReference w:id="11"/>
      </w:r>
      <w:r w:rsidRPr="00B94680">
        <w:rPr>
          <w:vertAlign w:val="superscript"/>
        </w:rPr>
        <w:t xml:space="preserve"> </w:t>
      </w:r>
    </w:p>
    <w:p w14:paraId="41F9EFB5" w14:textId="77777777" w:rsidR="0066100D" w:rsidRPr="00B94680" w:rsidRDefault="0066100D" w:rsidP="0066100D">
      <w:pPr>
        <w:pStyle w:val="SingleTxtG"/>
        <w:ind w:firstLine="567"/>
      </w:pPr>
      <w:r w:rsidRPr="00B94680">
        <w:t>(f)</w:t>
      </w:r>
      <w:r w:rsidRPr="00B94680">
        <w:tab/>
      </w:r>
      <w:r w:rsidRPr="0008396E">
        <w:rPr>
          <w:i/>
        </w:rPr>
        <w:t>Obtain exorbitant profits</w:t>
      </w:r>
      <w:r>
        <w:t>. Vulture funds</w:t>
      </w:r>
      <w:r w:rsidRPr="00B94680">
        <w:t xml:space="preserve"> have</w:t>
      </w:r>
      <w:r>
        <w:t xml:space="preserve"> achieved, on average, </w:t>
      </w:r>
      <w:r w:rsidRPr="00B94680">
        <w:t xml:space="preserve">recovery rates of </w:t>
      </w:r>
      <w:r>
        <w:t>some</w:t>
      </w:r>
      <w:r w:rsidRPr="00B94680">
        <w:t xml:space="preserve"> 3 to 20 times their investment, equivalent to returns of 300 to 2,000 per</w:t>
      </w:r>
      <w:r>
        <w:t xml:space="preserve"> </w:t>
      </w:r>
      <w:r w:rsidRPr="00B94680">
        <w:t xml:space="preserve">cent. The </w:t>
      </w:r>
      <w:r>
        <w:t>International Monetary Fund (</w:t>
      </w:r>
      <w:r w:rsidRPr="00B94680">
        <w:t>IMF</w:t>
      </w:r>
      <w:r>
        <w:t>)</w:t>
      </w:r>
      <w:r w:rsidRPr="00B94680">
        <w:t xml:space="preserve"> estimates that in some cases the claims by vulture funds constitute as much as 12 to 13 per</w:t>
      </w:r>
      <w:r>
        <w:t xml:space="preserve"> </w:t>
      </w:r>
      <w:r w:rsidRPr="00B94680">
        <w:t>cent of a country’s gross domestic product</w:t>
      </w:r>
      <w:r>
        <w:t xml:space="preserve"> (GDP);</w:t>
      </w:r>
      <w:r w:rsidRPr="0008396E">
        <w:rPr>
          <w:rStyle w:val="FootnoteReference"/>
        </w:rPr>
        <w:footnoteReference w:id="12"/>
      </w:r>
      <w:r w:rsidRPr="00B94680">
        <w:t xml:space="preserve"> </w:t>
      </w:r>
    </w:p>
    <w:p w14:paraId="2C6DD207" w14:textId="77777777" w:rsidR="0066100D" w:rsidRPr="00B94680" w:rsidRDefault="0066100D" w:rsidP="0066100D">
      <w:pPr>
        <w:pStyle w:val="SingleTxtG"/>
        <w:ind w:firstLine="567"/>
      </w:pPr>
      <w:r w:rsidRPr="00B94680">
        <w:t>(g)</w:t>
      </w:r>
      <w:r w:rsidRPr="00B94680">
        <w:tab/>
      </w:r>
      <w:r w:rsidRPr="0008396E">
        <w:rPr>
          <w:i/>
        </w:rPr>
        <w:t>Operate in jurisdictions where bank secrecy rules apply</w:t>
      </w:r>
      <w:r>
        <w:t>.</w:t>
      </w:r>
      <w:r w:rsidRPr="0008396E">
        <w:rPr>
          <w:rStyle w:val="FootnoteReference"/>
        </w:rPr>
        <w:footnoteReference w:id="13"/>
      </w:r>
      <w:r>
        <w:t xml:space="preserve"> </w:t>
      </w:r>
      <w:r w:rsidRPr="00B94680">
        <w:t xml:space="preserve">Most </w:t>
      </w:r>
      <w:r>
        <w:t>vulture funds</w:t>
      </w:r>
      <w:r w:rsidRPr="00B94680">
        <w:t xml:space="preserve"> are incorporated in tax haven</w:t>
      </w:r>
      <w:r>
        <w:t>s,</w:t>
      </w:r>
      <w:r w:rsidRPr="00B94680">
        <w:t xml:space="preserve"> where there is no obligation </w:t>
      </w:r>
      <w:r>
        <w:t>to</w:t>
      </w:r>
      <w:r w:rsidRPr="00B94680">
        <w:t xml:space="preserve"> disclos</w:t>
      </w:r>
      <w:r>
        <w:t>e</w:t>
      </w:r>
      <w:r w:rsidRPr="00B94680">
        <w:t xml:space="preserve"> information on benefits or ownership and it is feasible to hide gains to avoid or evade taxation.</w:t>
      </w:r>
      <w:r w:rsidRPr="0008396E">
        <w:rPr>
          <w:rStyle w:val="FootnoteReference"/>
        </w:rPr>
        <w:footnoteReference w:id="14"/>
      </w:r>
      <w:r w:rsidRPr="00B94680">
        <w:rPr>
          <w:vertAlign w:val="superscript"/>
        </w:rPr>
        <w:t xml:space="preserve"> </w:t>
      </w:r>
      <w:r w:rsidRPr="00B94680">
        <w:t xml:space="preserve">Such jurisdictions facilitate the secretive manner in which </w:t>
      </w:r>
      <w:r>
        <w:t>vulture funds</w:t>
      </w:r>
      <w:r w:rsidRPr="00B94680">
        <w:t xml:space="preserve"> operate as well as the flight of much-needed capital, particularly from developing countries</w:t>
      </w:r>
      <w:r>
        <w:t xml:space="preserve"> (see </w:t>
      </w:r>
      <w:r>
        <w:rPr>
          <w:szCs w:val="18"/>
        </w:rPr>
        <w:t>A/HRC/14/21, paras. 13-</w:t>
      </w:r>
      <w:r w:rsidRPr="00282C5F">
        <w:rPr>
          <w:szCs w:val="18"/>
        </w:rPr>
        <w:t>14</w:t>
      </w:r>
      <w:r>
        <w:rPr>
          <w:szCs w:val="18"/>
        </w:rPr>
        <w:t>)</w:t>
      </w:r>
      <w:r w:rsidRPr="00B94680">
        <w:t>.</w:t>
      </w:r>
    </w:p>
    <w:p w14:paraId="0C1F1B7B" w14:textId="77777777" w:rsidR="0066100D" w:rsidRPr="00B94680" w:rsidRDefault="0066100D" w:rsidP="0066100D">
      <w:pPr>
        <w:pStyle w:val="HChG"/>
      </w:pPr>
      <w:r w:rsidRPr="00B94680">
        <w:tab/>
        <w:t>III.</w:t>
      </w:r>
      <w:r w:rsidRPr="00B94680">
        <w:tab/>
        <w:t>Case studies</w:t>
      </w:r>
    </w:p>
    <w:p w14:paraId="206DF55C" w14:textId="77777777" w:rsidR="0066100D" w:rsidRPr="0079499C" w:rsidRDefault="0066100D" w:rsidP="0066100D">
      <w:pPr>
        <w:pStyle w:val="SingleTxtG"/>
      </w:pPr>
      <w:r w:rsidRPr="00B94680">
        <w:t>9.</w:t>
      </w:r>
      <w:r w:rsidRPr="00B94680">
        <w:tab/>
      </w:r>
      <w:r>
        <w:t>Vulture funds</w:t>
      </w:r>
      <w:r w:rsidRPr="00B94680">
        <w:t xml:space="preserve"> have a long history of predatory practices against developing countries, particularly heavily indebted poor countries (HIPCs). The most commonly targeted are countries</w:t>
      </w:r>
      <w:r>
        <w:t>, most of them in Africa and Latin America,</w:t>
      </w:r>
      <w:r w:rsidRPr="00B94680">
        <w:t xml:space="preserve"> with already unsustainable debt burdens and lacking the capacity and resources needed to face complex and protracted judicial processes. </w:t>
      </w:r>
      <w:r>
        <w:t>In recent</w:t>
      </w:r>
      <w:r w:rsidRPr="00B94680">
        <w:t xml:space="preserve"> years, </w:t>
      </w:r>
      <w:r>
        <w:t>vulture funds</w:t>
      </w:r>
      <w:r w:rsidRPr="00B94680">
        <w:t xml:space="preserve"> have </w:t>
      </w:r>
      <w:r>
        <w:t>aimed</w:t>
      </w:r>
      <w:r w:rsidRPr="00B94680">
        <w:t xml:space="preserve"> their profit expectations </w:t>
      </w:r>
      <w:r>
        <w:t>at</w:t>
      </w:r>
      <w:r w:rsidRPr="00B94680">
        <w:t xml:space="preserve"> middle-income countries, particularly Argentina. With more than 40 lawsuits filed by commercial investors after the default of 2001, the country accounts for a third of the total </w:t>
      </w:r>
      <w:r w:rsidRPr="00936ED2">
        <w:t xml:space="preserve">number of </w:t>
      </w:r>
      <w:r>
        <w:t>lawsuits brought by vulture funds</w:t>
      </w:r>
      <w:r w:rsidRPr="00B94680">
        <w:t>.</w:t>
      </w:r>
      <w:r w:rsidRPr="0008396E">
        <w:rPr>
          <w:rStyle w:val="FootnoteReference"/>
        </w:rPr>
        <w:footnoteReference w:id="15"/>
      </w:r>
      <w:r w:rsidRPr="00B94680">
        <w:rPr>
          <w:vertAlign w:val="superscript"/>
        </w:rPr>
        <w:t xml:space="preserve"> </w:t>
      </w:r>
      <w:r>
        <w:t xml:space="preserve">The Rapporteur examines in detail in this section some examples of the impact of vulture fund strategies and activities on human rights. </w:t>
      </w:r>
    </w:p>
    <w:p w14:paraId="356A7C53" w14:textId="77777777" w:rsidR="0066100D" w:rsidRPr="0008396E" w:rsidRDefault="0066100D" w:rsidP="0066100D">
      <w:pPr>
        <w:pStyle w:val="H1G"/>
        <w:rPr>
          <w:i/>
        </w:rPr>
      </w:pPr>
      <w:r w:rsidRPr="00B94680">
        <w:tab/>
        <w:t>A.</w:t>
      </w:r>
      <w:r w:rsidRPr="00B94680">
        <w:tab/>
      </w:r>
      <w:r w:rsidRPr="0008396E">
        <w:rPr>
          <w:i/>
          <w:lang w:eastAsia="en-GB"/>
        </w:rPr>
        <w:t>Donegal International v. Zambia</w:t>
      </w:r>
    </w:p>
    <w:p w14:paraId="513054F1" w14:textId="77777777" w:rsidR="0066100D" w:rsidRPr="00B94680" w:rsidRDefault="0066100D" w:rsidP="0066100D">
      <w:pPr>
        <w:pStyle w:val="SingleTxtG"/>
      </w:pPr>
      <w:r w:rsidRPr="00B94680">
        <w:t>10.</w:t>
      </w:r>
      <w:r w:rsidRPr="00B94680">
        <w:tab/>
        <w:t>By 1984, the Government of Zambia was unable to serv</w:t>
      </w:r>
      <w:r>
        <w:t>ice</w:t>
      </w:r>
      <w:r w:rsidRPr="00B94680">
        <w:t xml:space="preserve"> a $30 million debt owed to Romania for the acquisition of agricultural equipment. In early 1997, </w:t>
      </w:r>
      <w:r>
        <w:t xml:space="preserve">the firm </w:t>
      </w:r>
      <w:r w:rsidRPr="00B94680">
        <w:t>Debt Advisory International (which later incorporated Donegal International</w:t>
      </w:r>
      <w:r>
        <w:t>)</w:t>
      </w:r>
      <w:r w:rsidRPr="00B94680">
        <w:t xml:space="preserve"> </w:t>
      </w:r>
      <w:r>
        <w:t>began to put</w:t>
      </w:r>
      <w:r w:rsidRPr="00B94680">
        <w:t xml:space="preserve"> forward proposals </w:t>
      </w:r>
      <w:r>
        <w:t>for</w:t>
      </w:r>
      <w:r w:rsidRPr="00B94680">
        <w:t xml:space="preserve"> acquir</w:t>
      </w:r>
      <w:r>
        <w:t>ing</w:t>
      </w:r>
      <w:r w:rsidRPr="00B94680">
        <w:t xml:space="preserve"> the debt. In 1999, just as Zambia was about to reach the decision </w:t>
      </w:r>
      <w:r w:rsidRPr="00B94680">
        <w:lastRenderedPageBreak/>
        <w:t xml:space="preserve">point for comprehensive debt relief under the HIPC </w:t>
      </w:r>
      <w:r>
        <w:t>I</w:t>
      </w:r>
      <w:r w:rsidRPr="00B94680">
        <w:t>nitiative, Romania sold the debt to Donegal International for about $3 million, 11 per</w:t>
      </w:r>
      <w:r>
        <w:t xml:space="preserve"> </w:t>
      </w:r>
      <w:r w:rsidRPr="00B94680">
        <w:t xml:space="preserve">cent of the face value. </w:t>
      </w:r>
    </w:p>
    <w:p w14:paraId="463784C1" w14:textId="77777777" w:rsidR="0066100D" w:rsidRPr="00B94680" w:rsidRDefault="0066100D" w:rsidP="0066100D">
      <w:pPr>
        <w:pStyle w:val="SingleTxtG"/>
      </w:pPr>
      <w:r w:rsidRPr="00B94680">
        <w:t>11.</w:t>
      </w:r>
      <w:r w:rsidRPr="00B94680">
        <w:tab/>
        <w:t>In 2003, in controversial circumstances involving allegations of corruption and bribing of public officials, Zambia signed a settlement agreement with Donegal International to waive sovereign immunity from litigation and paid approximately $15</w:t>
      </w:r>
      <w:r>
        <w:t> </w:t>
      </w:r>
      <w:r w:rsidRPr="00B94680">
        <w:t>million of the then $44 million face value</w:t>
      </w:r>
      <w:r>
        <w:t xml:space="preserve"> of the debt</w:t>
      </w:r>
      <w:r w:rsidRPr="00B94680">
        <w:t xml:space="preserve">. The agreement also included penal rates of interest in the event of default and the application of </w:t>
      </w:r>
      <w:r>
        <w:t>United Kingdom</w:t>
      </w:r>
      <w:r w:rsidRPr="00B94680">
        <w:t xml:space="preserve"> law to any future dispute arising from it. After paying off a total of $3.4 million</w:t>
      </w:r>
      <w:r>
        <w:t>,</w:t>
      </w:r>
      <w:r w:rsidRPr="00B94680">
        <w:t xml:space="preserve"> the Government of Zambia stopped fulfilling</w:t>
      </w:r>
      <w:r>
        <w:t xml:space="preserve"> the terms of the agreement</w:t>
      </w:r>
      <w:r w:rsidRPr="00B94680">
        <w:t xml:space="preserve">, arguing that </w:t>
      </w:r>
      <w:r>
        <w:t>it</w:t>
      </w:r>
      <w:r w:rsidRPr="00B94680">
        <w:t xml:space="preserve"> was tainted with corruption</w:t>
      </w:r>
      <w:r>
        <w:t xml:space="preserve"> (see A/HRC/14/21</w:t>
      </w:r>
      <w:r w:rsidRPr="00282C5F">
        <w:rPr>
          <w:szCs w:val="18"/>
        </w:rPr>
        <w:t>, para. 24</w:t>
      </w:r>
      <w:r>
        <w:rPr>
          <w:szCs w:val="18"/>
        </w:rPr>
        <w:t>)</w:t>
      </w:r>
      <w:r w:rsidRPr="00B94680">
        <w:t>.</w:t>
      </w:r>
    </w:p>
    <w:p w14:paraId="5AECCCD5" w14:textId="77777777" w:rsidR="0066100D" w:rsidRPr="00B94680" w:rsidRDefault="0066100D" w:rsidP="0066100D">
      <w:pPr>
        <w:pStyle w:val="SingleTxtG"/>
      </w:pPr>
      <w:r w:rsidRPr="00B94680">
        <w:t>12.</w:t>
      </w:r>
      <w:r w:rsidRPr="00B94680">
        <w:tab/>
        <w:t xml:space="preserve">In 2006, </w:t>
      </w:r>
      <w:r>
        <w:t xml:space="preserve">only </w:t>
      </w:r>
      <w:r w:rsidRPr="00B94680">
        <w:t xml:space="preserve">months before Zambia was due to receive debt cancellation under the HIPC </w:t>
      </w:r>
      <w:r>
        <w:t>I</w:t>
      </w:r>
      <w:r w:rsidRPr="00B94680">
        <w:t xml:space="preserve">nitiative, the company sued the country in the </w:t>
      </w:r>
      <w:r>
        <w:t>United Kingdom</w:t>
      </w:r>
      <w:r w:rsidRPr="00B94680">
        <w:t xml:space="preserve"> courts for a total amount of $55 million. Donegal obtained a favourable ruling</w:t>
      </w:r>
      <w:r>
        <w:t>,</w:t>
      </w:r>
      <w:r w:rsidRPr="00B94680">
        <w:t xml:space="preserve"> obtaining a 370 per</w:t>
      </w:r>
      <w:r>
        <w:t xml:space="preserve"> </w:t>
      </w:r>
      <w:r w:rsidRPr="00B94680">
        <w:t>cent return, nearly 17 times the value of the original debt.</w:t>
      </w:r>
      <w:r w:rsidRPr="00B94680">
        <w:rPr>
          <w:vertAlign w:val="superscript"/>
        </w:rPr>
        <w:t xml:space="preserve"> </w:t>
      </w:r>
    </w:p>
    <w:p w14:paraId="497AF6B9" w14:textId="77777777" w:rsidR="0066100D" w:rsidRPr="00B94680" w:rsidRDefault="0066100D" w:rsidP="0066100D">
      <w:pPr>
        <w:pStyle w:val="SingleTxtG"/>
      </w:pPr>
      <w:r w:rsidRPr="00B94680">
        <w:t>13.</w:t>
      </w:r>
      <w:r w:rsidRPr="00B94680">
        <w:tab/>
      </w:r>
      <w:r>
        <w:t>T</w:t>
      </w:r>
      <w:r w:rsidRPr="00B94680">
        <w:t xml:space="preserve">he Government of Zambia </w:t>
      </w:r>
      <w:r>
        <w:t xml:space="preserve">reportedly </w:t>
      </w:r>
      <w:r w:rsidRPr="00B94680">
        <w:t xml:space="preserve">recognized the judgment and allocated </w:t>
      </w:r>
      <w:r>
        <w:t>about</w:t>
      </w:r>
      <w:r w:rsidRPr="00B94680">
        <w:t xml:space="preserve"> 65 per</w:t>
      </w:r>
      <w:r>
        <w:t xml:space="preserve"> </w:t>
      </w:r>
      <w:r w:rsidRPr="00B94680">
        <w:t>cent of the amount received, already earmarked for health programmes, to service the debt</w:t>
      </w:r>
      <w:r>
        <w:t xml:space="preserve"> (</w:t>
      </w:r>
      <w:r>
        <w:rPr>
          <w:szCs w:val="18"/>
        </w:rPr>
        <w:t>ibid.</w:t>
      </w:r>
      <w:r w:rsidRPr="00282C5F">
        <w:rPr>
          <w:szCs w:val="18"/>
        </w:rPr>
        <w:t>, para.</w:t>
      </w:r>
      <w:r>
        <w:rPr>
          <w:szCs w:val="18"/>
        </w:rPr>
        <w:t xml:space="preserve"> </w:t>
      </w:r>
      <w:r w:rsidRPr="00282C5F">
        <w:rPr>
          <w:szCs w:val="18"/>
        </w:rPr>
        <w:t>25</w:t>
      </w:r>
      <w:r>
        <w:rPr>
          <w:szCs w:val="18"/>
        </w:rPr>
        <w:t>)</w:t>
      </w:r>
      <w:r w:rsidRPr="00B94680">
        <w:t>.</w:t>
      </w:r>
      <w:r w:rsidRPr="0008396E">
        <w:rPr>
          <w:rStyle w:val="FootnoteReference"/>
        </w:rPr>
        <w:footnoteReference w:id="16"/>
      </w:r>
      <w:r w:rsidRPr="00B94680">
        <w:rPr>
          <w:vertAlign w:val="superscript"/>
        </w:rPr>
        <w:t xml:space="preserve"> </w:t>
      </w:r>
      <w:r w:rsidRPr="00B94680">
        <w:t xml:space="preserve">As a result of this litigation, </w:t>
      </w:r>
      <w:r>
        <w:t>vulture funds</w:t>
      </w:r>
      <w:r w:rsidRPr="00B94680">
        <w:t xml:space="preserve"> took away </w:t>
      </w:r>
      <w:r>
        <w:t xml:space="preserve">from the country </w:t>
      </w:r>
      <w:r w:rsidRPr="00B94680">
        <w:t>almost 15 per</w:t>
      </w:r>
      <w:r>
        <w:t xml:space="preserve"> </w:t>
      </w:r>
      <w:r w:rsidRPr="00B94680">
        <w:t xml:space="preserve">cent of </w:t>
      </w:r>
      <w:r>
        <w:t xml:space="preserve">its </w:t>
      </w:r>
      <w:r w:rsidRPr="00B94680">
        <w:t xml:space="preserve">total social welfare </w:t>
      </w:r>
      <w:r>
        <w:t>expenditure,</w:t>
      </w:r>
      <w:r w:rsidRPr="00B94680">
        <w:t xml:space="preserve"> funds that could have been channelled instead towards education, health care and poverty alleviation.</w:t>
      </w:r>
      <w:r w:rsidRPr="0008396E">
        <w:rPr>
          <w:rStyle w:val="FootnoteReference"/>
        </w:rPr>
        <w:footnoteReference w:id="17"/>
      </w:r>
    </w:p>
    <w:p w14:paraId="0D57EDE7" w14:textId="77777777" w:rsidR="0066100D" w:rsidRPr="00B94680" w:rsidRDefault="0066100D" w:rsidP="0066100D">
      <w:pPr>
        <w:pStyle w:val="H1G"/>
      </w:pPr>
      <w:r w:rsidRPr="00B94680">
        <w:tab/>
        <w:t>B.</w:t>
      </w:r>
      <w:r w:rsidRPr="00B94680">
        <w:tab/>
      </w:r>
      <w:r w:rsidRPr="0008396E">
        <w:rPr>
          <w:i/>
        </w:rPr>
        <w:t>FG Hemisphere v. Democratic Republic of the Congo</w:t>
      </w:r>
    </w:p>
    <w:p w14:paraId="014E7078" w14:textId="77777777" w:rsidR="0066100D" w:rsidRPr="00B94680" w:rsidRDefault="0066100D" w:rsidP="0066100D">
      <w:pPr>
        <w:pStyle w:val="SingleTxtG"/>
      </w:pPr>
      <w:r w:rsidRPr="00B94680">
        <w:t>14.</w:t>
      </w:r>
      <w:r w:rsidRPr="00B94680">
        <w:tab/>
        <w:t xml:space="preserve">In 1980, </w:t>
      </w:r>
      <w:r>
        <w:t>the Democratic Republic of the</w:t>
      </w:r>
      <w:r w:rsidRPr="00B94680">
        <w:t xml:space="preserve"> Congo entered into a credit agreement with Energoinvest, a company based in Sarajevo, for the construction of a high-voltage electric power transmission facility. The country soon defaulted on its repayment obligations.</w:t>
      </w:r>
    </w:p>
    <w:p w14:paraId="393D4BE3" w14:textId="77777777" w:rsidR="0066100D" w:rsidRPr="00B94680" w:rsidRDefault="0066100D" w:rsidP="0066100D">
      <w:pPr>
        <w:pStyle w:val="SingleTxtG"/>
      </w:pPr>
      <w:r w:rsidRPr="00B94680">
        <w:t>15.</w:t>
      </w:r>
      <w:r w:rsidRPr="00B94680">
        <w:tab/>
        <w:t xml:space="preserve">In 2003, the International Chamber of Commerce made two arbitral awards in favour of the company and in 2004 a District Court </w:t>
      </w:r>
      <w:r>
        <w:t xml:space="preserve">in the United States of America </w:t>
      </w:r>
      <w:r w:rsidRPr="00B94680">
        <w:t>confirmed the amounts to be paid: $18</w:t>
      </w:r>
      <w:r>
        <w:t>,</w:t>
      </w:r>
      <w:r w:rsidRPr="00B94680">
        <w:t>43</w:t>
      </w:r>
      <w:r>
        <w:t>0,000</w:t>
      </w:r>
      <w:r w:rsidRPr="00B94680">
        <w:t xml:space="preserve"> and $11</w:t>
      </w:r>
      <w:r>
        <w:t>,</w:t>
      </w:r>
      <w:r w:rsidRPr="00B94680">
        <w:t>725</w:t>
      </w:r>
      <w:r>
        <w:t>,000</w:t>
      </w:r>
      <w:r w:rsidRPr="00B94680">
        <w:t>, plus 9 per</w:t>
      </w:r>
      <w:r>
        <w:t xml:space="preserve"> </w:t>
      </w:r>
      <w:r w:rsidRPr="00B94680">
        <w:t xml:space="preserve">cent interest and the costs of arbitration. At that point, the company decided to transfer the right to recover the claim to FG Hemisphere, a company based in the State of Delaware, a tax haven in the </w:t>
      </w:r>
      <w:r>
        <w:t>United States</w:t>
      </w:r>
      <w:r w:rsidRPr="00B94680">
        <w:t>.</w:t>
      </w:r>
      <w:r w:rsidRPr="0008396E">
        <w:rPr>
          <w:rStyle w:val="FootnoteReference"/>
        </w:rPr>
        <w:footnoteReference w:id="18"/>
      </w:r>
      <w:r w:rsidRPr="00B94680">
        <w:t xml:space="preserve"> </w:t>
      </w:r>
      <w:r>
        <w:t>T</w:t>
      </w:r>
      <w:r w:rsidRPr="00B94680">
        <w:t xml:space="preserve">he debt was </w:t>
      </w:r>
      <w:r>
        <w:t>r</w:t>
      </w:r>
      <w:r w:rsidRPr="00B94680">
        <w:t>eportedly purchased for $37 million.</w:t>
      </w:r>
      <w:r w:rsidRPr="0008396E">
        <w:rPr>
          <w:rStyle w:val="FootnoteReference"/>
        </w:rPr>
        <w:footnoteReference w:id="19"/>
      </w:r>
    </w:p>
    <w:p w14:paraId="7F952851" w14:textId="77777777" w:rsidR="0066100D" w:rsidRPr="00B94680" w:rsidRDefault="0066100D" w:rsidP="0066100D">
      <w:pPr>
        <w:pStyle w:val="SingleTxtG"/>
      </w:pPr>
      <w:r w:rsidRPr="00B94680">
        <w:t>16.</w:t>
      </w:r>
      <w:r w:rsidRPr="00B94680">
        <w:tab/>
        <w:t>FG Hemisphere then pursued its claim on the debt</w:t>
      </w:r>
      <w:r>
        <w:t xml:space="preserve"> by</w:t>
      </w:r>
      <w:r w:rsidRPr="00B94680">
        <w:t xml:space="preserve"> attempting to seize the country’s assets </w:t>
      </w:r>
      <w:r>
        <w:t>i</w:t>
      </w:r>
      <w:r w:rsidRPr="00B94680">
        <w:t xml:space="preserve">n different parts of the world. In 2005, a court ordered the Government to provide detailed information about the location of those </w:t>
      </w:r>
      <w:r>
        <w:t xml:space="preserve">assets </w:t>
      </w:r>
      <w:r w:rsidRPr="00B94680">
        <w:t>worth more than $10,000.</w:t>
      </w:r>
      <w:r w:rsidRPr="0008396E">
        <w:rPr>
          <w:rStyle w:val="FootnoteReference"/>
        </w:rPr>
        <w:footnoteReference w:id="20"/>
      </w:r>
      <w:r w:rsidRPr="00B94680">
        <w:rPr>
          <w:vertAlign w:val="superscript"/>
        </w:rPr>
        <w:t xml:space="preserve"> </w:t>
      </w:r>
      <w:r w:rsidRPr="00B94680">
        <w:t xml:space="preserve">Following the failure </w:t>
      </w:r>
      <w:r>
        <w:t>to</w:t>
      </w:r>
      <w:r w:rsidRPr="00B94680">
        <w:t xml:space="preserve"> provid</w:t>
      </w:r>
      <w:r>
        <w:t>e</w:t>
      </w:r>
      <w:r w:rsidRPr="00B94680">
        <w:t xml:space="preserve"> </w:t>
      </w:r>
      <w:r>
        <w:t>that</w:t>
      </w:r>
      <w:r w:rsidRPr="00B94680">
        <w:t xml:space="preserve"> information</w:t>
      </w:r>
      <w:r>
        <w:t>,</w:t>
      </w:r>
      <w:r w:rsidRPr="00B94680">
        <w:t xml:space="preserve"> a District Court </w:t>
      </w:r>
      <w:r>
        <w:t xml:space="preserve">in the United States </w:t>
      </w:r>
      <w:r w:rsidRPr="00B94680">
        <w:t xml:space="preserve">imposed a fine of $5,000 per week, </w:t>
      </w:r>
      <w:r>
        <w:t>to increase</w:t>
      </w:r>
      <w:r w:rsidRPr="00B94680">
        <w:t xml:space="preserve"> periodically to a maximum of </w:t>
      </w:r>
      <w:r>
        <w:t>$</w:t>
      </w:r>
      <w:r w:rsidRPr="00B94680">
        <w:t>80,000 per week</w:t>
      </w:r>
      <w:r>
        <w:t>,</w:t>
      </w:r>
      <w:r w:rsidRPr="00B94680">
        <w:t xml:space="preserve"> </w:t>
      </w:r>
      <w:r>
        <w:t>for failing to comply with</w:t>
      </w:r>
      <w:r w:rsidRPr="00B94680">
        <w:t xml:space="preserve"> the order</w:t>
      </w:r>
      <w:r>
        <w:t xml:space="preserve"> </w:t>
      </w:r>
      <w:r>
        <w:rPr>
          <w:szCs w:val="18"/>
        </w:rPr>
        <w:t>(ibid.</w:t>
      </w:r>
      <w:r w:rsidRPr="00282C5F">
        <w:rPr>
          <w:szCs w:val="18"/>
        </w:rPr>
        <w:t>, para. 19</w:t>
      </w:r>
      <w:r>
        <w:rPr>
          <w:szCs w:val="18"/>
        </w:rPr>
        <w:t>)</w:t>
      </w:r>
      <w:r w:rsidRPr="00B94680">
        <w:t>.</w:t>
      </w:r>
      <w:r>
        <w:t xml:space="preserve"> </w:t>
      </w:r>
    </w:p>
    <w:p w14:paraId="1838A377" w14:textId="77777777" w:rsidR="0066100D" w:rsidRPr="00B94680" w:rsidRDefault="0066100D" w:rsidP="0066100D">
      <w:pPr>
        <w:pStyle w:val="SingleTxtG"/>
      </w:pPr>
      <w:r w:rsidRPr="00B94680">
        <w:t>17.</w:t>
      </w:r>
      <w:r w:rsidRPr="00B94680">
        <w:tab/>
        <w:t xml:space="preserve">To enforce the 2003 rulings, FG Capital Management has managed to freeze hundreds of millions of dollars owed to the </w:t>
      </w:r>
      <w:r>
        <w:t>Democratic Republic of the</w:t>
      </w:r>
      <w:r w:rsidRPr="00B94680">
        <w:t xml:space="preserve"> Congo and obtained enforcement judgments from several courts all </w:t>
      </w:r>
      <w:r>
        <w:t>around</w:t>
      </w:r>
      <w:r w:rsidRPr="00B94680">
        <w:t xml:space="preserve"> the world. In November 2008, a South African court effectively halted sales of electricity from the country by ruling that FG Hemisphere could seize any payments for services sold </w:t>
      </w:r>
      <w:r>
        <w:t xml:space="preserve">by the Democratic Republic </w:t>
      </w:r>
      <w:r w:rsidRPr="00B94680">
        <w:t xml:space="preserve">to </w:t>
      </w:r>
      <w:r>
        <w:t>South Africa</w:t>
      </w:r>
      <w:r w:rsidRPr="00B94680">
        <w:t xml:space="preserve">. In February 2010, </w:t>
      </w:r>
      <w:r>
        <w:t xml:space="preserve">the </w:t>
      </w:r>
      <w:r w:rsidRPr="00B94680">
        <w:t xml:space="preserve">Court of Appeal </w:t>
      </w:r>
      <w:r>
        <w:t>in Hong Kong</w:t>
      </w:r>
      <w:r w:rsidRPr="00B94680">
        <w:t xml:space="preserve"> froze about $100 million </w:t>
      </w:r>
      <w:r>
        <w:t>of</w:t>
      </w:r>
      <w:r w:rsidRPr="00B94680">
        <w:t xml:space="preserve"> a signing bonus for a $6 billion minerals-for-infrastructure </w:t>
      </w:r>
      <w:r>
        <w:t>agreement</w:t>
      </w:r>
      <w:r w:rsidRPr="00B94680">
        <w:t xml:space="preserve"> </w:t>
      </w:r>
      <w:r>
        <w:t xml:space="preserve">between the Democratic </w:t>
      </w:r>
      <w:r>
        <w:lastRenderedPageBreak/>
        <w:t>Republic and</w:t>
      </w:r>
      <w:r w:rsidRPr="00B94680">
        <w:t xml:space="preserve"> China until the </w:t>
      </w:r>
      <w:r>
        <w:t>International Chamber of Commerce</w:t>
      </w:r>
      <w:r w:rsidRPr="00B94680">
        <w:t xml:space="preserve"> </w:t>
      </w:r>
      <w:r>
        <w:t>awards</w:t>
      </w:r>
      <w:r w:rsidRPr="00B94680">
        <w:t xml:space="preserve"> </w:t>
      </w:r>
      <w:r>
        <w:t>were</w:t>
      </w:r>
      <w:r w:rsidRPr="00B94680">
        <w:t xml:space="preserve"> resolved.</w:t>
      </w:r>
      <w:r w:rsidRPr="0008396E">
        <w:rPr>
          <w:rStyle w:val="FootnoteReference"/>
        </w:rPr>
        <w:footnoteReference w:id="21"/>
      </w:r>
      <w:r w:rsidRPr="00B94680">
        <w:t xml:space="preserve"> The agreement included the payment of $221 million in mining entry fees to the Government</w:t>
      </w:r>
      <w:r>
        <w:t xml:space="preserve">, which FG Hemisphere sought to receive towards payment of the arbitral award. The Government of the Democratic Republic claimed State immunity, but </w:t>
      </w:r>
      <w:r w:rsidRPr="00B94680">
        <w:t xml:space="preserve">the Court of Appeal ruled that the </w:t>
      </w:r>
      <w:r>
        <w:t>Democratic Republic</w:t>
      </w:r>
      <w:r w:rsidRPr="00B94680">
        <w:t xml:space="preserve"> had no immunity in commercial proceedings.</w:t>
      </w:r>
      <w:r w:rsidRPr="0008396E">
        <w:rPr>
          <w:rStyle w:val="FootnoteReference"/>
        </w:rPr>
        <w:footnoteReference w:id="22"/>
      </w:r>
      <w:r w:rsidRPr="00B94680">
        <w:t xml:space="preserve"> </w:t>
      </w:r>
    </w:p>
    <w:p w14:paraId="4FE3BF68" w14:textId="77777777" w:rsidR="0066100D" w:rsidRPr="00B94680" w:rsidRDefault="0066100D" w:rsidP="0066100D">
      <w:pPr>
        <w:pStyle w:val="SingleTxtG"/>
      </w:pPr>
      <w:r w:rsidRPr="00B94680">
        <w:t>18.</w:t>
      </w:r>
      <w:r w:rsidRPr="00B94680">
        <w:tab/>
        <w:t xml:space="preserve">This is an unfortunate event for a country that needs money for development. The </w:t>
      </w:r>
      <w:r>
        <w:t>Democratic Republic of the</w:t>
      </w:r>
      <w:r w:rsidRPr="00B94680">
        <w:t xml:space="preserve"> Congo is rich in natural resources</w:t>
      </w:r>
      <w:r>
        <w:t>,</w:t>
      </w:r>
      <w:r w:rsidRPr="00B94680">
        <w:t xml:space="preserve"> but is recovering from more than four decades of dictatorship and war that have destroyed its infrastructure. </w:t>
      </w:r>
      <w:r>
        <w:t xml:space="preserve">In fact, it is difficult to see how </w:t>
      </w:r>
      <w:r w:rsidRPr="00B94680">
        <w:t xml:space="preserve">a country with one of the lowest Human Development </w:t>
      </w:r>
      <w:r>
        <w:t>Index r</w:t>
      </w:r>
      <w:r w:rsidRPr="00B94680">
        <w:t>anking</w:t>
      </w:r>
      <w:r>
        <w:t>s</w:t>
      </w:r>
      <w:r w:rsidRPr="00B94680">
        <w:t xml:space="preserve"> (176) can service its external debt obligations withou</w:t>
      </w:r>
      <w:r>
        <w:t>t</w:t>
      </w:r>
      <w:r w:rsidRPr="00B94680">
        <w:t xml:space="preserve"> at the same time harming its poverty reduction and economic development prospects</w:t>
      </w:r>
      <w:r>
        <w:t xml:space="preserve"> (ibid., para. 20)</w:t>
      </w:r>
      <w:r w:rsidRPr="00B94680">
        <w:t>.</w:t>
      </w:r>
      <w:r w:rsidRPr="007523C9">
        <w:t xml:space="preserve"> </w:t>
      </w:r>
      <w:r w:rsidRPr="00B94680">
        <w:t xml:space="preserve">The negative impact of </w:t>
      </w:r>
      <w:r>
        <w:t>vulture funds</w:t>
      </w:r>
      <w:r w:rsidRPr="00B94680">
        <w:t xml:space="preserve"> on the State’s capacity to create the conditions necessary to fulfil its human rights obligations is </w:t>
      </w:r>
      <w:r>
        <w:t xml:space="preserve">therefore evident. </w:t>
      </w:r>
    </w:p>
    <w:p w14:paraId="6F32D4F1" w14:textId="77777777" w:rsidR="0066100D" w:rsidRPr="00B94680" w:rsidRDefault="0066100D" w:rsidP="0066100D">
      <w:pPr>
        <w:pStyle w:val="H1G"/>
      </w:pPr>
      <w:r w:rsidRPr="00B94680">
        <w:tab/>
        <w:t>C.</w:t>
      </w:r>
      <w:r w:rsidRPr="00B94680">
        <w:tab/>
      </w:r>
      <w:r w:rsidRPr="0008396E">
        <w:rPr>
          <w:i/>
        </w:rPr>
        <w:t xml:space="preserve">NML Capital </w:t>
      </w:r>
      <w:r>
        <w:rPr>
          <w:i/>
        </w:rPr>
        <w:t>Limited</w:t>
      </w:r>
      <w:r w:rsidRPr="0008396E">
        <w:rPr>
          <w:i/>
        </w:rPr>
        <w:t xml:space="preserve"> v. Argentina</w:t>
      </w:r>
    </w:p>
    <w:p w14:paraId="0C200B6E" w14:textId="77777777" w:rsidR="0066100D" w:rsidRPr="00B94680" w:rsidRDefault="0066100D" w:rsidP="0066100D">
      <w:pPr>
        <w:pStyle w:val="SingleTxtG"/>
      </w:pPr>
      <w:r>
        <w:t>19</w:t>
      </w:r>
      <w:r w:rsidRPr="00B94680">
        <w:t>.</w:t>
      </w:r>
      <w:r w:rsidRPr="00B94680">
        <w:tab/>
        <w:t xml:space="preserve">It </w:t>
      </w:r>
      <w:r>
        <w:t>has been</w:t>
      </w:r>
      <w:r w:rsidRPr="00B94680">
        <w:t xml:space="preserve"> well documented how the deteriorating economic, financial and social situation led Argentina to a catastrophic collapse in 2001</w:t>
      </w:r>
      <w:r>
        <w:t xml:space="preserve"> (A/HRC/25/50/Add.3)</w:t>
      </w:r>
      <w:r w:rsidRPr="00B94680">
        <w:t>. Soon after defaulting, the Government recognized the need to restructure roughly $81 billion of debt. In two successive exchanges of offers, in 2005 and 2010, Argentina succeeded in reaching an agreement with more than 92 pe</w:t>
      </w:r>
      <w:r>
        <w:t xml:space="preserve">r </w:t>
      </w:r>
      <w:r w:rsidRPr="00B94680">
        <w:t xml:space="preserve">cent of its creditors, </w:t>
      </w:r>
      <w:r>
        <w:t>which agreed</w:t>
      </w:r>
      <w:r w:rsidRPr="00B94680">
        <w:t xml:space="preserve"> to take an approximately 70 per</w:t>
      </w:r>
      <w:r>
        <w:t xml:space="preserve"> </w:t>
      </w:r>
      <w:r w:rsidRPr="00B94680">
        <w:t xml:space="preserve">cent </w:t>
      </w:r>
      <w:r>
        <w:t>“</w:t>
      </w:r>
      <w:r w:rsidRPr="00B94680">
        <w:t>haircut</w:t>
      </w:r>
      <w:r>
        <w:t>”</w:t>
      </w:r>
      <w:r w:rsidRPr="00B94680">
        <w:t xml:space="preserve"> on their bond holdings. </w:t>
      </w:r>
    </w:p>
    <w:p w14:paraId="44632166" w14:textId="77777777" w:rsidR="0066100D" w:rsidRPr="00B94680" w:rsidRDefault="0066100D" w:rsidP="0066100D">
      <w:pPr>
        <w:pStyle w:val="SingleTxtG"/>
      </w:pPr>
      <w:r>
        <w:t>20</w:t>
      </w:r>
      <w:r w:rsidRPr="00B94680">
        <w:t>.</w:t>
      </w:r>
      <w:r w:rsidRPr="00B94680">
        <w:tab/>
        <w:t>A group representing 1.6 per</w:t>
      </w:r>
      <w:r>
        <w:t xml:space="preserve"> </w:t>
      </w:r>
      <w:r w:rsidRPr="00B94680">
        <w:t>cent</w:t>
      </w:r>
      <w:r>
        <w:t xml:space="preserve"> </w:t>
      </w:r>
      <w:r w:rsidRPr="00B94680">
        <w:t>of bondholders</w:t>
      </w:r>
      <w:r>
        <w:t>,</w:t>
      </w:r>
      <w:r w:rsidRPr="00B94680">
        <w:t xml:space="preserve"> led by NML Capital </w:t>
      </w:r>
      <w:r>
        <w:t>Ltd.</w:t>
      </w:r>
      <w:r w:rsidRPr="00B94680">
        <w:t xml:space="preserve"> (a hedge fund based in the Cayman Islands),</w:t>
      </w:r>
      <w:r w:rsidRPr="0008396E">
        <w:rPr>
          <w:rStyle w:val="FootnoteReference"/>
        </w:rPr>
        <w:footnoteReference w:id="23"/>
      </w:r>
      <w:r w:rsidRPr="00B94680">
        <w:t xml:space="preserve"> refused to restructure and decided to sue the country in the New York State courts</w:t>
      </w:r>
      <w:r>
        <w:t xml:space="preserve"> </w:t>
      </w:r>
      <w:r w:rsidRPr="00B94680">
        <w:t xml:space="preserve">for the full amount. </w:t>
      </w:r>
      <w:r>
        <w:t>Some</w:t>
      </w:r>
      <w:r w:rsidRPr="00B94680">
        <w:t xml:space="preserve"> of the defaulted bonds had been bought on the secondary market just before the </w:t>
      </w:r>
      <w:r>
        <w:t xml:space="preserve">country’s default in </w:t>
      </w:r>
      <w:r w:rsidRPr="00B94680">
        <w:t>2001, but most were purchased after</w:t>
      </w:r>
      <w:r>
        <w:t>,</w:t>
      </w:r>
      <w:r w:rsidRPr="00B94680">
        <w:t xml:space="preserve"> at bargain prices. </w:t>
      </w:r>
      <w:r>
        <w:t>T</w:t>
      </w:r>
      <w:r w:rsidRPr="00B94680">
        <w:t xml:space="preserve">he </w:t>
      </w:r>
      <w:r>
        <w:t>vulture funds</w:t>
      </w:r>
      <w:r w:rsidRPr="00B94680">
        <w:t xml:space="preserve"> </w:t>
      </w:r>
      <w:r>
        <w:t>a</w:t>
      </w:r>
      <w:r w:rsidRPr="00B94680">
        <w:t xml:space="preserve">llegedly paid </w:t>
      </w:r>
      <w:r>
        <w:t>about</w:t>
      </w:r>
      <w:r w:rsidRPr="00B94680">
        <w:t xml:space="preserve"> $48.7 million for more than $220 million in defaulted bonds soon after the default; others were purchased even after the </w:t>
      </w:r>
      <w:r>
        <w:t xml:space="preserve">bond </w:t>
      </w:r>
      <w:r w:rsidRPr="00B94680">
        <w:t>exchanges</w:t>
      </w:r>
      <w:r>
        <w:t xml:space="preserve"> of 2005 and 2010 (ibid., para. 32)</w:t>
      </w:r>
      <w:r w:rsidRPr="00B94680">
        <w:t>.</w:t>
      </w:r>
    </w:p>
    <w:p w14:paraId="2A0526DD" w14:textId="77777777" w:rsidR="0066100D" w:rsidRPr="00B94680" w:rsidRDefault="0066100D" w:rsidP="0066100D">
      <w:pPr>
        <w:pStyle w:val="SingleTxtG"/>
      </w:pPr>
      <w:r>
        <w:t>21</w:t>
      </w:r>
      <w:r w:rsidRPr="00B94680">
        <w:t>.</w:t>
      </w:r>
      <w:r w:rsidRPr="00B94680">
        <w:tab/>
        <w:t xml:space="preserve">In November 2012, a New York District </w:t>
      </w:r>
      <w:r>
        <w:t>Court j</w:t>
      </w:r>
      <w:r w:rsidRPr="00B94680">
        <w:t xml:space="preserve">udge ordered Argentina to pay NML Capital and other </w:t>
      </w:r>
      <w:r>
        <w:t>“</w:t>
      </w:r>
      <w:r w:rsidRPr="00B94680">
        <w:t>holdouts</w:t>
      </w:r>
      <w:r>
        <w:t>”</w:t>
      </w:r>
      <w:r w:rsidRPr="00B94680">
        <w:t xml:space="preserve"> in full (</w:t>
      </w:r>
      <w:r>
        <w:t>about</w:t>
      </w:r>
      <w:r w:rsidRPr="00B94680">
        <w:t xml:space="preserve"> $1.3 billion)</w:t>
      </w:r>
      <w:r>
        <w:t>,</w:t>
      </w:r>
      <w:r w:rsidRPr="00B94680">
        <w:t xml:space="preserve"> an amount that may represent a profit of about 1,600 per</w:t>
      </w:r>
      <w:r>
        <w:t xml:space="preserve"> </w:t>
      </w:r>
      <w:r w:rsidRPr="00B94680">
        <w:t>cent.</w:t>
      </w:r>
      <w:r w:rsidRPr="0008396E">
        <w:rPr>
          <w:rStyle w:val="FootnoteReference"/>
        </w:rPr>
        <w:footnoteReference w:id="24"/>
      </w:r>
      <w:r w:rsidRPr="00B94680">
        <w:rPr>
          <w:vertAlign w:val="superscript"/>
        </w:rPr>
        <w:t xml:space="preserve"> </w:t>
      </w:r>
      <w:r w:rsidRPr="00B94680">
        <w:t xml:space="preserve">The court ruling was first confirmed by a </w:t>
      </w:r>
      <w:r>
        <w:t xml:space="preserve">decision of the United States Court of Appeals for the </w:t>
      </w:r>
      <w:r w:rsidRPr="00B94680">
        <w:t xml:space="preserve">Second Circuit and </w:t>
      </w:r>
      <w:r>
        <w:t>subsequently</w:t>
      </w:r>
      <w:r w:rsidRPr="00B94680">
        <w:t xml:space="preserve"> endorsed by the Supreme Court</w:t>
      </w:r>
      <w:r>
        <w:t>, which</w:t>
      </w:r>
      <w:r w:rsidRPr="00B94680">
        <w:t xml:space="preserve"> stated that the country could not pay the creditors that </w:t>
      </w:r>
      <w:r>
        <w:t xml:space="preserve">had </w:t>
      </w:r>
      <w:r w:rsidRPr="00B94680">
        <w:t xml:space="preserve">accepted the exchange offers until the </w:t>
      </w:r>
      <w:r>
        <w:t>“</w:t>
      </w:r>
      <w:r w:rsidRPr="00B94680">
        <w:t>holdout</w:t>
      </w:r>
      <w:r>
        <w:t>”</w:t>
      </w:r>
      <w:r w:rsidRPr="00B94680">
        <w:t xml:space="preserve"> creditors </w:t>
      </w:r>
      <w:r>
        <w:t>had been</w:t>
      </w:r>
      <w:r w:rsidRPr="00B94680">
        <w:t xml:space="preserve"> paid</w:t>
      </w:r>
      <w:r>
        <w:t xml:space="preserve"> in full</w:t>
      </w:r>
      <w:r w:rsidRPr="00B94680">
        <w:t>.</w:t>
      </w:r>
    </w:p>
    <w:p w14:paraId="22B0B9D7" w14:textId="77777777" w:rsidR="0066100D" w:rsidRPr="00B94680" w:rsidRDefault="0066100D" w:rsidP="0066100D">
      <w:pPr>
        <w:pStyle w:val="SingleTxtG"/>
      </w:pPr>
      <w:r>
        <w:t>22</w:t>
      </w:r>
      <w:r w:rsidRPr="00B94680">
        <w:t>.</w:t>
      </w:r>
      <w:r w:rsidRPr="00B94680">
        <w:tab/>
        <w:t>The</w:t>
      </w:r>
      <w:r>
        <w:t>se</w:t>
      </w:r>
      <w:r w:rsidRPr="00B94680">
        <w:t xml:space="preserve"> rulings represent a major departure from the traditional market/legal understanding of the pari passu clause, a common component of bond contracts.</w:t>
      </w:r>
      <w:r w:rsidRPr="0008396E">
        <w:rPr>
          <w:rStyle w:val="FootnoteReference"/>
        </w:rPr>
        <w:footnoteReference w:id="25"/>
      </w:r>
      <w:r w:rsidRPr="00B94680">
        <w:t xml:space="preserve"> NML contended that the country was not granting the same treatment to the creditors that did not </w:t>
      </w:r>
      <w:r w:rsidRPr="00B94680">
        <w:lastRenderedPageBreak/>
        <w:t>participate in the exchange because it had agreed only to pay its debt to the exchange bondholders.</w:t>
      </w:r>
      <w:r w:rsidRPr="0008396E">
        <w:rPr>
          <w:rStyle w:val="FootnoteReference"/>
        </w:rPr>
        <w:footnoteReference w:id="26"/>
      </w:r>
      <w:r w:rsidRPr="00B94680">
        <w:rPr>
          <w:vertAlign w:val="superscript"/>
        </w:rPr>
        <w:t xml:space="preserve"> </w:t>
      </w:r>
    </w:p>
    <w:p w14:paraId="70D62081" w14:textId="77777777" w:rsidR="0066100D" w:rsidRPr="00B94680" w:rsidRDefault="0066100D" w:rsidP="0066100D">
      <w:pPr>
        <w:pStyle w:val="SingleTxtG"/>
      </w:pPr>
      <w:r>
        <w:t>23</w:t>
      </w:r>
      <w:r w:rsidRPr="00B94680">
        <w:t>.</w:t>
      </w:r>
      <w:r w:rsidRPr="00B94680">
        <w:tab/>
      </w:r>
      <w:r>
        <w:t>I</w:t>
      </w:r>
      <w:r w:rsidRPr="00B94680">
        <w:t>n February 2016, with a new</w:t>
      </w:r>
      <w:r>
        <w:t>ly</w:t>
      </w:r>
      <w:r w:rsidRPr="00B94680">
        <w:t xml:space="preserve"> elected Government in office</w:t>
      </w:r>
      <w:r>
        <w:t xml:space="preserve"> in Argentina</w:t>
      </w:r>
      <w:r w:rsidRPr="00B94680">
        <w:t xml:space="preserve">, the </w:t>
      </w:r>
      <w:r>
        <w:t>United States</w:t>
      </w:r>
      <w:r w:rsidRPr="00B94680">
        <w:t xml:space="preserve"> court set a number of conditions to effectively lift the injunction and allow Argentina to service the restructured debts.</w:t>
      </w:r>
      <w:r w:rsidRPr="0008396E">
        <w:rPr>
          <w:rStyle w:val="FootnoteReference"/>
        </w:rPr>
        <w:footnoteReference w:id="27"/>
      </w:r>
      <w:r w:rsidRPr="00B94680">
        <w:t xml:space="preserve"> </w:t>
      </w:r>
      <w:r>
        <w:t>Events</w:t>
      </w:r>
      <w:r w:rsidRPr="00B94680">
        <w:t xml:space="preserve"> accelerated from then on and in April, </w:t>
      </w:r>
      <w:r>
        <w:t>ceding to</w:t>
      </w:r>
      <w:r w:rsidRPr="00B94680">
        <w:t xml:space="preserve"> massive financial pressure, Argentina abruptly reversed its previous policy regarding these claims and agreed in an out-of-court settlement to pay </w:t>
      </w:r>
      <w:r>
        <w:t>$</w:t>
      </w:r>
      <w:r w:rsidRPr="00B94680">
        <w:t xml:space="preserve">6.5 billion dollars to the </w:t>
      </w:r>
      <w:r>
        <w:t>“</w:t>
      </w:r>
      <w:r w:rsidRPr="00B94680">
        <w:t>holdouts</w:t>
      </w:r>
      <w:r>
        <w:t>”</w:t>
      </w:r>
      <w:r w:rsidRPr="00B94680">
        <w:t>.</w:t>
      </w:r>
      <w:r w:rsidRPr="0008396E">
        <w:rPr>
          <w:rStyle w:val="FootnoteReference"/>
        </w:rPr>
        <w:footnoteReference w:id="28"/>
      </w:r>
    </w:p>
    <w:p w14:paraId="61A9E5EE" w14:textId="77777777" w:rsidR="0066100D" w:rsidRPr="00B94680" w:rsidRDefault="0066100D" w:rsidP="0066100D">
      <w:pPr>
        <w:pStyle w:val="SingleTxtG"/>
      </w:pPr>
      <w:r>
        <w:t>24</w:t>
      </w:r>
      <w:r w:rsidRPr="00B94680">
        <w:t>.</w:t>
      </w:r>
      <w:r w:rsidRPr="00B94680">
        <w:tab/>
        <w:t xml:space="preserve">The </w:t>
      </w:r>
      <w:r>
        <w:t>settlement</w:t>
      </w:r>
      <w:r w:rsidRPr="00B94680">
        <w:t xml:space="preserve"> represents a further setback in the process aimed at setting up </w:t>
      </w:r>
      <w:r>
        <w:t xml:space="preserve">an international </w:t>
      </w:r>
      <w:r w:rsidRPr="00B94680">
        <w:t>sovereign debt restructuring mechanism based on the equal treatment of creditors</w:t>
      </w:r>
      <w:r>
        <w:t>,</w:t>
      </w:r>
      <w:r w:rsidRPr="00B94680">
        <w:t xml:space="preserve"> and human rights experts</w:t>
      </w:r>
      <w:r>
        <w:t xml:space="preserve"> have expressed profound regret</w:t>
      </w:r>
      <w:r w:rsidRPr="00B94680">
        <w:t xml:space="preserve">. Paying </w:t>
      </w:r>
      <w:r>
        <w:t>vulture funds</w:t>
      </w:r>
      <w:r w:rsidRPr="00B94680">
        <w:t xml:space="preserve"> much more than what was paid to cooperative creditors in previous debt restructuring is a disturbing outcome. </w:t>
      </w:r>
      <w:r>
        <w:t>R</w:t>
      </w:r>
      <w:r w:rsidRPr="00B94680">
        <w:t xml:space="preserve">ewarding those who refuse to participate in debt restructuring efforts </w:t>
      </w:r>
      <w:r>
        <w:t xml:space="preserve">sends </w:t>
      </w:r>
      <w:r w:rsidRPr="00B94680">
        <w:t>the wrong message</w:t>
      </w:r>
      <w:r>
        <w:t>.</w:t>
      </w:r>
      <w:r>
        <w:rPr>
          <w:rStyle w:val="FootnoteReference"/>
        </w:rPr>
        <w:footnoteReference w:id="29"/>
      </w:r>
    </w:p>
    <w:p w14:paraId="4DE6B90C" w14:textId="77777777" w:rsidR="0066100D" w:rsidRPr="00B94680" w:rsidRDefault="0066100D" w:rsidP="0066100D">
      <w:pPr>
        <w:pStyle w:val="SingleTxtG"/>
      </w:pPr>
      <w:r>
        <w:t>25</w:t>
      </w:r>
      <w:r w:rsidRPr="00B94680">
        <w:t>.</w:t>
      </w:r>
      <w:r w:rsidRPr="00B94680">
        <w:tab/>
        <w:t xml:space="preserve">Doubts arise as to whether this settlement will </w:t>
      </w:r>
      <w:r>
        <w:t>be advantageous</w:t>
      </w:r>
      <w:r w:rsidRPr="00B94680">
        <w:t xml:space="preserve"> from a human rights perspective. Indeed, putting an end to more </w:t>
      </w:r>
      <w:r>
        <w:t>than</w:t>
      </w:r>
      <w:r w:rsidRPr="00B94680">
        <w:t xml:space="preserve"> a decade of judicial dispute</w:t>
      </w:r>
      <w:r>
        <w:t>s</w:t>
      </w:r>
      <w:r w:rsidRPr="00B94680">
        <w:t xml:space="preserve"> may, in the short term, reinforce the country’s credibility and allow it to borrow on the international financial markets. But in order to pay the </w:t>
      </w:r>
      <w:r>
        <w:t>“</w:t>
      </w:r>
      <w:r w:rsidRPr="00B94680">
        <w:t>holdouts</w:t>
      </w:r>
      <w:r>
        <w:t>”</w:t>
      </w:r>
      <w:r w:rsidRPr="00B94680">
        <w:t>, the Government has been forced to increase its debt burden, a fact that, in the long run, may hinder the Stat</w:t>
      </w:r>
      <w:r>
        <w:t xml:space="preserve">e in complying with its </w:t>
      </w:r>
      <w:r w:rsidRPr="00B94680">
        <w:t xml:space="preserve">obligations in the area of economic and social rights, </w:t>
      </w:r>
      <w:r>
        <w:t xml:space="preserve">thereby </w:t>
      </w:r>
      <w:r w:rsidRPr="00B94680">
        <w:t>also exacerbating inequality and financial instability.</w:t>
      </w:r>
    </w:p>
    <w:p w14:paraId="2755D62E" w14:textId="77777777" w:rsidR="0066100D" w:rsidRPr="00B94680" w:rsidRDefault="0066100D" w:rsidP="0066100D">
      <w:pPr>
        <w:pStyle w:val="SingleTxtG"/>
      </w:pPr>
      <w:r>
        <w:t>26</w:t>
      </w:r>
      <w:r w:rsidRPr="00B94680">
        <w:t>.</w:t>
      </w:r>
      <w:r w:rsidRPr="00B94680">
        <w:tab/>
      </w:r>
      <w:r>
        <w:t>In any event,</w:t>
      </w:r>
      <w:r w:rsidRPr="00B94680">
        <w:t xml:space="preserve"> this long judicial dispute highlights the pressing need </w:t>
      </w:r>
      <w:r>
        <w:t>to</w:t>
      </w:r>
      <w:r w:rsidRPr="00B94680">
        <w:t xml:space="preserve"> regulat</w:t>
      </w:r>
      <w:r>
        <w:t>e</w:t>
      </w:r>
      <w:r w:rsidRPr="00B94680">
        <w:t xml:space="preserve"> speculative investment practices in order to bring them in</w:t>
      </w:r>
      <w:r>
        <w:t>to</w:t>
      </w:r>
      <w:r w:rsidRPr="00B94680">
        <w:t xml:space="preserve"> line with human rights approaches and requirements. Furthermore, it has prompted a process aimed at establishing a multilateral mechanism with </w:t>
      </w:r>
      <w:r>
        <w:t>a</w:t>
      </w:r>
      <w:r w:rsidRPr="00B94680">
        <w:t xml:space="preserve"> mandate </w:t>
      </w:r>
      <w:r>
        <w:t>to</w:t>
      </w:r>
      <w:r w:rsidRPr="00B94680">
        <w:t xml:space="preserve"> </w:t>
      </w:r>
      <w:r>
        <w:t>re</w:t>
      </w:r>
      <w:r w:rsidRPr="00B94680">
        <w:t>solv</w:t>
      </w:r>
      <w:r>
        <w:t>e</w:t>
      </w:r>
      <w:r w:rsidRPr="00B94680">
        <w:t xml:space="preserve"> sovereign debt litigation in an independent and impartial manner. </w:t>
      </w:r>
    </w:p>
    <w:p w14:paraId="23066DDE" w14:textId="77777777" w:rsidR="0066100D" w:rsidRPr="00B94680" w:rsidRDefault="0066100D" w:rsidP="0066100D">
      <w:pPr>
        <w:pStyle w:val="SingleTxtG"/>
      </w:pPr>
      <w:r>
        <w:t>27</w:t>
      </w:r>
      <w:r w:rsidRPr="00B94680">
        <w:t>.</w:t>
      </w:r>
      <w:r w:rsidRPr="00B94680">
        <w:tab/>
        <w:t xml:space="preserve">Although the legal consequences of this case should not be underestimated, its final outcome must be read in </w:t>
      </w:r>
      <w:r>
        <w:t xml:space="preserve">the </w:t>
      </w:r>
      <w:r w:rsidRPr="00B94680">
        <w:t xml:space="preserve">light of the particular circumstances that surrounded the dispute and the evident political implications involved therein. </w:t>
      </w:r>
      <w:r>
        <w:t>There is no doubt, however,</w:t>
      </w:r>
      <w:r w:rsidRPr="00B94680">
        <w:t xml:space="preserve"> that the doctrine endorsed by </w:t>
      </w:r>
      <w:r>
        <w:t>the United States</w:t>
      </w:r>
      <w:r w:rsidRPr="00B94680">
        <w:t xml:space="preserve"> courts provides </w:t>
      </w:r>
      <w:r>
        <w:t>vulture funds</w:t>
      </w:r>
      <w:r w:rsidRPr="00B94680">
        <w:t xml:space="preserve"> with increased credibility that will certainly incentivi</w:t>
      </w:r>
      <w:r>
        <w:t>z</w:t>
      </w:r>
      <w:r w:rsidRPr="00B94680">
        <w:t>e them to pursu</w:t>
      </w:r>
      <w:r>
        <w:t>e</w:t>
      </w:r>
      <w:r w:rsidRPr="00B94680">
        <w:t xml:space="preserve"> these strategies </w:t>
      </w:r>
      <w:r>
        <w:t xml:space="preserve">further </w:t>
      </w:r>
      <w:r w:rsidRPr="00B94680">
        <w:t>in the future.</w:t>
      </w:r>
      <w:r>
        <w:rPr>
          <w:rStyle w:val="FootnoteReference"/>
        </w:rPr>
        <w:footnoteReference w:id="30"/>
      </w:r>
      <w:r w:rsidRPr="00B94680">
        <w:rPr>
          <w:vertAlign w:val="superscript"/>
        </w:rPr>
        <w:t xml:space="preserve"> </w:t>
      </w:r>
    </w:p>
    <w:p w14:paraId="48B1983E" w14:textId="77777777" w:rsidR="0066100D" w:rsidRPr="00B94680" w:rsidRDefault="0066100D" w:rsidP="0066100D">
      <w:pPr>
        <w:pStyle w:val="HChG"/>
      </w:pPr>
      <w:r w:rsidRPr="00B94680">
        <w:tab/>
        <w:t>IV.</w:t>
      </w:r>
      <w:r w:rsidRPr="00B94680">
        <w:tab/>
        <w:t>Disruptive litigation: a growing trend</w:t>
      </w:r>
    </w:p>
    <w:p w14:paraId="602A5E02" w14:textId="77777777" w:rsidR="0066100D" w:rsidRPr="00B94680" w:rsidRDefault="0066100D" w:rsidP="0066100D">
      <w:pPr>
        <w:pStyle w:val="SingleTxtG"/>
        <w:rPr>
          <w:lang w:val="en-US"/>
        </w:rPr>
      </w:pPr>
      <w:r>
        <w:rPr>
          <w:lang w:val="en-US"/>
        </w:rPr>
        <w:t>28</w:t>
      </w:r>
      <w:r w:rsidRPr="00B94680">
        <w:rPr>
          <w:lang w:val="en-US"/>
        </w:rPr>
        <w:t>.</w:t>
      </w:r>
      <w:r w:rsidRPr="00B94680">
        <w:rPr>
          <w:lang w:val="en-US"/>
        </w:rPr>
        <w:tab/>
        <w:t xml:space="preserve">The case of Argentina is not </w:t>
      </w:r>
      <w:r>
        <w:rPr>
          <w:lang w:val="en-US"/>
        </w:rPr>
        <w:t xml:space="preserve">an </w:t>
      </w:r>
      <w:r w:rsidRPr="00B94680">
        <w:rPr>
          <w:lang w:val="en-US"/>
        </w:rPr>
        <w:t>exception</w:t>
      </w:r>
      <w:r>
        <w:rPr>
          <w:lang w:val="en-US"/>
        </w:rPr>
        <w:t>,</w:t>
      </w:r>
      <w:r w:rsidRPr="00B94680">
        <w:rPr>
          <w:lang w:val="en-US"/>
        </w:rPr>
        <w:t xml:space="preserve"> but forms part of a more general trend. Increasingly, non</w:t>
      </w:r>
      <w:r>
        <w:rPr>
          <w:lang w:val="en-US"/>
        </w:rPr>
        <w:t>-</w:t>
      </w:r>
      <w:r w:rsidRPr="00B94680">
        <w:rPr>
          <w:lang w:val="en-US"/>
        </w:rPr>
        <w:t xml:space="preserve">cooperative creditors </w:t>
      </w:r>
      <w:r>
        <w:rPr>
          <w:lang w:val="en-US"/>
        </w:rPr>
        <w:t>are reaping</w:t>
      </w:r>
      <w:r w:rsidRPr="00B94680">
        <w:rPr>
          <w:lang w:val="en-US"/>
        </w:rPr>
        <w:t xml:space="preserve"> extraordinary profits </w:t>
      </w:r>
      <w:r>
        <w:rPr>
          <w:lang w:val="en-US"/>
        </w:rPr>
        <w:t>owing</w:t>
      </w:r>
      <w:r w:rsidRPr="00B94680">
        <w:rPr>
          <w:lang w:val="en-US"/>
        </w:rPr>
        <w:t xml:space="preserve"> to settlements reached or judgments obtained after disruptive litigation. </w:t>
      </w:r>
      <w:r>
        <w:rPr>
          <w:lang w:val="en-US"/>
        </w:rPr>
        <w:t xml:space="preserve">Not only do </w:t>
      </w:r>
      <w:r w:rsidRPr="00B94680">
        <w:rPr>
          <w:lang w:val="en-US"/>
        </w:rPr>
        <w:t xml:space="preserve">investors’ expectations of obtaining high returns by suing countries asphyxiated </w:t>
      </w:r>
      <w:r>
        <w:rPr>
          <w:lang w:val="en-US"/>
        </w:rPr>
        <w:t>by onerous</w:t>
      </w:r>
      <w:r w:rsidRPr="00B94680">
        <w:rPr>
          <w:lang w:val="en-US"/>
        </w:rPr>
        <w:t xml:space="preserve"> financial terms benefit from the lack of a global mechanism on debt restructuring, but </w:t>
      </w:r>
      <w:r>
        <w:rPr>
          <w:lang w:val="en-US"/>
        </w:rPr>
        <w:t xml:space="preserve">they </w:t>
      </w:r>
      <w:r w:rsidRPr="00B94680">
        <w:rPr>
          <w:lang w:val="en-US"/>
        </w:rPr>
        <w:t xml:space="preserve">may also be at the origin of this state of affairs. </w:t>
      </w:r>
    </w:p>
    <w:p w14:paraId="54656A9C" w14:textId="77777777" w:rsidR="0066100D" w:rsidRPr="00B94680" w:rsidRDefault="0066100D" w:rsidP="0066100D">
      <w:pPr>
        <w:pStyle w:val="SingleTxtG"/>
        <w:keepLines/>
        <w:rPr>
          <w:lang w:val="en-US"/>
        </w:rPr>
      </w:pPr>
      <w:r>
        <w:rPr>
          <w:lang w:val="en-US"/>
        </w:rPr>
        <w:lastRenderedPageBreak/>
        <w:t>29</w:t>
      </w:r>
      <w:r w:rsidRPr="00B94680">
        <w:rPr>
          <w:lang w:val="en-US"/>
        </w:rPr>
        <w:t>.</w:t>
      </w:r>
      <w:r w:rsidRPr="00B94680">
        <w:rPr>
          <w:lang w:val="en-US"/>
        </w:rPr>
        <w:tab/>
        <w:t xml:space="preserve">In fact, </w:t>
      </w:r>
      <w:r>
        <w:rPr>
          <w:lang w:val="en-US"/>
        </w:rPr>
        <w:t>statistics</w:t>
      </w:r>
      <w:r w:rsidRPr="00B94680">
        <w:rPr>
          <w:lang w:val="en-US"/>
        </w:rPr>
        <w:t xml:space="preserve"> show that lawsuits and </w:t>
      </w:r>
      <w:r>
        <w:rPr>
          <w:lang w:val="en-US"/>
        </w:rPr>
        <w:t xml:space="preserve">attempted </w:t>
      </w:r>
      <w:r w:rsidRPr="00B94680">
        <w:rPr>
          <w:lang w:val="en-US"/>
        </w:rPr>
        <w:t>attachment</w:t>
      </w:r>
      <w:r>
        <w:rPr>
          <w:lang w:val="en-US"/>
        </w:rPr>
        <w:t>s</w:t>
      </w:r>
      <w:r w:rsidRPr="00B94680">
        <w:rPr>
          <w:lang w:val="en-US"/>
        </w:rPr>
        <w:t xml:space="preserve"> are increasingly becoming a common way of solving sovereign debt disputes, entailing costly and protracted judicial processes for the </w:t>
      </w:r>
      <w:r>
        <w:rPr>
          <w:lang w:val="en-US"/>
        </w:rPr>
        <w:t>defaulted S</w:t>
      </w:r>
      <w:r w:rsidRPr="00B94680">
        <w:rPr>
          <w:lang w:val="en-US"/>
        </w:rPr>
        <w:t>tate</w:t>
      </w:r>
      <w:r w:rsidRPr="0008396E">
        <w:rPr>
          <w:rStyle w:val="FootnoteReference"/>
        </w:rPr>
        <w:footnoteReference w:id="31"/>
      </w:r>
      <w:r w:rsidRPr="00B94680">
        <w:rPr>
          <w:lang w:val="en-US"/>
        </w:rPr>
        <w:t xml:space="preserve"> Th</w:t>
      </w:r>
      <w:r>
        <w:rPr>
          <w:lang w:val="en-US"/>
        </w:rPr>
        <w:t>is</w:t>
      </w:r>
      <w:r w:rsidRPr="00B94680">
        <w:rPr>
          <w:lang w:val="en-US"/>
        </w:rPr>
        <w:t xml:space="preserve"> trend has grown since the </w:t>
      </w:r>
      <w:r>
        <w:rPr>
          <w:lang w:val="en-US"/>
        </w:rPr>
        <w:t>19</w:t>
      </w:r>
      <w:r w:rsidRPr="00B94680">
        <w:rPr>
          <w:lang w:val="en-US"/>
        </w:rPr>
        <w:t>90s</w:t>
      </w:r>
      <w:r>
        <w:rPr>
          <w:lang w:val="en-US"/>
        </w:rPr>
        <w:t>,</w:t>
      </w:r>
      <w:r w:rsidRPr="00B94680">
        <w:rPr>
          <w:lang w:val="en-US"/>
        </w:rPr>
        <w:t xml:space="preserve"> from 10 to almost 50 per</w:t>
      </w:r>
      <w:r>
        <w:rPr>
          <w:lang w:val="en-US"/>
        </w:rPr>
        <w:t xml:space="preserve"> </w:t>
      </w:r>
      <w:r w:rsidRPr="00B94680">
        <w:rPr>
          <w:lang w:val="en-US"/>
        </w:rPr>
        <w:t>cent</w:t>
      </w:r>
      <w:r>
        <w:rPr>
          <w:lang w:val="en-US"/>
        </w:rPr>
        <w:t xml:space="preserve"> of such disputes</w:t>
      </w:r>
      <w:r w:rsidRPr="00B94680">
        <w:rPr>
          <w:lang w:val="en-US"/>
        </w:rPr>
        <w:t xml:space="preserve">. In the period 1976-2010 there were about 120 lawsuits against 26 defaulting countries in the </w:t>
      </w:r>
      <w:r>
        <w:rPr>
          <w:lang w:val="en-US"/>
        </w:rPr>
        <w:t>United States</w:t>
      </w:r>
      <w:r w:rsidRPr="00B94680">
        <w:rPr>
          <w:lang w:val="en-US"/>
        </w:rPr>
        <w:t xml:space="preserve"> and the </w:t>
      </w:r>
      <w:r>
        <w:rPr>
          <w:lang w:val="en-US"/>
        </w:rPr>
        <w:t>United Kingdom</w:t>
      </w:r>
      <w:r w:rsidRPr="00B94680">
        <w:rPr>
          <w:lang w:val="en-US"/>
        </w:rPr>
        <w:t xml:space="preserve"> alone.</w:t>
      </w:r>
      <w:r w:rsidRPr="0008396E">
        <w:rPr>
          <w:rStyle w:val="FootnoteReference"/>
        </w:rPr>
        <w:footnoteReference w:id="32"/>
      </w:r>
      <w:r w:rsidRPr="00B94680">
        <w:rPr>
          <w:lang w:val="en-US"/>
        </w:rPr>
        <w:t xml:space="preserve"> The high rate of success (72 per</w:t>
      </w:r>
      <w:r>
        <w:rPr>
          <w:lang w:val="en-US"/>
        </w:rPr>
        <w:t xml:space="preserve"> </w:t>
      </w:r>
      <w:r w:rsidRPr="00B94680">
        <w:rPr>
          <w:lang w:val="en-US"/>
        </w:rPr>
        <w:t>cent) certainly encourag</w:t>
      </w:r>
      <w:r>
        <w:rPr>
          <w:lang w:val="en-US"/>
        </w:rPr>
        <w:t>es</w:t>
      </w:r>
      <w:r w:rsidRPr="00B94680">
        <w:rPr>
          <w:lang w:val="en-US"/>
        </w:rPr>
        <w:t xml:space="preserve"> this worrying tendency.</w:t>
      </w:r>
      <w:r w:rsidRPr="0008396E">
        <w:rPr>
          <w:rStyle w:val="FootnoteReference"/>
        </w:rPr>
        <w:footnoteReference w:id="33"/>
      </w:r>
    </w:p>
    <w:p w14:paraId="51B7D47D" w14:textId="77777777" w:rsidR="0066100D" w:rsidRPr="00B94680" w:rsidRDefault="0066100D" w:rsidP="0066100D">
      <w:pPr>
        <w:pStyle w:val="SingleTxtG"/>
        <w:rPr>
          <w:lang w:val="en-US"/>
        </w:rPr>
      </w:pPr>
      <w:r>
        <w:rPr>
          <w:lang w:val="en-US"/>
        </w:rPr>
        <w:t>30</w:t>
      </w:r>
      <w:r w:rsidRPr="00B94680">
        <w:rPr>
          <w:lang w:val="en-US"/>
        </w:rPr>
        <w:t>.</w:t>
      </w:r>
      <w:r w:rsidRPr="00B94680">
        <w:rPr>
          <w:lang w:val="en-US"/>
        </w:rPr>
        <w:tab/>
        <w:t>Africa has been by far the most harassed region</w:t>
      </w:r>
      <w:r>
        <w:rPr>
          <w:lang w:val="en-US"/>
        </w:rPr>
        <w:t>,</w:t>
      </w:r>
      <w:r w:rsidRPr="006A2217">
        <w:rPr>
          <w:lang w:val="en-US"/>
        </w:rPr>
        <w:t xml:space="preserve"> </w:t>
      </w:r>
      <w:r>
        <w:rPr>
          <w:lang w:val="en-US"/>
        </w:rPr>
        <w:t>w</w:t>
      </w:r>
      <w:r w:rsidRPr="00B94680">
        <w:rPr>
          <w:lang w:val="en-US"/>
        </w:rPr>
        <w:t xml:space="preserve">ith an average of </w:t>
      </w:r>
      <w:r>
        <w:rPr>
          <w:lang w:val="en-US"/>
        </w:rPr>
        <w:t>8</w:t>
      </w:r>
      <w:r w:rsidRPr="00B94680">
        <w:rPr>
          <w:lang w:val="en-US"/>
        </w:rPr>
        <w:t xml:space="preserve"> cases being filed per year.</w:t>
      </w:r>
      <w:r>
        <w:rPr>
          <w:rStyle w:val="FootnoteReference"/>
          <w:lang w:val="en-US"/>
        </w:rPr>
        <w:footnoteReference w:id="34"/>
      </w:r>
      <w:r>
        <w:rPr>
          <w:lang w:val="en-US"/>
        </w:rPr>
        <w:t xml:space="preserve"> Not for nothing </w:t>
      </w:r>
      <w:r w:rsidRPr="00B94680">
        <w:rPr>
          <w:lang w:val="en-US"/>
        </w:rPr>
        <w:t>African countries have the lowest rate of winning cases and have disbursed more than 70 per</w:t>
      </w:r>
      <w:r>
        <w:rPr>
          <w:lang w:val="en-US"/>
        </w:rPr>
        <w:t xml:space="preserve"> </w:t>
      </w:r>
      <w:r w:rsidRPr="00B94680">
        <w:rPr>
          <w:lang w:val="en-US"/>
        </w:rPr>
        <w:t xml:space="preserve">cent of the nearly </w:t>
      </w:r>
      <w:r>
        <w:rPr>
          <w:lang w:val="en-US"/>
        </w:rPr>
        <w:t>$1</w:t>
      </w:r>
      <w:r w:rsidRPr="00B94680">
        <w:rPr>
          <w:lang w:val="en-US"/>
        </w:rPr>
        <w:t xml:space="preserve"> billion dollars awarded to </w:t>
      </w:r>
      <w:r>
        <w:rPr>
          <w:lang w:val="en-US"/>
        </w:rPr>
        <w:t>vulture funds</w:t>
      </w:r>
      <w:r w:rsidRPr="00B94680">
        <w:rPr>
          <w:lang w:val="en-US"/>
        </w:rPr>
        <w:t xml:space="preserve"> </w:t>
      </w:r>
      <w:r>
        <w:rPr>
          <w:lang w:val="en-US"/>
        </w:rPr>
        <w:t xml:space="preserve">as a result of </w:t>
      </w:r>
      <w:r w:rsidRPr="00B94680">
        <w:rPr>
          <w:lang w:val="en-US"/>
        </w:rPr>
        <w:t>lawsuits.</w:t>
      </w:r>
      <w:r w:rsidRPr="0008396E">
        <w:rPr>
          <w:rStyle w:val="FootnoteReference"/>
        </w:rPr>
        <w:footnoteReference w:id="35"/>
      </w:r>
      <w:r w:rsidRPr="00B94680">
        <w:rPr>
          <w:vertAlign w:val="superscript"/>
          <w:lang w:val="en-US"/>
        </w:rPr>
        <w:t xml:space="preserve"> </w:t>
      </w:r>
      <w:r w:rsidRPr="00A96205">
        <w:rPr>
          <w:lang w:val="en-US"/>
        </w:rPr>
        <w:t xml:space="preserve">To protect the </w:t>
      </w:r>
      <w:r w:rsidRPr="00E766E5">
        <w:rPr>
          <w:lang w:val="en-US"/>
        </w:rPr>
        <w:t>poorest countries</w:t>
      </w:r>
      <w:r w:rsidRPr="005E5C04">
        <w:rPr>
          <w:lang w:val="en-US"/>
        </w:rPr>
        <w:t xml:space="preserve"> receiving funds from the IMF and the World Bank,</w:t>
      </w:r>
      <w:r w:rsidRPr="00A96205">
        <w:rPr>
          <w:lang w:val="en-US"/>
        </w:rPr>
        <w:t xml:space="preserve"> the so-called HIPICs</w:t>
      </w:r>
      <w:r>
        <w:rPr>
          <w:lang w:val="en-US"/>
        </w:rPr>
        <w:t>,</w:t>
      </w:r>
      <w:r w:rsidRPr="00A96205">
        <w:rPr>
          <w:rStyle w:val="FootnoteReference"/>
          <w:lang w:val="en-US"/>
        </w:rPr>
        <w:footnoteReference w:id="36"/>
      </w:r>
      <w:r w:rsidRPr="00742E57">
        <w:rPr>
          <w:lang w:val="en-US"/>
        </w:rPr>
        <w:t xml:space="preserve"> </w:t>
      </w:r>
      <w:r>
        <w:rPr>
          <w:lang w:val="en-US"/>
        </w:rPr>
        <w:t xml:space="preserve">from vulture funds aggressive litigation </w:t>
      </w:r>
      <w:r w:rsidRPr="00742E57">
        <w:rPr>
          <w:lang w:val="en-US"/>
        </w:rPr>
        <w:t>some ini</w:t>
      </w:r>
      <w:r>
        <w:rPr>
          <w:lang w:val="en-US"/>
        </w:rPr>
        <w:t>t</w:t>
      </w:r>
      <w:r w:rsidRPr="005E5C04">
        <w:rPr>
          <w:lang w:val="en-US"/>
        </w:rPr>
        <w:t>iatives</w:t>
      </w:r>
      <w:r>
        <w:rPr>
          <w:lang w:val="en-US"/>
        </w:rPr>
        <w:t xml:space="preserve"> have been taken</w:t>
      </w:r>
      <w:r w:rsidRPr="00A96205">
        <w:rPr>
          <w:lang w:val="en-US"/>
        </w:rPr>
        <w:t>.</w:t>
      </w:r>
      <w:r>
        <w:rPr>
          <w:lang w:val="en-US"/>
        </w:rPr>
        <w:t xml:space="preserve"> </w:t>
      </w:r>
    </w:p>
    <w:p w14:paraId="145F95E1" w14:textId="77777777" w:rsidR="0066100D" w:rsidRDefault="0066100D" w:rsidP="0066100D">
      <w:pPr>
        <w:pStyle w:val="SingleTxtG"/>
        <w:rPr>
          <w:vertAlign w:val="superscript"/>
          <w:lang w:val="en-US"/>
        </w:rPr>
      </w:pPr>
      <w:r>
        <w:rPr>
          <w:lang w:val="en-US"/>
        </w:rPr>
        <w:t>31</w:t>
      </w:r>
      <w:r w:rsidRPr="00B94680">
        <w:rPr>
          <w:lang w:val="en-US"/>
        </w:rPr>
        <w:t>.</w:t>
      </w:r>
      <w:r w:rsidRPr="00B94680">
        <w:rPr>
          <w:lang w:val="en-US"/>
        </w:rPr>
        <w:tab/>
      </w:r>
      <w:r>
        <w:rPr>
          <w:lang w:val="en-US"/>
        </w:rPr>
        <w:t>T</w:t>
      </w:r>
      <w:r w:rsidRPr="00B94680">
        <w:rPr>
          <w:lang w:val="en-US"/>
        </w:rPr>
        <w:t xml:space="preserve">he African Legal Support Facility </w:t>
      </w:r>
      <w:r>
        <w:rPr>
          <w:lang w:val="en-US"/>
        </w:rPr>
        <w:t xml:space="preserve">established by the African Development Bank in 2008 seeks to </w:t>
      </w:r>
      <w:r w:rsidRPr="00B94680">
        <w:rPr>
          <w:lang w:val="en-US"/>
        </w:rPr>
        <w:t>disincentiv</w:t>
      </w:r>
      <w:r>
        <w:rPr>
          <w:lang w:val="en-US"/>
        </w:rPr>
        <w:t>ize</w:t>
      </w:r>
      <w:r w:rsidRPr="00B94680">
        <w:rPr>
          <w:lang w:val="en-US"/>
        </w:rPr>
        <w:t xml:space="preserve"> creditors </w:t>
      </w:r>
      <w:r>
        <w:rPr>
          <w:lang w:val="en-US"/>
        </w:rPr>
        <w:t>from pursuing</w:t>
      </w:r>
      <w:r w:rsidRPr="00B94680">
        <w:rPr>
          <w:lang w:val="en-US"/>
        </w:rPr>
        <w:t xml:space="preserve"> debt litigation</w:t>
      </w:r>
      <w:r>
        <w:rPr>
          <w:lang w:val="en-US"/>
        </w:rPr>
        <w:t xml:space="preserve"> in the region by providing</w:t>
      </w:r>
      <w:r w:rsidRPr="00B94680">
        <w:rPr>
          <w:lang w:val="en-US"/>
        </w:rPr>
        <w:t xml:space="preserve"> legal </w:t>
      </w:r>
      <w:r>
        <w:rPr>
          <w:lang w:val="en-US"/>
        </w:rPr>
        <w:t xml:space="preserve">support </w:t>
      </w:r>
      <w:r w:rsidRPr="00B94680">
        <w:rPr>
          <w:lang w:val="en-US"/>
        </w:rPr>
        <w:t xml:space="preserve">and </w:t>
      </w:r>
      <w:r>
        <w:rPr>
          <w:lang w:val="en-US"/>
        </w:rPr>
        <w:t xml:space="preserve">technical </w:t>
      </w:r>
      <w:r w:rsidRPr="00B94680">
        <w:rPr>
          <w:lang w:val="en-US"/>
        </w:rPr>
        <w:t xml:space="preserve">advice </w:t>
      </w:r>
      <w:r>
        <w:rPr>
          <w:lang w:val="en-US"/>
        </w:rPr>
        <w:t>to States facing vulture funds lawsuits</w:t>
      </w:r>
      <w:r w:rsidRPr="00B94680">
        <w:rPr>
          <w:lang w:val="en-US"/>
        </w:rPr>
        <w:t>.</w:t>
      </w:r>
      <w:r w:rsidRPr="0008396E">
        <w:rPr>
          <w:rStyle w:val="FootnoteReference"/>
        </w:rPr>
        <w:footnoteReference w:id="37"/>
      </w:r>
      <w:r>
        <w:rPr>
          <w:lang w:val="en-US"/>
        </w:rPr>
        <w:t xml:space="preserve"> Earlier in 2006, the Commonwealth Secretariat established a </w:t>
      </w:r>
      <w:r w:rsidRPr="00B94680">
        <w:rPr>
          <w:lang w:val="en-US"/>
        </w:rPr>
        <w:t xml:space="preserve">“HIPC Legal Clinic” </w:t>
      </w:r>
      <w:r>
        <w:rPr>
          <w:lang w:val="en-US"/>
        </w:rPr>
        <w:t xml:space="preserve">also with a view of </w:t>
      </w:r>
      <w:r w:rsidRPr="00B94680">
        <w:rPr>
          <w:lang w:val="en-US"/>
        </w:rPr>
        <w:t>assist</w:t>
      </w:r>
      <w:r>
        <w:rPr>
          <w:lang w:val="en-US"/>
        </w:rPr>
        <w:t>ing</w:t>
      </w:r>
      <w:r w:rsidRPr="00B94680">
        <w:rPr>
          <w:lang w:val="en-US"/>
        </w:rPr>
        <w:t xml:space="preserve"> </w:t>
      </w:r>
      <w:r>
        <w:rPr>
          <w:lang w:val="en-US"/>
        </w:rPr>
        <w:t>States</w:t>
      </w:r>
      <w:r w:rsidRPr="00B94680">
        <w:rPr>
          <w:lang w:val="en-US"/>
        </w:rPr>
        <w:t xml:space="preserve"> in the negotiation and renegotiation of foreign debt.</w:t>
      </w:r>
      <w:r w:rsidRPr="0008396E">
        <w:rPr>
          <w:rStyle w:val="FootnoteReference"/>
        </w:rPr>
        <w:footnoteReference w:id="38"/>
      </w:r>
      <w:r>
        <w:rPr>
          <w:lang w:val="en-US"/>
        </w:rPr>
        <w:t xml:space="preserve"> Despite information on the success of these programs is not available, it is evident that vulture funds progressively are changing their business focus from HIPC’s to middle-income countries such as Greece,</w:t>
      </w:r>
      <w:r>
        <w:rPr>
          <w:rStyle w:val="FootnoteReference"/>
          <w:lang w:val="en-US"/>
        </w:rPr>
        <w:footnoteReference w:id="39"/>
      </w:r>
      <w:r>
        <w:rPr>
          <w:lang w:val="en-US"/>
        </w:rPr>
        <w:t xml:space="preserve"> Puerto Rico</w:t>
      </w:r>
      <w:r>
        <w:rPr>
          <w:rStyle w:val="FootnoteReference"/>
          <w:lang w:val="en-US"/>
        </w:rPr>
        <w:footnoteReference w:id="40"/>
      </w:r>
      <w:r>
        <w:rPr>
          <w:lang w:val="en-US"/>
        </w:rPr>
        <w:t xml:space="preserve"> and Venezuela.</w:t>
      </w:r>
      <w:r>
        <w:rPr>
          <w:rStyle w:val="FootnoteReference"/>
          <w:lang w:val="en-US"/>
        </w:rPr>
        <w:footnoteReference w:id="41"/>
      </w:r>
    </w:p>
    <w:p w14:paraId="3205A3BE" w14:textId="77777777" w:rsidR="0066100D" w:rsidRPr="00B94680" w:rsidRDefault="0066100D" w:rsidP="0066100D">
      <w:pPr>
        <w:pStyle w:val="SingleTxtG"/>
        <w:rPr>
          <w:lang w:val="en-US"/>
        </w:rPr>
      </w:pPr>
      <w:r>
        <w:rPr>
          <w:lang w:val="en-US"/>
        </w:rPr>
        <w:t>32. In other countries particularly hit by the financial crisis, such as Ireland</w:t>
      </w:r>
      <w:r>
        <w:rPr>
          <w:rStyle w:val="FootnoteReference"/>
          <w:lang w:val="en-US"/>
        </w:rPr>
        <w:footnoteReference w:id="42"/>
      </w:r>
      <w:r>
        <w:rPr>
          <w:lang w:val="en-US"/>
        </w:rPr>
        <w:t xml:space="preserve"> or Spain,</w:t>
      </w:r>
      <w:r>
        <w:rPr>
          <w:rStyle w:val="FootnoteReference"/>
          <w:lang w:val="en-US"/>
        </w:rPr>
        <w:footnoteReference w:id="43"/>
      </w:r>
      <w:r>
        <w:rPr>
          <w:lang w:val="en-US"/>
        </w:rPr>
        <w:t xml:space="preserve"> vulture funds speculative strategies are developing in relation to non-performing private loans.</w:t>
      </w:r>
      <w:r>
        <w:rPr>
          <w:rStyle w:val="FootnoteReference"/>
          <w:lang w:val="en-US"/>
        </w:rPr>
        <w:footnoteReference w:id="44"/>
      </w:r>
      <w:r>
        <w:rPr>
          <w:lang w:val="en-US"/>
        </w:rPr>
        <w:t xml:space="preserve"> In this context, their strategy is quite similar: they acquire distressed real estate assets taking advantage of the difficulties of people to pay the loans to banks and wait until de </w:t>
      </w:r>
      <w:r>
        <w:rPr>
          <w:lang w:val="en-US"/>
        </w:rPr>
        <w:lastRenderedPageBreak/>
        <w:t xml:space="preserve">mortgage is in default. In such a way, vulture funds get progressively a dominant position in the housing market that allows them to influence rents and house prices. Speculation drives up property costs and makes housing unaffordable to low-income households. </w:t>
      </w:r>
    </w:p>
    <w:p w14:paraId="1D67830C" w14:textId="77777777" w:rsidR="0066100D" w:rsidRPr="00B94680" w:rsidRDefault="0066100D" w:rsidP="0066100D">
      <w:pPr>
        <w:pStyle w:val="HChG"/>
      </w:pPr>
      <w:r w:rsidRPr="00B94680">
        <w:tab/>
        <w:t>V.</w:t>
      </w:r>
      <w:r w:rsidRPr="00B94680">
        <w:tab/>
        <w:t>National legislation</w:t>
      </w:r>
    </w:p>
    <w:p w14:paraId="271B20BA" w14:textId="77777777" w:rsidR="0066100D" w:rsidRPr="00B94680" w:rsidRDefault="0066100D" w:rsidP="0066100D">
      <w:pPr>
        <w:pStyle w:val="SingleTxtG"/>
        <w:keepNext/>
        <w:keepLines/>
      </w:pPr>
      <w:r>
        <w:t>33</w:t>
      </w:r>
      <w:r w:rsidRPr="00B94680">
        <w:t>.</w:t>
      </w:r>
      <w:r w:rsidRPr="00B94680">
        <w:tab/>
      </w:r>
      <w:r>
        <w:t>At present</w:t>
      </w:r>
      <w:r w:rsidRPr="00B94680">
        <w:t>, only t</w:t>
      </w:r>
      <w:r>
        <w:t>hree</w:t>
      </w:r>
      <w:r w:rsidRPr="00B94680">
        <w:t xml:space="preserve"> countries, Belgium the United Kingdom</w:t>
      </w:r>
      <w:r>
        <w:t>, and France</w:t>
      </w:r>
      <w:r w:rsidRPr="0008396E">
        <w:rPr>
          <w:rStyle w:val="FootnoteReference"/>
        </w:rPr>
        <w:footnoteReference w:id="45"/>
      </w:r>
      <w:r w:rsidRPr="00B94680">
        <w:t>, have enacted some sort of legal framework to discourage disruptive litigation</w:t>
      </w:r>
      <w:r>
        <w:t xml:space="preserve"> initiated by vulture funds</w:t>
      </w:r>
      <w:r w:rsidRPr="00B94680">
        <w:t>.</w:t>
      </w:r>
      <w:r>
        <w:t xml:space="preserve"> In 2016, France introduced in its national legislation an amendment aimed at restricting vulture fund’s claims. </w:t>
      </w:r>
      <w:r w:rsidRPr="00B94680">
        <w:t>Attempts to enact similar initiatives in the United States have</w:t>
      </w:r>
      <w:r>
        <w:t xml:space="preserve"> </w:t>
      </w:r>
      <w:r w:rsidRPr="00B94680">
        <w:t>failed</w:t>
      </w:r>
      <w:r>
        <w:t xml:space="preserve"> so far</w:t>
      </w:r>
      <w:r w:rsidRPr="00B94680">
        <w:t>.</w:t>
      </w:r>
      <w:r w:rsidRPr="0008396E">
        <w:rPr>
          <w:rStyle w:val="FootnoteReference"/>
        </w:rPr>
        <w:footnoteReference w:id="46"/>
      </w:r>
      <w:r>
        <w:t xml:space="preserve"> </w:t>
      </w:r>
    </w:p>
    <w:p w14:paraId="56C35058" w14:textId="77777777" w:rsidR="0066100D" w:rsidRDefault="0066100D" w:rsidP="0066100D">
      <w:pPr>
        <w:pStyle w:val="SingleTxtG"/>
      </w:pPr>
      <w:r>
        <w:t>34</w:t>
      </w:r>
      <w:r w:rsidRPr="00B94680">
        <w:t>.</w:t>
      </w:r>
      <w:r w:rsidRPr="00B94680">
        <w:tab/>
        <w:t>While these national laws have played an important deterrent role, it is evident that</w:t>
      </w:r>
      <w:r>
        <w:t xml:space="preserve"> concerns raised by vulture funds activities can only be effectively tacked if more countries pass national laws to </w:t>
      </w:r>
      <w:r w:rsidRPr="00742E57">
        <w:t xml:space="preserve">limit </w:t>
      </w:r>
      <w:r w:rsidRPr="005E5C04">
        <w:t xml:space="preserve">their </w:t>
      </w:r>
      <w:r w:rsidRPr="00742E57">
        <w:t>claims</w:t>
      </w:r>
      <w:r>
        <w:t xml:space="preserve">. To avoid forum shopping strategies, regulation </w:t>
      </w:r>
      <w:r w:rsidRPr="00B94680">
        <w:t xml:space="preserve">is particularly needed in those jurisdictions preferred by </w:t>
      </w:r>
      <w:r>
        <w:t>vulture funds</w:t>
      </w:r>
      <w:r w:rsidRPr="00B94680">
        <w:t xml:space="preserve"> </w:t>
      </w:r>
      <w:r>
        <w:t>for</w:t>
      </w:r>
      <w:r w:rsidRPr="00B94680">
        <w:t xml:space="preserve"> start</w:t>
      </w:r>
      <w:r>
        <w:t>ing</w:t>
      </w:r>
      <w:r w:rsidRPr="00B94680">
        <w:t xml:space="preserve"> litigation or </w:t>
      </w:r>
      <w:r>
        <w:t>enforcing</w:t>
      </w:r>
      <w:r w:rsidRPr="00B94680">
        <w:t xml:space="preserve"> attachments.</w:t>
      </w:r>
      <w:r>
        <w:t xml:space="preserve"> </w:t>
      </w:r>
    </w:p>
    <w:p w14:paraId="1DEE1278" w14:textId="77777777" w:rsidR="0066100D" w:rsidRPr="00B94680" w:rsidRDefault="0066100D" w:rsidP="0066100D">
      <w:pPr>
        <w:pStyle w:val="SingleTxtG"/>
      </w:pPr>
      <w:r>
        <w:t>35.</w:t>
      </w:r>
      <w:r>
        <w:tab/>
        <w:t>In doing so, national legislators may resort to useful guidelines</w:t>
      </w:r>
      <w:r w:rsidRPr="00B94680">
        <w:t xml:space="preserve"> </w:t>
      </w:r>
      <w:r>
        <w:t xml:space="preserve">deriving from </w:t>
      </w:r>
      <w:r w:rsidRPr="00B94680">
        <w:t xml:space="preserve">existing </w:t>
      </w:r>
      <w:r>
        <w:t xml:space="preserve">domestic </w:t>
      </w:r>
      <w:r w:rsidRPr="00B94680">
        <w:t>laws and experience on implementation</w:t>
      </w:r>
      <w:r>
        <w:t>, namely</w:t>
      </w:r>
      <w:r w:rsidRPr="00B94680">
        <w:t xml:space="preserve">: </w:t>
      </w:r>
      <w:r>
        <w:t>(a</w:t>
      </w:r>
      <w:r w:rsidRPr="00B94680">
        <w:t xml:space="preserve">) </w:t>
      </w:r>
      <w:r>
        <w:t>p</w:t>
      </w:r>
      <w:r w:rsidRPr="00B94680">
        <w:t>rotection should be extended to any debt</w:t>
      </w:r>
      <w:r>
        <w:t>-</w:t>
      </w:r>
      <w:r w:rsidRPr="00B94680">
        <w:t xml:space="preserve">distressed country and not only to HIPCs; </w:t>
      </w:r>
      <w:r>
        <w:t>(b</w:t>
      </w:r>
      <w:r w:rsidRPr="00B94680">
        <w:t xml:space="preserve">) </w:t>
      </w:r>
      <w:r>
        <w:t>w</w:t>
      </w:r>
      <w:r w:rsidRPr="00B94680">
        <w:t xml:space="preserve">here possible, procedures should allow </w:t>
      </w:r>
      <w:r>
        <w:t>for the identification of</w:t>
      </w:r>
      <w:r w:rsidRPr="00B94680">
        <w:t xml:space="preserve"> debts that are protected from </w:t>
      </w:r>
      <w:r>
        <w:t>the claims of vulture funds,</w:t>
      </w:r>
      <w:r w:rsidRPr="00B94680">
        <w:t xml:space="preserve"> on the basis of objective criteria; </w:t>
      </w:r>
      <w:r>
        <w:t>(c</w:t>
      </w:r>
      <w:r w:rsidRPr="00B94680">
        <w:t xml:space="preserve">) </w:t>
      </w:r>
      <w:r>
        <w:t>c</w:t>
      </w:r>
      <w:r w:rsidRPr="00B94680">
        <w:t xml:space="preserve">oncerns </w:t>
      </w:r>
      <w:r>
        <w:t>about</w:t>
      </w:r>
      <w:r w:rsidRPr="00B94680">
        <w:t xml:space="preserve"> the socioeconomic situation of the debtor State and the well-being of its population should be adequately incorporated and addressed by the legislator; </w:t>
      </w:r>
      <w:r>
        <w:t>and (d</w:t>
      </w:r>
      <w:r w:rsidRPr="00B94680">
        <w:t xml:space="preserve">) </w:t>
      </w:r>
      <w:r>
        <w:t>i</w:t>
      </w:r>
      <w:r w:rsidRPr="00B94680">
        <w:t xml:space="preserve">ssues regarding the lack of transparency in the secondary debt market and the operation of </w:t>
      </w:r>
      <w:r>
        <w:t>vulture funds</w:t>
      </w:r>
      <w:r w:rsidRPr="00B94680">
        <w:t xml:space="preserve"> in tax havens should be also tack</w:t>
      </w:r>
      <w:r>
        <w:t>l</w:t>
      </w:r>
      <w:r w:rsidRPr="00B94680">
        <w:t xml:space="preserve">ed. </w:t>
      </w:r>
    </w:p>
    <w:p w14:paraId="5147388B" w14:textId="77777777" w:rsidR="0066100D" w:rsidRPr="00B94680" w:rsidRDefault="0066100D" w:rsidP="0066100D">
      <w:pPr>
        <w:pStyle w:val="H23G"/>
      </w:pPr>
      <w:r w:rsidRPr="00B94680">
        <w:tab/>
      </w:r>
      <w:r w:rsidRPr="00B94680">
        <w:tab/>
        <w:t xml:space="preserve">Belgium </w:t>
      </w:r>
    </w:p>
    <w:p w14:paraId="34511A1E" w14:textId="77777777" w:rsidR="0066100D" w:rsidRPr="00B94680" w:rsidRDefault="0066100D" w:rsidP="0066100D">
      <w:pPr>
        <w:pStyle w:val="SingleTxtG"/>
      </w:pPr>
      <w:r>
        <w:t>36</w:t>
      </w:r>
      <w:r w:rsidRPr="00B94680">
        <w:t>.</w:t>
      </w:r>
      <w:r w:rsidRPr="00B94680">
        <w:tab/>
        <w:t xml:space="preserve">Belgium was the first country </w:t>
      </w:r>
      <w:r>
        <w:t>to pass</w:t>
      </w:r>
      <w:r w:rsidRPr="00B94680">
        <w:t xml:space="preserve"> a law</w:t>
      </w:r>
      <w:r>
        <w:t>,</w:t>
      </w:r>
      <w:r w:rsidRPr="00B94680">
        <w:t xml:space="preserve"> in 2008</w:t>
      </w:r>
      <w:r>
        <w:t>,</w:t>
      </w:r>
      <w:r w:rsidRPr="00B94680">
        <w:t xml:space="preserve"> to safeguard “funds disbursed towards development cooperation and debt relief” from </w:t>
      </w:r>
      <w:r>
        <w:t>vulture funds’</w:t>
      </w:r>
      <w:r w:rsidRPr="00B94680">
        <w:t xml:space="preserve"> actions.</w:t>
      </w:r>
      <w:r w:rsidRPr="0008396E">
        <w:rPr>
          <w:rStyle w:val="FootnoteReference"/>
        </w:rPr>
        <w:footnoteReference w:id="47"/>
      </w:r>
      <w:r w:rsidRPr="00B94680">
        <w:rPr>
          <w:vertAlign w:val="superscript"/>
        </w:rPr>
        <w:t xml:space="preserve"> </w:t>
      </w:r>
      <w:r w:rsidRPr="00B94680">
        <w:t xml:space="preserve">The legislation was adopted in reaction to the numerous lawsuits lodged before national courts </w:t>
      </w:r>
      <w:r>
        <w:t>by vulture funds</w:t>
      </w:r>
      <w:r w:rsidRPr="00B94680">
        <w:t xml:space="preserve"> seeking to seize the funds allocated to developing poor countries </w:t>
      </w:r>
      <w:r>
        <w:t xml:space="preserve">under </w:t>
      </w:r>
      <w:r w:rsidRPr="00B94680">
        <w:t>official development assistance programmes.</w:t>
      </w:r>
      <w:r w:rsidRPr="0008396E">
        <w:rPr>
          <w:rStyle w:val="FootnoteReference"/>
        </w:rPr>
        <w:footnoteReference w:id="48"/>
      </w:r>
      <w:r w:rsidRPr="00B94680">
        <w:rPr>
          <w:vertAlign w:val="superscript"/>
        </w:rPr>
        <w:t xml:space="preserve"> </w:t>
      </w:r>
      <w:r>
        <w:t>T</w:t>
      </w:r>
      <w:r w:rsidRPr="00B94680">
        <w:t>he law</w:t>
      </w:r>
      <w:r>
        <w:t xml:space="preserve"> </w:t>
      </w:r>
      <w:r w:rsidRPr="00B94680">
        <w:t xml:space="preserve">automatically </w:t>
      </w:r>
      <w:r>
        <w:t>bars</w:t>
      </w:r>
      <w:r w:rsidRPr="00B94680">
        <w:t xml:space="preserve"> such attempts. </w:t>
      </w:r>
    </w:p>
    <w:p w14:paraId="2663C0C6" w14:textId="77777777" w:rsidR="0066100D" w:rsidRPr="00B94680" w:rsidRDefault="0066100D" w:rsidP="0066100D">
      <w:pPr>
        <w:pStyle w:val="SingleTxtG"/>
      </w:pPr>
      <w:r>
        <w:t>37</w:t>
      </w:r>
      <w:r w:rsidRPr="00B94680">
        <w:t>.</w:t>
      </w:r>
      <w:r w:rsidRPr="00B94680">
        <w:tab/>
        <w:t xml:space="preserve">A law passed in 2015 set out a more detailed framework by fixing limits to the amount that legitimately can be claimed by the </w:t>
      </w:r>
      <w:r>
        <w:t>vulture funds</w:t>
      </w:r>
      <w:r w:rsidRPr="00B94680">
        <w:t>.</w:t>
      </w:r>
      <w:r w:rsidRPr="0008396E">
        <w:rPr>
          <w:rStyle w:val="FootnoteReference"/>
        </w:rPr>
        <w:footnoteReference w:id="49"/>
      </w:r>
      <w:r w:rsidRPr="00B94680">
        <w:t xml:space="preserve"> In cases where it is demonstrated that the creditor pursues an </w:t>
      </w:r>
      <w:r>
        <w:t>“</w:t>
      </w:r>
      <w:r w:rsidRPr="00B94680">
        <w:t xml:space="preserve">illegitimate </w:t>
      </w:r>
      <w:r>
        <w:t>advantage</w:t>
      </w:r>
      <w:r w:rsidRPr="00B94680">
        <w:t xml:space="preserve">” through the repurchase of a loan or a </w:t>
      </w:r>
      <w:r>
        <w:t>claim</w:t>
      </w:r>
      <w:r w:rsidRPr="00B94680">
        <w:t xml:space="preserve"> owed by a State, the law</w:t>
      </w:r>
      <w:r>
        <w:t xml:space="preserve"> provides that</w:t>
      </w:r>
      <w:r w:rsidRPr="00B94680">
        <w:t xml:space="preserve"> “its rights </w:t>
      </w:r>
      <w:r>
        <w:t>with respect to</w:t>
      </w:r>
      <w:r w:rsidRPr="00B94680">
        <w:t xml:space="preserve"> </w:t>
      </w:r>
      <w:r>
        <w:t>the debtor</w:t>
      </w:r>
      <w:r w:rsidRPr="00B94680">
        <w:t xml:space="preserve"> </w:t>
      </w:r>
      <w:r>
        <w:t>S</w:t>
      </w:r>
      <w:r w:rsidRPr="00B94680">
        <w:t xml:space="preserve">tate will be limited to the price </w:t>
      </w:r>
      <w:r>
        <w:t xml:space="preserve">it paid to </w:t>
      </w:r>
      <w:r w:rsidRPr="00B94680">
        <w:t xml:space="preserve">repurchase such a loan or </w:t>
      </w:r>
      <w:r>
        <w:t>debt</w:t>
      </w:r>
      <w:r w:rsidRPr="00B94680">
        <w:t xml:space="preserve">”. </w:t>
      </w:r>
    </w:p>
    <w:p w14:paraId="5BE73788" w14:textId="77777777" w:rsidR="0066100D" w:rsidRPr="00B94680" w:rsidRDefault="0066100D" w:rsidP="0066100D">
      <w:pPr>
        <w:pStyle w:val="SingleTxtG"/>
      </w:pPr>
      <w:r>
        <w:t>38.</w:t>
      </w:r>
      <w:r>
        <w:tab/>
        <w:t>Further, t</w:t>
      </w:r>
      <w:r w:rsidRPr="00B94680">
        <w:t xml:space="preserve">he law </w:t>
      </w:r>
      <w:r>
        <w:t>sets</w:t>
      </w:r>
      <w:r w:rsidRPr="00B94680">
        <w:t xml:space="preserve"> t</w:t>
      </w:r>
      <w:r>
        <w:t>wo cumulative</w:t>
      </w:r>
      <w:r w:rsidRPr="00B94680">
        <w:t xml:space="preserve"> conditions t</w:t>
      </w:r>
      <w:r>
        <w:t>hat must</w:t>
      </w:r>
      <w:r w:rsidRPr="00B94680">
        <w:t xml:space="preserve"> be </w:t>
      </w:r>
      <w:r>
        <w:t>fulfilled in order to conclude that an “</w:t>
      </w:r>
      <w:r w:rsidRPr="00B94680">
        <w:t>illegitimate advantage</w:t>
      </w:r>
      <w:r>
        <w:t>”</w:t>
      </w:r>
      <w:r w:rsidRPr="00B94680">
        <w:t xml:space="preserve"> is being pursued</w:t>
      </w:r>
      <w:r>
        <w:t xml:space="preserve">. First, there must be </w:t>
      </w:r>
      <w:r w:rsidRPr="00B94680">
        <w:t xml:space="preserve">a “manifest disproportion” between the repurchase price </w:t>
      </w:r>
      <w:r>
        <w:t xml:space="preserve">of the loan or debt </w:t>
      </w:r>
      <w:r w:rsidRPr="00B94680">
        <w:t xml:space="preserve">and the </w:t>
      </w:r>
      <w:r>
        <w:t xml:space="preserve">face value or the </w:t>
      </w:r>
      <w:r w:rsidRPr="00B94680">
        <w:t>amount</w:t>
      </w:r>
      <w:r>
        <w:t>s</w:t>
      </w:r>
      <w:r w:rsidRPr="00B94680">
        <w:t xml:space="preserve"> </w:t>
      </w:r>
      <w:r>
        <w:t>that</w:t>
      </w:r>
      <w:r w:rsidRPr="00B94680">
        <w:t xml:space="preserve"> </w:t>
      </w:r>
      <w:r>
        <w:t>the creditor</w:t>
      </w:r>
      <w:r w:rsidRPr="00B94680">
        <w:t xml:space="preserve"> seeks to recover from the Stat</w:t>
      </w:r>
      <w:r>
        <w:t>e;</w:t>
      </w:r>
      <w:r w:rsidRPr="00B94680">
        <w:t xml:space="preserve"> </w:t>
      </w:r>
      <w:r>
        <w:t>second,</w:t>
      </w:r>
      <w:r w:rsidRPr="00B94680">
        <w:t xml:space="preserve"> </w:t>
      </w:r>
      <w:r>
        <w:t>a</w:t>
      </w:r>
      <w:r w:rsidRPr="00B94680">
        <w:t>t least one of the following criteria</w:t>
      </w:r>
      <w:r>
        <w:t xml:space="preserve"> must be met</w:t>
      </w:r>
      <w:r w:rsidRPr="00B94680">
        <w:t xml:space="preserve">: </w:t>
      </w:r>
    </w:p>
    <w:p w14:paraId="504A40CF" w14:textId="77777777" w:rsidR="0066100D" w:rsidRPr="00B94680" w:rsidRDefault="0066100D" w:rsidP="0066100D">
      <w:pPr>
        <w:pStyle w:val="SingleTxtG"/>
        <w:ind w:firstLine="567"/>
      </w:pPr>
      <w:r w:rsidRPr="00B94680">
        <w:t>(a)</w:t>
      </w:r>
      <w:r w:rsidRPr="00B94680">
        <w:tab/>
        <w:t xml:space="preserve">The debtor </w:t>
      </w:r>
      <w:r>
        <w:t xml:space="preserve">State </w:t>
      </w:r>
      <w:r w:rsidRPr="00B94680">
        <w:t>was insolvent (or a default was imminent) at the time of the debt buy</w:t>
      </w:r>
      <w:r>
        <w:t>-</w:t>
      </w:r>
      <w:r w:rsidRPr="00B94680">
        <w:t>back;</w:t>
      </w:r>
    </w:p>
    <w:p w14:paraId="4BA52E53" w14:textId="77777777" w:rsidR="0066100D" w:rsidRPr="00B94680" w:rsidRDefault="0066100D" w:rsidP="0066100D">
      <w:pPr>
        <w:pStyle w:val="SingleTxtG"/>
        <w:ind w:firstLine="567"/>
      </w:pPr>
      <w:r w:rsidRPr="00B94680">
        <w:lastRenderedPageBreak/>
        <w:t>(b)</w:t>
      </w:r>
      <w:r w:rsidRPr="00B94680">
        <w:tab/>
        <w:t>The creditor is based in a tax haven or similar jurisdiction;</w:t>
      </w:r>
    </w:p>
    <w:p w14:paraId="1AEEF9ED" w14:textId="77777777" w:rsidR="0066100D" w:rsidRPr="00B94680" w:rsidRDefault="0066100D" w:rsidP="0066100D">
      <w:pPr>
        <w:pStyle w:val="SingleTxtG"/>
        <w:ind w:firstLine="567"/>
      </w:pPr>
      <w:r w:rsidRPr="00B94680">
        <w:t>(c)</w:t>
      </w:r>
      <w:r w:rsidRPr="00B94680">
        <w:tab/>
        <w:t>The creditor systematically uses legal proceedings to obtain repayment;</w:t>
      </w:r>
    </w:p>
    <w:p w14:paraId="5CF6AF6B" w14:textId="77777777" w:rsidR="0066100D" w:rsidRPr="00B94680" w:rsidRDefault="0066100D" w:rsidP="0066100D">
      <w:pPr>
        <w:pStyle w:val="SingleTxtG"/>
        <w:ind w:firstLine="567"/>
      </w:pPr>
      <w:r w:rsidRPr="00B94680">
        <w:t>(d)</w:t>
      </w:r>
      <w:r w:rsidRPr="00B94680">
        <w:tab/>
        <w:t>The creditor refused to take part in debt restructuring efforts;</w:t>
      </w:r>
    </w:p>
    <w:p w14:paraId="7EB49028" w14:textId="77777777" w:rsidR="0066100D" w:rsidRPr="00B94680" w:rsidRDefault="0066100D" w:rsidP="0066100D">
      <w:pPr>
        <w:pStyle w:val="SingleTxtG"/>
        <w:ind w:firstLine="567"/>
      </w:pPr>
      <w:r w:rsidRPr="00B94680">
        <w:t>(e)</w:t>
      </w:r>
      <w:r w:rsidRPr="00B94680">
        <w:tab/>
        <w:t>The creditor abused the weakness of the State to negotiate a repayment which is manifestly unbalanced;</w:t>
      </w:r>
    </w:p>
    <w:p w14:paraId="700B4B22" w14:textId="77777777" w:rsidR="0066100D" w:rsidRPr="00B94680" w:rsidRDefault="0066100D" w:rsidP="0066100D">
      <w:pPr>
        <w:pStyle w:val="SingleTxtG"/>
        <w:ind w:firstLine="567"/>
      </w:pPr>
      <w:r w:rsidRPr="00B94680">
        <w:t>(f)</w:t>
      </w:r>
      <w:r w:rsidRPr="00B94680">
        <w:tab/>
        <w:t xml:space="preserve">The </w:t>
      </w:r>
      <w:r>
        <w:t xml:space="preserve">total </w:t>
      </w:r>
      <w:r w:rsidRPr="00B94680">
        <w:t xml:space="preserve">reimbursement </w:t>
      </w:r>
      <w:r>
        <w:t xml:space="preserve">of the amounts demanded by the creditor </w:t>
      </w:r>
      <w:r w:rsidRPr="00B94680">
        <w:t>would have a measurabl</w:t>
      </w:r>
      <w:r>
        <w:t>y</w:t>
      </w:r>
      <w:r w:rsidRPr="00B94680">
        <w:t xml:space="preserve"> adverse impact on the public finances of the State and would likely compromise the socioeconomic development of its population.</w:t>
      </w:r>
    </w:p>
    <w:p w14:paraId="7C4E5A3F" w14:textId="77777777" w:rsidR="0066100D" w:rsidRPr="00B94680" w:rsidRDefault="0066100D" w:rsidP="0066100D">
      <w:pPr>
        <w:pStyle w:val="SingleTxtG"/>
      </w:pPr>
      <w:r>
        <w:t>39</w:t>
      </w:r>
      <w:r w:rsidRPr="00B94680">
        <w:t>.</w:t>
      </w:r>
      <w:r w:rsidRPr="00B94680">
        <w:tab/>
        <w:t xml:space="preserve">The law is not limited to HIPCs </w:t>
      </w:r>
      <w:r>
        <w:t xml:space="preserve">and </w:t>
      </w:r>
      <w:r w:rsidRPr="00B94680">
        <w:t>provides comprehensive protection against litigation</w:t>
      </w:r>
      <w:r>
        <w:t xml:space="preserve"> by vulture funds</w:t>
      </w:r>
      <w:r w:rsidRPr="00B94680">
        <w:t>. It integrates human rights concerns while taking due account of the important public interests at stake when dealing with sovereign debt.</w:t>
      </w:r>
      <w:r>
        <w:rPr>
          <w:rStyle w:val="FootnoteReference"/>
        </w:rPr>
        <w:footnoteReference w:id="50"/>
      </w:r>
      <w:r w:rsidRPr="00BC141F">
        <w:t xml:space="preserve"> </w:t>
      </w:r>
      <w:r w:rsidRPr="00B94680">
        <w:t>Requiring the judges to make an assessment o</w:t>
      </w:r>
      <w:r>
        <w:t>f</w:t>
      </w:r>
      <w:r w:rsidRPr="00B94680">
        <w:t xml:space="preserve"> the impact that the repayment of the debt </w:t>
      </w:r>
      <w:r>
        <w:t>might</w:t>
      </w:r>
      <w:r w:rsidRPr="00B94680">
        <w:t xml:space="preserve"> have on the socioeconomic situation of the debtor State and on the well-being of its population is certainly an innovative element and one of the most prominent aspects of this legislation.</w:t>
      </w:r>
      <w:r w:rsidRPr="00B94680">
        <w:rPr>
          <w:vertAlign w:val="superscript"/>
        </w:rPr>
        <w:t xml:space="preserve"> </w:t>
      </w:r>
    </w:p>
    <w:p w14:paraId="64E92FAD" w14:textId="77777777" w:rsidR="0066100D" w:rsidRDefault="0066100D" w:rsidP="0066100D">
      <w:pPr>
        <w:pStyle w:val="SingleTxtG"/>
      </w:pPr>
      <w:r>
        <w:rPr>
          <w:lang w:val="en-US"/>
        </w:rPr>
        <w:t>40</w:t>
      </w:r>
      <w:r w:rsidRPr="00B94680">
        <w:rPr>
          <w:lang w:val="en-US"/>
        </w:rPr>
        <w:t>.</w:t>
      </w:r>
      <w:r w:rsidRPr="00B94680">
        <w:rPr>
          <w:lang w:val="en-US"/>
        </w:rPr>
        <w:tab/>
      </w:r>
      <w:r>
        <w:t>On 31 May 2018, the Belgian</w:t>
      </w:r>
      <w:r w:rsidRPr="00FE5A9F">
        <w:t xml:space="preserve"> Constitutional Court </w:t>
      </w:r>
      <w:r>
        <w:t>declared inadmissible the recourse filed by NML Capital aimed at annulling the anti-vulture funds national legislation.</w:t>
      </w:r>
      <w:r w:rsidRPr="00B83130">
        <w:rPr>
          <w:rStyle w:val="FootnoteReference"/>
        </w:rPr>
        <w:footnoteReference w:id="51"/>
      </w:r>
      <w:r>
        <w:t xml:space="preserve"> The decision confirmed the value of national legislation to face aggressive holdouts litigations. It refused all arguments put forward by the vulture funds particularly that its application violates the creditor’s right to property and its right to a fair trial as provided respectively by articles 1 of the Protocol I to the ECHR and 6 of the ECHR. </w:t>
      </w:r>
    </w:p>
    <w:p w14:paraId="60D6E560" w14:textId="77777777" w:rsidR="0066100D" w:rsidRPr="0032207A" w:rsidRDefault="0066100D" w:rsidP="0066100D">
      <w:pPr>
        <w:pStyle w:val="SingleTxtG"/>
        <w:shd w:val="clear" w:color="auto" w:fill="FFFFFF" w:themeFill="background1"/>
      </w:pPr>
      <w:r w:rsidRPr="0032207A">
        <w:t>41.</w:t>
      </w:r>
      <w:r w:rsidRPr="0032207A">
        <w:tab/>
        <w:t>The decision considers that the limitations to creditor’s right of property introduced by the law were both justified by the public interest and proportionate to the aim pursued</w:t>
      </w:r>
      <w:r w:rsidRPr="0032207A">
        <w:rPr>
          <w:rStyle w:val="FootnoteReference"/>
        </w:rPr>
        <w:footnoteReference w:id="52"/>
      </w:r>
      <w:r w:rsidRPr="0032207A">
        <w:t xml:space="preserve">. National legislation precisely was conceived to protect most vulnerable countries by avoiding the contribution of vulture funds’ activities to the worsening of the already difficult situation of the debtor country. The Court endorsed that the 2015 law provides objective criteria to identify those creditors that pursue an “illegitimate advantage” in light of the “manifest disproportion” existing between the repurchase price and the face value or the amounts the creditor is claiming before courts. </w:t>
      </w:r>
    </w:p>
    <w:p w14:paraId="2F2A7270" w14:textId="77777777" w:rsidR="0066100D" w:rsidRDefault="0066100D" w:rsidP="0066100D">
      <w:pPr>
        <w:pStyle w:val="SingleTxtG"/>
      </w:pPr>
      <w:r w:rsidRPr="0032207A">
        <w:t>42.</w:t>
      </w:r>
      <w:r w:rsidRPr="0032207A">
        <w:tab/>
        <w:t>In such cases, the law does not exclude entirely the creditor’s right to claim before Belgian courts, but only limits the repayment to the actual price of the sovereign debt. The right to claim before courts the repayment up to that quantity remains therefore untouched. According the Constitutional Court, the application of this rule is not discriminatory. It limits the amount that may be claim not only by those creditors that buy distressed debts but also by the holders of sovereign foreign debt, the repayment of which would have a significant impact on the state’s public finances and could have an adverse effect on the economic and social welfare of its population.</w:t>
      </w:r>
      <w:r>
        <w:t xml:space="preserve"> </w:t>
      </w:r>
    </w:p>
    <w:p w14:paraId="0A74EF02" w14:textId="77777777" w:rsidR="0066100D" w:rsidRPr="005E5C04" w:rsidRDefault="0066100D" w:rsidP="0066100D">
      <w:pPr>
        <w:pStyle w:val="H23G"/>
        <w:rPr>
          <w:lang w:val="en-US"/>
        </w:rPr>
      </w:pPr>
      <w:r>
        <w:rPr>
          <w:lang w:val="en-US"/>
        </w:rPr>
        <w:tab/>
      </w:r>
      <w:r>
        <w:rPr>
          <w:lang w:val="en-US"/>
        </w:rPr>
        <w:tab/>
      </w:r>
      <w:r>
        <w:rPr>
          <w:lang w:val="en-US"/>
        </w:rPr>
        <w:tab/>
      </w:r>
      <w:r w:rsidRPr="005E5C04">
        <w:rPr>
          <w:lang w:val="en-US"/>
        </w:rPr>
        <w:t>United Kingdom of Great Britain and Northern Ireland</w:t>
      </w:r>
    </w:p>
    <w:p w14:paraId="4301DBAB" w14:textId="77777777" w:rsidR="0066100D" w:rsidRPr="00B94680" w:rsidRDefault="0066100D" w:rsidP="0066100D">
      <w:pPr>
        <w:pStyle w:val="SingleTxtG"/>
        <w:rPr>
          <w:lang w:val="en-US"/>
        </w:rPr>
      </w:pPr>
      <w:r>
        <w:rPr>
          <w:lang w:val="en-US"/>
        </w:rPr>
        <w:t>43</w:t>
      </w:r>
      <w:r w:rsidRPr="00B94680">
        <w:rPr>
          <w:lang w:val="en-US"/>
        </w:rPr>
        <w:t>.</w:t>
      </w:r>
      <w:r w:rsidRPr="00B94680">
        <w:rPr>
          <w:lang w:val="en-US"/>
        </w:rPr>
        <w:tab/>
        <w:t>In the United Kingdom, Parliament first discussed a draft bill aimed at limiting the “maximum recoverable amount” of the defaulted sovereign debt of developing countries</w:t>
      </w:r>
      <w:r>
        <w:rPr>
          <w:lang w:val="en-US"/>
        </w:rPr>
        <w:t xml:space="preserve"> </w:t>
      </w:r>
      <w:r w:rsidRPr="00B94680">
        <w:rPr>
          <w:lang w:val="en-US"/>
        </w:rPr>
        <w:t>in 2009.</w:t>
      </w:r>
      <w:r w:rsidRPr="0008396E">
        <w:rPr>
          <w:rStyle w:val="FootnoteReference"/>
        </w:rPr>
        <w:footnoteReference w:id="53"/>
      </w:r>
      <w:r w:rsidRPr="00B94680">
        <w:rPr>
          <w:lang w:val="en-US"/>
        </w:rPr>
        <w:t xml:space="preserve"> The proposal established a threshold </w:t>
      </w:r>
      <w:r>
        <w:rPr>
          <w:lang w:val="en-US"/>
        </w:rPr>
        <w:t>for</w:t>
      </w:r>
      <w:r w:rsidRPr="00B94680">
        <w:rPr>
          <w:lang w:val="en-US"/>
        </w:rPr>
        <w:t xml:space="preserve"> the </w:t>
      </w:r>
      <w:r>
        <w:rPr>
          <w:lang w:val="en-US"/>
        </w:rPr>
        <w:t>maximum recoverable amount</w:t>
      </w:r>
      <w:r w:rsidRPr="00B94680">
        <w:rPr>
          <w:lang w:val="en-US"/>
        </w:rPr>
        <w:t xml:space="preserve"> (“equal to any amounts recovered from other actions related to the same defaulted sovereign debt”), the interest rate and </w:t>
      </w:r>
      <w:r>
        <w:rPr>
          <w:lang w:val="en-US"/>
        </w:rPr>
        <w:t>the manner in which it is calculated</w:t>
      </w:r>
      <w:r w:rsidRPr="00B94680">
        <w:rPr>
          <w:lang w:val="en-US"/>
        </w:rPr>
        <w:t>.</w:t>
      </w:r>
      <w:r w:rsidRPr="0008396E">
        <w:rPr>
          <w:rStyle w:val="FootnoteReference"/>
        </w:rPr>
        <w:footnoteReference w:id="54"/>
      </w:r>
      <w:r w:rsidRPr="00B94680">
        <w:rPr>
          <w:vertAlign w:val="superscript"/>
          <w:lang w:val="en-US"/>
        </w:rPr>
        <w:t xml:space="preserve"> </w:t>
      </w:r>
      <w:r w:rsidRPr="00B94680">
        <w:rPr>
          <w:lang w:val="en-US"/>
        </w:rPr>
        <w:t xml:space="preserve">It further required that, before seeking a judgment or the enforcement of a judgment, </w:t>
      </w:r>
      <w:r>
        <w:rPr>
          <w:lang w:val="en-US"/>
        </w:rPr>
        <w:t>vulture funds</w:t>
      </w:r>
      <w:r w:rsidRPr="00B94680">
        <w:rPr>
          <w:lang w:val="en-US"/>
        </w:rPr>
        <w:t xml:space="preserve"> </w:t>
      </w:r>
      <w:r>
        <w:rPr>
          <w:lang w:val="en-US"/>
        </w:rPr>
        <w:t>must</w:t>
      </w:r>
      <w:r w:rsidRPr="00B94680">
        <w:rPr>
          <w:lang w:val="en-US"/>
        </w:rPr>
        <w:t xml:space="preserve"> file a </w:t>
      </w:r>
      <w:r>
        <w:rPr>
          <w:lang w:val="en-US"/>
        </w:rPr>
        <w:t>“</w:t>
      </w:r>
      <w:r w:rsidRPr="00B94680">
        <w:rPr>
          <w:lang w:val="en-US"/>
        </w:rPr>
        <w:t xml:space="preserve">consent </w:t>
      </w:r>
      <w:r w:rsidRPr="00B94680">
        <w:rPr>
          <w:lang w:val="en-US"/>
        </w:rPr>
        <w:lastRenderedPageBreak/>
        <w:t>application</w:t>
      </w:r>
      <w:r>
        <w:rPr>
          <w:lang w:val="en-US"/>
        </w:rPr>
        <w:t>”</w:t>
      </w:r>
      <w:r w:rsidRPr="00B94680">
        <w:rPr>
          <w:lang w:val="en-US"/>
        </w:rPr>
        <w:t xml:space="preserve"> to provide national authorities with all the relevant information related to the acquisition or collection of the defaulted sovereign debt.</w:t>
      </w:r>
      <w:r w:rsidRPr="0008396E">
        <w:rPr>
          <w:rStyle w:val="FootnoteReference"/>
        </w:rPr>
        <w:footnoteReference w:id="55"/>
      </w:r>
      <w:r w:rsidRPr="00B94680">
        <w:rPr>
          <w:vertAlign w:val="superscript"/>
          <w:lang w:val="en-US"/>
        </w:rPr>
        <w:t xml:space="preserve"> </w:t>
      </w:r>
    </w:p>
    <w:p w14:paraId="395514F3" w14:textId="77777777" w:rsidR="0066100D" w:rsidRPr="00B94680" w:rsidRDefault="0066100D" w:rsidP="0066100D">
      <w:pPr>
        <w:pStyle w:val="SingleTxtG"/>
        <w:rPr>
          <w:lang w:val="en-US"/>
        </w:rPr>
      </w:pPr>
      <w:r>
        <w:rPr>
          <w:lang w:val="en-US"/>
        </w:rPr>
        <w:t>44</w:t>
      </w:r>
      <w:r w:rsidRPr="00B94680">
        <w:rPr>
          <w:lang w:val="en-US"/>
        </w:rPr>
        <w:t>.</w:t>
      </w:r>
      <w:r w:rsidRPr="00B94680">
        <w:rPr>
          <w:lang w:val="en-US"/>
        </w:rPr>
        <w:tab/>
        <w:t>Th</w:t>
      </w:r>
      <w:r>
        <w:rPr>
          <w:lang w:val="en-US"/>
        </w:rPr>
        <w:t>e</w:t>
      </w:r>
      <w:r w:rsidRPr="00B94680">
        <w:rPr>
          <w:lang w:val="en-US"/>
        </w:rPr>
        <w:t xml:space="preserve"> initial draft </w:t>
      </w:r>
      <w:r>
        <w:rPr>
          <w:lang w:val="en-US"/>
        </w:rPr>
        <w:t>did</w:t>
      </w:r>
      <w:r w:rsidRPr="00B94680">
        <w:rPr>
          <w:lang w:val="en-US"/>
        </w:rPr>
        <w:t xml:space="preserve"> not pass, but in September 2010, another bill pursuing similar aims was </w:t>
      </w:r>
      <w:r>
        <w:rPr>
          <w:lang w:val="en-US"/>
        </w:rPr>
        <w:t>adopted</w:t>
      </w:r>
      <w:r w:rsidRPr="00B94680">
        <w:rPr>
          <w:lang w:val="en-US"/>
        </w:rPr>
        <w:t xml:space="preserve">. The Debt Relief (Developing Countries) Act 2010 specifically limits the amount recoverable of claims related to </w:t>
      </w:r>
      <w:r>
        <w:rPr>
          <w:lang w:val="en-US"/>
        </w:rPr>
        <w:t>“</w:t>
      </w:r>
      <w:r w:rsidRPr="00B94680">
        <w:rPr>
          <w:lang w:val="en-US"/>
        </w:rPr>
        <w:t>qualifying debts</w:t>
      </w:r>
      <w:r>
        <w:rPr>
          <w:lang w:val="en-US"/>
        </w:rPr>
        <w:t>”</w:t>
      </w:r>
      <w:r w:rsidRPr="00B94680">
        <w:rPr>
          <w:lang w:val="en-US"/>
        </w:rPr>
        <w:t xml:space="preserve">. The legislation applies to any judgment by </w:t>
      </w:r>
      <w:r>
        <w:rPr>
          <w:lang w:val="en-US"/>
        </w:rPr>
        <w:t xml:space="preserve">a </w:t>
      </w:r>
      <w:r w:rsidRPr="00B94680">
        <w:rPr>
          <w:lang w:val="en-US"/>
        </w:rPr>
        <w:t>court</w:t>
      </w:r>
      <w:r>
        <w:rPr>
          <w:lang w:val="en-US"/>
        </w:rPr>
        <w:t xml:space="preserve"> in the United Kingdom and</w:t>
      </w:r>
      <w:r w:rsidRPr="00B94680">
        <w:rPr>
          <w:lang w:val="en-US"/>
        </w:rPr>
        <w:t xml:space="preserve"> foreign judgments enforceable in the </w:t>
      </w:r>
      <w:r>
        <w:rPr>
          <w:lang w:val="en-US"/>
        </w:rPr>
        <w:t>United Kingdom</w:t>
      </w:r>
      <w:r w:rsidRPr="00B94680">
        <w:rPr>
          <w:lang w:val="en-US"/>
        </w:rPr>
        <w:t>, as well as to arbitral awards.</w:t>
      </w:r>
      <w:r w:rsidRPr="0008396E">
        <w:rPr>
          <w:rStyle w:val="FootnoteReference"/>
        </w:rPr>
        <w:footnoteReference w:id="56"/>
      </w:r>
      <w:r w:rsidRPr="00B94680">
        <w:rPr>
          <w:vertAlign w:val="superscript"/>
          <w:lang w:val="en-US"/>
        </w:rPr>
        <w:t xml:space="preserve"> </w:t>
      </w:r>
      <w:r w:rsidRPr="00B94680">
        <w:rPr>
          <w:lang w:val="en-US"/>
        </w:rPr>
        <w:t>However, its scope is limited to HIPCs.</w:t>
      </w:r>
      <w:r w:rsidRPr="00B94680">
        <w:rPr>
          <w:vertAlign w:val="superscript"/>
          <w:lang w:val="en-US"/>
        </w:rPr>
        <w:t xml:space="preserve"> </w:t>
      </w:r>
    </w:p>
    <w:p w14:paraId="1011825A" w14:textId="77777777" w:rsidR="0066100D" w:rsidRPr="00B94680" w:rsidRDefault="0066100D" w:rsidP="0066100D">
      <w:pPr>
        <w:pStyle w:val="SingleTxtG"/>
        <w:rPr>
          <w:lang w:val="en-US"/>
        </w:rPr>
      </w:pPr>
      <w:r>
        <w:rPr>
          <w:lang w:val="en-US"/>
        </w:rPr>
        <w:t>45</w:t>
      </w:r>
      <w:r w:rsidRPr="00B94680">
        <w:rPr>
          <w:lang w:val="en-US"/>
        </w:rPr>
        <w:t>.</w:t>
      </w:r>
      <w:r w:rsidRPr="00B94680">
        <w:rPr>
          <w:lang w:val="en-US"/>
        </w:rPr>
        <w:tab/>
        <w:t xml:space="preserve">The aim </w:t>
      </w:r>
      <w:r>
        <w:rPr>
          <w:lang w:val="en-US"/>
        </w:rPr>
        <w:t xml:space="preserve">of the law </w:t>
      </w:r>
      <w:r w:rsidRPr="00B94680">
        <w:rPr>
          <w:lang w:val="en-US"/>
        </w:rPr>
        <w:t xml:space="preserve">is to ensure that courts </w:t>
      </w:r>
      <w:r>
        <w:rPr>
          <w:lang w:val="en-US"/>
        </w:rPr>
        <w:t xml:space="preserve">in the United Kingdom </w:t>
      </w:r>
      <w:r w:rsidRPr="00B94680">
        <w:rPr>
          <w:lang w:val="en-US"/>
        </w:rPr>
        <w:t xml:space="preserve">neither </w:t>
      </w:r>
      <w:r>
        <w:rPr>
          <w:lang w:val="en-US"/>
        </w:rPr>
        <w:t>render</w:t>
      </w:r>
      <w:r w:rsidRPr="00B94680">
        <w:rPr>
          <w:lang w:val="en-US"/>
        </w:rPr>
        <w:t xml:space="preserve"> nor enforce a judgment </w:t>
      </w:r>
      <w:r>
        <w:rPr>
          <w:lang w:val="en-US"/>
        </w:rPr>
        <w:t xml:space="preserve">that </w:t>
      </w:r>
      <w:r w:rsidRPr="00B94680">
        <w:rPr>
          <w:lang w:val="en-US"/>
        </w:rPr>
        <w:t>allow</w:t>
      </w:r>
      <w:r>
        <w:rPr>
          <w:lang w:val="en-US"/>
        </w:rPr>
        <w:t>s</w:t>
      </w:r>
      <w:r w:rsidRPr="00B94680">
        <w:rPr>
          <w:lang w:val="en-US"/>
        </w:rPr>
        <w:t xml:space="preserve"> recovery </w:t>
      </w:r>
      <w:r>
        <w:rPr>
          <w:lang w:val="en-US"/>
        </w:rPr>
        <w:t>of covered debts of those countries</w:t>
      </w:r>
      <w:r w:rsidRPr="00B94680">
        <w:rPr>
          <w:lang w:val="en-US"/>
        </w:rPr>
        <w:t xml:space="preserve"> </w:t>
      </w:r>
      <w:r>
        <w:rPr>
          <w:lang w:val="en-US"/>
        </w:rPr>
        <w:t xml:space="preserve">in excess of </w:t>
      </w:r>
      <w:r w:rsidRPr="00B94680">
        <w:rPr>
          <w:lang w:val="en-US"/>
        </w:rPr>
        <w:t xml:space="preserve">the amount calculated as sustainable debt under the HIPC </w:t>
      </w:r>
      <w:r>
        <w:rPr>
          <w:lang w:val="en-US"/>
        </w:rPr>
        <w:t>I</w:t>
      </w:r>
      <w:r w:rsidRPr="00B94680">
        <w:rPr>
          <w:lang w:val="en-US"/>
        </w:rPr>
        <w:t>nitiative. The creditor may not recover more than the existing debt</w:t>
      </w:r>
      <w:r>
        <w:rPr>
          <w:lang w:val="en-US"/>
        </w:rPr>
        <w:t>,</w:t>
      </w:r>
      <w:r w:rsidRPr="00B94680">
        <w:rPr>
          <w:lang w:val="en-US"/>
        </w:rPr>
        <w:t xml:space="preserve"> even if </w:t>
      </w:r>
      <w:r>
        <w:rPr>
          <w:lang w:val="en-US"/>
        </w:rPr>
        <w:t>the</w:t>
      </w:r>
      <w:r w:rsidRPr="00B94680">
        <w:rPr>
          <w:lang w:val="en-US"/>
        </w:rPr>
        <w:t xml:space="preserve"> debt is renegotiated or </w:t>
      </w:r>
      <w:r>
        <w:rPr>
          <w:lang w:val="en-US"/>
        </w:rPr>
        <w:t xml:space="preserve">the </w:t>
      </w:r>
      <w:r w:rsidRPr="00B94680">
        <w:rPr>
          <w:lang w:val="en-US"/>
        </w:rPr>
        <w:t xml:space="preserve">subject of a new agreement. While there is no </w:t>
      </w:r>
      <w:r>
        <w:rPr>
          <w:lang w:val="en-US"/>
        </w:rPr>
        <w:t xml:space="preserve">provision for </w:t>
      </w:r>
      <w:r w:rsidRPr="00B94680">
        <w:rPr>
          <w:lang w:val="en-US"/>
        </w:rPr>
        <w:t>cancellation of debt, enforcement is limited to the recoverable amount under the existing debt, irrespective of the law applicable to the debt or claim.</w:t>
      </w:r>
      <w:r w:rsidRPr="0008396E">
        <w:rPr>
          <w:rStyle w:val="FootnoteReference"/>
        </w:rPr>
        <w:footnoteReference w:id="57"/>
      </w:r>
      <w:r w:rsidRPr="00B94680">
        <w:rPr>
          <w:vertAlign w:val="superscript"/>
          <w:lang w:val="en-US"/>
        </w:rPr>
        <w:t xml:space="preserve"> </w:t>
      </w:r>
    </w:p>
    <w:p w14:paraId="0AC26288" w14:textId="77777777" w:rsidR="0066100D" w:rsidRPr="00B94680" w:rsidRDefault="0066100D" w:rsidP="0066100D">
      <w:pPr>
        <w:pStyle w:val="H23G"/>
      </w:pPr>
      <w:r w:rsidRPr="00B94680">
        <w:tab/>
      </w:r>
      <w:r w:rsidRPr="00B94680">
        <w:tab/>
      </w:r>
      <w:r>
        <w:t>France</w:t>
      </w:r>
    </w:p>
    <w:p w14:paraId="5E4AB8D9" w14:textId="77777777" w:rsidR="0066100D" w:rsidRDefault="0066100D" w:rsidP="0066100D">
      <w:pPr>
        <w:pStyle w:val="SingleTxtG"/>
      </w:pPr>
      <w:r>
        <w:rPr>
          <w:lang w:val="en-US"/>
        </w:rPr>
        <w:t>46</w:t>
      </w:r>
      <w:r w:rsidRPr="00B94680">
        <w:rPr>
          <w:lang w:val="en-US"/>
        </w:rPr>
        <w:t>.</w:t>
      </w:r>
      <w:r w:rsidRPr="00B94680">
        <w:rPr>
          <w:lang w:val="en-US"/>
        </w:rPr>
        <w:tab/>
      </w:r>
      <w:r w:rsidRPr="008B4AC3">
        <w:t xml:space="preserve">In 2016, </w:t>
      </w:r>
      <w:r>
        <w:t xml:space="preserve">France </w:t>
      </w:r>
      <w:r w:rsidRPr="005E5C04">
        <w:rPr>
          <w:lang w:val="en-US"/>
        </w:rPr>
        <w:t>passed</w:t>
      </w:r>
      <w:r>
        <w:t xml:space="preserve"> new legislation with impact on the vulture funds activities. An amendment to a law on fight against corruption, introduces rules that seek to curtail abusive speculation of creditors in order to protect a foreign state</w:t>
      </w:r>
      <w:r w:rsidRPr="008B4AC3">
        <w:rPr>
          <w:rStyle w:val="FootnoteReference"/>
        </w:rPr>
        <w:footnoteReference w:id="58"/>
      </w:r>
      <w:r>
        <w:t>. With the specific</w:t>
      </w:r>
      <w:r w:rsidRPr="008B4AC3">
        <w:t xml:space="preserve"> </w:t>
      </w:r>
      <w:r>
        <w:t xml:space="preserve">aim of protecting the </w:t>
      </w:r>
      <w:r w:rsidRPr="008B4AC3">
        <w:t>beneficiaries of French official development assistance facing a sovereign default</w:t>
      </w:r>
      <w:r>
        <w:t xml:space="preserve">, </w:t>
      </w:r>
      <w:r w:rsidRPr="008B4AC3">
        <w:t xml:space="preserve">Art. 60 of the law prohibits </w:t>
      </w:r>
      <w:r>
        <w:t xml:space="preserve">the adoption of </w:t>
      </w:r>
      <w:r w:rsidRPr="008B4AC3">
        <w:t xml:space="preserve">seizure </w:t>
      </w:r>
      <w:r>
        <w:t xml:space="preserve">measures </w:t>
      </w:r>
      <w:r w:rsidRPr="008B4AC3">
        <w:t xml:space="preserve">against foreign States </w:t>
      </w:r>
      <w:r>
        <w:t xml:space="preserve">or </w:t>
      </w:r>
      <w:r w:rsidRPr="008B4AC3">
        <w:t>any good of their property</w:t>
      </w:r>
      <w:r>
        <w:t xml:space="preserve"> in three specific cases; 1)when  the foreign state was a beneficiary of the </w:t>
      </w:r>
      <w:r w:rsidRPr="008B4AC3">
        <w:t xml:space="preserve">official public aide to development </w:t>
      </w:r>
      <w:r>
        <w:t xml:space="preserve">at </w:t>
      </w:r>
      <w:r w:rsidRPr="008B4AC3">
        <w:t xml:space="preserve">the </w:t>
      </w:r>
      <w:r>
        <w:t>time the debt was issued</w:t>
      </w:r>
      <w:r w:rsidRPr="008B4AC3">
        <w:t>; 2)</w:t>
      </w:r>
      <w:r>
        <w:t xml:space="preserve"> if the foreign state</w:t>
      </w:r>
      <w:r w:rsidRPr="008B4AC3">
        <w:t xml:space="preserve"> </w:t>
      </w:r>
      <w:r>
        <w:t xml:space="preserve">was </w:t>
      </w:r>
      <w:r w:rsidRPr="008B4AC3">
        <w:t xml:space="preserve">in default or at least close </w:t>
      </w:r>
      <w:r>
        <w:t xml:space="preserve">to it at the time the creditor acquired the </w:t>
      </w:r>
      <w:r w:rsidRPr="008B4AC3">
        <w:t xml:space="preserve">debt; 3) </w:t>
      </w:r>
      <w:r>
        <w:t xml:space="preserve">when </w:t>
      </w:r>
      <w:r w:rsidRPr="008B4AC3">
        <w:t xml:space="preserve">the situation of default </w:t>
      </w:r>
      <w:r>
        <w:t xml:space="preserve">(or close to) </w:t>
      </w:r>
      <w:r w:rsidRPr="008B4AC3">
        <w:t xml:space="preserve">with respect the </w:t>
      </w:r>
      <w:r>
        <w:t>specific claim dates back to less than</w:t>
      </w:r>
      <w:r w:rsidRPr="008B4AC3">
        <w:t xml:space="preserve"> 4 years (or 6 years in cases of manifestly abusive behaviour) or a </w:t>
      </w:r>
      <w:r>
        <w:t xml:space="preserve">proposal </w:t>
      </w:r>
      <w:r w:rsidRPr="008B4AC3">
        <w:t>of</w:t>
      </w:r>
      <w:r>
        <w:t xml:space="preserve"> restructuration</w:t>
      </w:r>
      <w:r w:rsidRPr="008B4AC3">
        <w:t xml:space="preserve"> has been accepted by a representative part of the creditors</w:t>
      </w:r>
      <w:r>
        <w:t xml:space="preserve"> (2/3)</w:t>
      </w:r>
      <w:r w:rsidRPr="008B4AC3">
        <w:t>.</w:t>
      </w:r>
      <w:r>
        <w:t xml:space="preserve"> </w:t>
      </w:r>
    </w:p>
    <w:p w14:paraId="73A23492" w14:textId="77777777" w:rsidR="0066100D" w:rsidRDefault="0066100D" w:rsidP="0066100D">
      <w:pPr>
        <w:pStyle w:val="SingleTxtG"/>
      </w:pPr>
      <w:r>
        <w:t>47.</w:t>
      </w:r>
      <w:r>
        <w:tab/>
        <w:t xml:space="preserve">The law allows therefore seizures but with the threshold of the amount obtained by the creditors that have participated and accepted in good faith the results of debt restructuring negotiations. Being a positive step in the protection from the activities of vulture funds of vulnerable countries, it is </w:t>
      </w:r>
      <w:r w:rsidRPr="00C74773">
        <w:t>to regret</w:t>
      </w:r>
      <w:r>
        <w:t xml:space="preserve"> that the law does not apply to existing debts but only to those that have been bought after the entry into force of the amendment (11 December 2016). </w:t>
      </w:r>
      <w:r w:rsidRPr="005E5C04">
        <w:rPr>
          <w:rStyle w:val="FootnoteReference"/>
        </w:rPr>
        <w:footnoteReference w:id="59"/>
      </w:r>
      <w:r w:rsidRPr="007554CD">
        <w:t xml:space="preserve"> </w:t>
      </w:r>
      <w:r>
        <w:t>A recent report of the IMF estimates that in the next 10 years the 70% of the sovereign bonds without enhanced clauses to protect good-faith bondholders are about to expire.</w:t>
      </w:r>
      <w:r>
        <w:rPr>
          <w:rStyle w:val="FootnoteReference"/>
        </w:rPr>
        <w:footnoteReference w:id="60"/>
      </w:r>
    </w:p>
    <w:p w14:paraId="30C7B9C7" w14:textId="77777777" w:rsidR="0066100D" w:rsidRPr="005E5C04" w:rsidRDefault="0066100D" w:rsidP="0066100D">
      <w:pPr>
        <w:pStyle w:val="SingleTxtG"/>
      </w:pPr>
      <w:r>
        <w:rPr>
          <w:noProof/>
          <w:lang w:val="en-GB" w:eastAsia="en-GB"/>
        </w:rPr>
        <w:lastRenderedPageBreak/>
        <w:drawing>
          <wp:inline distT="0" distB="0" distL="0" distR="0" wp14:anchorId="20A5C058" wp14:editId="11D0AB8A">
            <wp:extent cx="4614811" cy="1896386"/>
            <wp:effectExtent l="0" t="0" r="0" b="8890"/>
            <wp:docPr id="1" name="Imagen 1" descr="https://jubileedebt.org.uk/wp/wp-content/uploads/2017/03/Vulture-compar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ubileedebt.org.uk/wp/wp-content/uploads/2017/03/Vulture-comparis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4811" cy="1896386"/>
                    </a:xfrm>
                    <a:prstGeom prst="rect">
                      <a:avLst/>
                    </a:prstGeom>
                    <a:noFill/>
                    <a:ln>
                      <a:noFill/>
                    </a:ln>
                  </pic:spPr>
                </pic:pic>
              </a:graphicData>
            </a:graphic>
          </wp:inline>
        </w:drawing>
      </w:r>
    </w:p>
    <w:p w14:paraId="792EE121" w14:textId="77777777" w:rsidR="0066100D" w:rsidRPr="007E24C4" w:rsidRDefault="0066100D" w:rsidP="0066100D">
      <w:pPr>
        <w:spacing w:line="240" w:lineRule="auto"/>
      </w:pPr>
      <w:r w:rsidRPr="00B94680">
        <w:tab/>
      </w:r>
      <w:r>
        <w:tab/>
        <w:t>Sourc</w:t>
      </w:r>
      <w:r w:rsidRPr="007E24C4">
        <w:t>e: Jubilee Campaign</w:t>
      </w:r>
    </w:p>
    <w:p w14:paraId="167FA707" w14:textId="58C1D12A" w:rsidR="0066100D" w:rsidRPr="00B94680" w:rsidRDefault="00594EF8" w:rsidP="0066100D">
      <w:pPr>
        <w:pStyle w:val="HChG"/>
      </w:pPr>
      <w:r>
        <w:tab/>
      </w:r>
      <w:r w:rsidR="0066100D">
        <w:t xml:space="preserve">VI. </w:t>
      </w:r>
      <w:r w:rsidR="0066100D">
        <w:tab/>
      </w:r>
      <w:r w:rsidR="0066100D">
        <w:tab/>
      </w:r>
      <w:r w:rsidR="0066100D" w:rsidRPr="00B94680">
        <w:t xml:space="preserve">Forging international consensus </w:t>
      </w:r>
    </w:p>
    <w:p w14:paraId="3A376AB8" w14:textId="77777777" w:rsidR="0066100D" w:rsidRPr="00B94680" w:rsidRDefault="0066100D" w:rsidP="0066100D">
      <w:pPr>
        <w:pStyle w:val="SingleTxtG"/>
        <w:rPr>
          <w:lang w:val="en-US"/>
        </w:rPr>
      </w:pPr>
      <w:r>
        <w:rPr>
          <w:lang w:val="en-US"/>
        </w:rPr>
        <w:t>48</w:t>
      </w:r>
      <w:r w:rsidRPr="00B94680">
        <w:rPr>
          <w:lang w:val="en-US"/>
        </w:rPr>
        <w:t>.</w:t>
      </w:r>
      <w:r w:rsidRPr="00B94680">
        <w:rPr>
          <w:lang w:val="en-US"/>
        </w:rPr>
        <w:tab/>
        <w:t xml:space="preserve">A growing consensus on the need to curb </w:t>
      </w:r>
      <w:r>
        <w:rPr>
          <w:lang w:val="en-US"/>
        </w:rPr>
        <w:t>the activities of vulture funds has emerged over the past ten years</w:t>
      </w:r>
      <w:r w:rsidRPr="00B94680">
        <w:rPr>
          <w:lang w:val="en-US"/>
        </w:rPr>
        <w:t xml:space="preserve">. </w:t>
      </w:r>
      <w:r>
        <w:rPr>
          <w:lang w:val="en-US"/>
        </w:rPr>
        <w:t>A number of States</w:t>
      </w:r>
      <w:r w:rsidRPr="00B94680">
        <w:rPr>
          <w:lang w:val="en-US"/>
        </w:rPr>
        <w:t xml:space="preserve"> </w:t>
      </w:r>
      <w:r>
        <w:rPr>
          <w:lang w:val="en-US"/>
        </w:rPr>
        <w:t>have expressed in several fora its support for</w:t>
      </w:r>
      <w:r w:rsidRPr="00B94680">
        <w:rPr>
          <w:lang w:val="en-US"/>
        </w:rPr>
        <w:t xml:space="preserve"> </w:t>
      </w:r>
      <w:r>
        <w:rPr>
          <w:lang w:val="en-US"/>
        </w:rPr>
        <w:t xml:space="preserve">undertaking common </w:t>
      </w:r>
      <w:r w:rsidRPr="00B94680">
        <w:rPr>
          <w:lang w:val="en-US"/>
        </w:rPr>
        <w:t>action</w:t>
      </w:r>
      <w:r>
        <w:rPr>
          <w:lang w:val="en-US"/>
        </w:rPr>
        <w:t>s</w:t>
      </w:r>
      <w:r w:rsidRPr="00B94680">
        <w:rPr>
          <w:lang w:val="en-US"/>
        </w:rPr>
        <w:t xml:space="preserve"> </w:t>
      </w:r>
      <w:r>
        <w:rPr>
          <w:lang w:val="en-US"/>
        </w:rPr>
        <w:t xml:space="preserve">aimed at </w:t>
      </w:r>
      <w:r w:rsidRPr="00B94680">
        <w:rPr>
          <w:lang w:val="en-US"/>
        </w:rPr>
        <w:t>protect</w:t>
      </w:r>
      <w:r>
        <w:rPr>
          <w:lang w:val="en-US"/>
        </w:rPr>
        <w:t>ing</w:t>
      </w:r>
      <w:r w:rsidRPr="00B94680">
        <w:rPr>
          <w:lang w:val="en-US"/>
        </w:rPr>
        <w:t xml:space="preserve"> HIPCs from </w:t>
      </w:r>
      <w:r>
        <w:rPr>
          <w:lang w:val="en-US"/>
        </w:rPr>
        <w:t>vulture funds’ activities, and more generaly to</w:t>
      </w:r>
      <w:r w:rsidRPr="00B94680">
        <w:rPr>
          <w:lang w:val="en-US"/>
        </w:rPr>
        <w:t xml:space="preserve"> the establishment of an international mechanism for orderly debt restructuring. </w:t>
      </w:r>
    </w:p>
    <w:p w14:paraId="7B05F101" w14:textId="77777777" w:rsidR="0066100D" w:rsidRPr="00B94680" w:rsidRDefault="0066100D" w:rsidP="0066100D">
      <w:pPr>
        <w:pStyle w:val="SingleTxtG"/>
        <w:rPr>
          <w:lang w:val="en-US"/>
        </w:rPr>
      </w:pPr>
      <w:r>
        <w:rPr>
          <w:lang w:val="en-US"/>
        </w:rPr>
        <w:t>49</w:t>
      </w:r>
      <w:r w:rsidRPr="00B94680">
        <w:rPr>
          <w:lang w:val="en-US"/>
        </w:rPr>
        <w:t>.</w:t>
      </w:r>
      <w:r w:rsidRPr="00B94680">
        <w:rPr>
          <w:lang w:val="en-US"/>
        </w:rPr>
        <w:tab/>
        <w:t xml:space="preserve">In a meeting </w:t>
      </w:r>
      <w:r>
        <w:rPr>
          <w:lang w:val="en-US"/>
        </w:rPr>
        <w:t xml:space="preserve">of the Group of Eight </w:t>
      </w:r>
      <w:r w:rsidRPr="00B94680">
        <w:rPr>
          <w:lang w:val="en-US"/>
        </w:rPr>
        <w:t xml:space="preserve">held in May 2007, finance ministers and </w:t>
      </w:r>
      <w:r>
        <w:rPr>
          <w:lang w:val="en-US"/>
        </w:rPr>
        <w:t xml:space="preserve">governors of </w:t>
      </w:r>
      <w:r w:rsidRPr="00B94680">
        <w:rPr>
          <w:lang w:val="en-US"/>
        </w:rPr>
        <w:t>central bank</w:t>
      </w:r>
      <w:r>
        <w:rPr>
          <w:lang w:val="en-US"/>
        </w:rPr>
        <w:t>s</w:t>
      </w:r>
      <w:r w:rsidRPr="00B94680">
        <w:rPr>
          <w:lang w:val="en-US"/>
        </w:rPr>
        <w:t xml:space="preserve"> </w:t>
      </w:r>
      <w:r>
        <w:rPr>
          <w:lang w:val="en-US"/>
        </w:rPr>
        <w:t>expressed their</w:t>
      </w:r>
      <w:r w:rsidRPr="00B94680">
        <w:rPr>
          <w:lang w:val="en-US"/>
        </w:rPr>
        <w:t xml:space="preserve"> concern about the problem of aggressive litigat</w:t>
      </w:r>
      <w:r>
        <w:rPr>
          <w:lang w:val="en-US"/>
        </w:rPr>
        <w:t>ion</w:t>
      </w:r>
      <w:r w:rsidRPr="00B94680">
        <w:rPr>
          <w:lang w:val="en-US"/>
        </w:rPr>
        <w:t xml:space="preserve"> against HIPC</w:t>
      </w:r>
      <w:r>
        <w:rPr>
          <w:lang w:val="en-US"/>
        </w:rPr>
        <w:t xml:space="preserve">s and </w:t>
      </w:r>
      <w:r w:rsidRPr="00B94680">
        <w:rPr>
          <w:lang w:val="en-US"/>
        </w:rPr>
        <w:t xml:space="preserve">urged all sovereign creditors not to sell claims on </w:t>
      </w:r>
      <w:r>
        <w:rPr>
          <w:lang w:val="en-US"/>
        </w:rPr>
        <w:t>those countries</w:t>
      </w:r>
      <w:r w:rsidRPr="00B94680">
        <w:rPr>
          <w:lang w:val="en-US"/>
        </w:rPr>
        <w:t>.</w:t>
      </w:r>
      <w:r w:rsidRPr="0008396E">
        <w:rPr>
          <w:rStyle w:val="FootnoteReference"/>
        </w:rPr>
        <w:footnoteReference w:id="61"/>
      </w:r>
    </w:p>
    <w:p w14:paraId="2DFB9D3D" w14:textId="77777777" w:rsidR="0066100D" w:rsidRPr="00B94680" w:rsidRDefault="0066100D" w:rsidP="0066100D">
      <w:pPr>
        <w:pStyle w:val="SingleTxtG"/>
        <w:rPr>
          <w:lang w:val="en-US"/>
        </w:rPr>
      </w:pPr>
      <w:r>
        <w:rPr>
          <w:lang w:val="en-US"/>
        </w:rPr>
        <w:t>50</w:t>
      </w:r>
      <w:r w:rsidRPr="00B94680">
        <w:rPr>
          <w:lang w:val="en-US"/>
        </w:rPr>
        <w:t>.</w:t>
      </w:r>
      <w:r w:rsidRPr="00B94680">
        <w:rPr>
          <w:lang w:val="en-US"/>
        </w:rPr>
        <w:tab/>
        <w:t>The same year, Commonwealth</w:t>
      </w:r>
      <w:r>
        <w:rPr>
          <w:lang w:val="en-US"/>
        </w:rPr>
        <w:t xml:space="preserve"> finance ministers</w:t>
      </w:r>
      <w:r w:rsidRPr="00B94680">
        <w:rPr>
          <w:lang w:val="en-US"/>
        </w:rPr>
        <w:t xml:space="preserve"> </w:t>
      </w:r>
      <w:r>
        <w:rPr>
          <w:lang w:val="en-US"/>
        </w:rPr>
        <w:t xml:space="preserve">alarmed by </w:t>
      </w:r>
      <w:r w:rsidRPr="00B94680">
        <w:rPr>
          <w:lang w:val="en-US"/>
        </w:rPr>
        <w:t>lawsuits filed against HIPCs, emphasi</w:t>
      </w:r>
      <w:r>
        <w:rPr>
          <w:lang w:val="en-US"/>
        </w:rPr>
        <w:t>z</w:t>
      </w:r>
      <w:r w:rsidRPr="00B94680">
        <w:rPr>
          <w:lang w:val="en-US"/>
        </w:rPr>
        <w:t xml:space="preserve">ed the need for concerted international action to address </w:t>
      </w:r>
      <w:r>
        <w:rPr>
          <w:lang w:val="en-US"/>
        </w:rPr>
        <w:t>vulture funds litigation</w:t>
      </w:r>
      <w:r w:rsidRPr="00B94680">
        <w:rPr>
          <w:lang w:val="en-US"/>
        </w:rPr>
        <w:t xml:space="preserve">. </w:t>
      </w:r>
      <w:r>
        <w:rPr>
          <w:lang w:val="en-US"/>
        </w:rPr>
        <w:t xml:space="preserve">They urged </w:t>
      </w:r>
      <w:r w:rsidRPr="00B94680">
        <w:rPr>
          <w:lang w:val="en-US"/>
        </w:rPr>
        <w:t>Governments to introduce legal protection to ensure that, as a minimum, debt relief was provided on terms equivalent to the HIPC framework.</w:t>
      </w:r>
      <w:r w:rsidRPr="0008396E">
        <w:rPr>
          <w:rStyle w:val="FootnoteReference"/>
        </w:rPr>
        <w:footnoteReference w:id="62"/>
      </w:r>
      <w:r w:rsidRPr="00B94680">
        <w:rPr>
          <w:vertAlign w:val="superscript"/>
          <w:lang w:val="en-US"/>
        </w:rPr>
        <w:t xml:space="preserve"> </w:t>
      </w:r>
    </w:p>
    <w:p w14:paraId="28CBF9F7" w14:textId="77777777" w:rsidR="0066100D" w:rsidRPr="00B94680" w:rsidRDefault="0066100D" w:rsidP="0066100D">
      <w:pPr>
        <w:pStyle w:val="SingleTxtG"/>
        <w:rPr>
          <w:lang w:val="en-US"/>
        </w:rPr>
      </w:pPr>
      <w:r>
        <w:rPr>
          <w:lang w:val="en-US"/>
        </w:rPr>
        <w:t>51</w:t>
      </w:r>
      <w:r w:rsidRPr="00B94680">
        <w:rPr>
          <w:lang w:val="en-US"/>
        </w:rPr>
        <w:t>.</w:t>
      </w:r>
      <w:r w:rsidRPr="00B94680">
        <w:rPr>
          <w:lang w:val="en-US"/>
        </w:rPr>
        <w:tab/>
        <w:t>In 2008, the E</w:t>
      </w:r>
      <w:r>
        <w:rPr>
          <w:lang w:val="en-US"/>
        </w:rPr>
        <w:t xml:space="preserve">uropean </w:t>
      </w:r>
      <w:r w:rsidRPr="00B94680">
        <w:rPr>
          <w:lang w:val="en-US"/>
        </w:rPr>
        <w:t>U</w:t>
      </w:r>
      <w:r>
        <w:rPr>
          <w:lang w:val="en-US"/>
        </w:rPr>
        <w:t>nion</w:t>
      </w:r>
      <w:r w:rsidRPr="00B94680">
        <w:rPr>
          <w:lang w:val="en-US"/>
        </w:rPr>
        <w:t xml:space="preserve"> </w:t>
      </w:r>
      <w:r>
        <w:rPr>
          <w:lang w:val="en-US"/>
        </w:rPr>
        <w:t>m</w:t>
      </w:r>
      <w:r w:rsidRPr="00B94680">
        <w:rPr>
          <w:lang w:val="en-US"/>
        </w:rPr>
        <w:t>ember States committed themselves not to sell claims on HIPCs to creditors unwilling to provide debt relief.</w:t>
      </w:r>
      <w:r w:rsidRPr="0008396E">
        <w:rPr>
          <w:rStyle w:val="FootnoteReference"/>
        </w:rPr>
        <w:footnoteReference w:id="63"/>
      </w:r>
      <w:r w:rsidRPr="00B94680">
        <w:rPr>
          <w:lang w:val="en-US"/>
        </w:rPr>
        <w:t xml:space="preserve"> A </w:t>
      </w:r>
      <w:r>
        <w:rPr>
          <w:lang w:val="en-US"/>
        </w:rPr>
        <w:t xml:space="preserve">year earlier, </w:t>
      </w:r>
      <w:r w:rsidRPr="00B94680">
        <w:rPr>
          <w:lang w:val="en-US"/>
        </w:rPr>
        <w:t xml:space="preserve">members of the Paris Club </w:t>
      </w:r>
      <w:r>
        <w:rPr>
          <w:lang w:val="en-US"/>
        </w:rPr>
        <w:t>had endorsed the same position</w:t>
      </w:r>
      <w:r w:rsidRPr="00B94680">
        <w:rPr>
          <w:lang w:val="en-US"/>
        </w:rPr>
        <w:t>.</w:t>
      </w:r>
      <w:r w:rsidRPr="0008396E">
        <w:rPr>
          <w:rStyle w:val="FootnoteReference"/>
        </w:rPr>
        <w:footnoteReference w:id="64"/>
      </w:r>
      <w:r w:rsidRPr="00B94680">
        <w:rPr>
          <w:vertAlign w:val="superscript"/>
          <w:lang w:val="en-US"/>
        </w:rPr>
        <w:t xml:space="preserve"> </w:t>
      </w:r>
    </w:p>
    <w:p w14:paraId="3441332D" w14:textId="77777777" w:rsidR="0066100D" w:rsidRPr="00B94680" w:rsidRDefault="0066100D" w:rsidP="0066100D">
      <w:pPr>
        <w:pStyle w:val="SingleTxtG"/>
        <w:rPr>
          <w:lang w:val="en-US"/>
        </w:rPr>
      </w:pPr>
      <w:r>
        <w:rPr>
          <w:lang w:val="en-US"/>
        </w:rPr>
        <w:t>52</w:t>
      </w:r>
      <w:r w:rsidRPr="00B94680">
        <w:rPr>
          <w:lang w:val="en-US"/>
        </w:rPr>
        <w:t>.</w:t>
      </w:r>
      <w:r w:rsidRPr="00B94680">
        <w:rPr>
          <w:lang w:val="en-US"/>
        </w:rPr>
        <w:tab/>
        <w:t xml:space="preserve">Similar concerns were </w:t>
      </w:r>
      <w:r>
        <w:rPr>
          <w:lang w:val="en-US"/>
        </w:rPr>
        <w:t xml:space="preserve">also </w:t>
      </w:r>
      <w:r w:rsidRPr="00B94680">
        <w:rPr>
          <w:lang w:val="en-US"/>
        </w:rPr>
        <w:t xml:space="preserve">expressed by States signatories to the </w:t>
      </w:r>
      <w:r>
        <w:rPr>
          <w:lang w:val="en-US"/>
        </w:rPr>
        <w:t>Doha</w:t>
      </w:r>
      <w:r w:rsidRPr="00B94680">
        <w:rPr>
          <w:lang w:val="en-US"/>
        </w:rPr>
        <w:t xml:space="preserve"> Declaration on Financing for Development</w:t>
      </w:r>
      <w:r>
        <w:rPr>
          <w:lang w:val="en-US"/>
        </w:rPr>
        <w:t xml:space="preserve">: </w:t>
      </w:r>
      <w:r w:rsidRPr="00B94680">
        <w:rPr>
          <w:lang w:val="en-US"/>
        </w:rPr>
        <w:t xml:space="preserve">outcome document </w:t>
      </w:r>
      <w:r>
        <w:rPr>
          <w:lang w:val="en-US"/>
        </w:rPr>
        <w:t>of the Follow-up International Conference on Financing for Development to Review the Implementation of the Monterrey Consensus, adopted in 2008.</w:t>
      </w:r>
      <w:r w:rsidRPr="00B94680">
        <w:rPr>
          <w:lang w:val="en-US"/>
        </w:rPr>
        <w:t xml:space="preserve"> </w:t>
      </w:r>
      <w:r>
        <w:rPr>
          <w:lang w:val="en-US"/>
        </w:rPr>
        <w:t>The declaration welcomed s</w:t>
      </w:r>
      <w:r w:rsidRPr="00B94680">
        <w:rPr>
          <w:lang w:val="en-US"/>
        </w:rPr>
        <w:t>teps taken to prevent aggressive litigation against</w:t>
      </w:r>
      <w:r>
        <w:rPr>
          <w:lang w:val="en-US"/>
        </w:rPr>
        <w:t xml:space="preserve"> HIPC-</w:t>
      </w:r>
      <w:r w:rsidRPr="00B94680">
        <w:rPr>
          <w:lang w:val="en-US"/>
        </w:rPr>
        <w:t xml:space="preserve"> eligible countries, including through the enhancement of debt buy-back mechanisms and the provision of technical assistance and legal support, and called on creditors not to sell claims on HIPCs to those that refuse to participate adequately in debt relief efforts.</w:t>
      </w:r>
      <w:r w:rsidRPr="0008396E">
        <w:rPr>
          <w:rStyle w:val="FootnoteReference"/>
        </w:rPr>
        <w:footnoteReference w:id="65"/>
      </w:r>
      <w:r w:rsidRPr="00B94680">
        <w:rPr>
          <w:lang w:val="en-US"/>
        </w:rPr>
        <w:t xml:space="preserve"> </w:t>
      </w:r>
    </w:p>
    <w:p w14:paraId="445512E6" w14:textId="77777777" w:rsidR="0066100D" w:rsidRPr="00B94680" w:rsidRDefault="0066100D" w:rsidP="0066100D">
      <w:pPr>
        <w:pStyle w:val="SingleTxtG"/>
        <w:rPr>
          <w:lang w:val="en-US"/>
        </w:rPr>
      </w:pPr>
      <w:r>
        <w:rPr>
          <w:lang w:val="en-US"/>
        </w:rPr>
        <w:t>53</w:t>
      </w:r>
      <w:r w:rsidRPr="00B94680">
        <w:rPr>
          <w:lang w:val="en-US"/>
        </w:rPr>
        <w:t>.</w:t>
      </w:r>
      <w:r w:rsidRPr="00B94680">
        <w:rPr>
          <w:lang w:val="en-US"/>
        </w:rPr>
        <w:tab/>
        <w:t xml:space="preserve">In 2009, the Parliamentary Assembly </w:t>
      </w:r>
      <w:r>
        <w:rPr>
          <w:lang w:val="en-US"/>
        </w:rPr>
        <w:t xml:space="preserve">of the Council of Europe </w:t>
      </w:r>
      <w:r w:rsidRPr="00B94680">
        <w:rPr>
          <w:lang w:val="en-US"/>
        </w:rPr>
        <w:t xml:space="preserve">adopted a recommendation </w:t>
      </w:r>
      <w:r>
        <w:rPr>
          <w:lang w:val="en-US"/>
        </w:rPr>
        <w:t>in which</w:t>
      </w:r>
      <w:r w:rsidRPr="00B94680">
        <w:rPr>
          <w:lang w:val="en-US"/>
        </w:rPr>
        <w:t xml:space="preserve"> it strongly condemned </w:t>
      </w:r>
      <w:r>
        <w:rPr>
          <w:lang w:val="en-US"/>
        </w:rPr>
        <w:t>the activities of vulture funds, which</w:t>
      </w:r>
      <w:r w:rsidRPr="00B94680">
        <w:rPr>
          <w:lang w:val="en-US"/>
        </w:rPr>
        <w:t xml:space="preserve"> “have no compunction in taking advantage of opportunities arising from debt waivers granted by </w:t>
      </w:r>
      <w:r w:rsidRPr="00B94680">
        <w:rPr>
          <w:lang w:val="en-US"/>
        </w:rPr>
        <w:lastRenderedPageBreak/>
        <w:t>creditor countries, particularly European, or blocking worldwide the assets of the countries concerned and threatening them with bankruptcy”.</w:t>
      </w:r>
      <w:r w:rsidRPr="0008396E">
        <w:rPr>
          <w:rStyle w:val="FootnoteReference"/>
        </w:rPr>
        <w:footnoteReference w:id="66"/>
      </w:r>
    </w:p>
    <w:p w14:paraId="0EC2DB52" w14:textId="77777777" w:rsidR="0066100D" w:rsidRPr="00B94680" w:rsidRDefault="0066100D" w:rsidP="0066100D">
      <w:pPr>
        <w:pStyle w:val="SingleTxtG"/>
        <w:rPr>
          <w:lang w:val="en-US"/>
        </w:rPr>
      </w:pPr>
      <w:r>
        <w:rPr>
          <w:lang w:val="en-US"/>
        </w:rPr>
        <w:t>54</w:t>
      </w:r>
      <w:r w:rsidRPr="00B94680">
        <w:rPr>
          <w:lang w:val="en-US"/>
        </w:rPr>
        <w:t>.</w:t>
      </w:r>
      <w:r w:rsidRPr="00B94680">
        <w:rPr>
          <w:lang w:val="en-US"/>
        </w:rPr>
        <w:tab/>
        <w:t xml:space="preserve">In 2014 and 2015, the Ministers for Foreign Affairs of the </w:t>
      </w:r>
      <w:r>
        <w:rPr>
          <w:lang w:val="en-US"/>
        </w:rPr>
        <w:t>m</w:t>
      </w:r>
      <w:r w:rsidRPr="00B94680">
        <w:rPr>
          <w:lang w:val="en-US"/>
        </w:rPr>
        <w:t xml:space="preserve">ember States of the Group of 77 (G-77) and China recognized that the activities of </w:t>
      </w:r>
      <w:r>
        <w:rPr>
          <w:lang w:val="en-US"/>
        </w:rPr>
        <w:t>vulture funds</w:t>
      </w:r>
      <w:r w:rsidRPr="00B94680">
        <w:rPr>
          <w:lang w:val="en-US"/>
        </w:rPr>
        <w:t xml:space="preserve"> and their actions of </w:t>
      </w:r>
      <w:r>
        <w:rPr>
          <w:lang w:val="en-US"/>
        </w:rPr>
        <w:t xml:space="preserve">a </w:t>
      </w:r>
      <w:r w:rsidRPr="00B94680">
        <w:rPr>
          <w:lang w:val="en-US"/>
        </w:rPr>
        <w:t>highly speculative nature pose</w:t>
      </w:r>
      <w:r>
        <w:rPr>
          <w:lang w:val="en-US"/>
        </w:rPr>
        <w:t>d</w:t>
      </w:r>
      <w:r w:rsidRPr="00B94680">
        <w:rPr>
          <w:lang w:val="en-US"/>
        </w:rPr>
        <w:t xml:space="preserve"> a risk to all future debt restructuring processes, for both developing and developed countries</w:t>
      </w:r>
      <w:r>
        <w:rPr>
          <w:lang w:val="en-US"/>
        </w:rPr>
        <w:t xml:space="preserve">. They further </w:t>
      </w:r>
      <w:r w:rsidRPr="00B94680">
        <w:rPr>
          <w:lang w:val="en-US"/>
        </w:rPr>
        <w:t xml:space="preserve">stressed the importance of not allowing </w:t>
      </w:r>
      <w:r>
        <w:rPr>
          <w:lang w:val="en-US"/>
        </w:rPr>
        <w:t>vulture funds</w:t>
      </w:r>
      <w:r w:rsidRPr="00B94680">
        <w:rPr>
          <w:lang w:val="en-US"/>
        </w:rPr>
        <w:t xml:space="preserve"> to paralyse the debt restructuring efforts of developing countries</w:t>
      </w:r>
      <w:r>
        <w:rPr>
          <w:lang w:val="en-US"/>
        </w:rPr>
        <w:t>,</w:t>
      </w:r>
      <w:r w:rsidRPr="00B94680">
        <w:rPr>
          <w:lang w:val="en-US"/>
        </w:rPr>
        <w:t xml:space="preserve"> and affirmed that th</w:t>
      </w:r>
      <w:r>
        <w:rPr>
          <w:lang w:val="en-US"/>
        </w:rPr>
        <w:t>o</w:t>
      </w:r>
      <w:r w:rsidRPr="00B94680">
        <w:rPr>
          <w:lang w:val="en-US"/>
        </w:rPr>
        <w:t>se funds should not supersede a State’s right to protect its people under international law</w:t>
      </w:r>
      <w:r>
        <w:rPr>
          <w:lang w:val="en-US"/>
        </w:rPr>
        <w:t xml:space="preserve"> (see A/69/423, annex, para. 29 and </w:t>
      </w:r>
      <w:r w:rsidRPr="00282C5F">
        <w:rPr>
          <w:szCs w:val="18"/>
        </w:rPr>
        <w:t xml:space="preserve">A/70/410, </w:t>
      </w:r>
      <w:r>
        <w:rPr>
          <w:szCs w:val="18"/>
        </w:rPr>
        <w:t xml:space="preserve">annex, </w:t>
      </w:r>
      <w:r w:rsidRPr="00282C5F">
        <w:rPr>
          <w:szCs w:val="18"/>
        </w:rPr>
        <w:t>para. 33</w:t>
      </w:r>
      <w:r>
        <w:rPr>
          <w:lang w:val="en-US"/>
        </w:rPr>
        <w:t>)</w:t>
      </w:r>
      <w:r w:rsidRPr="00B94680">
        <w:rPr>
          <w:lang w:val="en-US"/>
        </w:rPr>
        <w:t>.</w:t>
      </w:r>
      <w:r w:rsidRPr="00B94680">
        <w:rPr>
          <w:vertAlign w:val="superscript"/>
          <w:lang w:val="en-US"/>
        </w:rPr>
        <w:t xml:space="preserve"> </w:t>
      </w:r>
    </w:p>
    <w:p w14:paraId="6464A37E" w14:textId="77777777" w:rsidR="0066100D" w:rsidRDefault="0066100D" w:rsidP="0066100D">
      <w:pPr>
        <w:pStyle w:val="SingleTxtG"/>
        <w:rPr>
          <w:lang w:val="en-US"/>
        </w:rPr>
      </w:pPr>
      <w:r>
        <w:rPr>
          <w:lang w:val="en-US"/>
        </w:rPr>
        <w:t>55</w:t>
      </w:r>
      <w:r w:rsidRPr="00B94680">
        <w:rPr>
          <w:lang w:val="en-US"/>
        </w:rPr>
        <w:t>.</w:t>
      </w:r>
      <w:r w:rsidRPr="00B94680">
        <w:rPr>
          <w:lang w:val="en-US"/>
        </w:rPr>
        <w:tab/>
        <w:t xml:space="preserve">In July 2014, </w:t>
      </w:r>
      <w:r>
        <w:rPr>
          <w:lang w:val="en-US"/>
        </w:rPr>
        <w:t xml:space="preserve">some </w:t>
      </w:r>
      <w:r w:rsidRPr="00B94680">
        <w:rPr>
          <w:lang w:val="en-US"/>
        </w:rPr>
        <w:t xml:space="preserve">one hundred civil society organizations worldwide supported the establishment of an international mechanism for the restructuring of sovereign debt “based on the obligation of </w:t>
      </w:r>
      <w:r>
        <w:rPr>
          <w:lang w:val="en-US"/>
        </w:rPr>
        <w:t>S</w:t>
      </w:r>
      <w:r w:rsidRPr="00B94680">
        <w:rPr>
          <w:lang w:val="en-US"/>
        </w:rPr>
        <w:t>tates to respect, protect and enforce human rights, both in their territory and extraterritorially”.</w:t>
      </w:r>
      <w:r w:rsidRPr="0008396E">
        <w:rPr>
          <w:rStyle w:val="FootnoteReference"/>
        </w:rPr>
        <w:footnoteReference w:id="67"/>
      </w:r>
      <w:r w:rsidRPr="00B94680">
        <w:rPr>
          <w:lang w:val="en-US"/>
        </w:rPr>
        <w:t xml:space="preserve"> </w:t>
      </w:r>
    </w:p>
    <w:p w14:paraId="03E0F64A" w14:textId="77777777" w:rsidR="0066100D" w:rsidRPr="00A231FD" w:rsidRDefault="0066100D" w:rsidP="0066100D">
      <w:pPr>
        <w:pStyle w:val="SingleTxtG"/>
        <w:rPr>
          <w:lang w:val="en-US"/>
        </w:rPr>
      </w:pPr>
      <w:r>
        <w:rPr>
          <w:lang w:val="en-US"/>
        </w:rPr>
        <w:t>56.</w:t>
      </w:r>
      <w:r>
        <w:rPr>
          <w:lang w:val="en-US"/>
        </w:rPr>
        <w:tab/>
        <w:t xml:space="preserve">In April </w:t>
      </w:r>
      <w:r w:rsidRPr="00A231FD">
        <w:rPr>
          <w:lang w:val="en-US"/>
        </w:rPr>
        <w:t xml:space="preserve">2018, the European Parliament’s </w:t>
      </w:r>
      <w:r>
        <w:rPr>
          <w:lang w:val="en-US"/>
        </w:rPr>
        <w:t xml:space="preserve">passed a </w:t>
      </w:r>
      <w:r w:rsidRPr="00A231FD">
        <w:rPr>
          <w:lang w:val="en-US"/>
        </w:rPr>
        <w:t xml:space="preserve">resolution entitled “Enhancing developing countries’ debt sustainability” </w:t>
      </w:r>
      <w:r>
        <w:rPr>
          <w:lang w:val="en-US"/>
        </w:rPr>
        <w:t xml:space="preserve">where it </w:t>
      </w:r>
      <w:r w:rsidRPr="00A231FD">
        <w:rPr>
          <w:lang w:val="en-US"/>
        </w:rPr>
        <w:t>acknowledged that “vulture funds targeting distressed debtors and interfering with the debt restructuring process should not receive legal or judicial support for their pernicious activities”</w:t>
      </w:r>
      <w:r>
        <w:rPr>
          <w:lang w:val="en-US"/>
        </w:rPr>
        <w:t>. It also called on the EU Member States to adopt, on the Commission’s initiative, a regulation based on the Belgiam law on combatting vulture fund debt speculation”.</w:t>
      </w:r>
      <w:r>
        <w:rPr>
          <w:rStyle w:val="FootnoteReference"/>
          <w:lang w:val="en-US"/>
        </w:rPr>
        <w:footnoteReference w:id="68"/>
      </w:r>
    </w:p>
    <w:p w14:paraId="68551C5E" w14:textId="77777777" w:rsidR="0066100D" w:rsidRPr="00B94680" w:rsidRDefault="0066100D" w:rsidP="0066100D">
      <w:pPr>
        <w:pStyle w:val="HChG"/>
      </w:pPr>
      <w:r w:rsidRPr="00B94680">
        <w:tab/>
        <w:t>VII.</w:t>
      </w:r>
      <w:r w:rsidRPr="00B94680">
        <w:tab/>
        <w:t>Towards a multilateral framework on debt restructuring</w:t>
      </w:r>
      <w:r>
        <w:t>?</w:t>
      </w:r>
      <w:r w:rsidRPr="00B94680">
        <w:t xml:space="preserve"> </w:t>
      </w:r>
    </w:p>
    <w:p w14:paraId="242E37CA" w14:textId="77777777" w:rsidR="0066100D" w:rsidRPr="00B94680" w:rsidRDefault="0066100D" w:rsidP="0066100D">
      <w:pPr>
        <w:pStyle w:val="SingleTxtG"/>
        <w:rPr>
          <w:lang w:val="en-US"/>
        </w:rPr>
      </w:pPr>
      <w:r>
        <w:rPr>
          <w:lang w:val="en-US"/>
        </w:rPr>
        <w:t>57</w:t>
      </w:r>
      <w:r w:rsidRPr="00B94680">
        <w:rPr>
          <w:lang w:val="en-US"/>
        </w:rPr>
        <w:t>.</w:t>
      </w:r>
      <w:r w:rsidRPr="00B94680">
        <w:rPr>
          <w:lang w:val="en-US"/>
        </w:rPr>
        <w:tab/>
      </w:r>
      <w:r>
        <w:rPr>
          <w:lang w:val="en-US"/>
        </w:rPr>
        <w:t>R</w:t>
      </w:r>
      <w:r w:rsidRPr="00B94680">
        <w:rPr>
          <w:lang w:val="en-US"/>
        </w:rPr>
        <w:t>espon</w:t>
      </w:r>
      <w:r>
        <w:rPr>
          <w:lang w:val="en-US"/>
        </w:rPr>
        <w:t>ding</w:t>
      </w:r>
      <w:r w:rsidRPr="00B94680">
        <w:rPr>
          <w:lang w:val="en-US"/>
        </w:rPr>
        <w:t xml:space="preserve"> to the increasing demand </w:t>
      </w:r>
      <w:r>
        <w:rPr>
          <w:lang w:val="en-US"/>
        </w:rPr>
        <w:t>for international</w:t>
      </w:r>
      <w:r w:rsidRPr="00B94680">
        <w:rPr>
          <w:lang w:val="en-US"/>
        </w:rPr>
        <w:t xml:space="preserve"> action</w:t>
      </w:r>
      <w:r>
        <w:rPr>
          <w:lang w:val="en-US"/>
        </w:rPr>
        <w:t>,</w:t>
      </w:r>
      <w:r w:rsidRPr="00B94680">
        <w:rPr>
          <w:lang w:val="en-US"/>
        </w:rPr>
        <w:t xml:space="preserve"> the General Assembly </w:t>
      </w:r>
      <w:r>
        <w:rPr>
          <w:lang w:val="en-US"/>
        </w:rPr>
        <w:t>adopted</w:t>
      </w:r>
      <w:r w:rsidRPr="00B94680">
        <w:rPr>
          <w:lang w:val="en-US"/>
        </w:rPr>
        <w:t xml:space="preserve"> </w:t>
      </w:r>
      <w:r>
        <w:rPr>
          <w:lang w:val="en-US"/>
        </w:rPr>
        <w:t>in</w:t>
      </w:r>
      <w:r w:rsidRPr="00B94680">
        <w:rPr>
          <w:lang w:val="en-US"/>
        </w:rPr>
        <w:t xml:space="preserve"> September 2014 </w:t>
      </w:r>
      <w:r>
        <w:rPr>
          <w:lang w:val="en-US"/>
        </w:rPr>
        <w:t xml:space="preserve">a </w:t>
      </w:r>
      <w:r w:rsidRPr="00B94680">
        <w:rPr>
          <w:lang w:val="en-US"/>
        </w:rPr>
        <w:t xml:space="preserve">landmark </w:t>
      </w:r>
      <w:r>
        <w:rPr>
          <w:lang w:val="en-US"/>
        </w:rPr>
        <w:t>resolution</w:t>
      </w:r>
      <w:r w:rsidRPr="0008396E">
        <w:rPr>
          <w:rStyle w:val="FootnoteReference"/>
        </w:rPr>
        <w:footnoteReference w:id="69"/>
      </w:r>
      <w:r w:rsidRPr="00B94680">
        <w:rPr>
          <w:lang w:val="en-US"/>
        </w:rPr>
        <w:t xml:space="preserve"> </w:t>
      </w:r>
      <w:r>
        <w:rPr>
          <w:lang w:val="en-US"/>
        </w:rPr>
        <w:t>whereby it, called</w:t>
      </w:r>
      <w:r w:rsidRPr="00B94680">
        <w:rPr>
          <w:lang w:val="en-US"/>
        </w:rPr>
        <w:t xml:space="preserve"> </w:t>
      </w:r>
      <w:r>
        <w:rPr>
          <w:lang w:val="en-US"/>
        </w:rPr>
        <w:t>for</w:t>
      </w:r>
      <w:r w:rsidRPr="00B94680">
        <w:rPr>
          <w:lang w:val="en-US"/>
        </w:rPr>
        <w:t xml:space="preserve"> a legal framework </w:t>
      </w:r>
      <w:r>
        <w:rPr>
          <w:lang w:val="en-US"/>
        </w:rPr>
        <w:t xml:space="preserve">aimed at </w:t>
      </w:r>
      <w:r w:rsidRPr="00B94680">
        <w:rPr>
          <w:lang w:val="en-US"/>
        </w:rPr>
        <w:t>facilitat</w:t>
      </w:r>
      <w:r>
        <w:rPr>
          <w:lang w:val="en-US"/>
        </w:rPr>
        <w:t>ing</w:t>
      </w:r>
      <w:r w:rsidRPr="00B94680">
        <w:rPr>
          <w:lang w:val="en-US"/>
        </w:rPr>
        <w:t xml:space="preserve"> the orderly restructuring of sovereign debts</w:t>
      </w:r>
      <w:r>
        <w:rPr>
          <w:lang w:val="en-US"/>
        </w:rPr>
        <w:t xml:space="preserve">, capable </w:t>
      </w:r>
      <w:r w:rsidRPr="00B94680">
        <w:rPr>
          <w:lang w:val="en-US"/>
        </w:rPr>
        <w:t>deterr</w:t>
      </w:r>
      <w:r>
        <w:rPr>
          <w:lang w:val="en-US"/>
        </w:rPr>
        <w:t xml:space="preserve">ing creditors from </w:t>
      </w:r>
      <w:r w:rsidRPr="00B94680">
        <w:rPr>
          <w:lang w:val="en-US"/>
        </w:rPr>
        <w:t xml:space="preserve">disruptive litigation. </w:t>
      </w:r>
      <w:r>
        <w:rPr>
          <w:lang w:val="en-US"/>
        </w:rPr>
        <w:t>T</w:t>
      </w:r>
      <w:r w:rsidRPr="00B94680">
        <w:rPr>
          <w:lang w:val="en-US"/>
        </w:rPr>
        <w:t xml:space="preserve">he </w:t>
      </w:r>
      <w:r>
        <w:rPr>
          <w:lang w:val="en-US"/>
        </w:rPr>
        <w:t>Assembly</w:t>
      </w:r>
      <w:r w:rsidRPr="00B94680">
        <w:rPr>
          <w:lang w:val="en-US"/>
        </w:rPr>
        <w:t xml:space="preserve"> </w:t>
      </w:r>
      <w:r>
        <w:rPr>
          <w:lang w:val="en-US"/>
        </w:rPr>
        <w:t xml:space="preserve">expressly </w:t>
      </w:r>
      <w:r w:rsidRPr="00B94680">
        <w:rPr>
          <w:lang w:val="en-US"/>
        </w:rPr>
        <w:t xml:space="preserve">highlighted that </w:t>
      </w:r>
      <w:r>
        <w:rPr>
          <w:lang w:val="en-US"/>
        </w:rPr>
        <w:t xml:space="preserve">vulture funds </w:t>
      </w:r>
      <w:r w:rsidRPr="00B94680">
        <w:rPr>
          <w:lang w:val="en-US"/>
        </w:rPr>
        <w:t>activities undermin</w:t>
      </w:r>
      <w:r>
        <w:rPr>
          <w:lang w:val="en-US"/>
        </w:rPr>
        <w:t>ed</w:t>
      </w:r>
      <w:r w:rsidRPr="00B94680">
        <w:rPr>
          <w:lang w:val="en-US"/>
        </w:rPr>
        <w:t xml:space="preserve"> the purpose of the debt restructuring processes </w:t>
      </w:r>
      <w:r>
        <w:rPr>
          <w:lang w:val="en-US"/>
        </w:rPr>
        <w:t xml:space="preserve">by forcing </w:t>
      </w:r>
      <w:r w:rsidRPr="00B94680">
        <w:rPr>
          <w:lang w:val="en-US"/>
        </w:rPr>
        <w:t>indebted countries to divert many of their resources to handle such litigation</w:t>
      </w:r>
      <w:r>
        <w:rPr>
          <w:lang w:val="en-US"/>
        </w:rPr>
        <w:t xml:space="preserve">. </w:t>
      </w:r>
    </w:p>
    <w:p w14:paraId="1C1EFA9B" w14:textId="77777777" w:rsidR="0066100D" w:rsidRPr="00B94680" w:rsidRDefault="0066100D" w:rsidP="0066100D">
      <w:pPr>
        <w:pStyle w:val="SingleTxtG"/>
        <w:rPr>
          <w:lang w:val="en-US"/>
        </w:rPr>
      </w:pPr>
      <w:r>
        <w:rPr>
          <w:lang w:val="en-US"/>
        </w:rPr>
        <w:t>58</w:t>
      </w:r>
      <w:r w:rsidRPr="00B94680">
        <w:rPr>
          <w:lang w:val="en-US"/>
        </w:rPr>
        <w:t>.</w:t>
      </w:r>
      <w:r w:rsidRPr="00B94680">
        <w:rPr>
          <w:lang w:val="en-US"/>
        </w:rPr>
        <w:tab/>
      </w:r>
      <w:r>
        <w:rPr>
          <w:lang w:val="en-US"/>
        </w:rPr>
        <w:t>Only one year later</w:t>
      </w:r>
      <w:r w:rsidRPr="00B94680">
        <w:rPr>
          <w:lang w:val="en-US"/>
        </w:rPr>
        <w:t xml:space="preserve">, the General Assembly </w:t>
      </w:r>
      <w:r>
        <w:rPr>
          <w:lang w:val="en-US"/>
        </w:rPr>
        <w:t>approved</w:t>
      </w:r>
      <w:r w:rsidRPr="00B94680">
        <w:rPr>
          <w:vertAlign w:val="superscript"/>
          <w:lang w:val="en-US"/>
        </w:rPr>
        <w:t xml:space="preserve"> </w:t>
      </w:r>
      <w:r>
        <w:rPr>
          <w:lang w:val="en-US"/>
        </w:rPr>
        <w:t>a set of nine principles aimed at informing the establishment of an international orderly sovereign debt restructuring workout oriented to minimizing</w:t>
      </w:r>
      <w:r w:rsidRPr="00B94680">
        <w:rPr>
          <w:lang w:val="en-US"/>
        </w:rPr>
        <w:t xml:space="preserve"> economic and social cost</w:t>
      </w:r>
      <w:r>
        <w:rPr>
          <w:lang w:val="en-US"/>
        </w:rPr>
        <w:t xml:space="preserve">s </w:t>
      </w:r>
      <w:r w:rsidRPr="00B94680">
        <w:rPr>
          <w:lang w:val="en-US"/>
        </w:rPr>
        <w:t xml:space="preserve">the stability of the international financial system </w:t>
      </w:r>
      <w:r>
        <w:rPr>
          <w:lang w:val="en-US"/>
        </w:rPr>
        <w:t>in full respct with States’ human rights obligations.</w:t>
      </w:r>
      <w:r w:rsidRPr="00867B52">
        <w:rPr>
          <w:rStyle w:val="FootnoteReference"/>
        </w:rPr>
        <w:t xml:space="preserve"> </w:t>
      </w:r>
      <w:r w:rsidRPr="0008396E">
        <w:rPr>
          <w:rStyle w:val="FootnoteReference"/>
        </w:rPr>
        <w:footnoteReference w:id="70"/>
      </w:r>
      <w:r w:rsidRPr="0008396E">
        <w:rPr>
          <w:rStyle w:val="FootnoteReference"/>
        </w:rPr>
        <w:footnoteReference w:id="71"/>
      </w:r>
      <w:r>
        <w:rPr>
          <w:lang w:val="en-US"/>
        </w:rPr>
        <w:t xml:space="preserve"> </w:t>
      </w:r>
      <w:r w:rsidRPr="00B94680">
        <w:rPr>
          <w:lang w:val="en-US"/>
        </w:rPr>
        <w:t xml:space="preserve">According to the principle of sustainability, </w:t>
      </w:r>
      <w:r>
        <w:rPr>
          <w:lang w:val="en-US"/>
        </w:rPr>
        <w:t>the promotion of</w:t>
      </w:r>
      <w:r w:rsidRPr="00B94680">
        <w:rPr>
          <w:lang w:val="en-US"/>
        </w:rPr>
        <w:t xml:space="preserve"> sustained and inclusive economic growth and sustainable development </w:t>
      </w:r>
      <w:r>
        <w:rPr>
          <w:lang w:val="en-US"/>
        </w:rPr>
        <w:t xml:space="preserve">must be part of </w:t>
      </w:r>
      <w:r w:rsidRPr="00B94680">
        <w:rPr>
          <w:lang w:val="en-US"/>
        </w:rPr>
        <w:t xml:space="preserve">debt restructuring workouts </w:t>
      </w:r>
      <w:r>
        <w:rPr>
          <w:lang w:val="en-US"/>
        </w:rPr>
        <w:t xml:space="preserve">that </w:t>
      </w:r>
      <w:r w:rsidRPr="00B94680">
        <w:rPr>
          <w:lang w:val="en-US"/>
        </w:rPr>
        <w:t xml:space="preserve">should </w:t>
      </w:r>
      <w:r>
        <w:rPr>
          <w:lang w:val="en-US"/>
        </w:rPr>
        <w:t xml:space="preserve">also </w:t>
      </w:r>
      <w:r w:rsidRPr="00B94680">
        <w:rPr>
          <w:lang w:val="en-US"/>
        </w:rPr>
        <w:t>lead to stable debt situations</w:t>
      </w:r>
      <w:r>
        <w:rPr>
          <w:lang w:val="en-US"/>
        </w:rPr>
        <w:t>.</w:t>
      </w:r>
      <w:r w:rsidRPr="0008396E">
        <w:rPr>
          <w:rStyle w:val="FootnoteReference"/>
        </w:rPr>
        <w:footnoteReference w:id="72"/>
      </w:r>
      <w:r w:rsidRPr="00B94680">
        <w:rPr>
          <w:lang w:val="en-US"/>
        </w:rPr>
        <w:t xml:space="preserve"> </w:t>
      </w:r>
    </w:p>
    <w:p w14:paraId="6B80C4F4" w14:textId="77777777" w:rsidR="0066100D" w:rsidRPr="00B94680" w:rsidRDefault="0066100D" w:rsidP="0066100D">
      <w:pPr>
        <w:pStyle w:val="SingleTxtG"/>
        <w:rPr>
          <w:lang w:val="en-US"/>
        </w:rPr>
      </w:pPr>
      <w:r>
        <w:rPr>
          <w:lang w:val="en-US"/>
        </w:rPr>
        <w:t>59</w:t>
      </w:r>
      <w:r w:rsidRPr="00B94680">
        <w:rPr>
          <w:lang w:val="en-US"/>
        </w:rPr>
        <w:t>.</w:t>
      </w:r>
      <w:r w:rsidRPr="00B94680">
        <w:rPr>
          <w:lang w:val="en-US"/>
        </w:rPr>
        <w:tab/>
        <w:t xml:space="preserve">By its general character, </w:t>
      </w:r>
      <w:r>
        <w:rPr>
          <w:lang w:val="en-US"/>
        </w:rPr>
        <w:t xml:space="preserve">the application of the principle of </w:t>
      </w:r>
      <w:r w:rsidRPr="00B94680">
        <w:rPr>
          <w:lang w:val="en-US"/>
        </w:rPr>
        <w:t xml:space="preserve">sustainability </w:t>
      </w:r>
      <w:r>
        <w:rPr>
          <w:lang w:val="en-US"/>
        </w:rPr>
        <w:t>in times of crisis becomes essential in striking the balance between the different interests at stake. In certain circumstances, t</w:t>
      </w:r>
      <w:r w:rsidRPr="00B94680">
        <w:rPr>
          <w:lang w:val="en-US"/>
        </w:rPr>
        <w:t xml:space="preserve">he private interest of the outset creditor’s rights cannot be </w:t>
      </w:r>
      <w:r>
        <w:rPr>
          <w:lang w:val="en-US"/>
        </w:rPr>
        <w:t>protected</w:t>
      </w:r>
      <w:r w:rsidRPr="00B94680">
        <w:rPr>
          <w:lang w:val="en-US"/>
        </w:rPr>
        <w:t xml:space="preserve"> at the expense of the public interest</w:t>
      </w:r>
      <w:r>
        <w:rPr>
          <w:lang w:val="en-US"/>
        </w:rPr>
        <w:t xml:space="preserve">, since the goal must also be </w:t>
      </w:r>
      <w:r w:rsidRPr="00B94680">
        <w:rPr>
          <w:lang w:val="en-US"/>
        </w:rPr>
        <w:t xml:space="preserve">protecting and promoting </w:t>
      </w:r>
      <w:r>
        <w:rPr>
          <w:lang w:val="en-US"/>
        </w:rPr>
        <w:t>the</w:t>
      </w:r>
      <w:r w:rsidRPr="00B94680">
        <w:rPr>
          <w:lang w:val="en-US"/>
        </w:rPr>
        <w:t xml:space="preserve"> </w:t>
      </w:r>
      <w:r w:rsidRPr="00B94680">
        <w:rPr>
          <w:lang w:val="en-US"/>
        </w:rPr>
        <w:lastRenderedPageBreak/>
        <w:t>sustained and inclusive economic growth and sustainable development of a country</w:t>
      </w:r>
      <w:r>
        <w:rPr>
          <w:lang w:val="en-US"/>
        </w:rPr>
        <w:t xml:space="preserve">. Limits to private interest, must thererore be balanced against the need of promoting and protecting </w:t>
      </w:r>
      <w:r w:rsidRPr="005E5C04">
        <w:rPr>
          <w:lang w:val="en-US"/>
        </w:rPr>
        <w:t xml:space="preserve"> </w:t>
      </w:r>
      <w:r w:rsidRPr="00051B0D">
        <w:rPr>
          <w:lang w:val="en-US"/>
        </w:rPr>
        <w:t>economic development, growth and human rights.</w:t>
      </w:r>
      <w:r w:rsidRPr="00051B0D">
        <w:rPr>
          <w:rStyle w:val="FootnoteReference"/>
        </w:rPr>
        <w:footnoteReference w:id="73"/>
      </w:r>
      <w:r w:rsidRPr="00051B0D">
        <w:rPr>
          <w:lang w:val="en-US"/>
        </w:rPr>
        <w:t xml:space="preserve"> </w:t>
      </w:r>
      <w:r w:rsidRPr="004D68CE">
        <w:rPr>
          <w:lang w:val="en-US"/>
        </w:rPr>
        <w:t>.</w:t>
      </w:r>
      <w:r w:rsidRPr="00B94680">
        <w:rPr>
          <w:lang w:val="en-US"/>
        </w:rPr>
        <w:t xml:space="preserve"> </w:t>
      </w:r>
    </w:p>
    <w:p w14:paraId="4610AAC5" w14:textId="77777777" w:rsidR="0066100D" w:rsidRDefault="0066100D" w:rsidP="0066100D">
      <w:pPr>
        <w:pStyle w:val="SingleTxtG"/>
        <w:rPr>
          <w:lang w:val="en-US"/>
        </w:rPr>
      </w:pPr>
      <w:r>
        <w:rPr>
          <w:lang w:val="en-US"/>
        </w:rPr>
        <w:t>60</w:t>
      </w:r>
      <w:r w:rsidRPr="00B94680">
        <w:rPr>
          <w:lang w:val="en-US"/>
        </w:rPr>
        <w:t>.</w:t>
      </w:r>
      <w:r w:rsidRPr="00B94680">
        <w:rPr>
          <w:lang w:val="en-US"/>
        </w:rPr>
        <w:tab/>
        <w:t>Against this background, the Human Rights Council, on 26 September 2014, adopted</w:t>
      </w:r>
      <w:r>
        <w:rPr>
          <w:lang w:val="en-US"/>
        </w:rPr>
        <w:t xml:space="preserve"> </w:t>
      </w:r>
      <w:r w:rsidRPr="00B94680">
        <w:rPr>
          <w:lang w:val="en-US"/>
        </w:rPr>
        <w:t>another landmark resolution</w:t>
      </w:r>
      <w:r>
        <w:rPr>
          <w:lang w:val="en-US"/>
        </w:rPr>
        <w:t>,</w:t>
      </w:r>
      <w:r w:rsidRPr="00B94680">
        <w:rPr>
          <w:lang w:val="en-US"/>
        </w:rPr>
        <w:t xml:space="preserve"> entitled the “Effects of foreign debt and other related </w:t>
      </w:r>
      <w:r>
        <w:rPr>
          <w:lang w:val="en-US"/>
        </w:rPr>
        <w:t xml:space="preserve">international </w:t>
      </w:r>
      <w:r w:rsidRPr="00B94680">
        <w:rPr>
          <w:lang w:val="en-US"/>
        </w:rPr>
        <w:t>financial obligations of States on the full enjoyment of all human rights, particularly economic, social and cultural rights: the activities of vulture funds”</w:t>
      </w:r>
      <w:r>
        <w:rPr>
          <w:lang w:val="en-US"/>
        </w:rPr>
        <w:t>, s</w:t>
      </w:r>
      <w:r w:rsidRPr="00B94680">
        <w:rPr>
          <w:lang w:val="en-US"/>
        </w:rPr>
        <w:t>upported by a large majority</w:t>
      </w:r>
      <w:r>
        <w:rPr>
          <w:lang w:val="en-US"/>
        </w:rPr>
        <w:t>.</w:t>
      </w:r>
      <w:r w:rsidRPr="00B94680">
        <w:rPr>
          <w:lang w:val="en-US"/>
        </w:rPr>
        <w:t xml:space="preserve"> </w:t>
      </w:r>
      <w:r>
        <w:rPr>
          <w:lang w:val="en-US"/>
        </w:rPr>
        <w:t>In r</w:t>
      </w:r>
      <w:r w:rsidRPr="00B94680">
        <w:rPr>
          <w:lang w:val="en-US"/>
        </w:rPr>
        <w:t>esolution 27/30</w:t>
      </w:r>
      <w:r>
        <w:rPr>
          <w:lang w:val="en-US"/>
        </w:rPr>
        <w:t>, the Council</w:t>
      </w:r>
      <w:r w:rsidRPr="00B94680">
        <w:rPr>
          <w:lang w:val="en-US"/>
        </w:rPr>
        <w:t xml:space="preserve"> explicitly condemn</w:t>
      </w:r>
      <w:r>
        <w:rPr>
          <w:lang w:val="en-US"/>
        </w:rPr>
        <w:t>ed</w:t>
      </w:r>
      <w:r w:rsidRPr="00B94680">
        <w:rPr>
          <w:lang w:val="en-US"/>
        </w:rPr>
        <w:t xml:space="preserve"> the direct negative effect that the debt repayment to those funds, under predatory conditions, ha</w:t>
      </w:r>
      <w:r>
        <w:rPr>
          <w:lang w:val="en-US"/>
        </w:rPr>
        <w:t>d</w:t>
      </w:r>
      <w:r w:rsidRPr="00B94680">
        <w:rPr>
          <w:lang w:val="en-US"/>
        </w:rPr>
        <w:t xml:space="preserve"> on the capacity of Governments to fulfil their human rights obligations.</w:t>
      </w:r>
      <w:r w:rsidRPr="0008396E">
        <w:rPr>
          <w:rStyle w:val="FootnoteReference"/>
        </w:rPr>
        <w:footnoteReference w:id="74"/>
      </w:r>
      <w:r w:rsidRPr="00B94680">
        <w:rPr>
          <w:lang w:val="en-US"/>
        </w:rPr>
        <w:t xml:space="preserve"> The </w:t>
      </w:r>
      <w:r>
        <w:rPr>
          <w:lang w:val="en-US"/>
        </w:rPr>
        <w:t>Council</w:t>
      </w:r>
      <w:r w:rsidRPr="00B94680">
        <w:rPr>
          <w:lang w:val="en-US"/>
        </w:rPr>
        <w:t xml:space="preserve"> called upon </w:t>
      </w:r>
      <w:r>
        <w:rPr>
          <w:lang w:val="en-US"/>
        </w:rPr>
        <w:t>S</w:t>
      </w:r>
      <w:r w:rsidRPr="00B94680">
        <w:rPr>
          <w:lang w:val="en-US"/>
        </w:rPr>
        <w:t xml:space="preserve">tates to consider implementing legal frameworks to curtail predatory vulture fund activities within their jurisdictions. </w:t>
      </w:r>
    </w:p>
    <w:p w14:paraId="0874113A" w14:textId="77777777" w:rsidR="0066100D" w:rsidRPr="0032207A" w:rsidRDefault="0066100D" w:rsidP="0066100D">
      <w:pPr>
        <w:pStyle w:val="SingleTxtG"/>
        <w:rPr>
          <w:lang w:val="en-US"/>
        </w:rPr>
      </w:pPr>
      <w:r w:rsidRPr="0032207A">
        <w:rPr>
          <w:lang w:val="en-US"/>
        </w:rPr>
        <w:t>61.</w:t>
      </w:r>
      <w:r w:rsidRPr="0032207A">
        <w:rPr>
          <w:lang w:val="en-US"/>
        </w:rPr>
        <w:tab/>
        <w:t xml:space="preserve">Despite efforts and progress made over the past years, it is difficult to understand reasons behind the current political deadlock in the process aimed at setting up a Debt Workout Institution (DWI) building on the AG’s Sovereign Debt Workout Principles. </w:t>
      </w:r>
    </w:p>
    <w:p w14:paraId="67C58063" w14:textId="77777777" w:rsidR="0066100D" w:rsidRPr="0032207A" w:rsidRDefault="0066100D" w:rsidP="0066100D">
      <w:pPr>
        <w:pStyle w:val="SingleTxtG"/>
        <w:rPr>
          <w:lang w:val="en-US"/>
        </w:rPr>
      </w:pPr>
      <w:r w:rsidRPr="0032207A">
        <w:rPr>
          <w:lang w:val="en-US"/>
        </w:rPr>
        <w:t>62.</w:t>
      </w:r>
      <w:r w:rsidRPr="0032207A">
        <w:rPr>
          <w:lang w:val="en-US"/>
        </w:rPr>
        <w:tab/>
        <w:t>In April 2018, the European Parliament adopted a resolution to insist on the need to solve debt crisis in a fair, speedy and sustainable manner through “the setting-up of an international debt workout mechanism that builds on the UNCTAD roadmap on sovereign debt workout and the proposal of establishing an International Debt Restructuring Court (IDRC)”.</w:t>
      </w:r>
      <w:r w:rsidRPr="0032207A">
        <w:rPr>
          <w:rStyle w:val="FootnoteReference"/>
          <w:lang w:val="en-US"/>
        </w:rPr>
        <w:footnoteReference w:id="75"/>
      </w:r>
      <w:r w:rsidRPr="0032207A">
        <w:rPr>
          <w:lang w:val="en-US"/>
        </w:rPr>
        <w:t xml:space="preserve"> </w:t>
      </w:r>
    </w:p>
    <w:p w14:paraId="1EDB3726" w14:textId="77777777" w:rsidR="0066100D" w:rsidRPr="0032207A" w:rsidRDefault="0066100D" w:rsidP="0066100D">
      <w:pPr>
        <w:pStyle w:val="SingleTxtG"/>
        <w:rPr>
          <w:lang w:val="en-US"/>
        </w:rPr>
      </w:pPr>
      <w:r w:rsidRPr="0032207A">
        <w:rPr>
          <w:lang w:val="en-US"/>
        </w:rPr>
        <w:t>63.</w:t>
      </w:r>
      <w:r w:rsidRPr="0032207A">
        <w:rPr>
          <w:lang w:val="en-US"/>
        </w:rPr>
        <w:tab/>
        <w:t xml:space="preserve">Meanwhile, vulture funds make the most of the absence of an international regulatory framework by exploring new ways to enforce the terms of their sovereign bonds. Despite the system of investment arbitration is not design to hear disputes on financial assets arbitrators seem to have opened the door to speculative claims. </w:t>
      </w:r>
    </w:p>
    <w:p w14:paraId="5ADF76D5" w14:textId="77777777" w:rsidR="0066100D" w:rsidRPr="0032207A" w:rsidRDefault="0066100D" w:rsidP="0066100D">
      <w:pPr>
        <w:pStyle w:val="SingleTxtG"/>
        <w:rPr>
          <w:lang w:val="en-US"/>
        </w:rPr>
      </w:pPr>
      <w:r w:rsidRPr="0032207A">
        <w:rPr>
          <w:lang w:val="en-US"/>
        </w:rPr>
        <w:t>64.</w:t>
      </w:r>
      <w:r w:rsidRPr="0032207A">
        <w:rPr>
          <w:lang w:val="en-US"/>
        </w:rPr>
        <w:tab/>
        <w:t xml:space="preserve">This mechanism is manifestly inadequate to solve complex sovereign debt restructuring disputes. Practice shows that investment tribunals often tend to ground their decisions on purely economic terms while tend to ignore the broader human rights implications of debt restructuring. </w:t>
      </w:r>
    </w:p>
    <w:p w14:paraId="49DEB4E7" w14:textId="77777777" w:rsidR="0066100D" w:rsidRPr="00A231FD" w:rsidRDefault="0066100D" w:rsidP="0066100D">
      <w:pPr>
        <w:pStyle w:val="SingleTxtG"/>
        <w:rPr>
          <w:lang w:val="en-US"/>
        </w:rPr>
      </w:pPr>
      <w:r w:rsidRPr="0032207A">
        <w:rPr>
          <w:lang w:val="en-US"/>
        </w:rPr>
        <w:t>65.</w:t>
      </w:r>
      <w:r w:rsidRPr="0032207A">
        <w:rPr>
          <w:lang w:val="en-US"/>
        </w:rPr>
        <w:tab/>
        <w:t>No doubt, this is a worrying trend to keep an eye on in the future (A/71/153). Vulture funds disruptive strategies will be incentivated while orderly negotiated settlements frustrated. By upholding the rights of investors, this development will lead to decisions where the broad human rights implications of debt crisis are understimated.</w:t>
      </w:r>
      <w:r>
        <w:rPr>
          <w:lang w:val="en-US"/>
        </w:rPr>
        <w:t xml:space="preserve"> </w:t>
      </w:r>
    </w:p>
    <w:p w14:paraId="7FCECE7E" w14:textId="77777777" w:rsidR="0066100D" w:rsidRPr="00B94680" w:rsidRDefault="0066100D" w:rsidP="0066100D">
      <w:pPr>
        <w:pStyle w:val="HChG"/>
      </w:pPr>
      <w:r w:rsidRPr="00B94680">
        <w:tab/>
        <w:t>VIII.</w:t>
      </w:r>
      <w:r w:rsidRPr="00B94680">
        <w:tab/>
      </w:r>
      <w:r>
        <w:t>I</w:t>
      </w:r>
      <w:r w:rsidRPr="00B94680">
        <w:t xml:space="preserve">mpact of </w:t>
      </w:r>
      <w:r>
        <w:t xml:space="preserve">the activities of </w:t>
      </w:r>
      <w:r w:rsidRPr="00B94680">
        <w:t xml:space="preserve">vulture funds </w:t>
      </w:r>
      <w:r>
        <w:t>on human rights</w:t>
      </w:r>
    </w:p>
    <w:p w14:paraId="3BD4AA0A" w14:textId="77777777" w:rsidR="0066100D" w:rsidRPr="00B94680" w:rsidRDefault="0066100D" w:rsidP="0066100D">
      <w:pPr>
        <w:pStyle w:val="SingleTxtG"/>
        <w:rPr>
          <w:lang w:val="en-US"/>
        </w:rPr>
      </w:pPr>
      <w:r>
        <w:rPr>
          <w:lang w:val="en-US"/>
        </w:rPr>
        <w:t>66</w:t>
      </w:r>
      <w:r w:rsidRPr="00B94680">
        <w:rPr>
          <w:lang w:val="en-US"/>
        </w:rPr>
        <w:t>.</w:t>
      </w:r>
      <w:r w:rsidRPr="00B94680">
        <w:rPr>
          <w:lang w:val="en-US"/>
        </w:rPr>
        <w:tab/>
        <w:t xml:space="preserve">Human rights monitoring bodies have contributed to articulating the linkage between </w:t>
      </w:r>
      <w:r>
        <w:rPr>
          <w:lang w:val="en-US"/>
        </w:rPr>
        <w:t>the activities of vulture funds</w:t>
      </w:r>
      <w:r w:rsidRPr="00B94680">
        <w:rPr>
          <w:lang w:val="en-US"/>
        </w:rPr>
        <w:t xml:space="preserve"> and human rights</w:t>
      </w:r>
      <w:r>
        <w:rPr>
          <w:lang w:val="en-US"/>
        </w:rPr>
        <w:t>,</w:t>
      </w:r>
      <w:r w:rsidRPr="00B94680">
        <w:rPr>
          <w:lang w:val="en-US"/>
        </w:rPr>
        <w:t xml:space="preserve"> in particular by focusing on </w:t>
      </w:r>
      <w:r>
        <w:rPr>
          <w:lang w:val="en-US"/>
        </w:rPr>
        <w:t xml:space="preserve">the </w:t>
      </w:r>
      <w:r w:rsidRPr="00B94680">
        <w:rPr>
          <w:lang w:val="en-US"/>
        </w:rPr>
        <w:t xml:space="preserve">negative impact such </w:t>
      </w:r>
      <w:r>
        <w:rPr>
          <w:lang w:val="en-US"/>
        </w:rPr>
        <w:t>activities</w:t>
      </w:r>
      <w:r w:rsidRPr="00B94680">
        <w:rPr>
          <w:lang w:val="en-US"/>
        </w:rPr>
        <w:t xml:space="preserve"> have on the capacity of the State to fulfil its human rights obligations</w:t>
      </w:r>
      <w:r>
        <w:rPr>
          <w:lang w:val="en-US"/>
        </w:rPr>
        <w:t xml:space="preserve"> (s</w:t>
      </w:r>
      <w:r>
        <w:t>ee in particular</w:t>
      </w:r>
      <w:r w:rsidRPr="003E2CD4">
        <w:t xml:space="preserve"> </w:t>
      </w:r>
      <w:r w:rsidRPr="003E2CD4">
        <w:rPr>
          <w:szCs w:val="18"/>
        </w:rPr>
        <w:t>A/HRC/14/21</w:t>
      </w:r>
      <w:r>
        <w:rPr>
          <w:szCs w:val="18"/>
        </w:rPr>
        <w:t>)</w:t>
      </w:r>
      <w:r w:rsidRPr="00B94680">
        <w:rPr>
          <w:lang w:val="en-US"/>
        </w:rPr>
        <w:t>.</w:t>
      </w:r>
      <w:r w:rsidRPr="0008396E">
        <w:rPr>
          <w:rStyle w:val="FootnoteReference"/>
        </w:rPr>
        <w:footnoteReference w:id="76"/>
      </w:r>
      <w:r w:rsidRPr="00B94680">
        <w:rPr>
          <w:lang w:val="en-US"/>
        </w:rPr>
        <w:t xml:space="preserve"> </w:t>
      </w:r>
      <w:r>
        <w:rPr>
          <w:lang w:val="en-US"/>
        </w:rPr>
        <w:t xml:space="preserve">Empirical research </w:t>
      </w:r>
      <w:r w:rsidRPr="00B94680">
        <w:rPr>
          <w:lang w:val="en-US"/>
        </w:rPr>
        <w:t>ha</w:t>
      </w:r>
      <w:r>
        <w:rPr>
          <w:lang w:val="en-US"/>
        </w:rPr>
        <w:t>s also</w:t>
      </w:r>
      <w:r w:rsidRPr="00B94680">
        <w:rPr>
          <w:lang w:val="en-US"/>
        </w:rPr>
        <w:t xml:space="preserve"> analysed the negative economic and financial consequences derived from commercial litigation against debt</w:t>
      </w:r>
      <w:r>
        <w:rPr>
          <w:lang w:val="en-US"/>
        </w:rPr>
        <w:t>-</w:t>
      </w:r>
      <w:r w:rsidRPr="00B94680">
        <w:rPr>
          <w:lang w:val="en-US"/>
        </w:rPr>
        <w:t xml:space="preserve"> </w:t>
      </w:r>
      <w:r w:rsidRPr="00B94680">
        <w:rPr>
          <w:lang w:val="en-US"/>
        </w:rPr>
        <w:lastRenderedPageBreak/>
        <w:t>distressed and poor States.</w:t>
      </w:r>
      <w:r w:rsidRPr="0008396E">
        <w:rPr>
          <w:rStyle w:val="FootnoteReference"/>
        </w:rPr>
        <w:footnoteReference w:id="77"/>
      </w:r>
      <w:r w:rsidRPr="00B94680">
        <w:rPr>
          <w:lang w:val="en-US"/>
        </w:rPr>
        <w:t xml:space="preserve"> </w:t>
      </w:r>
      <w:r>
        <w:rPr>
          <w:lang w:val="en-US"/>
        </w:rPr>
        <w:t>These studies</w:t>
      </w:r>
      <w:r w:rsidRPr="00B94680">
        <w:rPr>
          <w:lang w:val="en-US"/>
        </w:rPr>
        <w:t xml:space="preserve"> show </w:t>
      </w:r>
      <w:r>
        <w:rPr>
          <w:lang w:val="en-US"/>
        </w:rPr>
        <w:t>that</w:t>
      </w:r>
      <w:r w:rsidRPr="00B94680">
        <w:rPr>
          <w:lang w:val="en-US"/>
        </w:rPr>
        <w:t xml:space="preserve"> such legal disputes are </w:t>
      </w:r>
      <w:r>
        <w:rPr>
          <w:lang w:val="en-US"/>
        </w:rPr>
        <w:t xml:space="preserve">becoming </w:t>
      </w:r>
      <w:r w:rsidRPr="00B94680">
        <w:rPr>
          <w:lang w:val="en-US"/>
        </w:rPr>
        <w:t>increasingly common and costly for the States</w:t>
      </w:r>
      <w:r>
        <w:rPr>
          <w:lang w:val="en-US"/>
        </w:rPr>
        <w:t xml:space="preserve"> </w:t>
      </w:r>
      <w:r w:rsidRPr="00B94680">
        <w:rPr>
          <w:lang w:val="en-US"/>
        </w:rPr>
        <w:t>concerned.</w:t>
      </w:r>
      <w:r w:rsidRPr="0008396E">
        <w:rPr>
          <w:rStyle w:val="FootnoteReference"/>
        </w:rPr>
        <w:footnoteReference w:id="78"/>
      </w:r>
      <w:r w:rsidRPr="00B94680">
        <w:rPr>
          <w:lang w:val="en-US"/>
        </w:rPr>
        <w:t xml:space="preserve"> </w:t>
      </w:r>
      <w:r>
        <w:rPr>
          <w:lang w:val="en-US"/>
        </w:rPr>
        <w:t>L</w:t>
      </w:r>
      <w:r w:rsidRPr="00B94680">
        <w:rPr>
          <w:lang w:val="en-US"/>
        </w:rPr>
        <w:t xml:space="preserve">itigation and attachment attempts </w:t>
      </w:r>
      <w:r>
        <w:rPr>
          <w:lang w:val="en-US"/>
        </w:rPr>
        <w:t>by vulture funds</w:t>
      </w:r>
      <w:r w:rsidRPr="00B94680">
        <w:rPr>
          <w:lang w:val="en-US"/>
        </w:rPr>
        <w:t xml:space="preserve"> may </w:t>
      </w:r>
      <w:r>
        <w:rPr>
          <w:lang w:val="en-US"/>
        </w:rPr>
        <w:t>pose</w:t>
      </w:r>
      <w:r w:rsidRPr="00B94680">
        <w:rPr>
          <w:lang w:val="en-US"/>
        </w:rPr>
        <w:t xml:space="preserve"> difficulties for the State</w:t>
      </w:r>
      <w:r>
        <w:rPr>
          <w:lang w:val="en-US"/>
        </w:rPr>
        <w:t xml:space="preserve"> in</w:t>
      </w:r>
      <w:r w:rsidRPr="00B94680">
        <w:rPr>
          <w:lang w:val="en-US"/>
        </w:rPr>
        <w:t xml:space="preserve"> access</w:t>
      </w:r>
      <w:r>
        <w:rPr>
          <w:lang w:val="en-US"/>
        </w:rPr>
        <w:t>ing</w:t>
      </w:r>
      <w:r w:rsidRPr="00B94680">
        <w:rPr>
          <w:lang w:val="en-US"/>
        </w:rPr>
        <w:t xml:space="preserve"> international capital markets and </w:t>
      </w:r>
      <w:r>
        <w:rPr>
          <w:lang w:val="en-US"/>
        </w:rPr>
        <w:t xml:space="preserve">may </w:t>
      </w:r>
      <w:r w:rsidRPr="00B94680">
        <w:rPr>
          <w:lang w:val="en-US"/>
        </w:rPr>
        <w:t xml:space="preserve">also </w:t>
      </w:r>
      <w:r>
        <w:rPr>
          <w:lang w:val="en-US"/>
        </w:rPr>
        <w:t>entail</w:t>
      </w:r>
      <w:r w:rsidRPr="00B94680">
        <w:rPr>
          <w:lang w:val="en-US"/>
        </w:rPr>
        <w:t xml:space="preserve"> a significant decline in international trade for the debtor </w:t>
      </w:r>
      <w:r>
        <w:rPr>
          <w:lang w:val="en-US"/>
        </w:rPr>
        <w:t>State</w:t>
      </w:r>
      <w:r w:rsidRPr="00B94680">
        <w:rPr>
          <w:lang w:val="en-US"/>
        </w:rPr>
        <w:t>.</w:t>
      </w:r>
      <w:r w:rsidRPr="00B94680">
        <w:rPr>
          <w:vertAlign w:val="superscript"/>
          <w:lang w:val="en-US"/>
        </w:rPr>
        <w:t xml:space="preserve"> </w:t>
      </w:r>
    </w:p>
    <w:p w14:paraId="688C1B9F" w14:textId="77777777" w:rsidR="0066100D" w:rsidRPr="00B94680" w:rsidRDefault="0066100D" w:rsidP="0066100D">
      <w:pPr>
        <w:pStyle w:val="SingleTxtG"/>
        <w:rPr>
          <w:lang w:val="en-US"/>
        </w:rPr>
      </w:pPr>
      <w:r>
        <w:rPr>
          <w:lang w:val="en-US"/>
        </w:rPr>
        <w:t>67</w:t>
      </w:r>
      <w:r w:rsidRPr="00B94680">
        <w:rPr>
          <w:lang w:val="en-US"/>
        </w:rPr>
        <w:t>.</w:t>
      </w:r>
      <w:r w:rsidRPr="00B94680">
        <w:rPr>
          <w:lang w:val="en-US"/>
        </w:rPr>
        <w:tab/>
        <w:t xml:space="preserve">In reality, the problem arises from the way in which </w:t>
      </w:r>
      <w:r>
        <w:rPr>
          <w:lang w:val="en-US"/>
        </w:rPr>
        <w:t>vulture funds</w:t>
      </w:r>
      <w:r w:rsidRPr="00B94680">
        <w:rPr>
          <w:lang w:val="en-US"/>
        </w:rPr>
        <w:t xml:space="preserve"> operate and the strategies they deploy to obtain disproportionate profits </w:t>
      </w:r>
      <w:r>
        <w:rPr>
          <w:lang w:val="en-US"/>
        </w:rPr>
        <w:t>from</w:t>
      </w:r>
      <w:r w:rsidRPr="00B94680">
        <w:rPr>
          <w:lang w:val="en-US"/>
        </w:rPr>
        <w:t xml:space="preserve"> speculating </w:t>
      </w:r>
      <w:r>
        <w:rPr>
          <w:lang w:val="en-US"/>
        </w:rPr>
        <w:t>in</w:t>
      </w:r>
      <w:r w:rsidRPr="00B94680">
        <w:rPr>
          <w:lang w:val="en-US"/>
        </w:rPr>
        <w:t xml:space="preserve"> sovereign debt</w:t>
      </w:r>
      <w:r>
        <w:rPr>
          <w:lang w:val="en-US"/>
        </w:rPr>
        <w:t xml:space="preserve"> and on how this affects the State’s capacity to fulfil its human rights obligations</w:t>
      </w:r>
      <w:r w:rsidRPr="00B94680">
        <w:rPr>
          <w:lang w:val="en-US"/>
        </w:rPr>
        <w:t>.</w:t>
      </w:r>
      <w:r w:rsidRPr="0008396E">
        <w:rPr>
          <w:rStyle w:val="FootnoteReference"/>
        </w:rPr>
        <w:footnoteReference w:id="79"/>
      </w:r>
      <w:r w:rsidRPr="00B94680">
        <w:rPr>
          <w:lang w:val="en-US"/>
        </w:rPr>
        <w:t xml:space="preserve"> According to the Independent Expert</w:t>
      </w:r>
      <w:r>
        <w:rPr>
          <w:lang w:val="en-US"/>
        </w:rPr>
        <w:t xml:space="preserve"> on the effects of foreign debt on human rights, </w:t>
      </w:r>
      <w:r w:rsidRPr="00B94680">
        <w:rPr>
          <w:lang w:val="en-US"/>
        </w:rPr>
        <w:t xml:space="preserve">the settlement of excessive </w:t>
      </w:r>
      <w:r>
        <w:rPr>
          <w:lang w:val="en-US"/>
        </w:rPr>
        <w:t xml:space="preserve">claims by </w:t>
      </w:r>
      <w:r w:rsidRPr="00B94680">
        <w:rPr>
          <w:lang w:val="en-US"/>
        </w:rPr>
        <w:t>vulture fund</w:t>
      </w:r>
      <w:r>
        <w:rPr>
          <w:lang w:val="en-US"/>
        </w:rPr>
        <w:t>s</w:t>
      </w:r>
      <w:r w:rsidRPr="00B94680">
        <w:rPr>
          <w:lang w:val="en-US"/>
        </w:rPr>
        <w:t xml:space="preserve"> </w:t>
      </w:r>
      <w:r>
        <w:rPr>
          <w:lang w:val="en-US"/>
        </w:rPr>
        <w:t>against</w:t>
      </w:r>
      <w:r w:rsidRPr="00B94680">
        <w:rPr>
          <w:lang w:val="en-US"/>
        </w:rPr>
        <w:t xml:space="preserve"> poor countries with unsustainable debt levels has a direct</w:t>
      </w:r>
      <w:r>
        <w:rPr>
          <w:lang w:val="en-US"/>
        </w:rPr>
        <w:t>,</w:t>
      </w:r>
      <w:r w:rsidRPr="00B94680">
        <w:rPr>
          <w:lang w:val="en-US"/>
        </w:rPr>
        <w:t xml:space="preserve"> negative effect on the capacity of </w:t>
      </w:r>
      <w:r>
        <w:rPr>
          <w:lang w:val="en-US"/>
        </w:rPr>
        <w:t>the G</w:t>
      </w:r>
      <w:r w:rsidRPr="00B94680">
        <w:rPr>
          <w:lang w:val="en-US"/>
        </w:rPr>
        <w:t xml:space="preserve">overnments of these countries to fulfil their human rights obligations, especially </w:t>
      </w:r>
      <w:r>
        <w:rPr>
          <w:lang w:val="en-US"/>
        </w:rPr>
        <w:t xml:space="preserve">in terms of </w:t>
      </w:r>
      <w:r w:rsidRPr="00B94680">
        <w:rPr>
          <w:lang w:val="en-US"/>
        </w:rPr>
        <w:t>economic, social and cultural rights,</w:t>
      </w:r>
      <w:r>
        <w:rPr>
          <w:lang w:val="en-US"/>
        </w:rPr>
        <w:t xml:space="preserve"> particularly</w:t>
      </w:r>
      <w:r w:rsidRPr="00B94680">
        <w:rPr>
          <w:lang w:val="en-US"/>
        </w:rPr>
        <w:t xml:space="preserve"> the rights to health, water and sanitation, food, housing and education.</w:t>
      </w:r>
      <w:r w:rsidRPr="0008396E">
        <w:rPr>
          <w:rStyle w:val="FootnoteReference"/>
        </w:rPr>
        <w:footnoteReference w:id="80"/>
      </w:r>
    </w:p>
    <w:p w14:paraId="620C825E" w14:textId="77777777" w:rsidR="0066100D" w:rsidRDefault="0066100D" w:rsidP="0066100D">
      <w:pPr>
        <w:pStyle w:val="SingleTxtG"/>
        <w:rPr>
          <w:lang w:val="en-US"/>
        </w:rPr>
      </w:pPr>
      <w:r>
        <w:rPr>
          <w:lang w:val="en-US"/>
        </w:rPr>
        <w:t>68</w:t>
      </w:r>
      <w:r w:rsidRPr="00B94680">
        <w:rPr>
          <w:lang w:val="en-US"/>
        </w:rPr>
        <w:t>.</w:t>
      </w:r>
      <w:r w:rsidRPr="00B94680">
        <w:rPr>
          <w:lang w:val="en-US"/>
        </w:rPr>
        <w:tab/>
        <w:t>Through lengthy and costly litigation</w:t>
      </w:r>
      <w:r>
        <w:rPr>
          <w:lang w:val="en-US"/>
        </w:rPr>
        <w:t>,</w:t>
      </w:r>
      <w:r w:rsidRPr="00B94680">
        <w:rPr>
          <w:lang w:val="en-US"/>
        </w:rPr>
        <w:t xml:space="preserve"> </w:t>
      </w:r>
      <w:r>
        <w:rPr>
          <w:lang w:val="en-US"/>
        </w:rPr>
        <w:t>vulture funds</w:t>
      </w:r>
      <w:r w:rsidRPr="00B94680">
        <w:rPr>
          <w:lang w:val="en-US"/>
        </w:rPr>
        <w:t xml:space="preserve"> contribute to divert</w:t>
      </w:r>
      <w:r>
        <w:rPr>
          <w:lang w:val="en-US"/>
        </w:rPr>
        <w:t>ing</w:t>
      </w:r>
      <w:r w:rsidRPr="00B94680">
        <w:rPr>
          <w:lang w:val="en-US"/>
        </w:rPr>
        <w:t xml:space="preserve"> States’ resources from other</w:t>
      </w:r>
      <w:r>
        <w:rPr>
          <w:lang w:val="en-US"/>
        </w:rPr>
        <w:t>,</w:t>
      </w:r>
      <w:r w:rsidRPr="00B94680">
        <w:rPr>
          <w:lang w:val="en-US"/>
        </w:rPr>
        <w:t xml:space="preserve"> more pressing development, social and human rights issues</w:t>
      </w:r>
      <w:r>
        <w:rPr>
          <w:lang w:val="en-US"/>
        </w:rPr>
        <w:t xml:space="preserve"> (see </w:t>
      </w:r>
      <w:r>
        <w:rPr>
          <w:szCs w:val="18"/>
        </w:rPr>
        <w:t xml:space="preserve">A/HRC/14/21, </w:t>
      </w:r>
      <w:r w:rsidRPr="00A01FCC">
        <w:rPr>
          <w:szCs w:val="18"/>
        </w:rPr>
        <w:t>para. 35</w:t>
      </w:r>
      <w:r>
        <w:rPr>
          <w:szCs w:val="18"/>
        </w:rPr>
        <w:t>)</w:t>
      </w:r>
      <w:r w:rsidRPr="00B94680">
        <w:rPr>
          <w:lang w:val="en-US"/>
        </w:rPr>
        <w:t>.</w:t>
      </w:r>
      <w:r w:rsidRPr="00B94680">
        <w:rPr>
          <w:vertAlign w:val="superscript"/>
          <w:lang w:val="en-US"/>
        </w:rPr>
        <w:t xml:space="preserve"> </w:t>
      </w:r>
      <w:r w:rsidRPr="00B94680">
        <w:rPr>
          <w:lang w:val="en-US"/>
        </w:rPr>
        <w:t xml:space="preserve">Protracted litigation may cause important delays in </w:t>
      </w:r>
      <w:r>
        <w:rPr>
          <w:lang w:val="en-US"/>
        </w:rPr>
        <w:t>re</w:t>
      </w:r>
      <w:r w:rsidRPr="00B94680">
        <w:rPr>
          <w:lang w:val="en-US"/>
        </w:rPr>
        <w:t xml:space="preserve">solving the debt crisis and limit the State’s capacity to commit resources and efforts necessary to bring the country out of the situation. </w:t>
      </w:r>
      <w:r>
        <w:rPr>
          <w:lang w:val="en-US"/>
        </w:rPr>
        <w:t>It</w:t>
      </w:r>
      <w:r w:rsidRPr="00B94680">
        <w:rPr>
          <w:lang w:val="en-US"/>
        </w:rPr>
        <w:t xml:space="preserve"> may worsen the already significant economic and financial consequences attached to the crisis and lead to policies that </w:t>
      </w:r>
      <w:r>
        <w:rPr>
          <w:lang w:val="en-US"/>
        </w:rPr>
        <w:t xml:space="preserve">have a </w:t>
      </w:r>
      <w:r w:rsidRPr="00B94680">
        <w:rPr>
          <w:lang w:val="en-US"/>
        </w:rPr>
        <w:t xml:space="preserve">severe impact </w:t>
      </w:r>
      <w:r>
        <w:rPr>
          <w:lang w:val="en-US"/>
        </w:rPr>
        <w:t xml:space="preserve">on the enjoyment of </w:t>
      </w:r>
      <w:r w:rsidRPr="00B94680">
        <w:rPr>
          <w:lang w:val="en-US"/>
        </w:rPr>
        <w:t>human rights.</w:t>
      </w:r>
      <w:r w:rsidRPr="0008396E">
        <w:rPr>
          <w:rStyle w:val="FootnoteReference"/>
        </w:rPr>
        <w:footnoteReference w:id="81"/>
      </w:r>
      <w:r w:rsidRPr="00B94680">
        <w:rPr>
          <w:lang w:val="en-US"/>
        </w:rPr>
        <w:t xml:space="preserve"> Some of the </w:t>
      </w:r>
      <w:r>
        <w:rPr>
          <w:lang w:val="en-US"/>
        </w:rPr>
        <w:t>most prominent</w:t>
      </w:r>
      <w:r w:rsidRPr="00B94680">
        <w:rPr>
          <w:lang w:val="en-US"/>
        </w:rPr>
        <w:t xml:space="preserve"> negative impacts deriving from </w:t>
      </w:r>
      <w:r>
        <w:rPr>
          <w:lang w:val="en-US"/>
        </w:rPr>
        <w:t>the activities of vulture funds</w:t>
      </w:r>
      <w:r w:rsidRPr="00B94680">
        <w:rPr>
          <w:lang w:val="en-US"/>
        </w:rPr>
        <w:t xml:space="preserve"> are </w:t>
      </w:r>
      <w:r>
        <w:rPr>
          <w:lang w:val="en-US"/>
        </w:rPr>
        <w:t xml:space="preserve">described in </w:t>
      </w:r>
      <w:r w:rsidRPr="00B94680">
        <w:rPr>
          <w:lang w:val="en-US"/>
        </w:rPr>
        <w:t>the following</w:t>
      </w:r>
      <w:r>
        <w:rPr>
          <w:lang w:val="en-US"/>
        </w:rPr>
        <w:t xml:space="preserve"> paragraphs.</w:t>
      </w:r>
    </w:p>
    <w:p w14:paraId="14F247A9" w14:textId="77777777" w:rsidR="0066100D" w:rsidRPr="00B94680" w:rsidRDefault="0066100D" w:rsidP="0066100D">
      <w:pPr>
        <w:pStyle w:val="H23G"/>
        <w:rPr>
          <w:lang w:val="en-US"/>
        </w:rPr>
      </w:pPr>
      <w:r>
        <w:rPr>
          <w:lang w:val="en-US"/>
        </w:rPr>
        <w:tab/>
      </w:r>
      <w:r>
        <w:rPr>
          <w:lang w:val="en-US"/>
        </w:rPr>
        <w:tab/>
      </w:r>
      <w:r w:rsidRPr="003048B8">
        <w:rPr>
          <w:lang w:val="en-US"/>
        </w:rPr>
        <w:t xml:space="preserve">Activities of vulture funds </w:t>
      </w:r>
      <w:r w:rsidRPr="0008396E">
        <w:t>hinder the State’s capacity to fulfil economic, social and cultural rights</w:t>
      </w:r>
    </w:p>
    <w:p w14:paraId="2DB3ED5F" w14:textId="77777777" w:rsidR="0066100D" w:rsidRPr="00B94680" w:rsidRDefault="0066100D" w:rsidP="0066100D">
      <w:pPr>
        <w:pStyle w:val="SingleTxtG"/>
      </w:pPr>
      <w:r>
        <w:rPr>
          <w:lang w:val="en-US"/>
        </w:rPr>
        <w:t>69.</w:t>
      </w:r>
      <w:r>
        <w:rPr>
          <w:lang w:val="en-US"/>
        </w:rPr>
        <w:tab/>
      </w:r>
      <w:r>
        <w:t>Litigation by v</w:t>
      </w:r>
      <w:r w:rsidRPr="00B94680">
        <w:t>ulture fun</w:t>
      </w:r>
      <w:r>
        <w:t>ds</w:t>
      </w:r>
      <w:r w:rsidRPr="00B94680">
        <w:t xml:space="preserve"> represents a substantial burden on the budgets of already poor countries. Harmful conditions of loans or high and abusive interest rates may make repayment extremely difficult. The </w:t>
      </w:r>
      <w:r>
        <w:t>S</w:t>
      </w:r>
      <w:r w:rsidRPr="00B94680">
        <w:t>tate having to repay far more than the amount originally borrowed may be obliged to redirect into debt service resources previously allocated for essential public services,</w:t>
      </w:r>
      <w:r w:rsidRPr="004E18BB">
        <w:t xml:space="preserve"> </w:t>
      </w:r>
      <w:r w:rsidRPr="00B94680">
        <w:t xml:space="preserve">also triggering cuts </w:t>
      </w:r>
      <w:r>
        <w:t>i</w:t>
      </w:r>
      <w:r w:rsidRPr="00B94680">
        <w:t>n public spending</w:t>
      </w:r>
      <w:r>
        <w:t xml:space="preserve"> (ibid., </w:t>
      </w:r>
      <w:r w:rsidRPr="004752D3">
        <w:rPr>
          <w:szCs w:val="18"/>
        </w:rPr>
        <w:t xml:space="preserve">para. </w:t>
      </w:r>
      <w:r w:rsidRPr="00282C5F">
        <w:rPr>
          <w:szCs w:val="18"/>
        </w:rPr>
        <w:t>57</w:t>
      </w:r>
      <w:r>
        <w:rPr>
          <w:szCs w:val="18"/>
        </w:rPr>
        <w:t>)</w:t>
      </w:r>
      <w:r w:rsidRPr="00B94680">
        <w:t>.</w:t>
      </w:r>
      <w:r>
        <w:t xml:space="preserve"> </w:t>
      </w:r>
      <w:r w:rsidRPr="00B94680">
        <w:t xml:space="preserve">Such </w:t>
      </w:r>
      <w:r>
        <w:t xml:space="preserve">a </w:t>
      </w:r>
      <w:r w:rsidRPr="00B94680">
        <w:t>course of action hinders the State’s capacity to fulfil economic, social and cultural rights (i.e.</w:t>
      </w:r>
      <w:r>
        <w:t>,</w:t>
      </w:r>
      <w:r w:rsidRPr="00B94680">
        <w:t xml:space="preserve"> to adopt appropriate measures towards their full realization) and, ultimately, </w:t>
      </w:r>
      <w:r>
        <w:t xml:space="preserve">has an </w:t>
      </w:r>
      <w:r w:rsidRPr="00B94680">
        <w:t>impact on the economic growth and development of the country.</w:t>
      </w:r>
      <w:r w:rsidRPr="0008396E">
        <w:rPr>
          <w:rStyle w:val="FootnoteReference"/>
        </w:rPr>
        <w:footnoteReference w:id="82"/>
      </w:r>
    </w:p>
    <w:p w14:paraId="6AA61A38" w14:textId="77777777" w:rsidR="0066100D" w:rsidRPr="00BE6039" w:rsidRDefault="0066100D" w:rsidP="0066100D">
      <w:pPr>
        <w:pStyle w:val="SingleTxtG"/>
      </w:pPr>
      <w:r>
        <w:t>70.</w:t>
      </w:r>
      <w:r>
        <w:tab/>
      </w:r>
      <w:r w:rsidRPr="00B94680">
        <w:t xml:space="preserve">Human rights monitoring bodies have analysed how an excessive burden of high external debt repayments </w:t>
      </w:r>
      <w:r>
        <w:t>can</w:t>
      </w:r>
      <w:r w:rsidRPr="00B94680">
        <w:t xml:space="preserve"> significantly reduce the resources available for social investment. In fact, it has been demonstrated </w:t>
      </w:r>
      <w:r>
        <w:t>that</w:t>
      </w:r>
      <w:r w:rsidRPr="00B94680">
        <w:t xml:space="preserve"> in many countries debt repayment is often carried out at the </w:t>
      </w:r>
      <w:r w:rsidRPr="00466320">
        <w:t>expense</w:t>
      </w:r>
      <w:r w:rsidRPr="00B94680">
        <w:t xml:space="preserve"> of basic human rights, including the rights to food, health, education, adequate housing and work. In the case of Ecuador, for example, the Committee on Economic, Social and Cultural Rights noted that the high percentage of the annual national budget (around </w:t>
      </w:r>
      <w:r>
        <w:t>about</w:t>
      </w:r>
      <w:r w:rsidRPr="00B94680">
        <w:t xml:space="preserve"> 40 per</w:t>
      </w:r>
      <w:r>
        <w:t xml:space="preserve"> </w:t>
      </w:r>
      <w:r w:rsidRPr="00B94680">
        <w:t xml:space="preserve">cent) allocated for foreign debt servicing seriously limited the </w:t>
      </w:r>
      <w:r w:rsidRPr="00B94680">
        <w:lastRenderedPageBreak/>
        <w:t>resources available for the achievement of effective enjoyment of economic, social and cultural rights</w:t>
      </w:r>
      <w:r>
        <w:t xml:space="preserve"> (see </w:t>
      </w:r>
      <w:r w:rsidRPr="0008396E">
        <w:rPr>
          <w:szCs w:val="18"/>
        </w:rPr>
        <w:t>E/C.12/1/Add.100, para. 9)</w:t>
      </w:r>
      <w:r>
        <w:t>.</w:t>
      </w:r>
    </w:p>
    <w:p w14:paraId="0148C5D7" w14:textId="77777777" w:rsidR="0066100D" w:rsidRPr="004B3FC4" w:rsidRDefault="0066100D" w:rsidP="0066100D">
      <w:pPr>
        <w:pStyle w:val="SingleTxtG"/>
      </w:pPr>
      <w:r>
        <w:t>71.</w:t>
      </w:r>
      <w:r>
        <w:tab/>
      </w:r>
      <w:r w:rsidRPr="00B94680">
        <w:t>The case of Malawi may be extreme</w:t>
      </w:r>
      <w:r>
        <w:t>,</w:t>
      </w:r>
      <w:r w:rsidRPr="00B94680">
        <w:t xml:space="preserve"> but </w:t>
      </w:r>
      <w:r>
        <w:t xml:space="preserve">it </w:t>
      </w:r>
      <w:r w:rsidRPr="00B94680">
        <w:t xml:space="preserve">shows how debt repayment </w:t>
      </w:r>
      <w:r>
        <w:t>affe</w:t>
      </w:r>
      <w:r w:rsidRPr="00B94680">
        <w:t xml:space="preserve">cted the country’s capacity to create </w:t>
      </w:r>
      <w:r>
        <w:t xml:space="preserve">the </w:t>
      </w:r>
      <w:r w:rsidRPr="00B94680">
        <w:t xml:space="preserve">necessary conditions for the realization of economic and social rights. In 2002, the Government decided to sell the maize from its </w:t>
      </w:r>
      <w:r>
        <w:t>n</w:t>
      </w:r>
      <w:r w:rsidRPr="00B94680">
        <w:t>ational</w:t>
      </w:r>
      <w:r>
        <w:t xml:space="preserve"> f</w:t>
      </w:r>
      <w:r w:rsidRPr="00B94680">
        <w:t xml:space="preserve">ood </w:t>
      </w:r>
      <w:r>
        <w:t>r</w:t>
      </w:r>
      <w:r w:rsidRPr="00B94680">
        <w:t xml:space="preserve">eserve </w:t>
      </w:r>
      <w:r>
        <w:t>a</w:t>
      </w:r>
      <w:r w:rsidRPr="00B94680">
        <w:t>gency with the aim of raisin</w:t>
      </w:r>
      <w:r>
        <w:t>g</w:t>
      </w:r>
      <w:r w:rsidRPr="00B94680">
        <w:t xml:space="preserve"> funds to repay loans. Following a poor harvest that year, 7 million</w:t>
      </w:r>
      <w:r>
        <w:t xml:space="preserve"> people,</w:t>
      </w:r>
      <w:r w:rsidRPr="00B94680">
        <w:t xml:space="preserve"> of a population of 11 million</w:t>
      </w:r>
      <w:r>
        <w:t>,</w:t>
      </w:r>
      <w:r w:rsidRPr="00B94680">
        <w:t xml:space="preserve"> were left facing a serious food shortage</w:t>
      </w:r>
      <w:r>
        <w:t xml:space="preserve"> (see </w:t>
      </w:r>
      <w:r w:rsidRPr="002D04A7">
        <w:rPr>
          <w:szCs w:val="18"/>
        </w:rPr>
        <w:t xml:space="preserve">A/HRC/11/10, para. </w:t>
      </w:r>
      <w:r w:rsidRPr="00CE7C8F">
        <w:rPr>
          <w:szCs w:val="18"/>
        </w:rPr>
        <w:t>30</w:t>
      </w:r>
      <w:r>
        <w:rPr>
          <w:szCs w:val="18"/>
        </w:rPr>
        <w:t>)</w:t>
      </w:r>
      <w:r w:rsidRPr="00B94680">
        <w:t>.</w:t>
      </w:r>
    </w:p>
    <w:p w14:paraId="5FDA875F" w14:textId="77777777" w:rsidR="0066100D" w:rsidRDefault="0066100D" w:rsidP="0066100D">
      <w:pPr>
        <w:pStyle w:val="H23G"/>
      </w:pPr>
      <w:r>
        <w:tab/>
      </w:r>
      <w:r>
        <w:tab/>
      </w:r>
      <w:r w:rsidRPr="003048B8">
        <w:t xml:space="preserve">Activities of vulture funds jeopardize </w:t>
      </w:r>
      <w:r w:rsidRPr="0008396E">
        <w:t>international poverty reduction initiatives</w:t>
      </w:r>
      <w:r>
        <w:t xml:space="preserve"> </w:t>
      </w:r>
    </w:p>
    <w:p w14:paraId="5D881F2D" w14:textId="77777777" w:rsidR="0066100D" w:rsidRPr="0008396E" w:rsidRDefault="0066100D" w:rsidP="0066100D">
      <w:pPr>
        <w:pStyle w:val="SingleTxtG"/>
        <w:rPr>
          <w:bCs/>
          <w:highlight w:val="yellow"/>
        </w:rPr>
      </w:pPr>
      <w:r>
        <w:t>72.</w:t>
      </w:r>
      <w:r>
        <w:tab/>
      </w:r>
      <w:r w:rsidRPr="00B94680">
        <w:t xml:space="preserve">The ability of </w:t>
      </w:r>
      <w:r>
        <w:t>vulture funds</w:t>
      </w:r>
      <w:r w:rsidRPr="00B94680">
        <w:t xml:space="preserve"> to jeopardize the objectives of the </w:t>
      </w:r>
      <w:r>
        <w:t>International Monetary Fund</w:t>
      </w:r>
      <w:r w:rsidRPr="00B94680">
        <w:t xml:space="preserve"> and </w:t>
      </w:r>
      <w:r>
        <w:t xml:space="preserve">the </w:t>
      </w:r>
      <w:r w:rsidRPr="00B94680">
        <w:t>World Bank HIPC</w:t>
      </w:r>
      <w:r>
        <w:t xml:space="preserve"> Initiative</w:t>
      </w:r>
      <w:r w:rsidRPr="00B94680">
        <w:t xml:space="preserve"> is striking</w:t>
      </w:r>
      <w:r>
        <w:t>, particularly bearing in mind that it aims at</w:t>
      </w:r>
      <w:r w:rsidRPr="00B94680">
        <w:t xml:space="preserve"> ensur</w:t>
      </w:r>
      <w:r>
        <w:t>ing</w:t>
      </w:r>
      <w:r w:rsidRPr="00B94680">
        <w:t xml:space="preserve"> </w:t>
      </w:r>
      <w:r>
        <w:t xml:space="preserve">the </w:t>
      </w:r>
      <w:r w:rsidRPr="00B94680">
        <w:t>debt sustainability of poor countries</w:t>
      </w:r>
      <w:r>
        <w:t>.</w:t>
      </w:r>
      <w:r>
        <w:rPr>
          <w:rStyle w:val="FootnoteReference"/>
        </w:rPr>
        <w:footnoteReference w:id="83"/>
      </w:r>
      <w:r w:rsidRPr="00B94680">
        <w:t xml:space="preserve"> In a number of cases</w:t>
      </w:r>
      <w:r>
        <w:t>,</w:t>
      </w:r>
      <w:r w:rsidRPr="00B94680">
        <w:t xml:space="preserve"> it </w:t>
      </w:r>
      <w:r>
        <w:t>has been</w:t>
      </w:r>
      <w:r w:rsidRPr="00B94680">
        <w:t xml:space="preserve"> </w:t>
      </w:r>
      <w:r>
        <w:t>clearly</w:t>
      </w:r>
      <w:r w:rsidRPr="00B94680">
        <w:t xml:space="preserve"> demonstrated </w:t>
      </w:r>
      <w:r>
        <w:t>that</w:t>
      </w:r>
      <w:r w:rsidRPr="00B94680">
        <w:t xml:space="preserve"> resources freed up for development and poverty reduction programmes were used to service debt </w:t>
      </w:r>
      <w:r>
        <w:t>owed to</w:t>
      </w:r>
      <w:r w:rsidRPr="00B94680">
        <w:t xml:space="preserve"> </w:t>
      </w:r>
      <w:r>
        <w:t>vulture funds</w:t>
      </w:r>
      <w:r w:rsidRPr="00B94680">
        <w:t>.</w:t>
      </w:r>
      <w:r>
        <w:t xml:space="preserve"> This situation has led human rights monitoring bodies to urge the concerned State </w:t>
      </w:r>
      <w:r w:rsidRPr="0008396E">
        <w:t xml:space="preserve">to reallocate international development aid and other resources to priority sectors and </w:t>
      </w:r>
      <w:r>
        <w:t xml:space="preserve">to </w:t>
      </w:r>
      <w:r w:rsidRPr="0008396E">
        <w:t xml:space="preserve">ensure that international development aid is utilized for the progressive realization of the rights to an adequate standard of living </w:t>
      </w:r>
      <w:r>
        <w:t xml:space="preserve">see </w:t>
      </w:r>
      <w:r w:rsidRPr="0008396E">
        <w:t>(</w:t>
      </w:r>
      <w:r>
        <w:t xml:space="preserve">see </w:t>
      </w:r>
      <w:r>
        <w:rPr>
          <w:snapToGrid w:val="0"/>
          <w:lang w:val="en-US"/>
        </w:rPr>
        <w:t>E/C.12/COD/</w:t>
      </w:r>
      <w:r w:rsidRPr="00407C0F">
        <w:rPr>
          <w:snapToGrid w:val="0"/>
          <w:lang w:val="en-US"/>
        </w:rPr>
        <w:t>CO/4</w:t>
      </w:r>
      <w:r w:rsidRPr="0008396E">
        <w:rPr>
          <w:rFonts w:eastAsia="SimSun"/>
          <w:bCs/>
          <w:lang w:val="en-US" w:eastAsia="zh-CN"/>
        </w:rPr>
        <w:t>, para. 29</w:t>
      </w:r>
      <w:r w:rsidRPr="0008396E">
        <w:rPr>
          <w:rFonts w:eastAsia="SimSun"/>
          <w:bCs/>
          <w:lang w:eastAsia="zh-CN"/>
        </w:rPr>
        <w:t>)</w:t>
      </w:r>
      <w:r>
        <w:rPr>
          <w:rFonts w:eastAsia="SimSun"/>
          <w:bCs/>
          <w:lang w:eastAsia="zh-CN"/>
        </w:rPr>
        <w:t>.</w:t>
      </w:r>
    </w:p>
    <w:p w14:paraId="4A20FA95" w14:textId="77777777" w:rsidR="0066100D" w:rsidRPr="00B94680" w:rsidRDefault="0066100D" w:rsidP="0066100D">
      <w:pPr>
        <w:pStyle w:val="SingleTxtG"/>
      </w:pPr>
      <w:r>
        <w:t>73.</w:t>
      </w:r>
      <w:r>
        <w:tab/>
        <w:t>A good</w:t>
      </w:r>
      <w:r w:rsidRPr="00B94680">
        <w:t xml:space="preserve"> example</w:t>
      </w:r>
      <w:r>
        <w:t xml:space="preserve"> is the case of the</w:t>
      </w:r>
      <w:r w:rsidRPr="00B94680">
        <w:t xml:space="preserve"> Democratic Republic of the Congo</w:t>
      </w:r>
      <w:r>
        <w:t>.</w:t>
      </w:r>
      <w:r w:rsidRPr="00B94680">
        <w:t xml:space="preserve"> </w:t>
      </w:r>
      <w:r>
        <w:t>A</w:t>
      </w:r>
      <w:r w:rsidRPr="00B94680">
        <w:t xml:space="preserve"> </w:t>
      </w:r>
      <w:r>
        <w:t>D</w:t>
      </w:r>
      <w:r w:rsidRPr="00B94680">
        <w:t xml:space="preserve">istrict </w:t>
      </w:r>
      <w:r>
        <w:t>C</w:t>
      </w:r>
      <w:r w:rsidRPr="00B94680">
        <w:t xml:space="preserve">ourt </w:t>
      </w:r>
      <w:r>
        <w:t xml:space="preserve">in the United States </w:t>
      </w:r>
      <w:r w:rsidRPr="00B94680">
        <w:t xml:space="preserve">ruled in 2014 that </w:t>
      </w:r>
      <w:r>
        <w:t>it had to</w:t>
      </w:r>
      <w:r w:rsidRPr="00B94680">
        <w:t xml:space="preserve"> pay nearly $70 million to a vulture fund for an $18 million debt acquired in 2008, dating back to the regime of former dictator Mobutu </w:t>
      </w:r>
      <w:r>
        <w:t xml:space="preserve">Sese Seko </w:t>
      </w:r>
      <w:r w:rsidRPr="00B94680">
        <w:t xml:space="preserve">in the </w:t>
      </w:r>
      <w:r>
        <w:t>19</w:t>
      </w:r>
      <w:r w:rsidRPr="00B94680">
        <w:t>80s.</w:t>
      </w:r>
      <w:r w:rsidRPr="0008396E">
        <w:rPr>
          <w:rStyle w:val="FootnoteReference"/>
        </w:rPr>
        <w:footnoteReference w:id="84"/>
      </w:r>
      <w:r w:rsidRPr="00B94680">
        <w:rPr>
          <w:vertAlign w:val="superscript"/>
        </w:rPr>
        <w:t xml:space="preserve"> </w:t>
      </w:r>
      <w:r w:rsidRPr="00B94680">
        <w:t>On the basis of the improved fiscal situation resulting from international debt reduction programmes</w:t>
      </w:r>
      <w:r>
        <w:t>,</w:t>
      </w:r>
      <w:r w:rsidRPr="00B94680">
        <w:t xml:space="preserve"> the country was ordered to pay the claims of the hedge funds. </w:t>
      </w:r>
      <w:r>
        <w:t xml:space="preserve">This example shows how domestic rulings can </w:t>
      </w:r>
      <w:r w:rsidRPr="00B94680">
        <w:t xml:space="preserve">clearly undermine the intent of the HIPC </w:t>
      </w:r>
      <w:r>
        <w:t>I</w:t>
      </w:r>
      <w:r w:rsidRPr="00B94680">
        <w:t>nitiative</w:t>
      </w:r>
      <w:r>
        <w:t>,</w:t>
      </w:r>
      <w:r w:rsidRPr="00B94680">
        <w:t xml:space="preserve"> </w:t>
      </w:r>
      <w:r>
        <w:t>which</w:t>
      </w:r>
      <w:r w:rsidRPr="00B94680">
        <w:t xml:space="preserve"> </w:t>
      </w:r>
      <w:r>
        <w:t xml:space="preserve">is often </w:t>
      </w:r>
      <w:r w:rsidRPr="00B94680">
        <w:t xml:space="preserve">not taken into account </w:t>
      </w:r>
      <w:r>
        <w:t>by</w:t>
      </w:r>
      <w:r w:rsidRPr="00B94680">
        <w:t xml:space="preserve"> national courts.</w:t>
      </w:r>
      <w:r w:rsidRPr="0008396E">
        <w:rPr>
          <w:rStyle w:val="FootnoteReference"/>
        </w:rPr>
        <w:footnoteReference w:id="85"/>
      </w:r>
      <w:r w:rsidRPr="00B94680">
        <w:rPr>
          <w:vertAlign w:val="superscript"/>
        </w:rPr>
        <w:t xml:space="preserve"> </w:t>
      </w:r>
    </w:p>
    <w:p w14:paraId="6E39FBEB" w14:textId="77777777" w:rsidR="0066100D" w:rsidRPr="00B94680" w:rsidRDefault="0066100D" w:rsidP="0066100D">
      <w:pPr>
        <w:pStyle w:val="SingleTxtG"/>
      </w:pPr>
      <w:r>
        <w:t>74.</w:t>
      </w:r>
      <w:r>
        <w:tab/>
      </w:r>
      <w:r w:rsidRPr="00B94680">
        <w:t>This is not an isolated case</w:t>
      </w:r>
      <w:r>
        <w:t>, however</w:t>
      </w:r>
      <w:r w:rsidRPr="00B94680">
        <w:t>. In 2013, the World Bank and IMF reported that commercial litigation was ongoing against eight HIPC</w:t>
      </w:r>
      <w:r>
        <w:t xml:space="preserve"> countries</w:t>
      </w:r>
      <w:r w:rsidRPr="00B94680">
        <w:t>. The report highlighted that such legal struggles not only ha</w:t>
      </w:r>
      <w:r>
        <w:t>d</w:t>
      </w:r>
      <w:r w:rsidRPr="00B94680">
        <w:t xml:space="preserve"> adverse financial consequences for the poorest countries, but also </w:t>
      </w:r>
      <w:r>
        <w:t>took</w:t>
      </w:r>
      <w:r w:rsidRPr="00B94680">
        <w:t xml:space="preserve"> up considerable time and resources of debtor</w:t>
      </w:r>
      <w:r>
        <w:t xml:space="preserve"> </w:t>
      </w:r>
      <w:r w:rsidRPr="00B94680">
        <w:t>government authorities.</w:t>
      </w:r>
      <w:r w:rsidRPr="0008396E">
        <w:rPr>
          <w:rStyle w:val="FootnoteReference"/>
        </w:rPr>
        <w:footnoteReference w:id="86"/>
      </w:r>
      <w:r w:rsidRPr="00B94680">
        <w:rPr>
          <w:vertAlign w:val="superscript"/>
        </w:rPr>
        <w:t xml:space="preserve"> </w:t>
      </w:r>
    </w:p>
    <w:p w14:paraId="418265C0" w14:textId="77777777" w:rsidR="0066100D" w:rsidRDefault="0066100D" w:rsidP="0066100D">
      <w:pPr>
        <w:pStyle w:val="SingleTxtG"/>
        <w:rPr>
          <w:vertAlign w:val="superscript"/>
        </w:rPr>
      </w:pPr>
      <w:r>
        <w:t>75.</w:t>
      </w:r>
      <w:r>
        <w:tab/>
      </w:r>
      <w:r w:rsidRPr="00B94680">
        <w:t xml:space="preserve">Thus, under present circumstances, funds obtained </w:t>
      </w:r>
      <w:r>
        <w:t xml:space="preserve">by the poorest countries </w:t>
      </w:r>
      <w:r w:rsidRPr="00B94680">
        <w:t>from debt relief may</w:t>
      </w:r>
      <w:r w:rsidRPr="00E4092A">
        <w:t xml:space="preserve"> </w:t>
      </w:r>
      <w:r w:rsidRPr="00B94680">
        <w:t xml:space="preserve">easily be channelled to repay an outstanding loan </w:t>
      </w:r>
      <w:r>
        <w:t>pursuant to</w:t>
      </w:r>
      <w:r w:rsidRPr="00B94680">
        <w:t xml:space="preserve"> court rulings. As a result</w:t>
      </w:r>
      <w:r>
        <w:t xml:space="preserve"> of aggressive, disruptive litigation, a debtor State may be forced to divert</w:t>
      </w:r>
      <w:r w:rsidRPr="00B94680">
        <w:t xml:space="preserve"> money earmarked for poverty reduction and basic social services, such as health and education, to settling the substantial claims of </w:t>
      </w:r>
      <w:r>
        <w:t>vulture funds.</w:t>
      </w:r>
      <w:r w:rsidRPr="0008396E">
        <w:rPr>
          <w:rStyle w:val="FootnoteReference"/>
        </w:rPr>
        <w:footnoteReference w:id="87"/>
      </w:r>
    </w:p>
    <w:p w14:paraId="4286487F" w14:textId="77777777" w:rsidR="0066100D" w:rsidRDefault="0066100D" w:rsidP="0066100D">
      <w:pPr>
        <w:pStyle w:val="H23G"/>
      </w:pPr>
      <w:r>
        <w:tab/>
      </w:r>
      <w:r>
        <w:tab/>
      </w:r>
      <w:r w:rsidRPr="003048B8">
        <w:t>Activities of vulture funds contribute to increased debt service</w:t>
      </w:r>
    </w:p>
    <w:p w14:paraId="3498107F" w14:textId="77777777" w:rsidR="0066100D" w:rsidRDefault="0066100D" w:rsidP="0066100D">
      <w:pPr>
        <w:pStyle w:val="SingleTxtG"/>
      </w:pPr>
      <w:r>
        <w:t>76.</w:t>
      </w:r>
      <w:r>
        <w:tab/>
        <w:t>Debt burden adversely affects the protection of economic and social rights not only because of the diversion of funds from social purposes to debt servicing,</w:t>
      </w:r>
      <w:r w:rsidRPr="0008396E">
        <w:rPr>
          <w:rStyle w:val="FootnoteReference"/>
        </w:rPr>
        <w:footnoteReference w:id="88"/>
      </w:r>
      <w:r>
        <w:t xml:space="preserve"> but also because of the situation of dependency in which it puts the debtor States. It has been observed that </w:t>
      </w:r>
      <w:r>
        <w:lastRenderedPageBreak/>
        <w:t>such dependency “might result in a factual loss of sovereignty over their economic and social policies and in the imposition of policies with potentially negative consequences for the protection of social rights”.</w:t>
      </w:r>
      <w:r>
        <w:rPr>
          <w:rStyle w:val="FootnoteReference"/>
        </w:rPr>
        <w:footnoteReference w:id="89"/>
      </w:r>
    </w:p>
    <w:p w14:paraId="48BDA23E" w14:textId="77777777" w:rsidR="0066100D" w:rsidRPr="00B94680" w:rsidRDefault="0066100D" w:rsidP="0066100D">
      <w:pPr>
        <w:pStyle w:val="SingleTxtG"/>
      </w:pPr>
      <w:r>
        <w:t>77.</w:t>
      </w:r>
      <w:r>
        <w:tab/>
        <w:t>Against this background, a</w:t>
      </w:r>
      <w:r w:rsidRPr="00B94680">
        <w:t xml:space="preserve"> reduction in debt service and debt cancellation </w:t>
      </w:r>
      <w:r>
        <w:t>can</w:t>
      </w:r>
      <w:r w:rsidRPr="00B94680">
        <w:t xml:space="preserve"> effectively create the conditions necessary for the realization of economic, social and cultural rights. </w:t>
      </w:r>
      <w:r>
        <w:t xml:space="preserve">Facts show that </w:t>
      </w:r>
      <w:r w:rsidRPr="00B94680">
        <w:t xml:space="preserve">such measures have allowed many countries to invest more in public services such as health care, education, water and sanitation and to abolish user fees for some of these services </w:t>
      </w:r>
      <w:r>
        <w:t xml:space="preserve">that were </w:t>
      </w:r>
      <w:r w:rsidRPr="00B94680">
        <w:t>previously introduced as part of austerity measures imposed by the international financial institutions.</w:t>
      </w:r>
      <w:r w:rsidRPr="0008396E">
        <w:rPr>
          <w:rStyle w:val="FootnoteReference"/>
        </w:rPr>
        <w:footnoteReference w:id="90"/>
      </w:r>
      <w:r>
        <w:t xml:space="preserve"> </w:t>
      </w:r>
      <w:r w:rsidRPr="00B94680">
        <w:t xml:space="preserve">However, it remains a controversial issue whether a State might be under an obligation not to repay its debt to </w:t>
      </w:r>
      <w:r>
        <w:t>vulture funds</w:t>
      </w:r>
      <w:r w:rsidRPr="00B94680">
        <w:t xml:space="preserve"> if it can do so only at the expense of neglecting the basic social needs of its people</w:t>
      </w:r>
      <w:r>
        <w:t xml:space="preserve">. </w:t>
      </w:r>
    </w:p>
    <w:p w14:paraId="2E05F0A7" w14:textId="77777777" w:rsidR="0066100D" w:rsidRDefault="0066100D" w:rsidP="0066100D">
      <w:pPr>
        <w:pStyle w:val="SingleTxtG"/>
      </w:pPr>
      <w:r>
        <w:t>78.</w:t>
      </w:r>
      <w:r>
        <w:tab/>
        <w:t>U</w:t>
      </w:r>
      <w:r w:rsidRPr="00B94680">
        <w:t>nder present circumstances, debtor States often have little choice but to prioritize their contractual</w:t>
      </w:r>
      <w:r>
        <w:t xml:space="preserve"> debt</w:t>
      </w:r>
      <w:r w:rsidRPr="00B94680">
        <w:t xml:space="preserve"> obligations, contrary to what human rights law would require. </w:t>
      </w:r>
      <w:r>
        <w:t>This suggests that a</w:t>
      </w:r>
      <w:r w:rsidRPr="00B94680">
        <w:t xml:space="preserve"> more human rights-centred approach is </w:t>
      </w:r>
      <w:r>
        <w:t>needed</w:t>
      </w:r>
      <w:r w:rsidRPr="00B94680">
        <w:t xml:space="preserve">. </w:t>
      </w:r>
      <w:r>
        <w:t xml:space="preserve">A </w:t>
      </w:r>
      <w:r w:rsidRPr="00B94680">
        <w:t>State</w:t>
      </w:r>
      <w:r>
        <w:t>’</w:t>
      </w:r>
      <w:r w:rsidRPr="00B94680">
        <w:t xml:space="preserve">s </w:t>
      </w:r>
      <w:r>
        <w:t>obligation</w:t>
      </w:r>
      <w:r w:rsidRPr="00B94680">
        <w:t xml:space="preserve"> </w:t>
      </w:r>
      <w:r>
        <w:t>to</w:t>
      </w:r>
      <w:r w:rsidRPr="00B94680">
        <w:t xml:space="preserve"> ensur</w:t>
      </w:r>
      <w:r>
        <w:t>e</w:t>
      </w:r>
      <w:r w:rsidRPr="00B94680">
        <w:t xml:space="preserve"> the enjoyment of at least the minimum core of economic and social rights should take priority over </w:t>
      </w:r>
      <w:r>
        <w:t>its</w:t>
      </w:r>
      <w:r w:rsidRPr="00B94680">
        <w:t xml:space="preserve"> debt service obligations, particularly when such payments further limit the country’s ability to fulfil its human rights obligations</w:t>
      </w:r>
      <w:r>
        <w:t xml:space="preserve"> </w:t>
      </w:r>
      <w:r w:rsidRPr="00407C0F">
        <w:t>(</w:t>
      </w:r>
      <w:r>
        <w:t xml:space="preserve">see </w:t>
      </w:r>
      <w:r w:rsidRPr="0008396E">
        <w:t xml:space="preserve">E/C.12/GRC/CO/2, para.8). </w:t>
      </w:r>
      <w:r>
        <w:t xml:space="preserve">This is particularly the case when increased debt service is derived from harmful conditions linked to speculative claims that further limit the country’s ability to fulfil its human rights obligations. </w:t>
      </w:r>
    </w:p>
    <w:p w14:paraId="34EDFF20" w14:textId="77777777" w:rsidR="0066100D" w:rsidRPr="009A13AE" w:rsidRDefault="0066100D" w:rsidP="0066100D">
      <w:pPr>
        <w:pStyle w:val="SingleTxtG"/>
      </w:pPr>
      <w:r>
        <w:t>79.</w:t>
      </w:r>
      <w:r>
        <w:tab/>
      </w:r>
      <w:r w:rsidRPr="0008396E">
        <w:t xml:space="preserve">It is </w:t>
      </w:r>
      <w:r>
        <w:t xml:space="preserve">then </w:t>
      </w:r>
      <w:r w:rsidRPr="0008396E">
        <w:t xml:space="preserve">a logical consequence of the evolution of human </w:t>
      </w:r>
      <w:r w:rsidRPr="005F40A1">
        <w:t>rights</w:t>
      </w:r>
      <w:r w:rsidRPr="0008396E">
        <w:t xml:space="preserve"> law that a State cannot </w:t>
      </w:r>
      <w:r w:rsidRPr="005F40A1">
        <w:t>decide</w:t>
      </w:r>
      <w:r w:rsidRPr="0008396E">
        <w:t xml:space="preserve"> to service debt at the expense of meeting its human rights obligations </w:t>
      </w:r>
      <w:r w:rsidRPr="00407C0F">
        <w:t>(</w:t>
      </w:r>
      <w:r>
        <w:t>s</w:t>
      </w:r>
      <w:r w:rsidRPr="00407C0F">
        <w:t>ee A/70/275)</w:t>
      </w:r>
      <w:r>
        <w:t xml:space="preserve">. </w:t>
      </w:r>
      <w:r w:rsidRPr="00B94680">
        <w:t xml:space="preserve">Sovereign debt workouts must not lead to violations of economic or social rights or prevent the attainment of internationally agreed development goals. </w:t>
      </w:r>
      <w:r>
        <w:t>The United Nation Conference on Trade and Development (UNCTAD) has</w:t>
      </w:r>
      <w:r w:rsidRPr="00B94680">
        <w:t xml:space="preserve"> observed</w:t>
      </w:r>
      <w:r>
        <w:t xml:space="preserve"> in this regard that</w:t>
      </w:r>
      <w:r w:rsidRPr="00B94680">
        <w:t xml:space="preserve"> “full debt sustainability is only achieved when debt service does not entail intolerable sacrifices for the well-being of society</w:t>
      </w:r>
      <w:r>
        <w:t>”.</w:t>
      </w:r>
      <w:r w:rsidRPr="0008396E">
        <w:rPr>
          <w:rStyle w:val="FootnoteReference"/>
        </w:rPr>
        <w:footnoteReference w:id="91"/>
      </w:r>
    </w:p>
    <w:p w14:paraId="29613AE7" w14:textId="77777777" w:rsidR="0066100D" w:rsidRPr="0008396E" w:rsidRDefault="0066100D" w:rsidP="0066100D">
      <w:pPr>
        <w:pStyle w:val="H23G"/>
      </w:pPr>
      <w:r>
        <w:tab/>
      </w:r>
      <w:r>
        <w:tab/>
      </w:r>
      <w:r w:rsidRPr="003048B8">
        <w:t>Activities of vult</w:t>
      </w:r>
      <w:r w:rsidRPr="0008396E">
        <w:t xml:space="preserve">ure funds undermine the realization of the Sustainable Development Goals </w:t>
      </w:r>
    </w:p>
    <w:p w14:paraId="121D8650" w14:textId="77777777" w:rsidR="0066100D" w:rsidRPr="00B94680" w:rsidRDefault="0066100D" w:rsidP="0066100D">
      <w:pPr>
        <w:pStyle w:val="SingleTxtG"/>
      </w:pPr>
      <w:r>
        <w:t>80.</w:t>
      </w:r>
      <w:r>
        <w:tab/>
      </w:r>
      <w:r w:rsidRPr="00B94680">
        <w:t xml:space="preserve">Lawsuits brought by </w:t>
      </w:r>
      <w:r>
        <w:t>vulture funds</w:t>
      </w:r>
      <w:r w:rsidRPr="00B94680">
        <w:t xml:space="preserve"> may slow down the progress made by both developed and developing countries in realizing the</w:t>
      </w:r>
      <w:r>
        <w:t xml:space="preserve"> Sustainable Development G</w:t>
      </w:r>
      <w:r w:rsidRPr="00B94680">
        <w:t xml:space="preserve">oals, in spite of strong support from the international financial institutions. Particularly relevant in this context is </w:t>
      </w:r>
      <w:r>
        <w:t>goal</w:t>
      </w:r>
      <w:r w:rsidRPr="00B94680">
        <w:t xml:space="preserve"> 17: “Strengthen the means of implementation and revitalize the </w:t>
      </w:r>
      <w:r>
        <w:t>G</w:t>
      </w:r>
      <w:r w:rsidRPr="00B94680">
        <w:t xml:space="preserve">lobal </w:t>
      </w:r>
      <w:r>
        <w:t>P</w:t>
      </w:r>
      <w:r w:rsidRPr="00B94680">
        <w:t xml:space="preserve">artnership for </w:t>
      </w:r>
      <w:r>
        <w:t>S</w:t>
      </w:r>
      <w:r w:rsidRPr="00B94680">
        <w:t xml:space="preserve">ustainable </w:t>
      </w:r>
      <w:r>
        <w:t>D</w:t>
      </w:r>
      <w:r w:rsidRPr="00B94680">
        <w:t>evelopment”. This goal targets assisting States in attaining long</w:t>
      </w:r>
      <w:r>
        <w:t>-</w:t>
      </w:r>
      <w:r w:rsidRPr="00B94680">
        <w:t>term debt sustainability through coordinated policies aimed at fostering debt financing, debt relief and debt restructuring, as appropriate, and address</w:t>
      </w:r>
      <w:r>
        <w:t>ing</w:t>
      </w:r>
      <w:r w:rsidRPr="00B94680">
        <w:t xml:space="preserve"> the external debt of highly indebted poor countries to reduce debt distress.</w:t>
      </w:r>
      <w:r w:rsidRPr="00B94680">
        <w:rPr>
          <w:vertAlign w:val="superscript"/>
        </w:rPr>
        <w:t xml:space="preserve"> </w:t>
      </w:r>
    </w:p>
    <w:p w14:paraId="11B66F1A" w14:textId="77777777" w:rsidR="0066100D" w:rsidRPr="00B94680" w:rsidRDefault="0066100D" w:rsidP="0066100D">
      <w:pPr>
        <w:pStyle w:val="HChG"/>
      </w:pPr>
      <w:r w:rsidRPr="00B94680">
        <w:tab/>
        <w:t>IX.</w:t>
      </w:r>
      <w:r w:rsidRPr="00B94680">
        <w:tab/>
        <w:t>Strengthening a human rights-based approach</w:t>
      </w:r>
    </w:p>
    <w:p w14:paraId="1ED0E93A" w14:textId="77777777" w:rsidR="0066100D" w:rsidRPr="00B94680" w:rsidRDefault="0066100D" w:rsidP="0066100D">
      <w:pPr>
        <w:pStyle w:val="SingleTxtG"/>
      </w:pPr>
      <w:r>
        <w:t>81</w:t>
      </w:r>
      <w:r w:rsidRPr="00B94680">
        <w:t>.</w:t>
      </w:r>
      <w:r w:rsidRPr="00B94680">
        <w:tab/>
      </w:r>
      <w:r>
        <w:t>Vulture funds</w:t>
      </w:r>
      <w:r w:rsidRPr="00B94680">
        <w:t xml:space="preserve"> take advantage of the lack of adequate regulation of </w:t>
      </w:r>
      <w:r>
        <w:t>a</w:t>
      </w:r>
      <w:r w:rsidRPr="00B94680">
        <w:t xml:space="preserve"> financial system </w:t>
      </w:r>
      <w:r>
        <w:t xml:space="preserve">that has </w:t>
      </w:r>
      <w:r w:rsidRPr="00B94680">
        <w:t xml:space="preserve">traditionally </w:t>
      </w:r>
      <w:r>
        <w:t xml:space="preserve">been </w:t>
      </w:r>
      <w:r w:rsidRPr="00B94680">
        <w:t>based on purely commercial interests and foreign to human rights-based approaches and concerns. Though relevant actions have been undertaken in previous years</w:t>
      </w:r>
      <w:r>
        <w:t>,</w:t>
      </w:r>
      <w:r w:rsidRPr="00B94680">
        <w:t xml:space="preserve"> and </w:t>
      </w:r>
      <w:r>
        <w:t xml:space="preserve">though </w:t>
      </w:r>
      <w:r w:rsidRPr="00B94680">
        <w:t xml:space="preserve">human rights monitoring bodies have provided some valuable guidance </w:t>
      </w:r>
      <w:r>
        <w:t>in striking</w:t>
      </w:r>
      <w:r w:rsidRPr="00B94680">
        <w:t xml:space="preserve"> a </w:t>
      </w:r>
      <w:r>
        <w:t xml:space="preserve">better </w:t>
      </w:r>
      <w:r w:rsidRPr="00B94680">
        <w:t xml:space="preserve">balance between the different interests at stake, human rights should be further mainstreamed in this context. </w:t>
      </w:r>
    </w:p>
    <w:p w14:paraId="4F901310" w14:textId="77777777" w:rsidR="0066100D" w:rsidRPr="00B94680" w:rsidRDefault="0066100D" w:rsidP="0066100D">
      <w:pPr>
        <w:pStyle w:val="SingleTxtG"/>
      </w:pPr>
      <w:r>
        <w:lastRenderedPageBreak/>
        <w:t>82</w:t>
      </w:r>
      <w:r w:rsidRPr="00B94680">
        <w:t>.</w:t>
      </w:r>
      <w:r w:rsidRPr="00B94680">
        <w:tab/>
        <w:t>The international community should work to provide the basis for shaping a more coherent framework where both commercial interests and human rights concerns are accommodated. In this context, the interlinkages between an enhanced capacity of States to fulfil economic, social and cultural rights and sustainable development should be strengthened.</w:t>
      </w:r>
      <w:r w:rsidRPr="0008396E">
        <w:rPr>
          <w:rStyle w:val="FootnoteReference"/>
        </w:rPr>
        <w:footnoteReference w:id="92"/>
      </w:r>
      <w:r w:rsidRPr="00B94680">
        <w:t xml:space="preserve"> </w:t>
      </w:r>
    </w:p>
    <w:p w14:paraId="6538211B" w14:textId="77777777" w:rsidR="0066100D" w:rsidRPr="00B94680" w:rsidRDefault="0066100D" w:rsidP="0066100D">
      <w:pPr>
        <w:pStyle w:val="SingleTxtG"/>
      </w:pPr>
      <w:r>
        <w:t>83</w:t>
      </w:r>
      <w:r w:rsidRPr="00B94680">
        <w:t>.</w:t>
      </w:r>
      <w:r w:rsidRPr="00B94680">
        <w:tab/>
        <w:t>Human rights law provides a number of standards that are applicable in this context and provide</w:t>
      </w:r>
      <w:r>
        <w:t>s</w:t>
      </w:r>
      <w:r w:rsidRPr="00B94680">
        <w:t xml:space="preserve"> guidance to States, both individually and at the international level, on how to tackle the negative impact </w:t>
      </w:r>
      <w:r>
        <w:t xml:space="preserve">of the </w:t>
      </w:r>
      <w:r w:rsidRPr="00B94680">
        <w:t>activities</w:t>
      </w:r>
      <w:r>
        <w:t xml:space="preserve"> of vulture funds</w:t>
      </w:r>
      <w:r w:rsidRPr="00B94680">
        <w:t xml:space="preserve"> on the full enjoyment of human rights </w:t>
      </w:r>
      <w:r>
        <w:t xml:space="preserve">and </w:t>
      </w:r>
      <w:r w:rsidRPr="00B94680">
        <w:t>the right to development</w:t>
      </w:r>
      <w:r>
        <w:t>.</w:t>
      </w:r>
      <w:r w:rsidRPr="00B94680">
        <w:t xml:space="preserve"> </w:t>
      </w:r>
    </w:p>
    <w:p w14:paraId="355AEFE9" w14:textId="77777777" w:rsidR="0066100D" w:rsidRPr="00B94680" w:rsidRDefault="0066100D" w:rsidP="0066100D">
      <w:pPr>
        <w:pStyle w:val="H23G"/>
      </w:pPr>
      <w:r w:rsidRPr="00B94680">
        <w:tab/>
      </w:r>
      <w:r w:rsidRPr="00B94680">
        <w:tab/>
        <w:t xml:space="preserve">At </w:t>
      </w:r>
      <w:r>
        <w:t xml:space="preserve">the </w:t>
      </w:r>
      <w:r w:rsidRPr="00B94680">
        <w:t xml:space="preserve">international level </w:t>
      </w:r>
    </w:p>
    <w:p w14:paraId="7CB29515" w14:textId="77777777" w:rsidR="0066100D" w:rsidRPr="00B94680" w:rsidRDefault="0066100D" w:rsidP="0066100D">
      <w:pPr>
        <w:pStyle w:val="SingleTxtG"/>
      </w:pPr>
      <w:r>
        <w:t>84</w:t>
      </w:r>
      <w:r w:rsidRPr="00B94680">
        <w:t>.</w:t>
      </w:r>
      <w:r w:rsidRPr="00B94680">
        <w:tab/>
        <w:t xml:space="preserve">The adverse impact of </w:t>
      </w:r>
      <w:r>
        <w:t>the activities of vulture funds</w:t>
      </w:r>
      <w:r w:rsidRPr="00B94680">
        <w:t xml:space="preserve"> on human rights cannot be effectively addressed in an isolated or partial manner. States are expected to cooperate in good faith in the process leading to the establishment of an international mechanism for sovereign debt restructuring. In this context, they should ensure that the obligation to service the</w:t>
      </w:r>
      <w:r>
        <w:t>ir</w:t>
      </w:r>
      <w:r w:rsidRPr="00B94680">
        <w:t xml:space="preserve"> debt does not </w:t>
      </w:r>
      <w:r>
        <w:t xml:space="preserve">lead them to </w:t>
      </w:r>
      <w:r w:rsidRPr="00B94680">
        <w:t>derogate from their minimum core obligations with respect to economic and social rights.</w:t>
      </w:r>
      <w:r w:rsidRPr="0008396E">
        <w:rPr>
          <w:rStyle w:val="FootnoteReference"/>
        </w:rPr>
        <w:footnoteReference w:id="93"/>
      </w:r>
      <w:r w:rsidRPr="00B94680">
        <w:t xml:space="preserve"> Restructuring processes should aim at reaching an agreement that enables States to service their debts without compromising their capacity to fulfil their human rights obligations.</w:t>
      </w:r>
      <w:r w:rsidRPr="0008396E">
        <w:rPr>
          <w:rStyle w:val="FootnoteReference"/>
        </w:rPr>
        <w:footnoteReference w:id="94"/>
      </w:r>
    </w:p>
    <w:p w14:paraId="6A0E45DB" w14:textId="77777777" w:rsidR="0066100D" w:rsidRPr="00B94680" w:rsidRDefault="0066100D" w:rsidP="0066100D">
      <w:pPr>
        <w:pStyle w:val="H23G"/>
      </w:pPr>
      <w:r w:rsidRPr="00B94680">
        <w:tab/>
      </w:r>
      <w:r w:rsidRPr="00B94680">
        <w:tab/>
        <w:t xml:space="preserve">At national level </w:t>
      </w:r>
    </w:p>
    <w:p w14:paraId="409ACCE2" w14:textId="77777777" w:rsidR="0066100D" w:rsidRPr="0008396E" w:rsidRDefault="0066100D" w:rsidP="0066100D">
      <w:pPr>
        <w:pStyle w:val="SingleTxtG"/>
        <w:rPr>
          <w:lang w:val="en-US"/>
        </w:rPr>
      </w:pPr>
      <w:r>
        <w:t>85</w:t>
      </w:r>
      <w:r w:rsidRPr="00B94680">
        <w:t>.</w:t>
      </w:r>
      <w:r w:rsidRPr="00B94680">
        <w:tab/>
        <w:t>States should undertake concrete steps aimed at enacting human rights</w:t>
      </w:r>
      <w:r>
        <w:t>-</w:t>
      </w:r>
      <w:r w:rsidRPr="00B94680">
        <w:t xml:space="preserve">compliant national legal frameworks </w:t>
      </w:r>
      <w:r>
        <w:t>to regulate</w:t>
      </w:r>
      <w:r w:rsidRPr="00B94680">
        <w:t xml:space="preserve"> </w:t>
      </w:r>
      <w:r>
        <w:t>the activities of vulture funds</w:t>
      </w:r>
      <w:r w:rsidRPr="00B94680">
        <w:t xml:space="preserve"> </w:t>
      </w:r>
      <w:r>
        <w:t>that</w:t>
      </w:r>
      <w:r w:rsidRPr="00B94680">
        <w:t xml:space="preserve"> tak</w:t>
      </w:r>
      <w:r>
        <w:t>e</w:t>
      </w:r>
      <w:r w:rsidRPr="00B94680">
        <w:t xml:space="preserve"> place within their jurisdiction, particularly </w:t>
      </w:r>
      <w:r>
        <w:t>disruptive litigation</w:t>
      </w:r>
      <w:r w:rsidRPr="00B94680">
        <w:t xml:space="preserve"> </w:t>
      </w:r>
      <w:r>
        <w:t>concerning</w:t>
      </w:r>
      <w:r w:rsidRPr="00B94680">
        <w:t xml:space="preserve"> sovereign debt. National laws should expressly exclude the </w:t>
      </w:r>
      <w:r>
        <w:t>possibility</w:t>
      </w:r>
      <w:r w:rsidRPr="00B94680">
        <w:t xml:space="preserve"> of seizing development cooperation funds</w:t>
      </w:r>
      <w:r>
        <w:t>,</w:t>
      </w:r>
      <w:r w:rsidRPr="00B94680">
        <w:t xml:space="preserve"> as well as </w:t>
      </w:r>
      <w:r>
        <w:t xml:space="preserve">undertaking </w:t>
      </w:r>
      <w:r w:rsidRPr="00B94680">
        <w:t xml:space="preserve">litigation against States in debt distress. It is a good practice to limit the value of the claim to the discounted price originally paid by the creditor. In addition, States should ensure that </w:t>
      </w:r>
      <w:r>
        <w:t>vulture funds</w:t>
      </w:r>
      <w:r w:rsidRPr="00B94680">
        <w:t xml:space="preserve"> domiciled in their territory or operating in the</w:t>
      </w:r>
      <w:r>
        <w:t>ir</w:t>
      </w:r>
      <w:r w:rsidRPr="00B94680">
        <w:t xml:space="preserve"> jurisdiction respect human rights throughout their operations.</w:t>
      </w:r>
      <w:r w:rsidRPr="0008396E">
        <w:rPr>
          <w:rStyle w:val="FootnoteReference"/>
        </w:rPr>
        <w:footnoteReference w:id="95"/>
      </w:r>
      <w:r w:rsidRPr="00B94680">
        <w:t xml:space="preserve"> Domestic </w:t>
      </w:r>
      <w:r>
        <w:t>regulations</w:t>
      </w:r>
      <w:r w:rsidRPr="00B94680">
        <w:t xml:space="preserve"> should </w:t>
      </w:r>
      <w:r>
        <w:t xml:space="preserve">also </w:t>
      </w:r>
      <w:r w:rsidRPr="00B94680">
        <w:t>recognize States</w:t>
      </w:r>
      <w:r>
        <w:t>’</w:t>
      </w:r>
      <w:r w:rsidRPr="00B94680">
        <w:t xml:space="preserve"> </w:t>
      </w:r>
      <w:r>
        <w:t xml:space="preserve">extraterritorial </w:t>
      </w:r>
      <w:r w:rsidRPr="00B94680">
        <w:t>obligation to fulfil economic, social and cultural rights.</w:t>
      </w:r>
      <w:r w:rsidRPr="0008396E">
        <w:rPr>
          <w:rStyle w:val="FootnoteReference"/>
        </w:rPr>
        <w:footnoteReference w:id="96"/>
      </w:r>
    </w:p>
    <w:p w14:paraId="0DB2CA47" w14:textId="77777777" w:rsidR="0066100D" w:rsidRPr="00B94680" w:rsidRDefault="0066100D" w:rsidP="0066100D">
      <w:pPr>
        <w:pStyle w:val="SingleTxtG"/>
      </w:pPr>
      <w:r>
        <w:t>86.</w:t>
      </w:r>
      <w:r w:rsidRPr="00B94680">
        <w:tab/>
        <w:t xml:space="preserve">National laws should provide the basis for regulating the behaviour of abusive </w:t>
      </w:r>
      <w:r>
        <w:t xml:space="preserve">non-cooperative </w:t>
      </w:r>
      <w:r w:rsidRPr="00B94680">
        <w:t xml:space="preserve">creditors in restructuring processes by providing that they </w:t>
      </w:r>
      <w:r>
        <w:t>can</w:t>
      </w:r>
      <w:r w:rsidRPr="00B94680">
        <w:t>not enjoy better treatment than those that are acting in good faith</w:t>
      </w:r>
      <w:r>
        <w:t>.</w:t>
      </w:r>
      <w:r>
        <w:rPr>
          <w:rStyle w:val="FootnoteReference"/>
        </w:rPr>
        <w:footnoteReference w:id="97"/>
      </w:r>
      <w:r w:rsidRPr="00B94680">
        <w:t xml:space="preserve"> Guarantees should be provided that the amount of debt recoverable by </w:t>
      </w:r>
      <w:r>
        <w:t>a</w:t>
      </w:r>
      <w:r w:rsidRPr="00B94680">
        <w:t xml:space="preserve"> </w:t>
      </w:r>
      <w:r>
        <w:t>vulture fund</w:t>
      </w:r>
      <w:r w:rsidRPr="00B94680">
        <w:t xml:space="preserve"> </w:t>
      </w:r>
      <w:r>
        <w:t>can</w:t>
      </w:r>
      <w:r w:rsidRPr="00B94680">
        <w:t>not exceed that recovered by other</w:t>
      </w:r>
      <w:r>
        <w:t>,</w:t>
      </w:r>
      <w:r w:rsidRPr="00B94680">
        <w:t xml:space="preserve"> cooperative creditors.</w:t>
      </w:r>
      <w:r w:rsidRPr="0008396E">
        <w:rPr>
          <w:rStyle w:val="FootnoteReference"/>
        </w:rPr>
        <w:footnoteReference w:id="98"/>
      </w:r>
      <w:r w:rsidRPr="00B94680">
        <w:rPr>
          <w:vertAlign w:val="superscript"/>
        </w:rPr>
        <w:t xml:space="preserve"> </w:t>
      </w:r>
    </w:p>
    <w:p w14:paraId="1F06C6E8" w14:textId="77777777" w:rsidR="0066100D" w:rsidRPr="00B94680" w:rsidRDefault="0066100D" w:rsidP="0066100D">
      <w:pPr>
        <w:pStyle w:val="SingleTxtG"/>
      </w:pPr>
      <w:r>
        <w:t>87</w:t>
      </w:r>
      <w:r w:rsidRPr="00B94680">
        <w:t>.</w:t>
      </w:r>
      <w:r w:rsidRPr="00B94680">
        <w:tab/>
        <w:t>Steps should be taken to regulate the trade of sovereign debt on the secondary market and to guarantee transparency. In the absence of a</w:t>
      </w:r>
      <w:r>
        <w:t>n international</w:t>
      </w:r>
      <w:r w:rsidRPr="00B94680">
        <w:t xml:space="preserve"> restructuring mechanism, all efforts must be directed towards achieving a negotiated settlement.</w:t>
      </w:r>
      <w:r w:rsidRPr="0008396E">
        <w:rPr>
          <w:rStyle w:val="FootnoteReference"/>
        </w:rPr>
        <w:footnoteReference w:id="99"/>
      </w:r>
      <w:r w:rsidRPr="00B94680">
        <w:rPr>
          <w:vertAlign w:val="superscript"/>
        </w:rPr>
        <w:t xml:space="preserve"> </w:t>
      </w:r>
    </w:p>
    <w:p w14:paraId="62098633" w14:textId="77777777" w:rsidR="0066100D" w:rsidRPr="00B94680" w:rsidRDefault="0066100D" w:rsidP="0066100D">
      <w:pPr>
        <w:pStyle w:val="SingleTxtG"/>
      </w:pPr>
      <w:r>
        <w:t>88</w:t>
      </w:r>
      <w:r w:rsidRPr="00B94680">
        <w:t>.</w:t>
      </w:r>
      <w:r w:rsidRPr="00B94680">
        <w:tab/>
        <w:t>Finally, States should assess whether servicing debt to vulture funds would result in derogation from their minimum core obligation</w:t>
      </w:r>
      <w:r>
        <w:t>s</w:t>
      </w:r>
      <w:r w:rsidRPr="00B94680">
        <w:t xml:space="preserve"> with respect to economic</w:t>
      </w:r>
      <w:r>
        <w:t>,</w:t>
      </w:r>
      <w:r w:rsidRPr="00B94680">
        <w:t xml:space="preserve"> social</w:t>
      </w:r>
      <w:r>
        <w:t xml:space="preserve"> and cultural</w:t>
      </w:r>
      <w:r w:rsidRPr="00B94680">
        <w:t xml:space="preserve"> </w:t>
      </w:r>
      <w:r w:rsidRPr="00B94680">
        <w:lastRenderedPageBreak/>
        <w:t xml:space="preserve">rights. Debt sustainability analysis should include an evaluation of the level of debt a country can carry without undermining its capacity to fulfil its human rights obligations </w:t>
      </w:r>
      <w:r>
        <w:t xml:space="preserve">and </w:t>
      </w:r>
      <w:r w:rsidRPr="00B94680">
        <w:t xml:space="preserve">the </w:t>
      </w:r>
      <w:r>
        <w:t xml:space="preserve">realization of the </w:t>
      </w:r>
      <w:r w:rsidRPr="00B94680">
        <w:t>right to development.</w:t>
      </w:r>
      <w:r w:rsidRPr="0008396E">
        <w:rPr>
          <w:rStyle w:val="FootnoteReference"/>
        </w:rPr>
        <w:footnoteReference w:id="100"/>
      </w:r>
      <w:r w:rsidRPr="00B94680">
        <w:rPr>
          <w:vertAlign w:val="superscript"/>
        </w:rPr>
        <w:t xml:space="preserve"> </w:t>
      </w:r>
    </w:p>
    <w:p w14:paraId="226E3D27" w14:textId="77777777" w:rsidR="0066100D" w:rsidRPr="00B94680" w:rsidRDefault="0066100D" w:rsidP="0066100D">
      <w:pPr>
        <w:pStyle w:val="H23G"/>
      </w:pPr>
      <w:r w:rsidRPr="00B94680">
        <w:tab/>
      </w:r>
      <w:r w:rsidRPr="00B94680">
        <w:tab/>
      </w:r>
      <w:r>
        <w:t>Management of vulture funds</w:t>
      </w:r>
      <w:r w:rsidRPr="00B94680">
        <w:t xml:space="preserve"> </w:t>
      </w:r>
    </w:p>
    <w:p w14:paraId="7A2CC6D9" w14:textId="77777777" w:rsidR="0066100D" w:rsidRPr="00B94680" w:rsidRDefault="0066100D" w:rsidP="0066100D">
      <w:pPr>
        <w:pStyle w:val="SingleTxtG"/>
      </w:pPr>
      <w:r>
        <w:t>89</w:t>
      </w:r>
      <w:r w:rsidRPr="00B94680">
        <w:t>.</w:t>
      </w:r>
      <w:r w:rsidRPr="00B94680">
        <w:tab/>
        <w:t xml:space="preserve">The Guiding Principles on Business and Human Rights </w:t>
      </w:r>
      <w:r>
        <w:t xml:space="preserve">intend to foster respect for human rights among States, business enterprises, financial institutions and other actors. They apply to </w:t>
      </w:r>
      <w:r w:rsidRPr="00B94680">
        <w:t>commercial entities operating in the financial sector</w:t>
      </w:r>
      <w:r>
        <w:t xml:space="preserve">. Vulture funds thus also </w:t>
      </w:r>
      <w:r w:rsidRPr="00B94680">
        <w:t>have a responsibility to respect human rights.</w:t>
      </w:r>
      <w:r w:rsidRPr="0008396E">
        <w:rPr>
          <w:rStyle w:val="FootnoteReference"/>
        </w:rPr>
        <w:footnoteReference w:id="101"/>
      </w:r>
      <w:r w:rsidRPr="00B94680">
        <w:t xml:space="preserve"> </w:t>
      </w:r>
      <w:r>
        <w:t xml:space="preserve">This specifically includes the responsibility to </w:t>
      </w:r>
      <w:r w:rsidRPr="00B94680">
        <w:t>“avoid causing or contributing to adverse human rights impacts through their own activities, and address such impacts when they occur”.</w:t>
      </w:r>
      <w:r w:rsidRPr="0008396E">
        <w:rPr>
          <w:rStyle w:val="FootnoteReference"/>
        </w:rPr>
        <w:footnoteReference w:id="102"/>
      </w:r>
    </w:p>
    <w:p w14:paraId="22D57030" w14:textId="77777777" w:rsidR="0066100D" w:rsidRPr="00B94680" w:rsidRDefault="0066100D" w:rsidP="0066100D">
      <w:pPr>
        <w:pStyle w:val="SingleTxtG"/>
      </w:pPr>
      <w:r>
        <w:t>90</w:t>
      </w:r>
      <w:r w:rsidRPr="00B94680">
        <w:t>.</w:t>
      </w:r>
      <w:r w:rsidRPr="00B94680">
        <w:tab/>
        <w:t xml:space="preserve">The responsibility to respect human rights does not require a direct link of causality between </w:t>
      </w:r>
      <w:r>
        <w:t>the activities of vulture funds</w:t>
      </w:r>
      <w:r w:rsidRPr="00B94680">
        <w:t xml:space="preserve"> and their negative impact</w:t>
      </w:r>
      <w:r>
        <w:t>.</w:t>
      </w:r>
      <w:r w:rsidRPr="0008396E">
        <w:rPr>
          <w:rStyle w:val="FootnoteReference"/>
        </w:rPr>
        <w:footnoteReference w:id="103"/>
      </w:r>
      <w:r w:rsidRPr="00BC141F">
        <w:t xml:space="preserve"> </w:t>
      </w:r>
      <w:r>
        <w:t>Vulture funds bear a duty of d</w:t>
      </w:r>
      <w:r w:rsidRPr="00B94680">
        <w:t>ue diligence</w:t>
      </w:r>
      <w:r>
        <w:t xml:space="preserve">, which </w:t>
      </w:r>
      <w:r w:rsidRPr="00B94680">
        <w:t xml:space="preserve">entails identifying, preventing, mitigating and accounting for human rights impacts. In addition, </w:t>
      </w:r>
      <w:r>
        <w:t>vulture funds</w:t>
      </w:r>
      <w:r w:rsidRPr="00B94680">
        <w:t xml:space="preserve"> should </w:t>
      </w:r>
      <w:r>
        <w:t>put</w:t>
      </w:r>
      <w:r w:rsidRPr="00B94680">
        <w:t xml:space="preserve"> in place policies and systems to “know and show” that they respect human rights</w:t>
      </w:r>
      <w:r>
        <w:t xml:space="preserve"> throughout all their activities</w:t>
      </w:r>
      <w:r w:rsidRPr="00B94680">
        <w:t>.</w:t>
      </w:r>
      <w:r w:rsidRPr="0008396E">
        <w:rPr>
          <w:rStyle w:val="FootnoteReference"/>
        </w:rPr>
        <w:footnoteReference w:id="104"/>
      </w:r>
      <w:r w:rsidRPr="00B94680">
        <w:t xml:space="preserve"> This includes assessing the actual or potential negative impact on the economic and social welfare and sustainable development of the countries targeted by their investment strategies. </w:t>
      </w:r>
    </w:p>
    <w:p w14:paraId="713DB6EE" w14:textId="77777777" w:rsidR="0066100D" w:rsidRPr="00B94680" w:rsidRDefault="0066100D" w:rsidP="0066100D">
      <w:pPr>
        <w:pStyle w:val="SingleTxtG"/>
      </w:pPr>
      <w:r>
        <w:t>91</w:t>
      </w:r>
      <w:r w:rsidRPr="00B94680">
        <w:t>.</w:t>
      </w:r>
      <w:r w:rsidRPr="00B94680">
        <w:tab/>
      </w:r>
      <w:r>
        <w:t xml:space="preserve">Although the </w:t>
      </w:r>
      <w:r w:rsidRPr="00B94680">
        <w:t xml:space="preserve">general framework </w:t>
      </w:r>
      <w:r>
        <w:t xml:space="preserve">described above </w:t>
      </w:r>
      <w:r w:rsidRPr="00B94680">
        <w:t xml:space="preserve">is </w:t>
      </w:r>
      <w:r>
        <w:t xml:space="preserve">fully </w:t>
      </w:r>
      <w:r w:rsidRPr="00B94680">
        <w:t xml:space="preserve">applicable to </w:t>
      </w:r>
      <w:r>
        <w:t>vulture funds,</w:t>
      </w:r>
      <w:r w:rsidRPr="00B94680">
        <w:t xml:space="preserve"> difficulties may arise in </w:t>
      </w:r>
      <w:r>
        <w:t xml:space="preserve">its implementation in </w:t>
      </w:r>
      <w:r w:rsidRPr="00B94680">
        <w:t xml:space="preserve">practice. In fact, it is not expected that </w:t>
      </w:r>
      <w:r>
        <w:t>vulture funds will</w:t>
      </w:r>
      <w:r w:rsidRPr="00B94680">
        <w:t xml:space="preserve"> voluntarily undertake </w:t>
      </w:r>
      <w:r>
        <w:t xml:space="preserve">to respect the Guiding Principles </w:t>
      </w:r>
      <w:r w:rsidRPr="00B94680">
        <w:t>and adjust their behaviour accordingly</w:t>
      </w:r>
      <w:r>
        <w:t xml:space="preserve">, which </w:t>
      </w:r>
      <w:r w:rsidRPr="00B94680">
        <w:t>underscore</w:t>
      </w:r>
      <w:r>
        <w:t>s</w:t>
      </w:r>
      <w:r w:rsidRPr="00B94680">
        <w:t xml:space="preserve"> the need </w:t>
      </w:r>
      <w:r>
        <w:t xml:space="preserve">for </w:t>
      </w:r>
      <w:r w:rsidRPr="00B94680">
        <w:t xml:space="preserve">appropriate national and international regulation. </w:t>
      </w:r>
    </w:p>
    <w:p w14:paraId="679FABF7" w14:textId="77777777" w:rsidR="0066100D" w:rsidRPr="00B94680" w:rsidRDefault="0066100D" w:rsidP="0066100D">
      <w:pPr>
        <w:pStyle w:val="HChG"/>
        <w:rPr>
          <w:rStyle w:val="SingleTxtGChar"/>
        </w:rPr>
      </w:pPr>
      <w:r w:rsidRPr="00B94680">
        <w:tab/>
        <w:t>X.</w:t>
      </w:r>
      <w:r w:rsidRPr="00B94680">
        <w:tab/>
        <w:t>Conclusions and recommendations</w:t>
      </w:r>
    </w:p>
    <w:p w14:paraId="739504F5" w14:textId="77777777" w:rsidR="0066100D" w:rsidRPr="00B94680" w:rsidRDefault="0066100D" w:rsidP="0066100D">
      <w:pPr>
        <w:pStyle w:val="SingleTxtG"/>
        <w:rPr>
          <w:b/>
        </w:rPr>
      </w:pPr>
      <w:r>
        <w:t>92</w:t>
      </w:r>
      <w:r w:rsidRPr="00B94680">
        <w:t>.</w:t>
      </w:r>
      <w:r w:rsidRPr="00B94680">
        <w:tab/>
      </w:r>
      <w:r>
        <w:rPr>
          <w:b/>
        </w:rPr>
        <w:t>Vulture funds</w:t>
      </w:r>
      <w:r w:rsidRPr="00B94680">
        <w:rPr>
          <w:b/>
        </w:rPr>
        <w:t xml:space="preserve"> are inherently exploitative</w:t>
      </w:r>
      <w:r>
        <w:rPr>
          <w:b/>
        </w:rPr>
        <w:t>,</w:t>
      </w:r>
      <w:r w:rsidRPr="00B94680">
        <w:rPr>
          <w:b/>
        </w:rPr>
        <w:t xml:space="preserve"> since they seek to obtain disproportionate and exorbitant gains at the expense of the full realization of human rights, particularly economic, social and cultural rights, and the right to development. Seeking the repayment in full of a sovereign debt from a State</w:t>
      </w:r>
      <w:r>
        <w:rPr>
          <w:b/>
        </w:rPr>
        <w:t xml:space="preserve"> that has </w:t>
      </w:r>
      <w:r w:rsidRPr="00B94680">
        <w:rPr>
          <w:b/>
        </w:rPr>
        <w:t>defaulted</w:t>
      </w:r>
      <w:r>
        <w:rPr>
          <w:b/>
        </w:rPr>
        <w:t>,</w:t>
      </w:r>
      <w:r w:rsidRPr="00B94680">
        <w:rPr>
          <w:b/>
        </w:rPr>
        <w:t xml:space="preserve"> or </w:t>
      </w:r>
      <w:r>
        <w:rPr>
          <w:b/>
        </w:rPr>
        <w:t>is</w:t>
      </w:r>
      <w:r w:rsidRPr="00B94680">
        <w:rPr>
          <w:b/>
        </w:rPr>
        <w:t xml:space="preserve"> close to </w:t>
      </w:r>
      <w:r>
        <w:rPr>
          <w:b/>
        </w:rPr>
        <w:t xml:space="preserve">default, </w:t>
      </w:r>
      <w:r w:rsidRPr="00B94680">
        <w:rPr>
          <w:b/>
        </w:rPr>
        <w:t>is an illegitimate outcome. In a debt crisis</w:t>
      </w:r>
      <w:r>
        <w:rPr>
          <w:b/>
        </w:rPr>
        <w:t>,</w:t>
      </w:r>
      <w:r w:rsidRPr="00B94680">
        <w:rPr>
          <w:b/>
        </w:rPr>
        <w:t xml:space="preserve"> </w:t>
      </w:r>
      <w:r>
        <w:rPr>
          <w:b/>
        </w:rPr>
        <w:t>more than</w:t>
      </w:r>
      <w:r w:rsidRPr="00B94680">
        <w:rPr>
          <w:b/>
        </w:rPr>
        <w:t xml:space="preserve"> financial obligations are at stake. </w:t>
      </w:r>
    </w:p>
    <w:p w14:paraId="36EC303A" w14:textId="77777777" w:rsidR="0066100D" w:rsidRPr="00B94680" w:rsidRDefault="0066100D" w:rsidP="0066100D">
      <w:pPr>
        <w:pStyle w:val="SingleTxtG"/>
        <w:rPr>
          <w:b/>
        </w:rPr>
      </w:pPr>
      <w:r>
        <w:t>93</w:t>
      </w:r>
      <w:r w:rsidRPr="00B94680">
        <w:t>.</w:t>
      </w:r>
      <w:r w:rsidRPr="00B94680">
        <w:tab/>
      </w:r>
      <w:r w:rsidRPr="00B94680">
        <w:rPr>
          <w:b/>
        </w:rPr>
        <w:t xml:space="preserve">The duty to observe due diligence to prevent a negative impact </w:t>
      </w:r>
      <w:r>
        <w:rPr>
          <w:b/>
        </w:rPr>
        <w:t xml:space="preserve">on </w:t>
      </w:r>
      <w:r w:rsidRPr="00B94680">
        <w:rPr>
          <w:b/>
        </w:rPr>
        <w:t>and potential violations of economic, social and cultural rights applies to all States and stakeholders</w:t>
      </w:r>
      <w:r>
        <w:rPr>
          <w:b/>
        </w:rPr>
        <w:t>,</w:t>
      </w:r>
      <w:r w:rsidRPr="00B94680">
        <w:rPr>
          <w:b/>
        </w:rPr>
        <w:t xml:space="preserve"> including the </w:t>
      </w:r>
      <w:r>
        <w:rPr>
          <w:b/>
        </w:rPr>
        <w:t>management of vulture funds</w:t>
      </w:r>
      <w:r w:rsidRPr="00B94680">
        <w:rPr>
          <w:b/>
        </w:rPr>
        <w:t xml:space="preserve">. </w:t>
      </w:r>
      <w:r>
        <w:rPr>
          <w:b/>
        </w:rPr>
        <w:t>Therefore, a</w:t>
      </w:r>
      <w:r w:rsidRPr="00B94680">
        <w:rPr>
          <w:b/>
        </w:rPr>
        <w:t>ssessments o</w:t>
      </w:r>
      <w:r>
        <w:rPr>
          <w:b/>
        </w:rPr>
        <w:t>f</w:t>
      </w:r>
      <w:r w:rsidRPr="00B94680">
        <w:rPr>
          <w:b/>
        </w:rPr>
        <w:t xml:space="preserve"> the impact of their activities on the enjoyment of economic, social and cultural rights should be made systematically.</w:t>
      </w:r>
    </w:p>
    <w:p w14:paraId="1E02F96A" w14:textId="77777777" w:rsidR="0066100D" w:rsidRPr="00B94680" w:rsidRDefault="0066100D" w:rsidP="0066100D">
      <w:pPr>
        <w:pStyle w:val="SingleTxtG"/>
        <w:rPr>
          <w:b/>
        </w:rPr>
      </w:pPr>
      <w:r>
        <w:t>94</w:t>
      </w:r>
      <w:r w:rsidRPr="00B94680">
        <w:t>.</w:t>
      </w:r>
      <w:r w:rsidRPr="00B94680">
        <w:tab/>
      </w:r>
      <w:r w:rsidRPr="00B94680">
        <w:rPr>
          <w:b/>
        </w:rPr>
        <w:t xml:space="preserve">Excessive claims awarded to </w:t>
      </w:r>
      <w:r>
        <w:rPr>
          <w:b/>
        </w:rPr>
        <w:t>vulture funds</w:t>
      </w:r>
      <w:r w:rsidRPr="00B94680">
        <w:rPr>
          <w:b/>
        </w:rPr>
        <w:t xml:space="preserve"> have allowed them to </w:t>
      </w:r>
      <w:r>
        <w:rPr>
          <w:b/>
        </w:rPr>
        <w:t>reap</w:t>
      </w:r>
      <w:r w:rsidRPr="00B94680">
        <w:rPr>
          <w:b/>
        </w:rPr>
        <w:t xml:space="preserve"> profits at the expense of the welfare and sustainable development of the poorest countries, without taking due account of the negative consequences of such actions on the </w:t>
      </w:r>
      <w:r>
        <w:rPr>
          <w:b/>
        </w:rPr>
        <w:t>S</w:t>
      </w:r>
      <w:r w:rsidRPr="00B94680">
        <w:rPr>
          <w:b/>
        </w:rPr>
        <w:t xml:space="preserve">tate’s capacity to fulfil its human rights obligations. </w:t>
      </w:r>
    </w:p>
    <w:p w14:paraId="732710E6" w14:textId="77777777" w:rsidR="0066100D" w:rsidRPr="00B94680" w:rsidRDefault="0066100D" w:rsidP="0066100D">
      <w:pPr>
        <w:spacing w:after="120"/>
        <w:ind w:left="1689" w:right="1134" w:hanging="555"/>
        <w:jc w:val="both"/>
        <w:rPr>
          <w:b/>
        </w:rPr>
      </w:pPr>
      <w:r>
        <w:t>95</w:t>
      </w:r>
      <w:r w:rsidRPr="00B94680">
        <w:t>.</w:t>
      </w:r>
      <w:r w:rsidRPr="00B94680">
        <w:tab/>
      </w:r>
      <w:r w:rsidRPr="00B94680">
        <w:rPr>
          <w:b/>
        </w:rPr>
        <w:t xml:space="preserve">The Advisory Committee recommends </w:t>
      </w:r>
      <w:r>
        <w:rPr>
          <w:b/>
        </w:rPr>
        <w:t>to</w:t>
      </w:r>
      <w:r w:rsidRPr="00B94680">
        <w:rPr>
          <w:b/>
        </w:rPr>
        <w:t xml:space="preserve"> the Human Rights Council</w:t>
      </w:r>
      <w:r>
        <w:rPr>
          <w:b/>
        </w:rPr>
        <w:t xml:space="preserve"> that it</w:t>
      </w:r>
      <w:r w:rsidRPr="00B94680">
        <w:rPr>
          <w:b/>
        </w:rPr>
        <w:t xml:space="preserve">: </w:t>
      </w:r>
    </w:p>
    <w:p w14:paraId="3CC04D01" w14:textId="77777777" w:rsidR="0066100D" w:rsidRPr="00B94680" w:rsidRDefault="0066100D" w:rsidP="0066100D">
      <w:pPr>
        <w:pStyle w:val="SingleTxtG"/>
        <w:ind w:firstLine="555"/>
        <w:rPr>
          <w:b/>
        </w:rPr>
      </w:pPr>
      <w:r w:rsidRPr="003E15A5">
        <w:rPr>
          <w:b/>
        </w:rPr>
        <w:t>(a)</w:t>
      </w:r>
      <w:r w:rsidRPr="003E15A5">
        <w:rPr>
          <w:b/>
        </w:rPr>
        <w:tab/>
      </w:r>
      <w:r>
        <w:rPr>
          <w:b/>
        </w:rPr>
        <w:t>M</w:t>
      </w:r>
      <w:r w:rsidRPr="00B94680">
        <w:rPr>
          <w:b/>
        </w:rPr>
        <w:t xml:space="preserve">aintain the issue of </w:t>
      </w:r>
      <w:r>
        <w:rPr>
          <w:b/>
        </w:rPr>
        <w:t>vulture funds</w:t>
      </w:r>
      <w:r w:rsidRPr="00B94680">
        <w:rPr>
          <w:b/>
        </w:rPr>
        <w:t xml:space="preserve"> and human rights </w:t>
      </w:r>
      <w:r>
        <w:rPr>
          <w:b/>
        </w:rPr>
        <w:t>o</w:t>
      </w:r>
      <w:r w:rsidRPr="00B94680">
        <w:rPr>
          <w:b/>
        </w:rPr>
        <w:t>n its agenda in order to assess the impact of their activities on economic, social and cultural rights and the right to development</w:t>
      </w:r>
      <w:r>
        <w:rPr>
          <w:b/>
        </w:rPr>
        <w:t>,</w:t>
      </w:r>
      <w:r w:rsidRPr="00B94680">
        <w:rPr>
          <w:b/>
        </w:rPr>
        <w:t xml:space="preserve"> and to support further initiatives aimed at identifying and curtailing illegitimate activities by </w:t>
      </w:r>
      <w:r>
        <w:rPr>
          <w:b/>
        </w:rPr>
        <w:t>vulture funds;</w:t>
      </w:r>
      <w:r w:rsidRPr="00B94680">
        <w:rPr>
          <w:b/>
        </w:rPr>
        <w:t xml:space="preserve"> </w:t>
      </w:r>
    </w:p>
    <w:p w14:paraId="3856E62C" w14:textId="77777777" w:rsidR="0066100D" w:rsidRPr="00B94680" w:rsidRDefault="0066100D" w:rsidP="0066100D">
      <w:pPr>
        <w:pStyle w:val="SingleTxtG"/>
        <w:ind w:firstLine="555"/>
        <w:rPr>
          <w:b/>
        </w:rPr>
      </w:pPr>
      <w:r w:rsidRPr="003E15A5">
        <w:rPr>
          <w:b/>
        </w:rPr>
        <w:lastRenderedPageBreak/>
        <w:t>(b)</w:t>
      </w:r>
      <w:r w:rsidRPr="003E15A5">
        <w:rPr>
          <w:b/>
        </w:rPr>
        <w:tab/>
      </w:r>
      <w:r>
        <w:rPr>
          <w:b/>
        </w:rPr>
        <w:t>E</w:t>
      </w:r>
      <w:r w:rsidRPr="00B94680">
        <w:rPr>
          <w:b/>
        </w:rPr>
        <w:t>xplore further ways of mainstreaming human rights in the context of debt restructuring workouts and operationaliz</w:t>
      </w:r>
      <w:r>
        <w:rPr>
          <w:b/>
        </w:rPr>
        <w:t>ing</w:t>
      </w:r>
      <w:r w:rsidRPr="00B94680">
        <w:rPr>
          <w:b/>
        </w:rPr>
        <w:t xml:space="preserve"> processes aimed at assessing and monitoring the negative impact of </w:t>
      </w:r>
      <w:r>
        <w:rPr>
          <w:b/>
        </w:rPr>
        <w:t>the activities of vulture funds</w:t>
      </w:r>
      <w:r w:rsidRPr="00B94680">
        <w:rPr>
          <w:b/>
        </w:rPr>
        <w:t xml:space="preserve"> on the full enjoyment of economic, social and cultural rights and on the realization of the Sustainable Development Goals</w:t>
      </w:r>
      <w:r>
        <w:rPr>
          <w:b/>
        </w:rPr>
        <w:t>;</w:t>
      </w:r>
      <w:r w:rsidRPr="00B94680">
        <w:rPr>
          <w:b/>
        </w:rPr>
        <w:t xml:space="preserve"> </w:t>
      </w:r>
    </w:p>
    <w:p w14:paraId="78C8F268" w14:textId="77777777" w:rsidR="0066100D" w:rsidRPr="003E15A5" w:rsidRDefault="0066100D" w:rsidP="0066100D">
      <w:pPr>
        <w:pStyle w:val="SingleTxtG"/>
        <w:ind w:firstLine="555"/>
        <w:rPr>
          <w:b/>
        </w:rPr>
      </w:pPr>
      <w:r w:rsidRPr="003E15A5">
        <w:rPr>
          <w:b/>
        </w:rPr>
        <w:t>(c)</w:t>
      </w:r>
      <w:r w:rsidRPr="003E15A5">
        <w:rPr>
          <w:b/>
        </w:rPr>
        <w:tab/>
        <w:t xml:space="preserve">Commend the work of the African Legal Support Facility, and call upon States to support the expansion of this mechanism so as to assist developing countries in litigation with vulture funds and other similar, speculative ways of manoeuvring on financial markets; </w:t>
      </w:r>
    </w:p>
    <w:p w14:paraId="50088A79" w14:textId="77777777" w:rsidR="0066100D" w:rsidRPr="00B94680" w:rsidRDefault="0066100D" w:rsidP="0066100D">
      <w:pPr>
        <w:pStyle w:val="SingleTxtG"/>
        <w:ind w:firstLine="555"/>
        <w:rPr>
          <w:b/>
        </w:rPr>
      </w:pPr>
      <w:r w:rsidRPr="003E15A5">
        <w:rPr>
          <w:b/>
        </w:rPr>
        <w:t>(d)</w:t>
      </w:r>
      <w:r w:rsidRPr="003E15A5">
        <w:rPr>
          <w:b/>
        </w:rPr>
        <w:tab/>
        <w:t>Adopt a new resolution, following the examination of the present report, in which it would entrust the Advisory Committee with the follow-up of the issue in order to make</w:t>
      </w:r>
      <w:r w:rsidRPr="00B94680">
        <w:rPr>
          <w:b/>
        </w:rPr>
        <w:t xml:space="preserve"> concrete recommendations to States and relevant stakeholders. A further study reviewing relevant national legislation and case</w:t>
      </w:r>
      <w:r>
        <w:rPr>
          <w:b/>
        </w:rPr>
        <w:t xml:space="preserve"> </w:t>
      </w:r>
      <w:r w:rsidRPr="00B94680">
        <w:rPr>
          <w:b/>
        </w:rPr>
        <w:t>law</w:t>
      </w:r>
      <w:r>
        <w:rPr>
          <w:b/>
        </w:rPr>
        <w:t>,</w:t>
      </w:r>
      <w:r w:rsidRPr="00B94680">
        <w:rPr>
          <w:b/>
        </w:rPr>
        <w:t xml:space="preserve"> as well as good practices would help States in the process of enacting further </w:t>
      </w:r>
      <w:r>
        <w:rPr>
          <w:b/>
        </w:rPr>
        <w:t>regulations</w:t>
      </w:r>
      <w:r w:rsidRPr="00B94680">
        <w:rPr>
          <w:b/>
        </w:rPr>
        <w:t xml:space="preserve">. </w:t>
      </w:r>
    </w:p>
    <w:p w14:paraId="72B5262F" w14:textId="77777777" w:rsidR="0066100D" w:rsidRPr="00594EF8" w:rsidRDefault="0066100D" w:rsidP="00594EF8">
      <w:pPr>
        <w:pStyle w:val="SingleTxtG"/>
        <w:rPr>
          <w:b/>
        </w:rPr>
      </w:pPr>
      <w:r w:rsidRPr="00594EF8">
        <w:rPr>
          <w:b/>
        </w:rPr>
        <w:t>96.</w:t>
      </w:r>
      <w:r w:rsidRPr="00594EF8">
        <w:rPr>
          <w:b/>
        </w:rPr>
        <w:tab/>
        <w:t>The Advisory Committee recommends to Member States that they:</w:t>
      </w:r>
    </w:p>
    <w:p w14:paraId="2A86DE4C" w14:textId="77777777" w:rsidR="0066100D" w:rsidRPr="003E15A5" w:rsidRDefault="0066100D" w:rsidP="0066100D">
      <w:pPr>
        <w:pStyle w:val="SingleTxtG"/>
        <w:ind w:firstLine="567"/>
        <w:rPr>
          <w:b/>
        </w:rPr>
      </w:pPr>
      <w:r w:rsidRPr="003E15A5">
        <w:rPr>
          <w:b/>
        </w:rPr>
        <w:t>(a)</w:t>
      </w:r>
      <w:r w:rsidRPr="003E15A5">
        <w:rPr>
          <w:b/>
        </w:rPr>
        <w:tab/>
        <w:t xml:space="preserve">Enact legislation aimed at curtailing the predatory activities of vulture funds within their jurisdiction. Domestic laws should not be limited to HIPCs but should cover a broader group of countries and apply to commercial creditors that refuse to negotiate any restructuring of the debt. Claims that are manifestly disproportionate to the amount initially paid to purchase the sovereign debt should not be considered. The laws in Belgium and the United Kingdom provide valuable examples for other States in drafting national laws aimed at limiting the practices of vulture funds; </w:t>
      </w:r>
    </w:p>
    <w:p w14:paraId="130AE1F4" w14:textId="77777777" w:rsidR="0066100D" w:rsidRPr="003E15A5" w:rsidRDefault="0066100D" w:rsidP="0066100D">
      <w:pPr>
        <w:pStyle w:val="SingleTxtG"/>
        <w:ind w:firstLine="567"/>
        <w:rPr>
          <w:b/>
        </w:rPr>
      </w:pPr>
      <w:r w:rsidRPr="003E15A5">
        <w:rPr>
          <w:b/>
        </w:rPr>
        <w:t>(b)</w:t>
      </w:r>
      <w:r w:rsidRPr="003E15A5">
        <w:rPr>
          <w:b/>
        </w:rPr>
        <w:tab/>
        <w:t xml:space="preserve">Adopt measures aimed at limiting disruptive litigation by vulture funds in their jurisdiction. National courts or judges should not give effect to foreign judgments or conduct enforcement procedures in favour of vulture funds that are pursuing a disproportionate profit. It is a good practice to limit the value of vulture funds’ claims to the discounted price originally paid for the bonds; </w:t>
      </w:r>
    </w:p>
    <w:p w14:paraId="238B070A" w14:textId="77777777" w:rsidR="0066100D" w:rsidRPr="003E15A5" w:rsidRDefault="0066100D" w:rsidP="0066100D">
      <w:pPr>
        <w:pStyle w:val="SingleTxtG"/>
        <w:ind w:firstLine="567"/>
        <w:rPr>
          <w:b/>
        </w:rPr>
      </w:pPr>
      <w:r w:rsidRPr="003E15A5">
        <w:rPr>
          <w:b/>
        </w:rPr>
        <w:t>(c)</w:t>
      </w:r>
      <w:r w:rsidRPr="003E15A5">
        <w:rPr>
          <w:b/>
        </w:rPr>
        <w:tab/>
        <w:t>Enhance and promote transparency by ensuring that the owners and shareholders of vulture funds are disclosed and made subject to appropriate taxation. Transparency on sovereign debt in the secondary market should be particularly ensured. Courts and other relevant national authorities must have access to all relevant documents and information on the amounts and the identity of the creditors;</w:t>
      </w:r>
    </w:p>
    <w:p w14:paraId="2799C35B" w14:textId="77777777" w:rsidR="0066100D" w:rsidRPr="00B94680" w:rsidRDefault="0066100D" w:rsidP="0066100D">
      <w:pPr>
        <w:pStyle w:val="SingleTxtG"/>
        <w:ind w:firstLine="567"/>
        <w:rPr>
          <w:b/>
        </w:rPr>
      </w:pPr>
      <w:r w:rsidRPr="003E15A5">
        <w:rPr>
          <w:b/>
        </w:rPr>
        <w:t>(d)</w:t>
      </w:r>
      <w:r w:rsidRPr="003E15A5">
        <w:rPr>
          <w:b/>
        </w:rPr>
        <w:tab/>
      </w:r>
      <w:r>
        <w:rPr>
          <w:b/>
        </w:rPr>
        <w:t>E</w:t>
      </w:r>
      <w:r w:rsidRPr="00B94680">
        <w:rPr>
          <w:b/>
        </w:rPr>
        <w:t xml:space="preserve">nsure that adjudication bodies, including the </w:t>
      </w:r>
      <w:r>
        <w:rPr>
          <w:b/>
        </w:rPr>
        <w:t xml:space="preserve">International Centre for Settlement of Investment Disputes </w:t>
      </w:r>
      <w:r w:rsidRPr="00B94680">
        <w:rPr>
          <w:b/>
        </w:rPr>
        <w:t>and the Permanent Court of Arbitration, integrate in their practices the duty of arbitrators to assess at a preliminary stage the bona fide</w:t>
      </w:r>
      <w:r>
        <w:rPr>
          <w:b/>
        </w:rPr>
        <w:t>s</w:t>
      </w:r>
      <w:r w:rsidRPr="00B94680">
        <w:rPr>
          <w:b/>
        </w:rPr>
        <w:t xml:space="preserve"> of </w:t>
      </w:r>
      <w:r>
        <w:rPr>
          <w:b/>
        </w:rPr>
        <w:t>vulture fund</w:t>
      </w:r>
      <w:r w:rsidRPr="00B94680">
        <w:rPr>
          <w:b/>
        </w:rPr>
        <w:t xml:space="preserve"> claims as well as the standing of the claimant, by requiring the disclosure of the details of the debt</w:t>
      </w:r>
      <w:r>
        <w:rPr>
          <w:b/>
        </w:rPr>
        <w:t>;</w:t>
      </w:r>
      <w:r w:rsidRPr="00B94680">
        <w:rPr>
          <w:b/>
        </w:rPr>
        <w:t xml:space="preserve"> </w:t>
      </w:r>
    </w:p>
    <w:p w14:paraId="50E840CA" w14:textId="7FECC79C" w:rsidR="0066100D" w:rsidRDefault="0066100D" w:rsidP="0066100D">
      <w:pPr>
        <w:pStyle w:val="SingleTxtG"/>
        <w:ind w:firstLine="567"/>
        <w:rPr>
          <w:b/>
        </w:rPr>
      </w:pPr>
      <w:r w:rsidRPr="003E15A5">
        <w:rPr>
          <w:b/>
        </w:rPr>
        <w:t>(e)</w:t>
      </w:r>
      <w:r w:rsidRPr="003E15A5">
        <w:rPr>
          <w:b/>
        </w:rPr>
        <w:tab/>
        <w:t>Ensure that the principle of bona fides is adequately reflected in national legislation and applied by domestic courts in relation to litigation concerning sovereign debt restructuring</w:t>
      </w:r>
      <w:r w:rsidRPr="00B94680">
        <w:rPr>
          <w:b/>
        </w:rPr>
        <w:t xml:space="preserve"> processes by providing that abusive creditors do not enjoy better treatment than those </w:t>
      </w:r>
      <w:r>
        <w:rPr>
          <w:b/>
        </w:rPr>
        <w:t xml:space="preserve">cooperative creditors </w:t>
      </w:r>
      <w:r w:rsidRPr="00B94680">
        <w:rPr>
          <w:b/>
        </w:rPr>
        <w:t xml:space="preserve">that are acting in good faith. </w:t>
      </w:r>
    </w:p>
    <w:p w14:paraId="5D2359F9" w14:textId="4F7F30F1" w:rsidR="00A22046" w:rsidRPr="008C10FF" w:rsidRDefault="0066100D" w:rsidP="00594EF8">
      <w:pPr>
        <w:spacing w:before="240"/>
        <w:ind w:left="1134" w:right="1134"/>
        <w:jc w:val="center"/>
        <w:rPr>
          <w:u w:val="single"/>
        </w:rPr>
      </w:pPr>
      <w:r>
        <w:rPr>
          <w:u w:val="single"/>
        </w:rPr>
        <w:tab/>
      </w:r>
      <w:r>
        <w:rPr>
          <w:u w:val="single"/>
        </w:rPr>
        <w:tab/>
      </w:r>
      <w:r>
        <w:rPr>
          <w:u w:val="single"/>
        </w:rPr>
        <w:tab/>
      </w:r>
      <w:r>
        <w:rPr>
          <w:u w:val="single"/>
        </w:rPr>
        <w:tab/>
      </w:r>
    </w:p>
    <w:sectPr w:rsidR="00A22046" w:rsidRPr="008C10FF" w:rsidSect="00A808E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9C85" w14:textId="77777777" w:rsidR="00B0694B" w:rsidRDefault="00B0694B"/>
  </w:endnote>
  <w:endnote w:type="continuationSeparator" w:id="0">
    <w:p w14:paraId="10BE54BA" w14:textId="77777777" w:rsidR="00B0694B" w:rsidRDefault="00B0694B"/>
  </w:endnote>
  <w:endnote w:type="continuationNotice" w:id="1">
    <w:p w14:paraId="53D59BBF" w14:textId="77777777" w:rsidR="00B0694B" w:rsidRDefault="00B06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sEaves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riol Regular">
    <w:altName w:val="Arial"/>
    <w:panose1 w:val="00000000000000000000"/>
    <w:charset w:val="00"/>
    <w:family w:val="swiss"/>
    <w:notTrueType/>
    <w:pitch w:val="default"/>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BADF2" w14:textId="3FF5DB8A" w:rsidR="008A1599" w:rsidRPr="00433ACB" w:rsidRDefault="008A1599" w:rsidP="00E96B38">
    <w:pPr>
      <w:pStyle w:val="Footer"/>
      <w:tabs>
        <w:tab w:val="right" w:pos="9638"/>
      </w:tabs>
      <w:rPr>
        <w:sz w:val="18"/>
      </w:rPr>
    </w:pPr>
    <w:r w:rsidRPr="00CB4E6F">
      <w:rPr>
        <w:b/>
        <w:sz w:val="18"/>
      </w:rPr>
      <w:fldChar w:fldCharType="begin"/>
    </w:r>
    <w:r w:rsidRPr="00CB4E6F">
      <w:rPr>
        <w:b/>
        <w:sz w:val="18"/>
      </w:rPr>
      <w:instrText xml:space="preserve"> PAGE  \* MERGEFORMAT </w:instrText>
    </w:r>
    <w:r w:rsidRPr="00CB4E6F">
      <w:rPr>
        <w:b/>
        <w:sz w:val="18"/>
      </w:rPr>
      <w:fldChar w:fldCharType="separate"/>
    </w:r>
    <w:r w:rsidR="007B75A9">
      <w:rPr>
        <w:b/>
        <w:noProof/>
        <w:sz w:val="18"/>
      </w:rPr>
      <w:t>2</w:t>
    </w:r>
    <w:r w:rsidRPr="00CB4E6F">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890CF" w14:textId="5D06DF82" w:rsidR="008A1599" w:rsidRPr="00E96B38" w:rsidRDefault="008A1599" w:rsidP="00E96B38">
    <w:pPr>
      <w:pStyle w:val="Footer"/>
      <w:tabs>
        <w:tab w:val="right" w:pos="9638"/>
      </w:tabs>
      <w:jc w:val="right"/>
    </w:pPr>
    <w:r w:rsidRPr="00CB4E6F">
      <w:rPr>
        <w:b/>
        <w:sz w:val="18"/>
      </w:rPr>
      <w:fldChar w:fldCharType="begin"/>
    </w:r>
    <w:r w:rsidRPr="00CB4E6F">
      <w:rPr>
        <w:b/>
        <w:sz w:val="18"/>
      </w:rPr>
      <w:instrText xml:space="preserve"> PAGE  \* MERGEFORMAT </w:instrText>
    </w:r>
    <w:r w:rsidRPr="00CB4E6F">
      <w:rPr>
        <w:b/>
        <w:sz w:val="18"/>
      </w:rPr>
      <w:fldChar w:fldCharType="separate"/>
    </w:r>
    <w:r w:rsidR="007B75A9">
      <w:rPr>
        <w:b/>
        <w:noProof/>
        <w:sz w:val="18"/>
      </w:rPr>
      <w:t>21</w:t>
    </w:r>
    <w:r w:rsidRPr="00CB4E6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E1AAA" w14:textId="77777777" w:rsidR="00F158DD" w:rsidRDefault="00F158DD" w:rsidP="00F158DD">
    <w:r>
      <w:rPr>
        <w:noProof/>
        <w:lang w:eastAsia="en-GB"/>
      </w:rPr>
      <w:drawing>
        <wp:anchor distT="0" distB="0" distL="114300" distR="114300" simplePos="0" relativeHeight="251659264" behindDoc="1" locked="1" layoutInCell="1" allowOverlap="1" wp14:anchorId="1B0CA140" wp14:editId="4E92D6DD">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461D209" w14:textId="77777777" w:rsidR="00F158DD" w:rsidRDefault="00F158DD" w:rsidP="00F158DD">
    <w:pPr>
      <w:pStyle w:val="Footer"/>
      <w:ind w:right="1134"/>
      <w:rPr>
        <w:sz w:val="20"/>
      </w:rPr>
    </w:pPr>
    <w:r>
      <w:rPr>
        <w:sz w:val="20"/>
      </w:rPr>
      <w:t>GE.19-02163(E)</w:t>
    </w:r>
  </w:p>
  <w:p w14:paraId="57C37AC9" w14:textId="77777777" w:rsidR="00F158DD" w:rsidRPr="003632F1" w:rsidRDefault="00F158DD" w:rsidP="00F158DD">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p>
  <w:p w14:paraId="014A50DB" w14:textId="77777777" w:rsidR="00F158DD" w:rsidRDefault="00F158DD" w:rsidP="00F158DD">
    <w:r>
      <w:rPr>
        <w:rFonts w:ascii="C39T30Lfz" w:hAnsi="C39T30Lfz"/>
        <w:noProof/>
        <w:sz w:val="56"/>
        <w:lang w:eastAsia="en-GB"/>
      </w:rPr>
      <w:drawing>
        <wp:anchor distT="0" distB="0" distL="114300" distR="114300" simplePos="0" relativeHeight="251660288" behindDoc="0" locked="0" layoutInCell="1" allowOverlap="1" wp14:anchorId="7249AD9E" wp14:editId="0F9679F1">
          <wp:simplePos x="0" y="0"/>
          <wp:positionH relativeFrom="margin">
            <wp:posOffset>5478780</wp:posOffset>
          </wp:positionH>
          <wp:positionV relativeFrom="margin">
            <wp:posOffset>8794750</wp:posOffset>
          </wp:positionV>
          <wp:extent cx="638175" cy="638175"/>
          <wp:effectExtent l="0" t="0" r="9525" b="9525"/>
          <wp:wrapNone/>
          <wp:docPr id="2" name="Picture 2" descr="https://undocs.org/m2/QRCode.ashx?DS=A/HRC/AC/22/CRP.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AC/22/CRP.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00502" w14:textId="77777777" w:rsidR="00B0694B" w:rsidRPr="000B175B" w:rsidRDefault="00B0694B" w:rsidP="00EE3BAF">
      <w:pPr>
        <w:tabs>
          <w:tab w:val="right" w:pos="2155"/>
        </w:tabs>
        <w:spacing w:after="80"/>
        <w:ind w:left="680"/>
        <w:rPr>
          <w:u w:val="single"/>
        </w:rPr>
      </w:pPr>
      <w:r>
        <w:rPr>
          <w:u w:val="single"/>
        </w:rPr>
        <w:tab/>
      </w:r>
    </w:p>
  </w:footnote>
  <w:footnote w:type="continuationSeparator" w:id="0">
    <w:p w14:paraId="629E6EB8" w14:textId="77777777" w:rsidR="00B0694B" w:rsidRPr="00FC68B7" w:rsidRDefault="00B0694B" w:rsidP="00EE3BAF">
      <w:pPr>
        <w:tabs>
          <w:tab w:val="left" w:pos="2155"/>
        </w:tabs>
        <w:spacing w:after="80"/>
        <w:ind w:left="680"/>
        <w:rPr>
          <w:u w:val="single"/>
        </w:rPr>
      </w:pPr>
      <w:r>
        <w:rPr>
          <w:u w:val="single"/>
        </w:rPr>
        <w:tab/>
      </w:r>
    </w:p>
  </w:footnote>
  <w:footnote w:type="continuationNotice" w:id="1">
    <w:p w14:paraId="711C7DDF" w14:textId="77777777" w:rsidR="00B0694B" w:rsidRDefault="00B0694B"/>
  </w:footnote>
  <w:footnote w:id="2">
    <w:p w14:paraId="0D51901F" w14:textId="77777777" w:rsidR="0066100D" w:rsidRPr="00CE451A" w:rsidRDefault="0066100D" w:rsidP="0066100D">
      <w:pPr>
        <w:pStyle w:val="FootnoteText"/>
        <w:widowControl w:val="0"/>
        <w:tabs>
          <w:tab w:val="clear" w:pos="1021"/>
          <w:tab w:val="right" w:pos="1020"/>
          <w:tab w:val="left" w:pos="1701"/>
        </w:tabs>
        <w:rPr>
          <w:szCs w:val="18"/>
        </w:rPr>
      </w:pPr>
      <w:r w:rsidRPr="00CE451A">
        <w:rPr>
          <w:szCs w:val="18"/>
        </w:rPr>
        <w:tab/>
      </w:r>
      <w:r w:rsidRPr="00CE451A">
        <w:rPr>
          <w:rStyle w:val="FootnoteReference"/>
          <w:szCs w:val="18"/>
        </w:rPr>
        <w:footnoteRef/>
      </w:r>
      <w:r w:rsidRPr="00CE451A">
        <w:rPr>
          <w:szCs w:val="18"/>
        </w:rPr>
        <w:tab/>
        <w:t xml:space="preserve">These might be international financial institutions, bilateral or multilateral lenders, private financial institutions or bondholders. </w:t>
      </w:r>
    </w:p>
  </w:footnote>
  <w:footnote w:id="3">
    <w:p w14:paraId="0D12B794"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African Development Bank Group, “Vulture funds in the sovereign debt context”.</w:t>
      </w:r>
    </w:p>
  </w:footnote>
  <w:footnote w:id="4">
    <w:p w14:paraId="221952BA"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 xml:space="preserve">Ibid. </w:t>
      </w:r>
    </w:p>
  </w:footnote>
  <w:footnote w:id="5">
    <w:p w14:paraId="4087789F"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 xml:space="preserve">As has been pointed out, big institutional investors do not like to sue sovereign States and therefore can obtain some return by selling their defaulted debt to vulture funds on the secondary market. D. Sookum, </w:t>
      </w:r>
      <w:r w:rsidRPr="00CE451A">
        <w:rPr>
          <w:i/>
          <w:szCs w:val="18"/>
        </w:rPr>
        <w:t>Stop Vulture Fund Lawsuit: A Handbook</w:t>
      </w:r>
      <w:r w:rsidRPr="00CE451A">
        <w:rPr>
          <w:szCs w:val="18"/>
        </w:rPr>
        <w:t xml:space="preserve"> (Commonwealth Secretariat, 2010), p. 11.</w:t>
      </w:r>
    </w:p>
  </w:footnote>
  <w:footnote w:id="6">
    <w:p w14:paraId="282B3771"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Vulture funds may resort not only to court proceedings but also to lobbying and other pressure tactics, which can range from attempting to attach the debtor State’s assets to organizing discrediting press campaigns with a view to forcing the Government to pay. R. Kupelian and M.S. Rivas, “Vulture funds: the lawsuit against Argentina and the challenge they pose to the world economy”, Centro de Economía y Finanzas para el Desarrollo de la Argentina, Working Paper No. 49, February 2014, p. 7.</w:t>
      </w:r>
    </w:p>
  </w:footnote>
  <w:footnote w:id="7">
    <w:p w14:paraId="1CFAAF10"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London and New York are the primary locations for external sovereign borrowing and related legal disputes. Studies provide evidence that over 70 per cent of international bonds were issued under New York State law, while most of the reminder were issued under English law. J. Schumacher, C. Trebesch and H. Enderlein, “Sovereign defaults in court: the rise of creditor litigation”, 6 May 2014, p. 1</w:t>
      </w:r>
      <w:r w:rsidRPr="00CE451A">
        <w:rPr>
          <w:rStyle w:val="Hyperlink"/>
          <w:szCs w:val="18"/>
        </w:rPr>
        <w:t>.</w:t>
      </w:r>
    </w:p>
  </w:footnote>
  <w:footnote w:id="8">
    <w:p w14:paraId="581AB774"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“Vulture funds and poor country debt: recent developments and policy responses”, Jubilee USA Network, Briefing Note No. 4, April 2008, p. 3.</w:t>
      </w:r>
    </w:p>
  </w:footnote>
  <w:footnote w:id="9">
    <w:p w14:paraId="13FCB14A"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African Development Bank Group, “Vulture funds in the sovereign debt context”.</w:t>
      </w:r>
    </w:p>
  </w:footnote>
  <w:footnote w:id="10">
    <w:p w14:paraId="602A16AF" w14:textId="77777777" w:rsidR="0066100D" w:rsidRPr="00CE451A" w:rsidRDefault="0066100D" w:rsidP="0066100D">
      <w:pPr>
        <w:pStyle w:val="FootnoteText"/>
        <w:spacing w:line="240" w:lineRule="auto"/>
        <w:rPr>
          <w:szCs w:val="18"/>
        </w:rPr>
      </w:pPr>
      <w:r w:rsidRPr="00CE451A">
        <w:rPr>
          <w:szCs w:val="18"/>
        </w:rPr>
        <w:tab/>
      </w:r>
      <w:r w:rsidRPr="00CE451A">
        <w:rPr>
          <w:rStyle w:val="FootnoteReference"/>
          <w:szCs w:val="18"/>
        </w:rPr>
        <w:footnoteRef/>
      </w:r>
      <w:r w:rsidRPr="00CE451A">
        <w:rPr>
          <w:szCs w:val="18"/>
        </w:rPr>
        <w:tab/>
        <w:t>Li Yuefen, Special Adviser, South Centre, presentation to the Advisory Committee on 25 February 2015. A ruling of the High Court of the United Kingdom of Great Britain and Northern Ireland in 2005, for example, allowed the firm Kensington International Ltd. to intercept the proceeds of oil sales of the Congo to recoup a $39 million debt. The profits realized by the Congo from the sale of oil can be seized until a claim of $90 million is repaid.</w:t>
      </w:r>
    </w:p>
  </w:footnote>
  <w:footnote w:id="11">
    <w:p w14:paraId="49B51742" w14:textId="77777777" w:rsidR="0066100D" w:rsidRPr="00CE451A" w:rsidRDefault="0066100D" w:rsidP="0066100D">
      <w:pPr>
        <w:pStyle w:val="FootnoteText"/>
        <w:widowControl w:val="0"/>
        <w:tabs>
          <w:tab w:val="clear" w:pos="1021"/>
          <w:tab w:val="right" w:pos="1020"/>
        </w:tabs>
        <w:spacing w:line="240" w:lineRule="auto"/>
        <w:rPr>
          <w:szCs w:val="18"/>
        </w:rPr>
      </w:pPr>
      <w:r w:rsidRPr="00CE451A">
        <w:rPr>
          <w:szCs w:val="18"/>
        </w:rPr>
        <w:tab/>
      </w:r>
      <w:r w:rsidRPr="00CE451A">
        <w:rPr>
          <w:rStyle w:val="FootnoteReference"/>
          <w:szCs w:val="18"/>
        </w:rPr>
        <w:footnoteRef/>
      </w:r>
      <w:r w:rsidRPr="00CE451A">
        <w:rPr>
          <w:szCs w:val="18"/>
        </w:rPr>
        <w:tab/>
        <w:t>Schumacher, “Sovereign defaults in court”, pp. 7-8 and 12.</w:t>
      </w:r>
    </w:p>
  </w:footnote>
  <w:footnote w:id="12">
    <w:p w14:paraId="434A1718"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African Development Bank Group, “Vulture funds in the sovereign debt context”.</w:t>
      </w:r>
    </w:p>
  </w:footnote>
  <w:footnote w:id="13">
    <w:p w14:paraId="0C64BE93"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For example, Donegal International Ltd. is based in the British Virgin Islands, Kensington International Ltd. in the Cayman Islands and FG Hemisphere in Delaware, United States of America.</w:t>
      </w:r>
    </w:p>
  </w:footnote>
  <w:footnote w:id="14">
    <w:p w14:paraId="0FEFD27D"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Some of the features of these jurisdictions are: opacity (bank secrecy or other mechanism such as trusts); low taxation or exemption from taxation for non-residents; regulations favourable to the establishment of front companies without real activity on the territory; lack of cooperation with other countries’ inland revenue, customs and/or judicial authorities; and weak or non-existent financial regulation. See R. Vivien, “FG Hemisphere vulture fund’s latest victory against the Democratic Republic of Congo. What is Belgium doing?”, Committee for the Abolition of Illegitimate Debt, 2 January 2011. Available from www.cadtm.org.</w:t>
      </w:r>
    </w:p>
  </w:footnote>
  <w:footnote w:id="15">
    <w:p w14:paraId="7E6ACB04"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 xml:space="preserve">Schumacher, “Sovereign defaults in court”, p. 36. </w:t>
      </w:r>
    </w:p>
  </w:footnote>
  <w:footnote w:id="16">
    <w:p w14:paraId="61FB4ED7"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 xml:space="preserve">See also Kupelian , “Vulture funds”, p. 9 and T. Laryea, “Donegal v. Zambia and the persistent debt problems of low-income countries”, </w:t>
      </w:r>
      <w:r w:rsidRPr="00CE451A">
        <w:rPr>
          <w:i/>
          <w:szCs w:val="18"/>
        </w:rPr>
        <w:t>Law and Contemporary Problems</w:t>
      </w:r>
      <w:r w:rsidRPr="00CE451A">
        <w:rPr>
          <w:szCs w:val="18"/>
        </w:rPr>
        <w:t>, vol. 73, No. 4 (Fall 2010).</w:t>
      </w:r>
    </w:p>
  </w:footnote>
  <w:footnote w:id="17">
    <w:p w14:paraId="010C67A6"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 xml:space="preserve">Li Yuefen, presentation to the Advisory Committee; L. Polgreen, “Unlikely ally against Congo Republic graft”, </w:t>
      </w:r>
      <w:r w:rsidRPr="00CE451A">
        <w:rPr>
          <w:i/>
          <w:szCs w:val="18"/>
        </w:rPr>
        <w:t>New York Times</w:t>
      </w:r>
      <w:r w:rsidRPr="00CE451A">
        <w:rPr>
          <w:szCs w:val="18"/>
        </w:rPr>
        <w:t>, 10 December 2007.</w:t>
      </w:r>
    </w:p>
  </w:footnote>
  <w:footnote w:id="18">
    <w:p w14:paraId="53F1011A"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 xml:space="preserve">The sale was approved by the former Prime Minister of Bosnia and Herzegovina, who was investigated on corruption charges relating to his tenure at Energoinvest. “Vulture funds–the key players”, </w:t>
      </w:r>
      <w:r w:rsidRPr="00CE451A">
        <w:rPr>
          <w:i/>
          <w:szCs w:val="18"/>
        </w:rPr>
        <w:t>Guardian</w:t>
      </w:r>
      <w:r w:rsidRPr="00CE451A">
        <w:rPr>
          <w:szCs w:val="18"/>
        </w:rPr>
        <w:t>, 15 March 2011.</w:t>
      </w:r>
    </w:p>
  </w:footnote>
  <w:footnote w:id="19">
    <w:p w14:paraId="5FC42C52"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M. Kavanagh, “Congo, U.S.-controlled venture lose $100 million vulture claim”, 3 November 2010. Available from Bloomberg.com.</w:t>
      </w:r>
    </w:p>
  </w:footnote>
  <w:footnote w:id="20">
    <w:p w14:paraId="03E51DFC"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 xml:space="preserve">Sookum, </w:t>
      </w:r>
      <w:r w:rsidRPr="00CE451A">
        <w:rPr>
          <w:i/>
          <w:szCs w:val="18"/>
        </w:rPr>
        <w:t>Stop Vulture Fund Lawsuit</w:t>
      </w:r>
      <w:r w:rsidRPr="00CE451A">
        <w:rPr>
          <w:szCs w:val="18"/>
        </w:rPr>
        <w:t>, p. 45.</w:t>
      </w:r>
    </w:p>
  </w:footnote>
  <w:footnote w:id="21">
    <w:p w14:paraId="07BBF802"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Kavanagh, “Congo, U.S.-controlled venture lose $100 million vulture claim”.</w:t>
      </w:r>
    </w:p>
  </w:footnote>
  <w:footnote w:id="22">
    <w:p w14:paraId="512625B0"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 xml:space="preserve">K. Crossley, “Case analysis: </w:t>
      </w:r>
      <w:r w:rsidRPr="00CE451A">
        <w:rPr>
          <w:i/>
          <w:szCs w:val="18"/>
        </w:rPr>
        <w:t>Democratic Republic of the Congo and Ors v. Hemisphere Associates LLC</w:t>
      </w:r>
      <w:r w:rsidRPr="00CE451A">
        <w:rPr>
          <w:szCs w:val="18"/>
        </w:rPr>
        <w:t xml:space="preserve">”, </w:t>
      </w:r>
      <w:r w:rsidRPr="00CE451A">
        <w:rPr>
          <w:i/>
          <w:szCs w:val="18"/>
        </w:rPr>
        <w:t>Asian Legal Business</w:t>
      </w:r>
      <w:r w:rsidRPr="00CE451A">
        <w:rPr>
          <w:szCs w:val="18"/>
        </w:rPr>
        <w:t>, 17 June 2011.</w:t>
      </w:r>
    </w:p>
  </w:footnote>
  <w:footnote w:id="23">
    <w:p w14:paraId="3F80BD49"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Elliott Management investment fund controls NML Capital and has brought actions against Argentina and many other countries. The chief executive officer, Paul Singer, is one of the main financial backers of the Republican Party in the United States, which gives him enormous lobbying power as well as substantial political and legal support for carrying out these operations. See Kupelian, “Vulture funds”, p. 10.</w:t>
      </w:r>
    </w:p>
  </w:footnote>
  <w:footnote w:id="24">
    <w:p w14:paraId="48EA6605"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 xml:space="preserve">Letter dated 9 July from Axel Kicillof, Minister of Economy and Public Finance of Argentina, to the </w:t>
      </w:r>
      <w:r w:rsidRPr="00CE451A">
        <w:rPr>
          <w:i/>
          <w:szCs w:val="18"/>
        </w:rPr>
        <w:t>Financial Times</w:t>
      </w:r>
      <w:r w:rsidRPr="00CE451A">
        <w:rPr>
          <w:szCs w:val="18"/>
        </w:rPr>
        <w:t xml:space="preserve">. </w:t>
      </w:r>
    </w:p>
  </w:footnote>
  <w:footnote w:id="25">
    <w:p w14:paraId="6358B91D"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 xml:space="preserve">By equal step or without preference. The international financial markets have long understood that this clause protects a lender against the risk of legal subordination in favour of another creditor. See L.C. Buchheit and J.S. Pam, “The pari passu clause in sovereign debt instruments”, </w:t>
      </w:r>
      <w:r w:rsidRPr="00CE451A">
        <w:rPr>
          <w:i/>
          <w:szCs w:val="18"/>
        </w:rPr>
        <w:t>Emory Law Journal</w:t>
      </w:r>
      <w:r w:rsidRPr="00CE451A">
        <w:rPr>
          <w:szCs w:val="18"/>
        </w:rPr>
        <w:t xml:space="preserve">, vol. 53 (Special Edition, 2004), pp. 869-870. </w:t>
      </w:r>
    </w:p>
  </w:footnote>
  <w:footnote w:id="26">
    <w:p w14:paraId="5DC26B92"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 xml:space="preserve">See. J. Muse-Fisher, “Starving the vultures: </w:t>
      </w:r>
      <w:r w:rsidRPr="00CE451A">
        <w:rPr>
          <w:i/>
          <w:szCs w:val="18"/>
        </w:rPr>
        <w:t>NML Capital v. Republic of Argentina</w:t>
      </w:r>
      <w:r w:rsidRPr="00CE451A">
        <w:rPr>
          <w:szCs w:val="18"/>
        </w:rPr>
        <w:t xml:space="preserve"> and solutions to the problem of distressed-debt funds”, </w:t>
      </w:r>
      <w:r w:rsidRPr="00CE451A">
        <w:rPr>
          <w:i/>
          <w:szCs w:val="18"/>
        </w:rPr>
        <w:t>California Law Review</w:t>
      </w:r>
      <w:r w:rsidRPr="00CE451A">
        <w:rPr>
          <w:szCs w:val="18"/>
        </w:rPr>
        <w:t xml:space="preserve">, vol. 102, No. 6 (2014), p. 1689. Instead of providing for contractual protection against the risk of legal subordination in favour of another creditor holder of unsubordinated and unprotected debt, the pari passu clause is interpreted more broadly as providing factual preference to “holdout” creditors over the rest of creditors. </w:t>
      </w:r>
    </w:p>
  </w:footnote>
  <w:footnote w:id="27">
    <w:p w14:paraId="06A5984F"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 xml:space="preserve">“Argentina wins a victory against its hedge-fund creditors”, </w:t>
      </w:r>
      <w:r w:rsidRPr="00CE451A">
        <w:rPr>
          <w:i/>
          <w:szCs w:val="18"/>
        </w:rPr>
        <w:t>Economist</w:t>
      </w:r>
      <w:r w:rsidRPr="00CE451A">
        <w:rPr>
          <w:szCs w:val="18"/>
        </w:rPr>
        <w:t xml:space="preserve">, 21 February 2016. </w:t>
      </w:r>
    </w:p>
  </w:footnote>
  <w:footnote w:id="28">
    <w:p w14:paraId="19D0C121"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 xml:space="preserve">Raising the funds required the biggest bond sale by a developing country, worth $16.5 billion dollars with an interest rate between 6.5 and 8 per cent. “Sovereign debt: curing defaults”, </w:t>
      </w:r>
      <w:r w:rsidRPr="00CE451A">
        <w:rPr>
          <w:i/>
          <w:szCs w:val="18"/>
        </w:rPr>
        <w:t>Financial Times</w:t>
      </w:r>
      <w:r w:rsidRPr="00CE451A">
        <w:rPr>
          <w:szCs w:val="18"/>
        </w:rPr>
        <w:t xml:space="preserve">, 7 June 2016. See also </w:t>
      </w:r>
      <w:r w:rsidRPr="00CE451A">
        <w:rPr>
          <w:i/>
          <w:szCs w:val="18"/>
        </w:rPr>
        <w:t>Official Records of the General Assembly</w:t>
      </w:r>
      <w:r w:rsidRPr="00CE451A">
        <w:rPr>
          <w:szCs w:val="18"/>
        </w:rPr>
        <w:t xml:space="preserve">, 107th plenary meeting, 9 September 2014 (A/68/PV.107), p. 6. </w:t>
      </w:r>
    </w:p>
  </w:footnote>
  <w:footnote w:id="29">
    <w:p w14:paraId="788DCBD4" w14:textId="77777777" w:rsidR="0066100D" w:rsidRPr="00CE451A" w:rsidRDefault="0066100D" w:rsidP="0066100D">
      <w:pPr>
        <w:pStyle w:val="FootnoteText"/>
        <w:rPr>
          <w:szCs w:val="18"/>
          <w:lang w:val="en-US"/>
        </w:rPr>
      </w:pPr>
      <w:r w:rsidRPr="00CE451A">
        <w:rPr>
          <w:szCs w:val="18"/>
        </w:rPr>
        <w:tab/>
      </w:r>
      <w:r w:rsidRPr="00CE451A">
        <w:rPr>
          <w:rStyle w:val="FootnoteReference"/>
          <w:szCs w:val="18"/>
        </w:rPr>
        <w:footnoteRef/>
      </w:r>
      <w:r w:rsidRPr="00CE451A">
        <w:rPr>
          <w:szCs w:val="18"/>
        </w:rPr>
        <w:tab/>
        <w:t>OHCHR, information note, “Hold-out deal in Argentina makes solving debt crises more difficult, United Nations rights experts say”, 8 March 2016.</w:t>
      </w:r>
    </w:p>
  </w:footnote>
  <w:footnote w:id="30">
    <w:p w14:paraId="72D170BC" w14:textId="77777777" w:rsidR="0066100D" w:rsidRPr="00CE451A" w:rsidRDefault="0066100D" w:rsidP="0066100D">
      <w:pPr>
        <w:pStyle w:val="FootnoteText"/>
        <w:rPr>
          <w:szCs w:val="18"/>
          <w:lang w:val="en-US"/>
        </w:rPr>
      </w:pPr>
      <w:r w:rsidRPr="00CE451A">
        <w:rPr>
          <w:szCs w:val="18"/>
          <w:lang w:val="en-US"/>
        </w:rPr>
        <w:tab/>
      </w:r>
      <w:r w:rsidRPr="00CE451A">
        <w:rPr>
          <w:rStyle w:val="FootnoteReference"/>
          <w:szCs w:val="18"/>
        </w:rPr>
        <w:footnoteRef/>
      </w:r>
      <w:r w:rsidRPr="00CE451A">
        <w:rPr>
          <w:szCs w:val="18"/>
          <w:lang w:val="en-US"/>
        </w:rPr>
        <w:tab/>
      </w:r>
      <w:r w:rsidRPr="00CE451A">
        <w:rPr>
          <w:szCs w:val="18"/>
        </w:rPr>
        <w:t>Debt and Development Coalition Ireland, “Stop debt vultures: implications of the vulture attack on Argentina”, 1 September 2014.</w:t>
      </w:r>
    </w:p>
  </w:footnote>
  <w:footnote w:id="31">
    <w:p w14:paraId="67DECBB7"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 xml:space="preserve">Schumacher, “Sovereign defaults in court”, p. 2. </w:t>
      </w:r>
      <w:r w:rsidRPr="00CE451A">
        <w:rPr>
          <w:szCs w:val="18"/>
          <w:lang w:eastAsia="en-GB"/>
        </w:rPr>
        <w:t>The study concludes that “creditors can retaliate against defaults via legal means” and by “throwing sand in the wheels” of the economy of defaulting countries</w:t>
      </w:r>
      <w:r w:rsidRPr="00CE451A">
        <w:rPr>
          <w:szCs w:val="18"/>
        </w:rPr>
        <w:t xml:space="preserve">. </w:t>
      </w:r>
    </w:p>
  </w:footnote>
  <w:footnote w:id="32">
    <w:p w14:paraId="693A0937"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Ibid., pp. 1 and 4. This number does not include litigation resulting from bilateral investment treaties or before international arbitration bodies, which are increasingly being used by vulture funds to deploy their strategies.</w:t>
      </w:r>
    </w:p>
  </w:footnote>
  <w:footnote w:id="33">
    <w:p w14:paraId="728065BC"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IMF, Factsheet: Debt Relief Under the Heavily Indebted Poor Countries (HIPC) Initiative, 8 April 2016.</w:t>
      </w:r>
    </w:p>
  </w:footnote>
  <w:footnote w:id="34">
    <w:p w14:paraId="42CBC692" w14:textId="77777777" w:rsidR="0066100D" w:rsidRPr="007D19DF" w:rsidRDefault="0066100D" w:rsidP="0066100D">
      <w:pPr>
        <w:pStyle w:val="FootnoteText"/>
        <w:widowControl w:val="0"/>
        <w:rPr>
          <w:szCs w:val="18"/>
        </w:rPr>
      </w:pPr>
      <w:r>
        <w:rPr>
          <w:szCs w:val="18"/>
          <w:lang w:val="en-US"/>
        </w:rPr>
        <w:tab/>
      </w:r>
      <w:r w:rsidRPr="00CE451A">
        <w:rPr>
          <w:rStyle w:val="FootnoteReference"/>
          <w:szCs w:val="18"/>
        </w:rPr>
        <w:footnoteRef/>
      </w:r>
      <w:r>
        <w:rPr>
          <w:szCs w:val="18"/>
          <w:lang w:val="en-US"/>
        </w:rPr>
        <w:tab/>
      </w:r>
      <w:r w:rsidRPr="00CE451A">
        <w:rPr>
          <w:szCs w:val="18"/>
          <w:lang w:val="en-US"/>
        </w:rPr>
        <w:t>Claims by vu</w:t>
      </w:r>
      <w:r w:rsidRPr="00800F03">
        <w:rPr>
          <w:szCs w:val="18"/>
          <w:lang w:val="en-US"/>
        </w:rPr>
        <w:t>ture funds constitute between 12 and 13 per cent of African countries’ GDP, according to the IMF.</w:t>
      </w:r>
    </w:p>
  </w:footnote>
  <w:footnote w:id="35">
    <w:p w14:paraId="1E8DB0D3"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 xml:space="preserve"> </w:t>
      </w:r>
      <w:r w:rsidRPr="00CE451A">
        <w:rPr>
          <w:szCs w:val="18"/>
        </w:rPr>
        <w:tab/>
        <w:t>Ibid.; see also African Legal Support Facility, Medium Term Strategy 2013-2017, adopted on 29 May 2012, p. 10. Available from alsf.afdb.org/sites/default/files/resources/</w:t>
      </w:r>
      <w:r w:rsidRPr="00CE451A">
        <w:rPr>
          <w:szCs w:val="18"/>
        </w:rPr>
        <w:br/>
        <w:t>ALSF_MTS%20%281%29%20copy.pdf.</w:t>
      </w:r>
    </w:p>
  </w:footnote>
  <w:footnote w:id="36">
    <w:p w14:paraId="3CC543B4" w14:textId="77777777" w:rsidR="0066100D" w:rsidRPr="00800F03" w:rsidRDefault="0066100D" w:rsidP="0066100D">
      <w:pPr>
        <w:pStyle w:val="FootnoteText"/>
        <w:ind w:hanging="567"/>
        <w:rPr>
          <w:szCs w:val="18"/>
        </w:rPr>
      </w:pPr>
      <w:r w:rsidRPr="00800F03">
        <w:rPr>
          <w:szCs w:val="18"/>
        </w:rPr>
        <w:tab/>
      </w:r>
      <w:r w:rsidRPr="00CE451A">
        <w:rPr>
          <w:rStyle w:val="FootnoteReference"/>
          <w:szCs w:val="18"/>
        </w:rPr>
        <w:footnoteRef/>
      </w:r>
      <w:r>
        <w:rPr>
          <w:szCs w:val="18"/>
        </w:rPr>
        <w:t xml:space="preserve"> </w:t>
      </w:r>
      <w:r>
        <w:rPr>
          <w:szCs w:val="18"/>
        </w:rPr>
        <w:tab/>
        <w:t>Currently, 36</w:t>
      </w:r>
      <w:r w:rsidRPr="00CE451A">
        <w:rPr>
          <w:szCs w:val="18"/>
        </w:rPr>
        <w:t xml:space="preserve"> States are classified as HIPCs, i.e., countries with high poverty levels that are eligible for financial assistance from IMF and the World Bank.</w:t>
      </w:r>
    </w:p>
  </w:footnote>
  <w:footnote w:id="37">
    <w:p w14:paraId="76C31AF1"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 xml:space="preserve"> </w:t>
      </w:r>
      <w:r w:rsidRPr="00CE451A">
        <w:rPr>
          <w:szCs w:val="18"/>
        </w:rPr>
        <w:tab/>
      </w:r>
      <w:r w:rsidRPr="00800F03">
        <w:rPr>
          <w:szCs w:val="18"/>
        </w:rPr>
        <w:t xml:space="preserve">The Management Board approved supporting the first case involving vulture fund litigation against the Democratic Republic of the Congo in 2010. African Legal Support Facility, Medium Term Strategy 2013-2017, p. 10. </w:t>
      </w:r>
      <w:r w:rsidRPr="007D19DF">
        <w:rPr>
          <w:szCs w:val="18"/>
          <w:lang w:val="en-US"/>
        </w:rPr>
        <w:t xml:space="preserve">As of January 2016, the agreement establishing this international organization had been signed by a total of 52 African and other States, including Belgium, Brazil, France, the Netherlands and the United Kingdom, and 7 international organizations. </w:t>
      </w:r>
      <w:r w:rsidRPr="007554CD">
        <w:rPr>
          <w:szCs w:val="18"/>
        </w:rPr>
        <w:t>See alsf.afdb.org/basic/members.</w:t>
      </w:r>
    </w:p>
  </w:footnote>
  <w:footnote w:id="38">
    <w:p w14:paraId="35ED857D"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 xml:space="preserve"> </w:t>
      </w:r>
      <w:r w:rsidRPr="00CE451A">
        <w:rPr>
          <w:szCs w:val="18"/>
        </w:rPr>
        <w:tab/>
        <w:t xml:space="preserve">Ministerial statement adopted at the Commonwealth HIPC Ministerial Forum of the Commonwealth Secretariat, held in Washington, D.C. on 12 April 2007. </w:t>
      </w:r>
    </w:p>
  </w:footnote>
  <w:footnote w:id="39">
    <w:p w14:paraId="7426E2A6" w14:textId="77777777" w:rsidR="0066100D" w:rsidRPr="00800F03" w:rsidRDefault="0066100D" w:rsidP="0066100D">
      <w:pPr>
        <w:pStyle w:val="FootnoteText"/>
        <w:rPr>
          <w:szCs w:val="18"/>
        </w:rPr>
      </w:pPr>
      <w:r w:rsidRPr="00800F03">
        <w:rPr>
          <w:szCs w:val="18"/>
        </w:rPr>
        <w:tab/>
      </w:r>
      <w:r w:rsidRPr="00CE451A">
        <w:rPr>
          <w:rStyle w:val="FootnoteReference"/>
          <w:szCs w:val="18"/>
        </w:rPr>
        <w:footnoteRef/>
      </w:r>
      <w:r w:rsidRPr="00CE451A">
        <w:rPr>
          <w:szCs w:val="18"/>
        </w:rPr>
        <w:t xml:space="preserve"> </w:t>
      </w:r>
      <w:r w:rsidRPr="00CE451A">
        <w:rPr>
          <w:szCs w:val="18"/>
        </w:rPr>
        <w:tab/>
      </w:r>
      <w:r w:rsidRPr="00800F03">
        <w:rPr>
          <w:szCs w:val="18"/>
        </w:rPr>
        <w:t>http://www.cadtm.org/Vulture-Funds-Lessons-from-Greece</w:t>
      </w:r>
    </w:p>
  </w:footnote>
  <w:footnote w:id="40">
    <w:p w14:paraId="12D1FD22" w14:textId="77777777" w:rsidR="0066100D" w:rsidRPr="00800F03" w:rsidRDefault="0066100D" w:rsidP="0066100D">
      <w:pPr>
        <w:pStyle w:val="FootnoteText"/>
        <w:rPr>
          <w:szCs w:val="18"/>
        </w:rPr>
      </w:pPr>
      <w:r w:rsidRPr="00800F03">
        <w:rPr>
          <w:szCs w:val="18"/>
        </w:rPr>
        <w:tab/>
      </w:r>
      <w:r w:rsidRPr="00CE451A">
        <w:rPr>
          <w:rStyle w:val="FootnoteReference"/>
          <w:szCs w:val="18"/>
        </w:rPr>
        <w:footnoteRef/>
      </w:r>
      <w:r w:rsidRPr="00CE451A">
        <w:rPr>
          <w:szCs w:val="18"/>
        </w:rPr>
        <w:t xml:space="preserve"> </w:t>
      </w:r>
      <w:r w:rsidRPr="00CE451A">
        <w:rPr>
          <w:szCs w:val="18"/>
        </w:rPr>
        <w:tab/>
      </w:r>
      <w:r w:rsidRPr="00800F03">
        <w:rPr>
          <w:szCs w:val="18"/>
        </w:rPr>
        <w:t>http://www.cadtm.org/Who-Owns-Puerto-Rico-s-Debt-Exactly-We-ve-Tracked-Down-10-of-the-Biggest</w:t>
      </w:r>
    </w:p>
  </w:footnote>
  <w:footnote w:id="41">
    <w:p w14:paraId="1CE8BA86" w14:textId="77777777" w:rsidR="0066100D" w:rsidRPr="007D19DF" w:rsidRDefault="0066100D" w:rsidP="0066100D">
      <w:pPr>
        <w:pStyle w:val="FootnoteText"/>
      </w:pPr>
      <w:r>
        <w:tab/>
      </w:r>
      <w:r>
        <w:rPr>
          <w:rStyle w:val="FootnoteReference"/>
        </w:rPr>
        <w:footnoteRef/>
      </w:r>
      <w:r>
        <w:t xml:space="preserve"> </w:t>
      </w:r>
      <w:r>
        <w:tab/>
      </w:r>
      <w:r w:rsidRPr="007D19DF">
        <w:t>https://www.nytimes.com/2017/11/14/business/venezuela-debt-investors.html</w:t>
      </w:r>
    </w:p>
  </w:footnote>
  <w:footnote w:id="42">
    <w:p w14:paraId="274870DC" w14:textId="77777777" w:rsidR="0066100D" w:rsidRPr="007D19DF" w:rsidRDefault="0066100D" w:rsidP="0066100D">
      <w:pPr>
        <w:pStyle w:val="FootnoteText"/>
        <w:rPr>
          <w:szCs w:val="18"/>
        </w:rPr>
      </w:pPr>
      <w:r w:rsidRPr="00800F03">
        <w:rPr>
          <w:szCs w:val="18"/>
        </w:rPr>
        <w:tab/>
      </w:r>
      <w:r w:rsidRPr="00800F03">
        <w:rPr>
          <w:rStyle w:val="FootnoteReference"/>
          <w:szCs w:val="18"/>
        </w:rPr>
        <w:footnoteRef/>
      </w:r>
      <w:r w:rsidRPr="00800F03">
        <w:rPr>
          <w:szCs w:val="18"/>
        </w:rPr>
        <w:t xml:space="preserve"> </w:t>
      </w:r>
      <w:r w:rsidRPr="00800F03">
        <w:rPr>
          <w:szCs w:val="18"/>
        </w:rPr>
        <w:tab/>
      </w:r>
      <w:hyperlink r:id="rId1" w:history="1">
        <w:r w:rsidRPr="00800F03">
          <w:rPr>
            <w:rStyle w:val="Hyperlink"/>
            <w:szCs w:val="18"/>
          </w:rPr>
          <w:t>https://www.irishtimes.com/business/financial-services/goldman-vulture-funds-collect-465m-from-distressed-irish-loans-1.3664476</w:t>
        </w:r>
      </w:hyperlink>
      <w:r w:rsidRPr="00800F03">
        <w:rPr>
          <w:szCs w:val="18"/>
        </w:rPr>
        <w:t>; https://www.financialjustice.ie/download/pdf/ddci_vulture_funds_report.pdf</w:t>
      </w:r>
    </w:p>
  </w:footnote>
  <w:footnote w:id="43">
    <w:p w14:paraId="211E7B05" w14:textId="77777777" w:rsidR="0066100D" w:rsidRPr="007D19DF" w:rsidRDefault="0066100D" w:rsidP="0066100D">
      <w:pPr>
        <w:pStyle w:val="FootnoteText"/>
        <w:rPr>
          <w:szCs w:val="18"/>
        </w:rPr>
      </w:pPr>
      <w:r w:rsidRPr="007D19DF">
        <w:rPr>
          <w:szCs w:val="18"/>
        </w:rPr>
        <w:tab/>
      </w:r>
      <w:r w:rsidRPr="00800F03">
        <w:rPr>
          <w:rStyle w:val="FootnoteReference"/>
          <w:szCs w:val="18"/>
        </w:rPr>
        <w:footnoteRef/>
      </w:r>
      <w:r w:rsidRPr="00800F03">
        <w:rPr>
          <w:szCs w:val="18"/>
        </w:rPr>
        <w:t xml:space="preserve"> </w:t>
      </w:r>
      <w:r w:rsidRPr="00800F03">
        <w:rPr>
          <w:szCs w:val="18"/>
        </w:rPr>
        <w:tab/>
        <w:t>https://www.nuevatribuna.es/articulo/economia/fondos-buitre-han-aterrizado-espana-forma-masiva-comprando-vivienda-bestia/20180417121703150950.html</w:t>
      </w:r>
    </w:p>
  </w:footnote>
  <w:footnote w:id="44">
    <w:p w14:paraId="29623327" w14:textId="77777777" w:rsidR="0066100D" w:rsidRPr="007D19DF" w:rsidRDefault="0066100D" w:rsidP="0066100D">
      <w:pPr>
        <w:pStyle w:val="FootnoteText"/>
        <w:rPr>
          <w:szCs w:val="18"/>
        </w:rPr>
      </w:pPr>
      <w:r w:rsidRPr="007D19DF">
        <w:rPr>
          <w:szCs w:val="18"/>
        </w:rPr>
        <w:tab/>
      </w:r>
      <w:r w:rsidRPr="00800F03">
        <w:rPr>
          <w:rStyle w:val="FootnoteReference"/>
          <w:szCs w:val="18"/>
        </w:rPr>
        <w:footnoteRef/>
      </w:r>
      <w:r w:rsidRPr="00800F03">
        <w:rPr>
          <w:szCs w:val="18"/>
        </w:rPr>
        <w:t xml:space="preserve"> </w:t>
      </w:r>
      <w:r w:rsidRPr="00800F03">
        <w:rPr>
          <w:szCs w:val="18"/>
        </w:rPr>
        <w:tab/>
        <w:t>In Ireland, t</w:t>
      </w:r>
      <w:r w:rsidRPr="00800F03">
        <w:rPr>
          <w:szCs w:val="18"/>
          <w:lang w:val="en-US"/>
        </w:rPr>
        <w:t>he 60%  of all assets sold by one of these banks have been acquired by Texas-based Lone Star Capital.</w:t>
      </w:r>
    </w:p>
  </w:footnote>
  <w:footnote w:id="45">
    <w:p w14:paraId="37512BD2" w14:textId="77777777" w:rsidR="0066100D" w:rsidRPr="00CE451A" w:rsidRDefault="0066100D" w:rsidP="0066100D">
      <w:pPr>
        <w:pStyle w:val="FootnoteText"/>
        <w:rPr>
          <w:szCs w:val="18"/>
        </w:rPr>
      </w:pPr>
      <w:r w:rsidRPr="00CE451A">
        <w:rPr>
          <w:szCs w:val="18"/>
        </w:rPr>
        <w:tab/>
      </w:r>
      <w:r w:rsidRPr="00800F03">
        <w:rPr>
          <w:rStyle w:val="FootnoteReference"/>
          <w:szCs w:val="18"/>
        </w:rPr>
        <w:footnoteRef/>
      </w:r>
      <w:r w:rsidRPr="00CE451A">
        <w:rPr>
          <w:szCs w:val="18"/>
        </w:rPr>
        <w:tab/>
      </w:r>
      <w:r w:rsidRPr="00800F03">
        <w:rPr>
          <w:szCs w:val="18"/>
        </w:rPr>
        <w:t>In 2013, United Kingdom</w:t>
      </w:r>
      <w:r w:rsidRPr="00800F03" w:rsidDel="00933F85">
        <w:rPr>
          <w:szCs w:val="18"/>
        </w:rPr>
        <w:t xml:space="preserve"> legislation was replicated in the </w:t>
      </w:r>
      <w:r w:rsidRPr="00800F03">
        <w:rPr>
          <w:szCs w:val="18"/>
        </w:rPr>
        <w:t>O</w:t>
      </w:r>
      <w:r w:rsidRPr="00800F03" w:rsidDel="00933F85">
        <w:rPr>
          <w:szCs w:val="18"/>
        </w:rPr>
        <w:t xml:space="preserve">verseas </w:t>
      </w:r>
      <w:r w:rsidRPr="00800F03">
        <w:rPr>
          <w:szCs w:val="18"/>
        </w:rPr>
        <w:t>T</w:t>
      </w:r>
      <w:r w:rsidRPr="00800F03" w:rsidDel="00933F85">
        <w:rPr>
          <w:szCs w:val="18"/>
        </w:rPr>
        <w:t xml:space="preserve">erritories and </w:t>
      </w:r>
      <w:r w:rsidRPr="00800F03">
        <w:rPr>
          <w:szCs w:val="18"/>
        </w:rPr>
        <w:t xml:space="preserve">the </w:t>
      </w:r>
      <w:r w:rsidRPr="00800F03" w:rsidDel="00933F85">
        <w:rPr>
          <w:szCs w:val="18"/>
        </w:rPr>
        <w:t>dependencies of Jersey, Guernsey and the Isle of Man.</w:t>
      </w:r>
      <w:r w:rsidRPr="00CE451A">
        <w:rPr>
          <w:szCs w:val="18"/>
        </w:rPr>
        <w:t>See, for example, Debt Relief (Developing Countries) (Jersey) Law 2013.</w:t>
      </w:r>
    </w:p>
  </w:footnote>
  <w:footnote w:id="46">
    <w:p w14:paraId="400AEA29" w14:textId="77777777" w:rsidR="0066100D" w:rsidRPr="00CE451A" w:rsidRDefault="0066100D" w:rsidP="0066100D">
      <w:pPr>
        <w:pStyle w:val="FootnoteText"/>
        <w:widowControl w:val="0"/>
        <w:rPr>
          <w:szCs w:val="18"/>
        </w:rPr>
      </w:pPr>
      <w:r w:rsidRPr="00CE451A">
        <w:rPr>
          <w:szCs w:val="18"/>
        </w:rPr>
        <w:tab/>
      </w:r>
      <w:r w:rsidRPr="00800F03">
        <w:rPr>
          <w:rStyle w:val="FootnoteReference"/>
          <w:szCs w:val="18"/>
        </w:rPr>
        <w:footnoteRef/>
      </w:r>
      <w:r w:rsidRPr="00CE451A">
        <w:rPr>
          <w:szCs w:val="18"/>
        </w:rPr>
        <w:tab/>
        <w:t xml:space="preserve">See </w:t>
      </w:r>
      <w:r w:rsidRPr="00CE451A">
        <w:rPr>
          <w:i/>
          <w:szCs w:val="18"/>
        </w:rPr>
        <w:t>Proposition de loi n</w:t>
      </w:r>
      <w:r w:rsidRPr="00CE451A">
        <w:rPr>
          <w:i/>
          <w:szCs w:val="18"/>
          <w:vertAlign w:val="superscript"/>
        </w:rPr>
        <w:t xml:space="preserve">o </w:t>
      </w:r>
      <w:r w:rsidRPr="00CE451A">
        <w:rPr>
          <w:i/>
          <w:szCs w:val="18"/>
        </w:rPr>
        <w:t>3214, visant à lutter contre l’action des fonds financiers dits « fonds vautours »</w:t>
      </w:r>
      <w:r w:rsidRPr="00CE451A">
        <w:rPr>
          <w:szCs w:val="18"/>
        </w:rPr>
        <w:t xml:space="preserve">, 28 June 2006; and H.R.2932, Stop Very Unscrupulous Loan Transfers from Underprivileged Countries to Rich, Exploitive Funds Act, 1 August 2008. </w:t>
      </w:r>
    </w:p>
  </w:footnote>
  <w:footnote w:id="47">
    <w:p w14:paraId="7DC5FCAF" w14:textId="77777777" w:rsidR="0066100D" w:rsidRPr="00CE451A" w:rsidRDefault="0066100D" w:rsidP="0066100D">
      <w:pPr>
        <w:pStyle w:val="FootnoteText"/>
        <w:widowControl w:val="0"/>
        <w:tabs>
          <w:tab w:val="clear" w:pos="1021"/>
          <w:tab w:val="right" w:pos="1020"/>
        </w:tabs>
        <w:rPr>
          <w:szCs w:val="18"/>
          <w:lang w:val="fr-CH"/>
        </w:rPr>
      </w:pPr>
      <w:r w:rsidRPr="00CE451A">
        <w:rPr>
          <w:szCs w:val="18"/>
        </w:rPr>
        <w:tab/>
      </w:r>
      <w:r w:rsidRPr="00800F03">
        <w:rPr>
          <w:rStyle w:val="FootnoteReference"/>
          <w:szCs w:val="18"/>
        </w:rPr>
        <w:footnoteRef/>
      </w:r>
      <w:r w:rsidRPr="00CE451A">
        <w:rPr>
          <w:szCs w:val="18"/>
          <w:lang w:val="fr-CH"/>
        </w:rPr>
        <w:tab/>
      </w:r>
      <w:r w:rsidRPr="00CE451A">
        <w:rPr>
          <w:i/>
          <w:szCs w:val="18"/>
          <w:lang w:val="fr-CH"/>
        </w:rPr>
        <w:t>Loi visant à empêcher la saisie ou la cession des fonds publics destinés à la coopération internationale, notamment par la technique des fonds vautours</w:t>
      </w:r>
      <w:r w:rsidRPr="00CE451A">
        <w:rPr>
          <w:szCs w:val="18"/>
          <w:lang w:val="fr-CH"/>
        </w:rPr>
        <w:t xml:space="preserve">, 6 April 2008. </w:t>
      </w:r>
    </w:p>
  </w:footnote>
  <w:footnote w:id="48">
    <w:p w14:paraId="2F7BC4F4" w14:textId="77777777" w:rsidR="0066100D" w:rsidRPr="00CE451A" w:rsidRDefault="0066100D" w:rsidP="0066100D">
      <w:pPr>
        <w:pStyle w:val="FootnoteText"/>
        <w:widowControl w:val="0"/>
        <w:tabs>
          <w:tab w:val="clear" w:pos="1021"/>
          <w:tab w:val="right" w:pos="1020"/>
        </w:tabs>
        <w:rPr>
          <w:szCs w:val="18"/>
          <w:lang w:val="fr-CH"/>
        </w:rPr>
      </w:pPr>
      <w:r w:rsidRPr="00CE451A">
        <w:rPr>
          <w:szCs w:val="18"/>
          <w:lang w:val="fr-CH"/>
        </w:rPr>
        <w:tab/>
      </w:r>
      <w:r w:rsidRPr="00800F03">
        <w:rPr>
          <w:rStyle w:val="FootnoteReference"/>
          <w:szCs w:val="18"/>
        </w:rPr>
        <w:footnoteRef/>
      </w:r>
      <w:r w:rsidRPr="00CE451A">
        <w:rPr>
          <w:szCs w:val="18"/>
        </w:rPr>
        <w:tab/>
        <w:t xml:space="preserve">Ten lawsuits were lodged against the Democratic Republic of the Congo in 2007 alone. </w:t>
      </w:r>
      <w:r w:rsidRPr="00CE451A">
        <w:rPr>
          <w:szCs w:val="18"/>
          <w:lang w:val="fr-CH"/>
        </w:rPr>
        <w:t xml:space="preserve">Sookum, </w:t>
      </w:r>
      <w:r w:rsidRPr="00CE451A">
        <w:rPr>
          <w:i/>
          <w:szCs w:val="18"/>
          <w:lang w:val="fr-CH"/>
        </w:rPr>
        <w:t>Stop Vulture Funds Lawsuits</w:t>
      </w:r>
      <w:r w:rsidRPr="00CE451A">
        <w:rPr>
          <w:iCs/>
          <w:szCs w:val="18"/>
          <w:lang w:val="fr-CH"/>
        </w:rPr>
        <w:t xml:space="preserve">, </w:t>
      </w:r>
      <w:r w:rsidRPr="00CE451A">
        <w:rPr>
          <w:szCs w:val="18"/>
          <w:lang w:val="fr-CH"/>
        </w:rPr>
        <w:t>pp. 90-91.</w:t>
      </w:r>
    </w:p>
  </w:footnote>
  <w:footnote w:id="49">
    <w:p w14:paraId="3A3F9663" w14:textId="77777777" w:rsidR="0066100D" w:rsidRPr="00CE451A" w:rsidRDefault="0066100D" w:rsidP="0066100D">
      <w:pPr>
        <w:pStyle w:val="FootnoteText"/>
        <w:widowControl w:val="0"/>
        <w:tabs>
          <w:tab w:val="clear" w:pos="1021"/>
          <w:tab w:val="right" w:pos="1020"/>
        </w:tabs>
        <w:rPr>
          <w:szCs w:val="18"/>
          <w:lang w:val="fr-CH"/>
        </w:rPr>
      </w:pPr>
      <w:r w:rsidRPr="00CE451A">
        <w:rPr>
          <w:szCs w:val="18"/>
          <w:lang w:val="fr-CH"/>
        </w:rPr>
        <w:tab/>
      </w:r>
      <w:r w:rsidRPr="00800F03">
        <w:rPr>
          <w:rStyle w:val="FootnoteReference"/>
          <w:szCs w:val="18"/>
        </w:rPr>
        <w:footnoteRef/>
      </w:r>
      <w:r w:rsidRPr="00CE451A">
        <w:rPr>
          <w:szCs w:val="18"/>
          <w:lang w:val="fr-CH"/>
        </w:rPr>
        <w:tab/>
      </w:r>
      <w:r w:rsidRPr="00CE451A">
        <w:rPr>
          <w:i/>
          <w:szCs w:val="18"/>
          <w:lang w:val="fr-CH"/>
        </w:rPr>
        <w:t>Loi relative à la lutte contre les activités des fonds vautours</w:t>
      </w:r>
      <w:r w:rsidRPr="00CE451A">
        <w:rPr>
          <w:szCs w:val="18"/>
          <w:lang w:val="fr-CH"/>
        </w:rPr>
        <w:t>, 12 July 2015.</w:t>
      </w:r>
    </w:p>
  </w:footnote>
  <w:footnote w:id="50">
    <w:p w14:paraId="34793453" w14:textId="77777777" w:rsidR="0066100D" w:rsidRPr="00800F03" w:rsidRDefault="0066100D" w:rsidP="0066100D">
      <w:pPr>
        <w:pStyle w:val="FootnoteText"/>
        <w:rPr>
          <w:szCs w:val="18"/>
          <w:lang w:val="fr-CH"/>
        </w:rPr>
      </w:pPr>
      <w:r w:rsidRPr="00800F03">
        <w:rPr>
          <w:szCs w:val="18"/>
          <w:lang w:val="fr-CH"/>
        </w:rPr>
        <w:tab/>
      </w:r>
      <w:r w:rsidRPr="00800F03">
        <w:rPr>
          <w:rStyle w:val="FootnoteReference"/>
          <w:szCs w:val="18"/>
        </w:rPr>
        <w:footnoteRef/>
      </w:r>
      <w:r w:rsidRPr="00800F03">
        <w:rPr>
          <w:szCs w:val="18"/>
          <w:lang w:val="fr-CH"/>
        </w:rPr>
        <w:tab/>
        <w:t>Chambre des Représentants de Belgique,</w:t>
      </w:r>
      <w:r w:rsidRPr="00CE451A">
        <w:rPr>
          <w:i/>
          <w:szCs w:val="18"/>
          <w:lang w:val="fr-CH"/>
        </w:rPr>
        <w:t xml:space="preserve"> Proposition de loi concernant la lutte contre les activités des fonds vautours, </w:t>
      </w:r>
      <w:r w:rsidRPr="00CE451A">
        <w:rPr>
          <w:szCs w:val="18"/>
          <w:lang w:val="fr-CH"/>
        </w:rPr>
        <w:t>Doc 54 0394/001, 7 October 2014.</w:t>
      </w:r>
    </w:p>
  </w:footnote>
  <w:footnote w:id="51">
    <w:p w14:paraId="28D91E42" w14:textId="77777777" w:rsidR="0066100D" w:rsidRPr="005E5C04" w:rsidRDefault="0066100D" w:rsidP="0066100D">
      <w:pPr>
        <w:pStyle w:val="FootnoteText"/>
        <w:rPr>
          <w:szCs w:val="18"/>
          <w:lang w:val="fr-CH"/>
        </w:rPr>
      </w:pPr>
      <w:r w:rsidRPr="005E5C04">
        <w:rPr>
          <w:szCs w:val="18"/>
          <w:lang w:val="fr-CH"/>
        </w:rPr>
        <w:tab/>
      </w:r>
      <w:r w:rsidRPr="005E5C04">
        <w:rPr>
          <w:rStyle w:val="FootnoteReference"/>
          <w:szCs w:val="18"/>
        </w:rPr>
        <w:footnoteRef/>
      </w:r>
      <w:r w:rsidRPr="005E5C04">
        <w:rPr>
          <w:szCs w:val="18"/>
          <w:lang w:val="fr-CH"/>
        </w:rPr>
        <w:tab/>
        <w:t>http://www.const-court.be/public/n/2018/2018-061n.pdf</w:t>
      </w:r>
    </w:p>
  </w:footnote>
  <w:footnote w:id="52">
    <w:p w14:paraId="2C6A961B" w14:textId="77777777" w:rsidR="0066100D" w:rsidRPr="005E5C04" w:rsidRDefault="0066100D" w:rsidP="0066100D">
      <w:pPr>
        <w:pStyle w:val="FootnoteText"/>
        <w:rPr>
          <w:szCs w:val="18"/>
        </w:rPr>
      </w:pPr>
      <w:r w:rsidRPr="005E5C04">
        <w:rPr>
          <w:szCs w:val="18"/>
          <w:lang w:val="fr-CH"/>
        </w:rPr>
        <w:tab/>
      </w:r>
      <w:r w:rsidRPr="005E5C04">
        <w:rPr>
          <w:rStyle w:val="FootnoteReference"/>
          <w:szCs w:val="18"/>
        </w:rPr>
        <w:footnoteRef/>
      </w:r>
      <w:r w:rsidRPr="005E5C04">
        <w:rPr>
          <w:szCs w:val="18"/>
        </w:rPr>
        <w:tab/>
        <w:t>In accordance to this article a natural or legal person can only be deprived of its possessions in the public  interest and subject to the conditions provided for by law and by the general principles of international law.</w:t>
      </w:r>
    </w:p>
  </w:footnote>
  <w:footnote w:id="53">
    <w:p w14:paraId="100D5244" w14:textId="77777777" w:rsidR="0066100D" w:rsidRPr="00CE451A" w:rsidRDefault="0066100D" w:rsidP="0066100D">
      <w:pPr>
        <w:pStyle w:val="FootnoteText"/>
        <w:widowControl w:val="0"/>
        <w:tabs>
          <w:tab w:val="clear" w:pos="1021"/>
          <w:tab w:val="right" w:pos="1020"/>
        </w:tabs>
        <w:rPr>
          <w:szCs w:val="18"/>
        </w:rPr>
      </w:pPr>
      <w:r w:rsidRPr="005E5C04">
        <w:rPr>
          <w:szCs w:val="18"/>
        </w:rPr>
        <w:tab/>
      </w:r>
      <w:r w:rsidRPr="00CE451A">
        <w:rPr>
          <w:rStyle w:val="FootnoteReference"/>
          <w:szCs w:val="18"/>
        </w:rPr>
        <w:footnoteRef/>
      </w:r>
      <w:r w:rsidRPr="00CE451A">
        <w:rPr>
          <w:szCs w:val="18"/>
        </w:rPr>
        <w:tab/>
        <w:t>Developing Country Debt (Restriction of Recovery) Bill 2008-2009.</w:t>
      </w:r>
    </w:p>
  </w:footnote>
  <w:footnote w:id="54">
    <w:p w14:paraId="6A19C6FA"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800F03">
        <w:rPr>
          <w:rStyle w:val="FootnoteReference"/>
          <w:szCs w:val="18"/>
        </w:rPr>
        <w:footnoteRef/>
      </w:r>
      <w:r w:rsidRPr="00CE451A">
        <w:rPr>
          <w:szCs w:val="18"/>
        </w:rPr>
        <w:tab/>
        <w:t>Ibid., section 3.</w:t>
      </w:r>
    </w:p>
  </w:footnote>
  <w:footnote w:id="55">
    <w:p w14:paraId="79F36193"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800F03">
        <w:rPr>
          <w:rStyle w:val="FootnoteReference"/>
          <w:szCs w:val="18"/>
        </w:rPr>
        <w:footnoteRef/>
      </w:r>
      <w:r w:rsidRPr="00CE451A">
        <w:rPr>
          <w:szCs w:val="18"/>
        </w:rPr>
        <w:tab/>
        <w:t>Ibid., section 6.</w:t>
      </w:r>
    </w:p>
  </w:footnote>
  <w:footnote w:id="56">
    <w:p w14:paraId="08F32ECE" w14:textId="77777777" w:rsidR="0066100D" w:rsidRPr="00CE451A" w:rsidRDefault="0066100D" w:rsidP="0066100D">
      <w:pPr>
        <w:pStyle w:val="FootnoteText"/>
        <w:rPr>
          <w:szCs w:val="18"/>
        </w:rPr>
      </w:pPr>
      <w:r w:rsidRPr="00CE451A">
        <w:rPr>
          <w:szCs w:val="18"/>
        </w:rPr>
        <w:tab/>
      </w:r>
      <w:r w:rsidRPr="00800F03">
        <w:rPr>
          <w:rStyle w:val="FootnoteReference"/>
          <w:szCs w:val="18"/>
        </w:rPr>
        <w:footnoteRef/>
      </w:r>
      <w:r w:rsidRPr="00CE451A">
        <w:rPr>
          <w:szCs w:val="18"/>
        </w:rPr>
        <w:t xml:space="preserve"> </w:t>
      </w:r>
      <w:r w:rsidRPr="00CE451A">
        <w:rPr>
          <w:szCs w:val="18"/>
        </w:rPr>
        <w:tab/>
        <w:t xml:space="preserve">Ibid., section 5. </w:t>
      </w:r>
    </w:p>
  </w:footnote>
  <w:footnote w:id="57">
    <w:p w14:paraId="7457459D" w14:textId="77777777" w:rsidR="0066100D" w:rsidRPr="00CE451A" w:rsidRDefault="0066100D" w:rsidP="0066100D">
      <w:pPr>
        <w:pStyle w:val="FootnoteText"/>
        <w:rPr>
          <w:szCs w:val="18"/>
        </w:rPr>
      </w:pPr>
      <w:r w:rsidRPr="00CE451A">
        <w:rPr>
          <w:szCs w:val="18"/>
        </w:rPr>
        <w:tab/>
      </w:r>
      <w:r w:rsidRPr="00800F03">
        <w:rPr>
          <w:rStyle w:val="FootnoteReference"/>
          <w:szCs w:val="18"/>
        </w:rPr>
        <w:footnoteRef/>
      </w:r>
      <w:r w:rsidRPr="00CE451A">
        <w:rPr>
          <w:szCs w:val="18"/>
        </w:rPr>
        <w:t xml:space="preserve"> </w:t>
      </w:r>
      <w:r w:rsidRPr="00CE451A">
        <w:rPr>
          <w:szCs w:val="18"/>
        </w:rPr>
        <w:tab/>
        <w:t xml:space="preserve">M. Waibel, “Debt relief to poor countries: rules v. discretion”, </w:t>
      </w:r>
      <w:r w:rsidRPr="00CE451A">
        <w:rPr>
          <w:i/>
          <w:szCs w:val="18"/>
        </w:rPr>
        <w:t>Butterworths Journal of International Banking and Financial Law</w:t>
      </w:r>
      <w:r w:rsidRPr="00CE451A">
        <w:rPr>
          <w:szCs w:val="18"/>
        </w:rPr>
        <w:t xml:space="preserve"> (June 2010), available from http://papers.ssrn.com/sol3/papers.cfm?abstract_id=1612242.</w:t>
      </w:r>
    </w:p>
  </w:footnote>
  <w:footnote w:id="58">
    <w:p w14:paraId="53167B64" w14:textId="77777777" w:rsidR="0066100D" w:rsidRPr="00594EF8" w:rsidRDefault="0066100D" w:rsidP="0066100D">
      <w:pPr>
        <w:pStyle w:val="FootnoteText"/>
        <w:rPr>
          <w:bCs/>
          <w:szCs w:val="18"/>
        </w:rPr>
      </w:pPr>
      <w:r w:rsidRPr="005E5C04">
        <w:rPr>
          <w:b/>
          <w:szCs w:val="18"/>
        </w:rPr>
        <w:tab/>
      </w:r>
      <w:r w:rsidRPr="00594EF8">
        <w:rPr>
          <w:rStyle w:val="FootnoteReference"/>
          <w:szCs w:val="18"/>
        </w:rPr>
        <w:footnoteRef/>
      </w:r>
      <w:r w:rsidRPr="00594EF8">
        <w:rPr>
          <w:szCs w:val="18"/>
          <w:lang w:val="fr-CH"/>
        </w:rPr>
        <w:t xml:space="preserve"> </w:t>
      </w:r>
      <w:r w:rsidRPr="00594EF8">
        <w:rPr>
          <w:szCs w:val="18"/>
          <w:lang w:val="fr-CH"/>
        </w:rPr>
        <w:tab/>
      </w:r>
      <w:r w:rsidRPr="00594EF8">
        <w:rPr>
          <w:rStyle w:val="Strong"/>
          <w:b w:val="0"/>
          <w:szCs w:val="18"/>
          <w:lang w:val="fr-CH"/>
        </w:rPr>
        <w:t xml:space="preserve">LOI n° </w:t>
      </w:r>
      <w:r w:rsidRPr="00594EF8">
        <w:rPr>
          <w:szCs w:val="18"/>
          <w:lang w:val="fr-CH"/>
        </w:rPr>
        <w:t>2016</w:t>
      </w:r>
      <w:r w:rsidRPr="00594EF8">
        <w:rPr>
          <w:rStyle w:val="Strong"/>
          <w:b w:val="0"/>
          <w:szCs w:val="18"/>
          <w:lang w:val="fr-CH"/>
        </w:rPr>
        <w:t>-1691 du 9 décembre 2016 relative à la transparence, à la lutte contre la corruption et à la modernisation de la vie économique,  JORF n°0287 du 10 décembre 2016, Art. 60.</w:t>
      </w:r>
      <w:r w:rsidRPr="00594EF8">
        <w:rPr>
          <w:rStyle w:val="Strong"/>
          <w:szCs w:val="18"/>
          <w:lang w:val="fr-CH"/>
        </w:rPr>
        <w:t xml:space="preserve"> </w:t>
      </w:r>
      <w:hyperlink r:id="rId2" w:history="1">
        <w:r w:rsidRPr="00594EF8">
          <w:rPr>
            <w:rStyle w:val="Hyperlink"/>
            <w:szCs w:val="18"/>
          </w:rPr>
          <w:t>https://www.legifrance.gouv.fr/affichTexteArticle.do;jsessionid=98B52AFB2E6A7147F71FB87CF89A6291.tplgfr28s_2?idArticle=JORFARTI000033558576&amp;cidTexte=JORFTEXT000033558528&amp;dateTexte=29990101&amp;categorieLien=id</w:t>
        </w:r>
      </w:hyperlink>
    </w:p>
  </w:footnote>
  <w:footnote w:id="59">
    <w:p w14:paraId="20887FC6" w14:textId="77777777" w:rsidR="0066100D" w:rsidRPr="005E5C04" w:rsidRDefault="0066100D" w:rsidP="0066100D">
      <w:pPr>
        <w:pStyle w:val="FootnoteText"/>
        <w:rPr>
          <w:szCs w:val="18"/>
        </w:rPr>
      </w:pPr>
      <w:r w:rsidRPr="005E5C04">
        <w:rPr>
          <w:szCs w:val="18"/>
        </w:rPr>
        <w:tab/>
      </w:r>
      <w:r w:rsidRPr="005E5C04">
        <w:rPr>
          <w:rStyle w:val="FootnoteReference"/>
          <w:szCs w:val="18"/>
        </w:rPr>
        <w:footnoteRef/>
      </w:r>
      <w:r w:rsidRPr="005E5C04">
        <w:rPr>
          <w:szCs w:val="18"/>
        </w:rPr>
        <w:t xml:space="preserve"> </w:t>
      </w:r>
      <w:r w:rsidRPr="005E5C04">
        <w:rPr>
          <w:szCs w:val="18"/>
        </w:rPr>
        <w:tab/>
        <w:t>This fact has been criticised since, a</w:t>
      </w:r>
      <w:r w:rsidRPr="00CE451A">
        <w:rPr>
          <w:szCs w:val="18"/>
        </w:rPr>
        <w:t xml:space="preserve">s it is well known, the application of the principle of non-retroactivity allows for exceptions </w:t>
      </w:r>
      <w:r w:rsidRPr="005E5C04">
        <w:rPr>
          <w:szCs w:val="18"/>
        </w:rPr>
        <w:t>particularly when the execution of a decision would damage the general interest</w:t>
      </w:r>
      <w:r w:rsidRPr="00800F03">
        <w:rPr>
          <w:szCs w:val="18"/>
        </w:rPr>
        <w:t>; http://www.cadtm.org/Fonds-vautours-La-France-reagit</w:t>
      </w:r>
    </w:p>
  </w:footnote>
  <w:footnote w:id="60">
    <w:p w14:paraId="2F9A9D9B" w14:textId="77777777" w:rsidR="0066100D" w:rsidRPr="0088058E" w:rsidRDefault="0066100D" w:rsidP="0066100D">
      <w:pPr>
        <w:pStyle w:val="FootnoteText"/>
      </w:pPr>
      <w:r>
        <w:tab/>
      </w:r>
      <w:r>
        <w:rPr>
          <w:rStyle w:val="FootnoteReference"/>
        </w:rPr>
        <w:footnoteRef/>
      </w:r>
      <w:r>
        <w:t xml:space="preserve"> </w:t>
      </w:r>
      <w:r>
        <w:tab/>
      </w:r>
      <w:r w:rsidRPr="009F43C2">
        <w:rPr>
          <w:sz w:val="16"/>
          <w:szCs w:val="16"/>
        </w:rPr>
        <w:t xml:space="preserve">IMF, Third Progress Report on Inclusion of Enhanced Contractual Provisions in International Sovereign Bond </w:t>
      </w:r>
      <w:r>
        <w:rPr>
          <w:sz w:val="16"/>
          <w:szCs w:val="16"/>
        </w:rPr>
        <w:t xml:space="preserve">Contracts, December 2017, pp. </w:t>
      </w:r>
      <w:r>
        <w:t xml:space="preserve">The IMF Executive Board endorsed in October 2014 the inclusion of enhanced clauses aimed at  </w:t>
      </w:r>
      <w:r w:rsidRPr="0088058E">
        <w:rPr>
          <w:i/>
        </w:rPr>
        <w:t>pari passu</w:t>
      </w:r>
      <w:r>
        <w:t xml:space="preserve"> provisions and collective action clauses in new international sovereign bonds. </w:t>
      </w:r>
    </w:p>
  </w:footnote>
  <w:footnote w:id="61">
    <w:p w14:paraId="599D1282" w14:textId="77777777" w:rsidR="0066100D" w:rsidRPr="00675559" w:rsidRDefault="0066100D" w:rsidP="0066100D">
      <w:pPr>
        <w:pStyle w:val="FootnoteText"/>
        <w:rPr>
          <w:szCs w:val="18"/>
        </w:rPr>
      </w:pPr>
      <w:r w:rsidRPr="00800F03">
        <w:rPr>
          <w:szCs w:val="18"/>
        </w:rPr>
        <w:tab/>
      </w:r>
      <w:r w:rsidRPr="00675559">
        <w:rPr>
          <w:rStyle w:val="FootnoteReference"/>
          <w:szCs w:val="18"/>
        </w:rPr>
        <w:footnoteRef/>
      </w:r>
      <w:r w:rsidRPr="00675559">
        <w:rPr>
          <w:szCs w:val="18"/>
        </w:rPr>
        <w:tab/>
        <w:t>“Statement of G7 Finance Ministers and Central Bank Governors”, Washington, D.C., 19 October 2007.</w:t>
      </w:r>
    </w:p>
  </w:footnote>
  <w:footnote w:id="62">
    <w:p w14:paraId="79DBDED6" w14:textId="77777777" w:rsidR="0066100D" w:rsidRPr="00CE451A" w:rsidRDefault="0066100D" w:rsidP="0066100D">
      <w:pPr>
        <w:pStyle w:val="FootnoteText"/>
        <w:rPr>
          <w:szCs w:val="18"/>
        </w:rPr>
      </w:pPr>
      <w:r w:rsidRPr="00CE451A">
        <w:rPr>
          <w:szCs w:val="18"/>
        </w:rPr>
        <w:tab/>
      </w:r>
      <w:r w:rsidRPr="00800F03">
        <w:rPr>
          <w:rStyle w:val="FootnoteReference"/>
          <w:szCs w:val="18"/>
        </w:rPr>
        <w:footnoteRef/>
      </w:r>
      <w:r w:rsidRPr="00CE451A">
        <w:rPr>
          <w:szCs w:val="18"/>
        </w:rPr>
        <w:tab/>
        <w:t xml:space="preserve">Ministerial statement adopted at the Commonwealth HIPC Ministerial Forum. </w:t>
      </w:r>
    </w:p>
  </w:footnote>
  <w:footnote w:id="63">
    <w:p w14:paraId="0300C13D"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800F03">
        <w:rPr>
          <w:rStyle w:val="FootnoteReference"/>
          <w:szCs w:val="18"/>
        </w:rPr>
        <w:footnoteRef/>
      </w:r>
      <w:r w:rsidRPr="00CE451A">
        <w:rPr>
          <w:szCs w:val="18"/>
        </w:rPr>
        <w:tab/>
        <w:t>Council of the European Union, “Council conclusions: speeding up progress towards the Millennium Development Goals”, para. 41.</w:t>
      </w:r>
    </w:p>
  </w:footnote>
  <w:footnote w:id="64">
    <w:p w14:paraId="4F0200A0"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800F03">
        <w:rPr>
          <w:rStyle w:val="FootnoteReference"/>
          <w:szCs w:val="18"/>
        </w:rPr>
        <w:footnoteRef/>
      </w:r>
      <w:r w:rsidRPr="00CE451A">
        <w:rPr>
          <w:szCs w:val="18"/>
        </w:rPr>
        <w:tab/>
        <w:t>Press release of the Paris Club on the threats posed by some litigating creditors to heavily indebted poor countries, 22 May 2007.</w:t>
      </w:r>
    </w:p>
  </w:footnote>
  <w:footnote w:id="65">
    <w:p w14:paraId="1ADECE33"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800F03">
        <w:rPr>
          <w:rStyle w:val="FootnoteReference"/>
          <w:szCs w:val="18"/>
        </w:rPr>
        <w:footnoteRef/>
      </w:r>
      <w:r w:rsidRPr="00CE451A">
        <w:rPr>
          <w:szCs w:val="18"/>
        </w:rPr>
        <w:tab/>
        <w:t>See General Assembly resolution 63/239, annex, para. 60. In the Addis Ababa Action Agenda of the Third International Conference on Financing for Development, annexed to General Assembly resolution 69/313, signatories reiterated their concern with non-cooperative creditors who have demonstrated their ability to disrupt timely completion of the debt restructurings (para. 98).</w:t>
      </w:r>
    </w:p>
  </w:footnote>
  <w:footnote w:id="66">
    <w:p w14:paraId="70993D5C"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800F03">
        <w:rPr>
          <w:rStyle w:val="FootnoteReference"/>
          <w:szCs w:val="18"/>
        </w:rPr>
        <w:footnoteRef/>
      </w:r>
      <w:r w:rsidRPr="00CE451A">
        <w:rPr>
          <w:szCs w:val="18"/>
        </w:rPr>
        <w:tab/>
        <w:t>“Protecting financial aid against ʽvulture funds’”, document CM/AS(2009)Rec1870 final, 12 June 2009, para. 3.</w:t>
      </w:r>
    </w:p>
  </w:footnote>
  <w:footnote w:id="67">
    <w:p w14:paraId="41D3F386" w14:textId="77777777" w:rsidR="0066100D" w:rsidRPr="007D19DF" w:rsidRDefault="0066100D" w:rsidP="0066100D">
      <w:pPr>
        <w:pStyle w:val="FootnoteText"/>
        <w:rPr>
          <w:szCs w:val="18"/>
        </w:rPr>
      </w:pPr>
      <w:r w:rsidRPr="00800F03">
        <w:rPr>
          <w:szCs w:val="18"/>
        </w:rPr>
        <w:tab/>
      </w:r>
      <w:r w:rsidRPr="00675559">
        <w:rPr>
          <w:rStyle w:val="FootnoteReference"/>
          <w:szCs w:val="18"/>
        </w:rPr>
        <w:footnoteRef/>
      </w:r>
      <w:r w:rsidRPr="00675559">
        <w:rPr>
          <w:szCs w:val="18"/>
        </w:rPr>
        <w:tab/>
        <w:t>See www.cels.org.ar/common/documentos/Deuda%20Externa%20y%20DDHH%20-%20CELS%20+ENG.pdf.</w:t>
      </w:r>
    </w:p>
  </w:footnote>
  <w:footnote w:id="68">
    <w:p w14:paraId="7B323451" w14:textId="77777777" w:rsidR="0066100D" w:rsidRPr="00CE451A" w:rsidRDefault="0066100D" w:rsidP="0066100D">
      <w:pPr>
        <w:pStyle w:val="FootnoteText"/>
        <w:rPr>
          <w:szCs w:val="18"/>
        </w:rPr>
      </w:pPr>
      <w:r w:rsidRPr="007D19DF">
        <w:rPr>
          <w:szCs w:val="18"/>
        </w:rPr>
        <w:tab/>
      </w:r>
      <w:r w:rsidRPr="007D19DF">
        <w:rPr>
          <w:rStyle w:val="FootnoteReference"/>
          <w:szCs w:val="18"/>
        </w:rPr>
        <w:footnoteRef/>
      </w:r>
      <w:r w:rsidRPr="005E5C04">
        <w:rPr>
          <w:szCs w:val="18"/>
        </w:rPr>
        <w:tab/>
        <w:t xml:space="preserve">P8_TA(2018)0104Enhancing developing countries’ debt sustainability European Parliament resolution of 17April 2018 on enhancing developing countries’ debt sustainability (2016/2241(INI)), pars. 32 and 37. </w:t>
      </w:r>
    </w:p>
  </w:footnote>
  <w:footnote w:id="69">
    <w:p w14:paraId="500E030F"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800F03">
        <w:rPr>
          <w:rStyle w:val="FootnoteReference"/>
          <w:szCs w:val="18"/>
        </w:rPr>
        <w:footnoteRef/>
      </w:r>
      <w:r w:rsidRPr="00CE451A">
        <w:rPr>
          <w:szCs w:val="18"/>
        </w:rPr>
        <w:tab/>
        <w:t>Resolution 68/304</w:t>
      </w:r>
      <w:r w:rsidRPr="00800F03">
        <w:rPr>
          <w:szCs w:val="18"/>
          <w:lang w:val="en-US"/>
        </w:rPr>
        <w:t xml:space="preserve"> </w:t>
      </w:r>
      <w:r w:rsidRPr="00675559">
        <w:rPr>
          <w:szCs w:val="18"/>
          <w:lang w:val="en-US"/>
        </w:rPr>
        <w:t>“Towards the establishment of a multilateral legal framework for sovereign debt restructuring processes”</w:t>
      </w:r>
      <w:r w:rsidRPr="00CE451A">
        <w:rPr>
          <w:szCs w:val="18"/>
        </w:rPr>
        <w:t>, adopted by a vote of 124 in favour and 11 against, with 41 abstentions.</w:t>
      </w:r>
    </w:p>
  </w:footnote>
  <w:footnote w:id="70">
    <w:p w14:paraId="44982533" w14:textId="77777777" w:rsidR="0066100D" w:rsidRPr="00CE451A" w:rsidRDefault="0066100D" w:rsidP="0066100D">
      <w:pPr>
        <w:pStyle w:val="FootnoteText"/>
        <w:rPr>
          <w:szCs w:val="18"/>
        </w:rPr>
      </w:pPr>
      <w:r w:rsidRPr="00CE451A">
        <w:rPr>
          <w:szCs w:val="18"/>
        </w:rPr>
        <w:tab/>
      </w:r>
      <w:r w:rsidRPr="00800F03">
        <w:rPr>
          <w:rStyle w:val="FootnoteReference"/>
          <w:szCs w:val="18"/>
        </w:rPr>
        <w:footnoteRef/>
      </w:r>
      <w:r w:rsidRPr="00CE451A">
        <w:rPr>
          <w:szCs w:val="18"/>
        </w:rPr>
        <w:tab/>
        <w:t xml:space="preserve">Resolution 69/319, Adopted by a vote of 136 in favour and 6 against, with 41 abstentions. </w:t>
      </w:r>
    </w:p>
  </w:footnote>
  <w:footnote w:id="71">
    <w:p w14:paraId="1BD7EBB3" w14:textId="77777777" w:rsidR="0066100D" w:rsidRPr="004C5875" w:rsidRDefault="0066100D" w:rsidP="0066100D">
      <w:pPr>
        <w:pStyle w:val="FootnoteText"/>
        <w:rPr>
          <w:szCs w:val="18"/>
        </w:rPr>
      </w:pPr>
      <w:r w:rsidRPr="00800F03">
        <w:rPr>
          <w:szCs w:val="18"/>
        </w:rPr>
        <w:tab/>
      </w:r>
      <w:r w:rsidRPr="00675559">
        <w:rPr>
          <w:rStyle w:val="FootnoteReference"/>
          <w:szCs w:val="18"/>
        </w:rPr>
        <w:footnoteRef/>
      </w:r>
      <w:r w:rsidRPr="00675559">
        <w:rPr>
          <w:szCs w:val="18"/>
        </w:rPr>
        <w:tab/>
        <w:t>The</w:t>
      </w:r>
      <w:r w:rsidRPr="007D19DF">
        <w:rPr>
          <w:szCs w:val="18"/>
        </w:rPr>
        <w:t xml:space="preserve"> nine principles (sovereignty, good faith, transparency, impartiality, equitable treatment, sovereign immunity, legitimacy, sustainability and majority restructuring) </w:t>
      </w:r>
      <w:r w:rsidRPr="007554CD">
        <w:rPr>
          <w:szCs w:val="18"/>
        </w:rPr>
        <w:t>were already included in the r</w:t>
      </w:r>
      <w:r w:rsidRPr="007554CD">
        <w:rPr>
          <w:szCs w:val="18"/>
          <w:lang w:val="en-US"/>
        </w:rPr>
        <w:t xml:space="preserve">eport of the Ad Hoc Committee (A/AC.284/2015/2) </w:t>
      </w:r>
    </w:p>
  </w:footnote>
  <w:footnote w:id="72">
    <w:p w14:paraId="4579E128" w14:textId="77777777" w:rsidR="0066100D" w:rsidRPr="00CE451A" w:rsidRDefault="0066100D" w:rsidP="0066100D">
      <w:pPr>
        <w:pStyle w:val="FootnoteText"/>
        <w:jc w:val="both"/>
        <w:rPr>
          <w:szCs w:val="18"/>
        </w:rPr>
      </w:pPr>
      <w:r w:rsidRPr="00CE451A">
        <w:rPr>
          <w:szCs w:val="18"/>
        </w:rPr>
        <w:tab/>
      </w:r>
      <w:r w:rsidRPr="00800F03">
        <w:rPr>
          <w:rStyle w:val="FootnoteReference"/>
          <w:szCs w:val="18"/>
        </w:rPr>
        <w:footnoteRef/>
      </w:r>
      <w:r w:rsidRPr="00CE451A">
        <w:rPr>
          <w:szCs w:val="18"/>
        </w:rPr>
        <w:tab/>
        <w:t xml:space="preserve">For a comment, see J.P. Bohoslavsky and M. Goldmann, “An incremental approach to sovereign debt restructuring: sovereign debt sustainability as a principle of public international law”, </w:t>
      </w:r>
      <w:r w:rsidRPr="00CE451A">
        <w:rPr>
          <w:i/>
          <w:color w:val="000000"/>
          <w:szCs w:val="18"/>
        </w:rPr>
        <w:t>Yale Journal of International Law,</w:t>
      </w:r>
      <w:r w:rsidRPr="00CE451A">
        <w:rPr>
          <w:color w:val="000000"/>
          <w:szCs w:val="18"/>
        </w:rPr>
        <w:t xml:space="preserve"> 2016 (forthcoming</w:t>
      </w:r>
      <w:r w:rsidRPr="00CE451A">
        <w:rPr>
          <w:szCs w:val="18"/>
        </w:rPr>
        <w:t>).</w:t>
      </w:r>
    </w:p>
  </w:footnote>
  <w:footnote w:id="73">
    <w:p w14:paraId="6FBF9F09" w14:textId="77777777" w:rsidR="0066100D" w:rsidRPr="00CE451A" w:rsidRDefault="0066100D" w:rsidP="0066100D">
      <w:pPr>
        <w:pStyle w:val="FootnoteText"/>
        <w:rPr>
          <w:szCs w:val="18"/>
        </w:rPr>
      </w:pPr>
      <w:r w:rsidRPr="00CE451A">
        <w:rPr>
          <w:szCs w:val="18"/>
        </w:rPr>
        <w:tab/>
      </w:r>
      <w:r w:rsidRPr="00800F03">
        <w:rPr>
          <w:rStyle w:val="FootnoteReference"/>
          <w:szCs w:val="18"/>
        </w:rPr>
        <w:footnoteRef/>
      </w:r>
      <w:r w:rsidRPr="00CE451A">
        <w:rPr>
          <w:szCs w:val="18"/>
        </w:rPr>
        <w:tab/>
        <w:t>OHCHR, “Restructuring of sovereign debt: United Nations expert stresses General Assembly principles are binding”, 10 September 2015.</w:t>
      </w:r>
    </w:p>
  </w:footnote>
  <w:footnote w:id="74">
    <w:p w14:paraId="2544FE81"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800F03">
        <w:rPr>
          <w:rStyle w:val="FootnoteReference"/>
          <w:szCs w:val="18"/>
        </w:rPr>
        <w:footnoteRef/>
      </w:r>
      <w:r w:rsidRPr="00CE451A">
        <w:rPr>
          <w:szCs w:val="18"/>
        </w:rPr>
        <w:tab/>
        <w:t>Adopted by a vote of 33 in favour and 5 against (Czech Republic, Germany, Japan, United Kingdom and United States), with 9 abstentions. It was co-sponsored by 79 additional States.</w:t>
      </w:r>
    </w:p>
  </w:footnote>
  <w:footnote w:id="75">
    <w:p w14:paraId="62E4536F" w14:textId="77777777" w:rsidR="0066100D" w:rsidRPr="00CE451A" w:rsidRDefault="0066100D" w:rsidP="0066100D">
      <w:pPr>
        <w:pStyle w:val="FootnoteText"/>
        <w:rPr>
          <w:szCs w:val="18"/>
        </w:rPr>
      </w:pPr>
      <w:r w:rsidRPr="00800F03">
        <w:rPr>
          <w:szCs w:val="18"/>
        </w:rPr>
        <w:tab/>
      </w:r>
      <w:r w:rsidRPr="00CE451A">
        <w:rPr>
          <w:rStyle w:val="FootnoteReference"/>
          <w:szCs w:val="18"/>
        </w:rPr>
        <w:footnoteRef/>
      </w:r>
      <w:r w:rsidRPr="00CE451A">
        <w:rPr>
          <w:szCs w:val="18"/>
        </w:rPr>
        <w:tab/>
      </w:r>
      <w:r w:rsidRPr="005E5C04">
        <w:rPr>
          <w:szCs w:val="18"/>
        </w:rPr>
        <w:t xml:space="preserve">See: UNCTAD: </w:t>
      </w:r>
      <w:hyperlink r:id="rId3" w:history="1">
        <w:r w:rsidRPr="005E5C04">
          <w:rPr>
            <w:rStyle w:val="Hyperlink"/>
            <w:szCs w:val="18"/>
          </w:rPr>
          <w:t>Sovereign Debt Workouts: Going Forward Roadmap and Guide</w:t>
        </w:r>
      </w:hyperlink>
      <w:r w:rsidRPr="005E5C04">
        <w:rPr>
          <w:szCs w:val="18"/>
        </w:rPr>
        <w:t>, April 2015; Martin Guzman and Joseph E. Stiglitz, “Creating a Framework for Sovereign Debt Restructuring that Works”, "A soft Law Mechanism for Sovereign Debt Restructuring”, Developing Economics, 13.11.2017; https://developingeconomics.org/2017/10/13/a-soft-law-mechanism-for-sovereign-debt-restructuring/ Ibid., par. 32 ;</w:t>
      </w:r>
    </w:p>
  </w:footnote>
  <w:footnote w:id="76">
    <w:p w14:paraId="6C61A87B" w14:textId="77777777" w:rsidR="0066100D" w:rsidRPr="007D19DF"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The duty to fulfil imposes on the State an obligation to take appropriate legislative, administrative, budgetary, judicial and other measures towards the full realization of economic,</w:t>
      </w:r>
      <w:r w:rsidRPr="00800F03">
        <w:rPr>
          <w:szCs w:val="18"/>
        </w:rPr>
        <w:t xml:space="preserve"> social and cultural rights.</w:t>
      </w:r>
    </w:p>
  </w:footnote>
  <w:footnote w:id="77">
    <w:p w14:paraId="79896ABF" w14:textId="77777777" w:rsidR="0066100D" w:rsidRPr="00800F03" w:rsidRDefault="0066100D" w:rsidP="0066100D">
      <w:pPr>
        <w:pStyle w:val="FootnoteText"/>
        <w:rPr>
          <w:szCs w:val="18"/>
        </w:rPr>
      </w:pPr>
      <w:r w:rsidRPr="007D19DF">
        <w:rPr>
          <w:szCs w:val="18"/>
        </w:rPr>
        <w:tab/>
      </w:r>
      <w:r w:rsidRPr="00CE451A">
        <w:rPr>
          <w:rStyle w:val="FootnoteReference"/>
          <w:szCs w:val="18"/>
        </w:rPr>
        <w:footnoteRef/>
      </w:r>
      <w:r w:rsidRPr="00CE451A">
        <w:rPr>
          <w:szCs w:val="18"/>
        </w:rPr>
        <w:tab/>
        <w:t xml:space="preserve">The effects of disruptive litigation on the debt sustainability of HIPCs have been tracked on an annual basis by the Millennium Development Goals Task Force and the International Monetary Fund. </w:t>
      </w:r>
    </w:p>
  </w:footnote>
  <w:footnote w:id="78">
    <w:p w14:paraId="27D1092A" w14:textId="77777777" w:rsidR="0066100D" w:rsidRPr="00CE451A" w:rsidRDefault="0066100D" w:rsidP="0066100D">
      <w:pPr>
        <w:pStyle w:val="FootnoteText"/>
        <w:rPr>
          <w:szCs w:val="18"/>
        </w:rPr>
      </w:pPr>
      <w:r w:rsidRPr="007D19DF">
        <w:rPr>
          <w:szCs w:val="18"/>
        </w:rPr>
        <w:tab/>
      </w:r>
      <w:r w:rsidRPr="00CE451A">
        <w:rPr>
          <w:rStyle w:val="FootnoteReference"/>
          <w:szCs w:val="18"/>
        </w:rPr>
        <w:footnoteRef/>
      </w:r>
      <w:r w:rsidRPr="00CE451A">
        <w:rPr>
          <w:szCs w:val="18"/>
        </w:rPr>
        <w:tab/>
        <w:t>Schumacher, “Sovereign defaults in court”, p. 2.</w:t>
      </w:r>
    </w:p>
  </w:footnote>
  <w:footnote w:id="79">
    <w:p w14:paraId="195959C4"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The assessment of how vulture funds hinder the capacity of recovery of States undergoing a debt crisis would imply systematically collecting and analysing data on the number of lawsuits filed, the debt service burden and budget allocations. It would also require a more detailed follow-up and analysis of relevant economic and social indicators.</w:t>
      </w:r>
    </w:p>
  </w:footnote>
  <w:footnote w:id="80">
    <w:p w14:paraId="13D56EF3"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“‘Vulture funds’ – United Nations expert on foreign debt welcomes landmark law to address profiteering”, press release, 20 April 2010.</w:t>
      </w:r>
    </w:p>
  </w:footnote>
  <w:footnote w:id="81">
    <w:p w14:paraId="7E0E2356"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A debt crisis may entail a great deal of economic destruction and economic reversal along with sacrifice in human rights terms. A country can lose 5-15 per cent of its GDP. Li Yuefen, presentation to the Advisory Committee.</w:t>
      </w:r>
    </w:p>
  </w:footnote>
  <w:footnote w:id="82">
    <w:p w14:paraId="7F6E89E2" w14:textId="77777777" w:rsidR="0066100D" w:rsidRPr="007D19DF" w:rsidRDefault="0066100D" w:rsidP="0066100D">
      <w:pPr>
        <w:pStyle w:val="FootnoteText"/>
        <w:spacing w:line="240" w:lineRule="auto"/>
        <w:rPr>
          <w:szCs w:val="18"/>
        </w:rPr>
      </w:pPr>
      <w:r w:rsidRPr="00800F03">
        <w:rPr>
          <w:szCs w:val="18"/>
        </w:rPr>
        <w:tab/>
      </w:r>
      <w:r w:rsidRPr="00CE451A">
        <w:rPr>
          <w:rStyle w:val="FootnoteReference"/>
          <w:szCs w:val="18"/>
        </w:rPr>
        <w:footnoteRef/>
      </w:r>
      <w:r w:rsidRPr="00CE451A">
        <w:rPr>
          <w:szCs w:val="18"/>
        </w:rPr>
        <w:tab/>
        <w:t xml:space="preserve">The State’s obligation </w:t>
      </w:r>
      <w:r w:rsidRPr="00800F03">
        <w:rPr>
          <w:szCs w:val="18"/>
        </w:rPr>
        <w:t>to fulfil requires positive measures by the Stat</w:t>
      </w:r>
      <w:r w:rsidRPr="00675559">
        <w:rPr>
          <w:szCs w:val="18"/>
        </w:rPr>
        <w:t>e when other measures have not succeeded in ensuring the full realization of these rights and can entail issues such as public expenditure, governmental regulation of the economy, the provision of basic public services and infrastructure, taxation and othe</w:t>
      </w:r>
      <w:r w:rsidRPr="007D19DF">
        <w:rPr>
          <w:szCs w:val="18"/>
        </w:rPr>
        <w:t xml:space="preserve">r redistributive economic measures. OHCHR, </w:t>
      </w:r>
      <w:r w:rsidRPr="007D19DF">
        <w:rPr>
          <w:i/>
          <w:szCs w:val="18"/>
        </w:rPr>
        <w:t>Economic, Social and Cultural Rights: Handbook for National Human Rights Institutions</w:t>
      </w:r>
      <w:r w:rsidRPr="007D19DF">
        <w:rPr>
          <w:szCs w:val="18"/>
        </w:rPr>
        <w:t xml:space="preserve"> (United Nations publication, Sales No. E.04.XIV.8), p. 18.</w:t>
      </w:r>
    </w:p>
  </w:footnote>
  <w:footnote w:id="83">
    <w:p w14:paraId="4EAC95D1" w14:textId="77777777" w:rsidR="0066100D" w:rsidRPr="00800F03" w:rsidRDefault="0066100D" w:rsidP="0066100D">
      <w:pPr>
        <w:pStyle w:val="FootnoteText"/>
        <w:rPr>
          <w:szCs w:val="18"/>
          <w:lang w:val="en-US"/>
        </w:rPr>
      </w:pPr>
      <w:r w:rsidRPr="007D19DF">
        <w:rPr>
          <w:szCs w:val="18"/>
        </w:rPr>
        <w:tab/>
      </w:r>
      <w:r w:rsidRPr="00CE451A">
        <w:rPr>
          <w:rStyle w:val="FootnoteReference"/>
          <w:szCs w:val="18"/>
        </w:rPr>
        <w:footnoteRef/>
      </w:r>
      <w:r w:rsidRPr="00CE451A">
        <w:rPr>
          <w:szCs w:val="18"/>
        </w:rPr>
        <w:tab/>
        <w:t>The scheme was first launched in 1996 and was supplemented in 2005 by the Multilateral Debt Relief Initiative. More information is available from www.imf.org/external/np/exr/facts/hipc.htm.</w:t>
      </w:r>
    </w:p>
  </w:footnote>
  <w:footnote w:id="84">
    <w:p w14:paraId="4DFC505C" w14:textId="77777777" w:rsidR="0066100D" w:rsidRPr="007D19DF" w:rsidRDefault="0066100D" w:rsidP="0066100D">
      <w:pPr>
        <w:pStyle w:val="FootnoteText"/>
        <w:rPr>
          <w:szCs w:val="18"/>
        </w:rPr>
      </w:pPr>
      <w:r w:rsidRPr="00675559">
        <w:rPr>
          <w:szCs w:val="18"/>
        </w:rPr>
        <w:tab/>
      </w:r>
      <w:r w:rsidRPr="00CE451A">
        <w:rPr>
          <w:rStyle w:val="FootnoteReference"/>
          <w:szCs w:val="18"/>
        </w:rPr>
        <w:footnoteRef/>
      </w:r>
      <w:r w:rsidRPr="00CE451A">
        <w:rPr>
          <w:szCs w:val="18"/>
        </w:rPr>
        <w:tab/>
      </w:r>
      <w:r w:rsidRPr="00800F03">
        <w:rPr>
          <w:i/>
          <w:szCs w:val="18"/>
        </w:rPr>
        <w:t>Themis Capital, LLC and Des Moines Investments Ltd., Plaintiffs v. Democratic Republic of Congo and Central Bank of the Democra</w:t>
      </w:r>
      <w:r w:rsidRPr="007D19DF">
        <w:rPr>
          <w:i/>
          <w:szCs w:val="18"/>
        </w:rPr>
        <w:t>tic Republic of the Congo, Defendants</w:t>
      </w:r>
      <w:r w:rsidRPr="007D19DF">
        <w:rPr>
          <w:szCs w:val="18"/>
        </w:rPr>
        <w:t xml:space="preserve">, 14 July 2014. </w:t>
      </w:r>
    </w:p>
  </w:footnote>
  <w:footnote w:id="85">
    <w:p w14:paraId="63A3C6AA"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r>
      <w:r w:rsidRPr="00CE451A">
        <w:rPr>
          <w:i/>
          <w:szCs w:val="18"/>
        </w:rPr>
        <w:t>Taking Stock of the Global Partnership for Development: Millennium Development Goals Gap Task Force Report 2015</w:t>
      </w:r>
      <w:r w:rsidRPr="00CE451A">
        <w:rPr>
          <w:szCs w:val="18"/>
        </w:rPr>
        <w:t xml:space="preserve"> (United Nations publication, Sales No. E.15.I.5), p. 46. </w:t>
      </w:r>
    </w:p>
  </w:footnote>
  <w:footnote w:id="86">
    <w:p w14:paraId="1D096185"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r>
      <w:r w:rsidRPr="00CE451A">
        <w:rPr>
          <w:i/>
          <w:szCs w:val="18"/>
        </w:rPr>
        <w:t xml:space="preserve">The State of the Global Partnership for Development: Millennium Development Goals Gap Task Force Report 2014 </w:t>
      </w:r>
      <w:r w:rsidRPr="00CE451A">
        <w:rPr>
          <w:szCs w:val="18"/>
        </w:rPr>
        <w:t>(United Nations publication, Sales No. E.14.I.7), p. 41.</w:t>
      </w:r>
    </w:p>
  </w:footnote>
  <w:footnote w:id="87">
    <w:p w14:paraId="0BEEE52A"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As has been observed, they “profiteer at the expense of both the citizens of HIPCs and the taxpayers of countries that have supported international debt relief efforts”. See A/HRC/14/21, para. 69.</w:t>
      </w:r>
    </w:p>
  </w:footnote>
  <w:footnote w:id="88">
    <w:p w14:paraId="66DA386C" w14:textId="77777777" w:rsidR="0066100D" w:rsidRPr="007554CD" w:rsidRDefault="0066100D" w:rsidP="0066100D">
      <w:pPr>
        <w:pStyle w:val="FootnoteText"/>
        <w:rPr>
          <w:szCs w:val="18"/>
        </w:rPr>
      </w:pPr>
      <w:r w:rsidRPr="00800F03">
        <w:rPr>
          <w:szCs w:val="18"/>
        </w:rPr>
        <w:tab/>
      </w:r>
      <w:r w:rsidRPr="00CE451A">
        <w:rPr>
          <w:rStyle w:val="FootnoteReference"/>
          <w:szCs w:val="18"/>
        </w:rPr>
        <w:footnoteRef/>
      </w:r>
      <w:r w:rsidRPr="00CE451A">
        <w:rPr>
          <w:szCs w:val="18"/>
        </w:rPr>
        <w:tab/>
        <w:t>In 2006, for example, 10 developing countries spent more on debt service than on public education, and in 52 countries</w:t>
      </w:r>
      <w:r w:rsidRPr="00800F03">
        <w:rPr>
          <w:szCs w:val="18"/>
        </w:rPr>
        <w:t xml:space="preserve"> debt servicing amounted to more than the public</w:t>
      </w:r>
      <w:r w:rsidRPr="007D19DF">
        <w:rPr>
          <w:szCs w:val="18"/>
        </w:rPr>
        <w:t xml:space="preserve"> health budget. </w:t>
      </w:r>
      <w:r w:rsidRPr="007D19DF">
        <w:rPr>
          <w:i/>
          <w:szCs w:val="18"/>
        </w:rPr>
        <w:t>Delivering on the Global Partnership for Achieving the Millennium Development Goals: Millennium Development Goals Gap Task Force Report 2008</w:t>
      </w:r>
      <w:r w:rsidRPr="007D19DF">
        <w:rPr>
          <w:szCs w:val="18"/>
        </w:rPr>
        <w:t xml:space="preserve"> (United Nations publication, Sales No. 08.I.17), ex</w:t>
      </w:r>
      <w:r w:rsidRPr="00293D6B">
        <w:rPr>
          <w:szCs w:val="18"/>
        </w:rPr>
        <w:t xml:space="preserve">ecutive summary, p. x. </w:t>
      </w:r>
    </w:p>
  </w:footnote>
  <w:footnote w:id="89">
    <w:p w14:paraId="5CB381F7" w14:textId="77777777" w:rsidR="0066100D" w:rsidRPr="00800F03" w:rsidRDefault="0066100D" w:rsidP="0066100D">
      <w:pPr>
        <w:pStyle w:val="FootnoteText"/>
        <w:rPr>
          <w:szCs w:val="18"/>
          <w:lang w:val="en-US"/>
        </w:rPr>
      </w:pPr>
      <w:r w:rsidRPr="004C5875">
        <w:rPr>
          <w:szCs w:val="18"/>
        </w:rPr>
        <w:tab/>
      </w:r>
      <w:r w:rsidRPr="00CE451A">
        <w:rPr>
          <w:rStyle w:val="FootnoteReference"/>
          <w:szCs w:val="18"/>
        </w:rPr>
        <w:footnoteRef/>
      </w:r>
      <w:r w:rsidRPr="00CE451A">
        <w:rPr>
          <w:szCs w:val="18"/>
        </w:rPr>
        <w:tab/>
        <w:t xml:space="preserve">S. Michalowski, “Sovereign debt and social rights—legal reflections on a difficult relationship”, </w:t>
      </w:r>
      <w:r w:rsidRPr="00CE451A">
        <w:rPr>
          <w:i/>
          <w:szCs w:val="18"/>
        </w:rPr>
        <w:t>Human Rights Law Review</w:t>
      </w:r>
      <w:r w:rsidRPr="00CE451A">
        <w:rPr>
          <w:szCs w:val="18"/>
        </w:rPr>
        <w:t>, vol. 8, No. 1 (January 2008), p. 39.</w:t>
      </w:r>
    </w:p>
  </w:footnote>
  <w:footnote w:id="90">
    <w:p w14:paraId="6D8DCECC"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C. Lumina, “Sovereign debt and human rights”,</w:t>
      </w:r>
      <w:r w:rsidRPr="00CE451A">
        <w:rPr>
          <w:i/>
          <w:szCs w:val="18"/>
        </w:rPr>
        <w:t xml:space="preserve"> </w:t>
      </w:r>
      <w:r w:rsidRPr="00CE451A">
        <w:rPr>
          <w:szCs w:val="18"/>
        </w:rPr>
        <w:t xml:space="preserve">in </w:t>
      </w:r>
      <w:r w:rsidRPr="00CE451A">
        <w:rPr>
          <w:i/>
          <w:szCs w:val="18"/>
        </w:rPr>
        <w:t xml:space="preserve">Realizing the right to development: essays in Commemoration of 25 Years of the United Nations Declaration on the Right to Development </w:t>
      </w:r>
      <w:r w:rsidRPr="00CE451A">
        <w:rPr>
          <w:szCs w:val="18"/>
        </w:rPr>
        <w:t>(United Nations publication, Sales No. E.12.XIV.1, pp. 289 and 294.</w:t>
      </w:r>
    </w:p>
  </w:footnote>
  <w:footnote w:id="91">
    <w:p w14:paraId="744361CA"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 xml:space="preserve">UNCTAD, </w:t>
      </w:r>
      <w:r w:rsidRPr="00CE451A">
        <w:rPr>
          <w:i/>
          <w:szCs w:val="18"/>
        </w:rPr>
        <w:t>Sovereign Debt Workouts: Going Forward: Roadmap and Guide</w:t>
      </w:r>
      <w:r w:rsidRPr="00CE451A">
        <w:rPr>
          <w:szCs w:val="18"/>
        </w:rPr>
        <w:t xml:space="preserve">, April 2015, p. 24. </w:t>
      </w:r>
    </w:p>
  </w:footnote>
  <w:footnote w:id="92">
    <w:p w14:paraId="580B81FC" w14:textId="77777777" w:rsidR="0066100D" w:rsidRPr="007D19DF" w:rsidRDefault="0066100D" w:rsidP="0066100D">
      <w:pPr>
        <w:pStyle w:val="FootnoteText"/>
        <w:rPr>
          <w:szCs w:val="18"/>
        </w:rPr>
      </w:pPr>
      <w:r w:rsidRPr="00800F03">
        <w:rPr>
          <w:szCs w:val="18"/>
        </w:rPr>
        <w:tab/>
      </w:r>
      <w:r w:rsidRPr="00CE451A">
        <w:rPr>
          <w:rStyle w:val="FootnoteReference"/>
          <w:szCs w:val="18"/>
        </w:rPr>
        <w:footnoteRef/>
      </w:r>
      <w:r w:rsidRPr="00CE451A">
        <w:rPr>
          <w:szCs w:val="18"/>
        </w:rPr>
        <w:tab/>
      </w:r>
      <w:r w:rsidRPr="00800F03">
        <w:rPr>
          <w:szCs w:val="18"/>
        </w:rPr>
        <w:t xml:space="preserve">See, in general, T. Karimova, </w:t>
      </w:r>
      <w:r w:rsidRPr="007D19DF">
        <w:rPr>
          <w:i/>
          <w:szCs w:val="18"/>
        </w:rPr>
        <w:t>Human Rights and Development in International Law</w:t>
      </w:r>
      <w:r w:rsidRPr="007D19DF">
        <w:rPr>
          <w:szCs w:val="18"/>
        </w:rPr>
        <w:t xml:space="preserve"> (Routledge, 2016), pp. 31-86. </w:t>
      </w:r>
    </w:p>
  </w:footnote>
  <w:footnote w:id="93">
    <w:p w14:paraId="4C868746" w14:textId="77777777" w:rsidR="0066100D" w:rsidRPr="007D19DF" w:rsidRDefault="0066100D" w:rsidP="0066100D">
      <w:pPr>
        <w:pStyle w:val="FootnoteText"/>
        <w:rPr>
          <w:szCs w:val="18"/>
        </w:rPr>
      </w:pPr>
      <w:r w:rsidRPr="007554CD">
        <w:rPr>
          <w:szCs w:val="18"/>
        </w:rPr>
        <w:tab/>
      </w:r>
      <w:r w:rsidRPr="00CE451A">
        <w:rPr>
          <w:rStyle w:val="FootnoteReference"/>
          <w:szCs w:val="18"/>
        </w:rPr>
        <w:footnoteRef/>
      </w:r>
      <w:r w:rsidRPr="00CE451A">
        <w:rPr>
          <w:szCs w:val="18"/>
        </w:rPr>
        <w:tab/>
      </w:r>
      <w:r w:rsidRPr="00800F03">
        <w:rPr>
          <w:szCs w:val="18"/>
        </w:rPr>
        <w:t>Guiding principles on foreign debt and human rights (A/HRC/20/23 and Corr.1, annex), principle18.</w:t>
      </w:r>
    </w:p>
  </w:footnote>
  <w:footnote w:id="94">
    <w:p w14:paraId="60006364" w14:textId="77777777" w:rsidR="0066100D" w:rsidRPr="007D19DF" w:rsidRDefault="0066100D" w:rsidP="0066100D">
      <w:pPr>
        <w:pStyle w:val="FootnoteText"/>
        <w:widowControl w:val="0"/>
        <w:tabs>
          <w:tab w:val="clear" w:pos="1021"/>
          <w:tab w:val="right" w:pos="1020"/>
        </w:tabs>
        <w:rPr>
          <w:szCs w:val="18"/>
        </w:rPr>
      </w:pPr>
      <w:r w:rsidRPr="007D19DF">
        <w:rPr>
          <w:szCs w:val="18"/>
        </w:rPr>
        <w:tab/>
      </w:r>
      <w:r w:rsidRPr="00CE451A">
        <w:rPr>
          <w:rStyle w:val="FootnoteReference"/>
          <w:szCs w:val="18"/>
        </w:rPr>
        <w:footnoteRef/>
      </w:r>
      <w:r w:rsidRPr="00CE451A">
        <w:rPr>
          <w:szCs w:val="18"/>
        </w:rPr>
        <w:tab/>
      </w:r>
      <w:r w:rsidRPr="00800F03">
        <w:rPr>
          <w:szCs w:val="18"/>
        </w:rPr>
        <w:t>Ibid., principle 53.</w:t>
      </w:r>
    </w:p>
  </w:footnote>
  <w:footnote w:id="95">
    <w:p w14:paraId="09F1E0CD" w14:textId="77777777" w:rsidR="0066100D" w:rsidRPr="00800F03" w:rsidRDefault="0066100D" w:rsidP="0066100D">
      <w:pPr>
        <w:pStyle w:val="FootnoteText"/>
        <w:rPr>
          <w:szCs w:val="18"/>
        </w:rPr>
      </w:pPr>
      <w:r w:rsidRPr="007D19DF">
        <w:rPr>
          <w:szCs w:val="18"/>
        </w:rPr>
        <w:tab/>
      </w:r>
      <w:r w:rsidRPr="00CE451A">
        <w:rPr>
          <w:rStyle w:val="FootnoteReference"/>
          <w:szCs w:val="18"/>
        </w:rPr>
        <w:footnoteRef/>
      </w:r>
      <w:r w:rsidRPr="00CE451A">
        <w:rPr>
          <w:szCs w:val="18"/>
        </w:rPr>
        <w:tab/>
        <w:t>G</w:t>
      </w:r>
      <w:r w:rsidRPr="00800F03">
        <w:rPr>
          <w:szCs w:val="18"/>
        </w:rPr>
        <w:t>uiding Principl</w:t>
      </w:r>
      <w:r w:rsidRPr="007D19DF">
        <w:rPr>
          <w:szCs w:val="18"/>
        </w:rPr>
        <w:t>es on Business and Human Rights: Implementing the United Nations “Protect, Respect and Remedy” Framework (A/HRC/17/31, annex), principle 3.</w:t>
      </w:r>
      <w:r w:rsidRPr="00CE451A">
        <w:rPr>
          <w:szCs w:val="18"/>
        </w:rPr>
        <w:t xml:space="preserve"> On 26 June 2014, the Human Rights Council adopted resolution 26/9 on the elaboration of an international legally binding instrument on transnational corporations and other business enterprises with respect to human rights.</w:t>
      </w:r>
    </w:p>
  </w:footnote>
  <w:footnote w:id="96">
    <w:p w14:paraId="1F49DA69"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 xml:space="preserve">See Maastricht Principles on Extraterritorial Obligations of States in the Area of Economic, Social and Cultural Rights (2011), principle 32. </w:t>
      </w:r>
    </w:p>
  </w:footnote>
  <w:footnote w:id="97">
    <w:p w14:paraId="6F4CC1FD" w14:textId="77777777" w:rsidR="0066100D" w:rsidRPr="00800F03" w:rsidRDefault="0066100D" w:rsidP="0066100D">
      <w:pPr>
        <w:pStyle w:val="FootnoteText"/>
        <w:rPr>
          <w:szCs w:val="18"/>
          <w:lang w:val="en-US"/>
        </w:rPr>
      </w:pPr>
      <w:r w:rsidRPr="00800F03">
        <w:rPr>
          <w:szCs w:val="18"/>
        </w:rPr>
        <w:tab/>
      </w:r>
      <w:r w:rsidRPr="00CE451A">
        <w:rPr>
          <w:rStyle w:val="FootnoteReference"/>
          <w:szCs w:val="18"/>
        </w:rPr>
        <w:footnoteRef/>
      </w:r>
      <w:r w:rsidRPr="00CE451A">
        <w:rPr>
          <w:szCs w:val="18"/>
        </w:rPr>
        <w:tab/>
        <w:t xml:space="preserve">This principle encompasses the basic requirements of fairness, honesty and trustworthiness. UNCTAD, </w:t>
      </w:r>
      <w:r w:rsidRPr="00CE451A">
        <w:rPr>
          <w:i/>
          <w:szCs w:val="18"/>
        </w:rPr>
        <w:t>Sovereign Debt Workouts</w:t>
      </w:r>
      <w:r w:rsidRPr="00CE451A">
        <w:rPr>
          <w:szCs w:val="18"/>
        </w:rPr>
        <w:t xml:space="preserve">, p. 22. See also UNCTAD, Principles on Promoting Responsible Sovereign Lending and Borrowing (2012). </w:t>
      </w:r>
    </w:p>
  </w:footnote>
  <w:footnote w:id="98">
    <w:p w14:paraId="6EBAEA90"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r>
      <w:r w:rsidRPr="00800F03">
        <w:rPr>
          <w:szCs w:val="18"/>
        </w:rPr>
        <w:t>Guiding principles on foreign debt and human rights, principle 61.</w:t>
      </w:r>
    </w:p>
  </w:footnote>
  <w:footnote w:id="99">
    <w:p w14:paraId="13C586A2" w14:textId="77777777" w:rsidR="0066100D" w:rsidRPr="00CE451A" w:rsidRDefault="0066100D" w:rsidP="0066100D">
      <w:pPr>
        <w:pStyle w:val="FootnoteText"/>
        <w:rPr>
          <w:szCs w:val="18"/>
        </w:rPr>
      </w:pPr>
      <w:r w:rsidRPr="00CE451A">
        <w:rPr>
          <w:szCs w:val="18"/>
        </w:rPr>
        <w:tab/>
      </w:r>
      <w:r w:rsidRPr="00CE451A">
        <w:rPr>
          <w:rStyle w:val="FootnoteReference"/>
          <w:szCs w:val="18"/>
        </w:rPr>
        <w:footnoteRef/>
      </w:r>
      <w:r w:rsidRPr="00CE451A">
        <w:rPr>
          <w:szCs w:val="18"/>
        </w:rPr>
        <w:tab/>
        <w:t>Ibid., principle 59.</w:t>
      </w:r>
    </w:p>
  </w:footnote>
  <w:footnote w:id="100">
    <w:p w14:paraId="1BCAB31F" w14:textId="77777777" w:rsidR="0066100D" w:rsidRPr="00CE451A" w:rsidRDefault="0066100D" w:rsidP="0066100D">
      <w:pPr>
        <w:pStyle w:val="FootnoteText"/>
        <w:widowControl w:val="0"/>
        <w:tabs>
          <w:tab w:val="clear" w:pos="1021"/>
          <w:tab w:val="right" w:pos="1020"/>
        </w:tabs>
        <w:rPr>
          <w:szCs w:val="18"/>
        </w:rPr>
      </w:pPr>
      <w:r w:rsidRPr="00CE451A">
        <w:rPr>
          <w:szCs w:val="18"/>
        </w:rPr>
        <w:tab/>
      </w:r>
      <w:r w:rsidRPr="00CE451A">
        <w:rPr>
          <w:rStyle w:val="FootnoteReference"/>
          <w:szCs w:val="18"/>
        </w:rPr>
        <w:footnoteRef/>
      </w:r>
      <w:r w:rsidRPr="00CE451A">
        <w:rPr>
          <w:szCs w:val="18"/>
        </w:rPr>
        <w:tab/>
        <w:t xml:space="preserve">Ibid., principles 8, 48 and 65. </w:t>
      </w:r>
    </w:p>
  </w:footnote>
  <w:footnote w:id="101">
    <w:p w14:paraId="4A465D90" w14:textId="77777777" w:rsidR="0066100D" w:rsidRPr="00800F03" w:rsidRDefault="0066100D" w:rsidP="0066100D">
      <w:pPr>
        <w:pStyle w:val="FootnoteText"/>
        <w:rPr>
          <w:szCs w:val="18"/>
        </w:rPr>
      </w:pPr>
      <w:r w:rsidRPr="00800F03">
        <w:rPr>
          <w:szCs w:val="18"/>
        </w:rPr>
        <w:tab/>
      </w:r>
      <w:r w:rsidRPr="00CE451A">
        <w:rPr>
          <w:rStyle w:val="FootnoteReference"/>
          <w:szCs w:val="18"/>
        </w:rPr>
        <w:footnoteRef/>
      </w:r>
      <w:r w:rsidRPr="00CE451A">
        <w:rPr>
          <w:szCs w:val="18"/>
        </w:rPr>
        <w:tab/>
        <w:t>Ibid., principle 11.</w:t>
      </w:r>
    </w:p>
  </w:footnote>
  <w:footnote w:id="102">
    <w:p w14:paraId="08804B16" w14:textId="3FFEAF18" w:rsidR="0066100D" w:rsidRPr="00800F03" w:rsidRDefault="0066100D" w:rsidP="0066100D">
      <w:pPr>
        <w:pStyle w:val="FootnoteText"/>
        <w:rPr>
          <w:szCs w:val="18"/>
        </w:rPr>
      </w:pPr>
      <w:r w:rsidRPr="007D19DF">
        <w:rPr>
          <w:szCs w:val="18"/>
        </w:rPr>
        <w:tab/>
      </w:r>
      <w:r w:rsidRPr="00CE451A">
        <w:rPr>
          <w:rStyle w:val="FootnoteReference"/>
          <w:szCs w:val="18"/>
        </w:rPr>
        <w:footnoteRef/>
      </w:r>
      <w:r w:rsidRPr="00CE451A">
        <w:rPr>
          <w:szCs w:val="18"/>
        </w:rPr>
        <w:tab/>
        <w:t xml:space="preserve">Ibid., principle 13 (a). </w:t>
      </w:r>
    </w:p>
  </w:footnote>
  <w:footnote w:id="103">
    <w:p w14:paraId="3CCD4271" w14:textId="49E7057C" w:rsidR="0066100D" w:rsidRPr="007D19DF" w:rsidRDefault="0066100D" w:rsidP="0066100D">
      <w:pPr>
        <w:pStyle w:val="FootnoteText"/>
        <w:rPr>
          <w:szCs w:val="18"/>
        </w:rPr>
      </w:pPr>
      <w:r w:rsidRPr="007D19DF">
        <w:rPr>
          <w:szCs w:val="18"/>
        </w:rPr>
        <w:tab/>
      </w:r>
      <w:r w:rsidRPr="00CE451A">
        <w:rPr>
          <w:rStyle w:val="FootnoteReference"/>
          <w:szCs w:val="18"/>
        </w:rPr>
        <w:footnoteRef/>
      </w:r>
      <w:r w:rsidRPr="00CE451A">
        <w:rPr>
          <w:szCs w:val="18"/>
        </w:rPr>
        <w:tab/>
        <w:t>Ibid.,</w:t>
      </w:r>
      <w:r w:rsidRPr="00800F03">
        <w:rPr>
          <w:szCs w:val="18"/>
        </w:rPr>
        <w:t xml:space="preserve"> principle17. See also OHCHR, reply to the request of the Chair of the Organization for Economic Cooperation and Development Working Party on Responsible Business Conduct on the application of the Guiding Principles to the financia</w:t>
      </w:r>
      <w:r w:rsidRPr="007D19DF">
        <w:rPr>
          <w:szCs w:val="18"/>
        </w:rPr>
        <w:t>l sector, 27 November 2013. Available from www.ohchr.org/Documents/Issues/Business/LetterOECD.pdf.</w:t>
      </w:r>
    </w:p>
  </w:footnote>
  <w:footnote w:id="104">
    <w:p w14:paraId="297AAC6A" w14:textId="464688C5" w:rsidR="0066100D" w:rsidRPr="007D19DF" w:rsidRDefault="0066100D" w:rsidP="0066100D">
      <w:pPr>
        <w:pStyle w:val="FootnoteText"/>
        <w:rPr>
          <w:szCs w:val="18"/>
        </w:rPr>
      </w:pPr>
      <w:r w:rsidRPr="007554CD">
        <w:rPr>
          <w:szCs w:val="18"/>
        </w:rPr>
        <w:tab/>
      </w:r>
      <w:r w:rsidRPr="00CE451A">
        <w:rPr>
          <w:rStyle w:val="FootnoteReference"/>
          <w:szCs w:val="18"/>
        </w:rPr>
        <w:footnoteRef/>
      </w:r>
      <w:r w:rsidRPr="00CE451A">
        <w:rPr>
          <w:szCs w:val="18"/>
        </w:rPr>
        <w:tab/>
        <w:t>G</w:t>
      </w:r>
      <w:r w:rsidRPr="00800F03">
        <w:rPr>
          <w:szCs w:val="18"/>
        </w:rPr>
        <w:t>uiding Principles on Business and Human Rights, principle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734E1" w14:textId="7FCDB749" w:rsidR="008A1599" w:rsidRPr="006234BF" w:rsidRDefault="00755F97" w:rsidP="006234BF">
    <w:pPr>
      <w:pStyle w:val="Header"/>
      <w:rPr>
        <w:lang w:val="en-GB"/>
      </w:rPr>
    </w:pPr>
    <w:r>
      <w:rPr>
        <w:lang w:val="en-GB"/>
      </w:rPr>
      <w:t>A/HRC/AC/2</w:t>
    </w:r>
    <w:r w:rsidR="003D2A0D">
      <w:rPr>
        <w:lang w:val="en-GB"/>
      </w:rPr>
      <w:t>2</w:t>
    </w:r>
    <w:r w:rsidR="001D1DAC">
      <w:rPr>
        <w:lang w:val="en-GB"/>
      </w:rPr>
      <w:t>/CRP.</w:t>
    </w:r>
    <w:r w:rsidR="00594EF8">
      <w:rPr>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50BB" w14:textId="09888750" w:rsidR="008A1599" w:rsidRPr="003D2A0D" w:rsidRDefault="003D2A0D" w:rsidP="003D2A0D">
    <w:pPr>
      <w:pStyle w:val="Header"/>
      <w:jc w:val="right"/>
      <w:rPr>
        <w:lang w:val="en-GB"/>
      </w:rPr>
    </w:pPr>
    <w:r>
      <w:rPr>
        <w:lang w:val="en-GB"/>
      </w:rPr>
      <w:t>A/HRC/AC/22/CRP.</w:t>
    </w:r>
    <w:r w:rsidR="00594EF8">
      <w:rPr>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64AB5" w14:textId="77777777" w:rsidR="00F158DD" w:rsidRDefault="00F15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600D"/>
    <w:multiLevelType w:val="hybridMultilevel"/>
    <w:tmpl w:val="B9FA38AA"/>
    <w:lvl w:ilvl="0" w:tplc="5074086E">
      <w:start w:val="1"/>
      <w:numFmt w:val="upperRoman"/>
      <w:pStyle w:val="Heading1-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F2036B"/>
    <w:multiLevelType w:val="hybridMultilevel"/>
    <w:tmpl w:val="CA54B132"/>
    <w:lvl w:ilvl="0" w:tplc="48D43FEE">
      <w:start w:val="2"/>
      <w:numFmt w:val="bullet"/>
      <w:pStyle w:val="Bullet1G"/>
      <w:lvlText w:val="-"/>
      <w:lvlJc w:val="left"/>
      <w:pPr>
        <w:tabs>
          <w:tab w:val="num" w:pos="1701"/>
        </w:tabs>
        <w:ind w:left="1701" w:hanging="170"/>
      </w:pPr>
      <w:rPr>
        <w:rFonts w:ascii="Times New Roman" w:eastAsia="Calibri"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10010"/>
    <w:multiLevelType w:val="hybridMultilevel"/>
    <w:tmpl w:val="336C1D6C"/>
    <w:lvl w:ilvl="0" w:tplc="293A0E1C">
      <w:start w:val="1"/>
      <w:numFmt w:val="upperLetter"/>
      <w:pStyle w:val="Heading2-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3E096D"/>
    <w:multiLevelType w:val="hybridMultilevel"/>
    <w:tmpl w:val="5E68204A"/>
    <w:lvl w:ilvl="0" w:tplc="1C48694C">
      <w:start w:val="1"/>
      <w:numFmt w:val="decimal"/>
      <w:pStyle w:val="SingleTxtG-Withnumbering"/>
      <w:lvlText w:val="%1."/>
      <w:lvlJc w:val="left"/>
      <w:pPr>
        <w:ind w:left="1778" w:hanging="360"/>
      </w:pPr>
      <w:rPr>
        <w:b w:val="0"/>
        <w:i w:val="0"/>
        <w:lang w:val="x-none"/>
      </w:rPr>
    </w:lvl>
    <w:lvl w:ilvl="1" w:tplc="08090019" w:tentative="1">
      <w:start w:val="1"/>
      <w:numFmt w:val="lowerLetter"/>
      <w:lvlText w:val="%2."/>
      <w:lvlJc w:val="left"/>
      <w:pPr>
        <w:ind w:left="5126" w:hanging="360"/>
      </w:pPr>
    </w:lvl>
    <w:lvl w:ilvl="2" w:tplc="0809001B" w:tentative="1">
      <w:start w:val="1"/>
      <w:numFmt w:val="lowerRoman"/>
      <w:lvlText w:val="%3."/>
      <w:lvlJc w:val="right"/>
      <w:pPr>
        <w:ind w:left="5846" w:hanging="180"/>
      </w:pPr>
    </w:lvl>
    <w:lvl w:ilvl="3" w:tplc="0809000F" w:tentative="1">
      <w:start w:val="1"/>
      <w:numFmt w:val="decimal"/>
      <w:lvlText w:val="%4."/>
      <w:lvlJc w:val="left"/>
      <w:pPr>
        <w:ind w:left="6566" w:hanging="360"/>
      </w:pPr>
    </w:lvl>
    <w:lvl w:ilvl="4" w:tplc="08090019" w:tentative="1">
      <w:start w:val="1"/>
      <w:numFmt w:val="lowerLetter"/>
      <w:lvlText w:val="%5."/>
      <w:lvlJc w:val="left"/>
      <w:pPr>
        <w:ind w:left="7286" w:hanging="360"/>
      </w:pPr>
    </w:lvl>
    <w:lvl w:ilvl="5" w:tplc="0809001B" w:tentative="1">
      <w:start w:val="1"/>
      <w:numFmt w:val="lowerRoman"/>
      <w:lvlText w:val="%6."/>
      <w:lvlJc w:val="right"/>
      <w:pPr>
        <w:ind w:left="8006" w:hanging="180"/>
      </w:pPr>
    </w:lvl>
    <w:lvl w:ilvl="6" w:tplc="0809000F" w:tentative="1">
      <w:start w:val="1"/>
      <w:numFmt w:val="decimal"/>
      <w:lvlText w:val="%7."/>
      <w:lvlJc w:val="left"/>
      <w:pPr>
        <w:ind w:left="8726" w:hanging="360"/>
      </w:pPr>
    </w:lvl>
    <w:lvl w:ilvl="7" w:tplc="08090019" w:tentative="1">
      <w:start w:val="1"/>
      <w:numFmt w:val="lowerLetter"/>
      <w:lvlText w:val="%8."/>
      <w:lvlJc w:val="left"/>
      <w:pPr>
        <w:ind w:left="9446" w:hanging="360"/>
      </w:pPr>
    </w:lvl>
    <w:lvl w:ilvl="8" w:tplc="0809001B" w:tentative="1">
      <w:start w:val="1"/>
      <w:numFmt w:val="lowerRoman"/>
      <w:lvlText w:val="%9."/>
      <w:lvlJc w:val="right"/>
      <w:pPr>
        <w:ind w:left="10166" w:hanging="180"/>
      </w:p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AU" w:vendorID="64" w:dllVersion="6" w:nlCheck="1" w:checkStyle="1"/>
  <w:activeWritingStyle w:appName="MSWord" w:lang="es-ES_tradnl" w:vendorID="64" w:dllVersion="6" w:nlCheck="1" w:checkStyle="1"/>
  <w:activeWritingStyle w:appName="MSWord" w:lang="en-CA" w:vendorID="64" w:dllVersion="6" w:nlCheck="1" w:checkStyle="1"/>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0"/>
  <w:activeWritingStyle w:appName="MSWord" w:lang="en-AU" w:vendorID="64" w:dllVersion="131078" w:nlCheck="1" w:checkStyle="1"/>
  <w:activeWritingStyle w:appName="MSWord" w:lang="en-CA" w:vendorID="64" w:dllVersion="131078" w:nlCheck="1" w:checkStyle="1"/>
  <w:activeWritingStyle w:appName="MSWord" w:lang="en-US" w:vendorID="64" w:dllVersion="131078" w:nlCheck="1" w:checkStyle="0"/>
  <w:activeWritingStyle w:appName="MSWord" w:lang="es-ES"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6F"/>
    <w:rsid w:val="0000063F"/>
    <w:rsid w:val="000006B9"/>
    <w:rsid w:val="00003CB7"/>
    <w:rsid w:val="00004B3F"/>
    <w:rsid w:val="000060D5"/>
    <w:rsid w:val="0000700C"/>
    <w:rsid w:val="00010E69"/>
    <w:rsid w:val="00010F21"/>
    <w:rsid w:val="000123D7"/>
    <w:rsid w:val="000127F7"/>
    <w:rsid w:val="0001363A"/>
    <w:rsid w:val="000157A2"/>
    <w:rsid w:val="000162A9"/>
    <w:rsid w:val="000242B2"/>
    <w:rsid w:val="000250D9"/>
    <w:rsid w:val="0002514D"/>
    <w:rsid w:val="00027021"/>
    <w:rsid w:val="000276AA"/>
    <w:rsid w:val="0003015A"/>
    <w:rsid w:val="0003021B"/>
    <w:rsid w:val="000305E1"/>
    <w:rsid w:val="00031DBB"/>
    <w:rsid w:val="00031EC0"/>
    <w:rsid w:val="000320E5"/>
    <w:rsid w:val="00032F58"/>
    <w:rsid w:val="00034CBA"/>
    <w:rsid w:val="00036E85"/>
    <w:rsid w:val="00037462"/>
    <w:rsid w:val="00040703"/>
    <w:rsid w:val="00041CF7"/>
    <w:rsid w:val="000438DB"/>
    <w:rsid w:val="00045B7C"/>
    <w:rsid w:val="00045F5C"/>
    <w:rsid w:val="00045FF5"/>
    <w:rsid w:val="00046CC9"/>
    <w:rsid w:val="00052C17"/>
    <w:rsid w:val="000530E0"/>
    <w:rsid w:val="00053940"/>
    <w:rsid w:val="00054F39"/>
    <w:rsid w:val="00060C26"/>
    <w:rsid w:val="00071D5F"/>
    <w:rsid w:val="00071D65"/>
    <w:rsid w:val="00072E44"/>
    <w:rsid w:val="00073A10"/>
    <w:rsid w:val="00073D46"/>
    <w:rsid w:val="000747DA"/>
    <w:rsid w:val="00075333"/>
    <w:rsid w:val="000771BF"/>
    <w:rsid w:val="00077F9D"/>
    <w:rsid w:val="000807E9"/>
    <w:rsid w:val="000845B6"/>
    <w:rsid w:val="0009046F"/>
    <w:rsid w:val="0009122B"/>
    <w:rsid w:val="00091736"/>
    <w:rsid w:val="00092288"/>
    <w:rsid w:val="00096533"/>
    <w:rsid w:val="000965FD"/>
    <w:rsid w:val="00096E0A"/>
    <w:rsid w:val="00097FB9"/>
    <w:rsid w:val="000A043F"/>
    <w:rsid w:val="000A23A7"/>
    <w:rsid w:val="000A2B7C"/>
    <w:rsid w:val="000A3112"/>
    <w:rsid w:val="000A4D4A"/>
    <w:rsid w:val="000A6820"/>
    <w:rsid w:val="000A6AC9"/>
    <w:rsid w:val="000A737D"/>
    <w:rsid w:val="000A763C"/>
    <w:rsid w:val="000B02FB"/>
    <w:rsid w:val="000B0C80"/>
    <w:rsid w:val="000B1B9D"/>
    <w:rsid w:val="000B221C"/>
    <w:rsid w:val="000B2F88"/>
    <w:rsid w:val="000B56E6"/>
    <w:rsid w:val="000B726E"/>
    <w:rsid w:val="000C005F"/>
    <w:rsid w:val="000C0D36"/>
    <w:rsid w:val="000C1C35"/>
    <w:rsid w:val="000C3EC1"/>
    <w:rsid w:val="000C41E4"/>
    <w:rsid w:val="000C52AF"/>
    <w:rsid w:val="000C5915"/>
    <w:rsid w:val="000D01A4"/>
    <w:rsid w:val="000D18FE"/>
    <w:rsid w:val="000D2FC6"/>
    <w:rsid w:val="000D4C02"/>
    <w:rsid w:val="000D4DAA"/>
    <w:rsid w:val="000D60BA"/>
    <w:rsid w:val="000D782D"/>
    <w:rsid w:val="000E1963"/>
    <w:rsid w:val="000E451A"/>
    <w:rsid w:val="000E51ED"/>
    <w:rsid w:val="000E6352"/>
    <w:rsid w:val="000E6C21"/>
    <w:rsid w:val="000F062E"/>
    <w:rsid w:val="000F17AA"/>
    <w:rsid w:val="000F2853"/>
    <w:rsid w:val="000F2872"/>
    <w:rsid w:val="000F50DE"/>
    <w:rsid w:val="000F5617"/>
    <w:rsid w:val="000F683E"/>
    <w:rsid w:val="000F7962"/>
    <w:rsid w:val="0010108E"/>
    <w:rsid w:val="001014DB"/>
    <w:rsid w:val="00102E75"/>
    <w:rsid w:val="0010386F"/>
    <w:rsid w:val="00104146"/>
    <w:rsid w:val="001041D8"/>
    <w:rsid w:val="001062EA"/>
    <w:rsid w:val="00106644"/>
    <w:rsid w:val="00111352"/>
    <w:rsid w:val="001113B7"/>
    <w:rsid w:val="001121DE"/>
    <w:rsid w:val="00113476"/>
    <w:rsid w:val="00113492"/>
    <w:rsid w:val="001146B7"/>
    <w:rsid w:val="00114DF3"/>
    <w:rsid w:val="001155A7"/>
    <w:rsid w:val="00115968"/>
    <w:rsid w:val="00115EFE"/>
    <w:rsid w:val="00117FDA"/>
    <w:rsid w:val="00121374"/>
    <w:rsid w:val="001236FE"/>
    <w:rsid w:val="00125363"/>
    <w:rsid w:val="00126516"/>
    <w:rsid w:val="001270B4"/>
    <w:rsid w:val="001300B3"/>
    <w:rsid w:val="00132909"/>
    <w:rsid w:val="00132918"/>
    <w:rsid w:val="00133D7A"/>
    <w:rsid w:val="00135FF5"/>
    <w:rsid w:val="00136BCF"/>
    <w:rsid w:val="001371AD"/>
    <w:rsid w:val="00137BA2"/>
    <w:rsid w:val="00141CA6"/>
    <w:rsid w:val="00144118"/>
    <w:rsid w:val="00144971"/>
    <w:rsid w:val="001455D3"/>
    <w:rsid w:val="0014680F"/>
    <w:rsid w:val="0015124F"/>
    <w:rsid w:val="00152256"/>
    <w:rsid w:val="001531C1"/>
    <w:rsid w:val="00154C48"/>
    <w:rsid w:val="001624A5"/>
    <w:rsid w:val="00163888"/>
    <w:rsid w:val="00164CB0"/>
    <w:rsid w:val="00166D58"/>
    <w:rsid w:val="0017049D"/>
    <w:rsid w:val="00170A99"/>
    <w:rsid w:val="00173242"/>
    <w:rsid w:val="001737EF"/>
    <w:rsid w:val="00174A06"/>
    <w:rsid w:val="00177B86"/>
    <w:rsid w:val="00177DDE"/>
    <w:rsid w:val="00177E37"/>
    <w:rsid w:val="0018136A"/>
    <w:rsid w:val="00181ADA"/>
    <w:rsid w:val="00181B4F"/>
    <w:rsid w:val="00183EED"/>
    <w:rsid w:val="00187A8C"/>
    <w:rsid w:val="00187FA2"/>
    <w:rsid w:val="00190D63"/>
    <w:rsid w:val="00190F05"/>
    <w:rsid w:val="00192F2B"/>
    <w:rsid w:val="001934D3"/>
    <w:rsid w:val="00195EC4"/>
    <w:rsid w:val="001A16A0"/>
    <w:rsid w:val="001A19F3"/>
    <w:rsid w:val="001A2909"/>
    <w:rsid w:val="001A2C5B"/>
    <w:rsid w:val="001A5957"/>
    <w:rsid w:val="001A6CE4"/>
    <w:rsid w:val="001B0B72"/>
    <w:rsid w:val="001B24E5"/>
    <w:rsid w:val="001B3E68"/>
    <w:rsid w:val="001B6CBB"/>
    <w:rsid w:val="001C0F3B"/>
    <w:rsid w:val="001C2222"/>
    <w:rsid w:val="001C2701"/>
    <w:rsid w:val="001C2CBE"/>
    <w:rsid w:val="001C3B06"/>
    <w:rsid w:val="001C3C97"/>
    <w:rsid w:val="001C429C"/>
    <w:rsid w:val="001C5E1A"/>
    <w:rsid w:val="001C6476"/>
    <w:rsid w:val="001C72B4"/>
    <w:rsid w:val="001D0CF4"/>
    <w:rsid w:val="001D0D90"/>
    <w:rsid w:val="001D1DAC"/>
    <w:rsid w:val="001D3C57"/>
    <w:rsid w:val="001D6FD5"/>
    <w:rsid w:val="001D7E85"/>
    <w:rsid w:val="001E057A"/>
    <w:rsid w:val="001E0929"/>
    <w:rsid w:val="001E265C"/>
    <w:rsid w:val="001F22C5"/>
    <w:rsid w:val="001F244A"/>
    <w:rsid w:val="001F25C4"/>
    <w:rsid w:val="001F35A8"/>
    <w:rsid w:val="001F4040"/>
    <w:rsid w:val="001F4DE9"/>
    <w:rsid w:val="001F62DC"/>
    <w:rsid w:val="001F6D89"/>
    <w:rsid w:val="001F7D4A"/>
    <w:rsid w:val="002019C3"/>
    <w:rsid w:val="00204342"/>
    <w:rsid w:val="002044A7"/>
    <w:rsid w:val="00205C9B"/>
    <w:rsid w:val="002075DE"/>
    <w:rsid w:val="00211B2A"/>
    <w:rsid w:val="00212C43"/>
    <w:rsid w:val="002139C0"/>
    <w:rsid w:val="00213B95"/>
    <w:rsid w:val="0021587B"/>
    <w:rsid w:val="00215A68"/>
    <w:rsid w:val="00215EE3"/>
    <w:rsid w:val="002206A4"/>
    <w:rsid w:val="0022180B"/>
    <w:rsid w:val="00222052"/>
    <w:rsid w:val="002231D2"/>
    <w:rsid w:val="0022330C"/>
    <w:rsid w:val="00223778"/>
    <w:rsid w:val="00223A75"/>
    <w:rsid w:val="0022720B"/>
    <w:rsid w:val="00227C1E"/>
    <w:rsid w:val="00232AAC"/>
    <w:rsid w:val="00232B06"/>
    <w:rsid w:val="00233FC3"/>
    <w:rsid w:val="00234164"/>
    <w:rsid w:val="00240B37"/>
    <w:rsid w:val="00240C09"/>
    <w:rsid w:val="002435C7"/>
    <w:rsid w:val="00243949"/>
    <w:rsid w:val="00245F79"/>
    <w:rsid w:val="002477FE"/>
    <w:rsid w:val="00247B39"/>
    <w:rsid w:val="0025731F"/>
    <w:rsid w:val="00257AFD"/>
    <w:rsid w:val="00260F6C"/>
    <w:rsid w:val="0026167E"/>
    <w:rsid w:val="0026174D"/>
    <w:rsid w:val="00264F74"/>
    <w:rsid w:val="0027143C"/>
    <w:rsid w:val="0027312B"/>
    <w:rsid w:val="0027500F"/>
    <w:rsid w:val="0027676F"/>
    <w:rsid w:val="00276A0C"/>
    <w:rsid w:val="00276D49"/>
    <w:rsid w:val="002773E1"/>
    <w:rsid w:val="00277D0E"/>
    <w:rsid w:val="00281268"/>
    <w:rsid w:val="002823E1"/>
    <w:rsid w:val="00282D5A"/>
    <w:rsid w:val="0028347D"/>
    <w:rsid w:val="00283CDD"/>
    <w:rsid w:val="002868E0"/>
    <w:rsid w:val="002869C8"/>
    <w:rsid w:val="00286DE3"/>
    <w:rsid w:val="00290109"/>
    <w:rsid w:val="00291A2C"/>
    <w:rsid w:val="002933C1"/>
    <w:rsid w:val="0029348D"/>
    <w:rsid w:val="00293589"/>
    <w:rsid w:val="00293F7B"/>
    <w:rsid w:val="00294118"/>
    <w:rsid w:val="002952DD"/>
    <w:rsid w:val="00296680"/>
    <w:rsid w:val="002A0BB7"/>
    <w:rsid w:val="002A1026"/>
    <w:rsid w:val="002A1C0F"/>
    <w:rsid w:val="002A380A"/>
    <w:rsid w:val="002A6D1C"/>
    <w:rsid w:val="002A73AF"/>
    <w:rsid w:val="002B02E5"/>
    <w:rsid w:val="002B079C"/>
    <w:rsid w:val="002B2663"/>
    <w:rsid w:val="002B3375"/>
    <w:rsid w:val="002B3388"/>
    <w:rsid w:val="002B3795"/>
    <w:rsid w:val="002B3C6A"/>
    <w:rsid w:val="002B566E"/>
    <w:rsid w:val="002B574B"/>
    <w:rsid w:val="002B5BB3"/>
    <w:rsid w:val="002B6BC7"/>
    <w:rsid w:val="002C0601"/>
    <w:rsid w:val="002C18DE"/>
    <w:rsid w:val="002C2923"/>
    <w:rsid w:val="002C4ADA"/>
    <w:rsid w:val="002C659B"/>
    <w:rsid w:val="002C65C0"/>
    <w:rsid w:val="002C6E6C"/>
    <w:rsid w:val="002C74CA"/>
    <w:rsid w:val="002D1139"/>
    <w:rsid w:val="002D185D"/>
    <w:rsid w:val="002D2133"/>
    <w:rsid w:val="002D2E11"/>
    <w:rsid w:val="002D32B7"/>
    <w:rsid w:val="002D39CD"/>
    <w:rsid w:val="002D3A8E"/>
    <w:rsid w:val="002D3AA5"/>
    <w:rsid w:val="002D4A19"/>
    <w:rsid w:val="002D548B"/>
    <w:rsid w:val="002D6094"/>
    <w:rsid w:val="002E106A"/>
    <w:rsid w:val="002E15A8"/>
    <w:rsid w:val="002E1BBD"/>
    <w:rsid w:val="002E1BFD"/>
    <w:rsid w:val="002E4248"/>
    <w:rsid w:val="002E43F1"/>
    <w:rsid w:val="002F02A5"/>
    <w:rsid w:val="002F1076"/>
    <w:rsid w:val="002F2315"/>
    <w:rsid w:val="002F3874"/>
    <w:rsid w:val="002F4B0A"/>
    <w:rsid w:val="002F4B90"/>
    <w:rsid w:val="002F69D0"/>
    <w:rsid w:val="002F759C"/>
    <w:rsid w:val="002F75FC"/>
    <w:rsid w:val="002F7EA6"/>
    <w:rsid w:val="003008E3"/>
    <w:rsid w:val="00300C76"/>
    <w:rsid w:val="00300C85"/>
    <w:rsid w:val="003029BE"/>
    <w:rsid w:val="00305259"/>
    <w:rsid w:val="00305D66"/>
    <w:rsid w:val="003062EB"/>
    <w:rsid w:val="003067BF"/>
    <w:rsid w:val="00307595"/>
    <w:rsid w:val="00307671"/>
    <w:rsid w:val="00310E6E"/>
    <w:rsid w:val="00311B7E"/>
    <w:rsid w:val="00312C07"/>
    <w:rsid w:val="00312F8B"/>
    <w:rsid w:val="003140B7"/>
    <w:rsid w:val="00315A39"/>
    <w:rsid w:val="00316F1D"/>
    <w:rsid w:val="00317D96"/>
    <w:rsid w:val="0032038C"/>
    <w:rsid w:val="003229E3"/>
    <w:rsid w:val="0032425E"/>
    <w:rsid w:val="003243F4"/>
    <w:rsid w:val="003260F9"/>
    <w:rsid w:val="0032642D"/>
    <w:rsid w:val="003325B7"/>
    <w:rsid w:val="0033317E"/>
    <w:rsid w:val="00335894"/>
    <w:rsid w:val="003420F0"/>
    <w:rsid w:val="003432E3"/>
    <w:rsid w:val="003456DC"/>
    <w:rsid w:val="003464E9"/>
    <w:rsid w:val="00346924"/>
    <w:rsid w:val="0035007F"/>
    <w:rsid w:val="00352E65"/>
    <w:rsid w:val="0035593A"/>
    <w:rsid w:val="003565A8"/>
    <w:rsid w:val="003567BD"/>
    <w:rsid w:val="00360013"/>
    <w:rsid w:val="003634E2"/>
    <w:rsid w:val="003636AF"/>
    <w:rsid w:val="003639F7"/>
    <w:rsid w:val="003640A6"/>
    <w:rsid w:val="00364A68"/>
    <w:rsid w:val="00365471"/>
    <w:rsid w:val="00365FFE"/>
    <w:rsid w:val="00366050"/>
    <w:rsid w:val="00367828"/>
    <w:rsid w:val="00370050"/>
    <w:rsid w:val="00370569"/>
    <w:rsid w:val="00370865"/>
    <w:rsid w:val="00373136"/>
    <w:rsid w:val="00373671"/>
    <w:rsid w:val="0037375B"/>
    <w:rsid w:val="00373C94"/>
    <w:rsid w:val="00373F38"/>
    <w:rsid w:val="00374C65"/>
    <w:rsid w:val="00376935"/>
    <w:rsid w:val="003775A2"/>
    <w:rsid w:val="00380416"/>
    <w:rsid w:val="00381A66"/>
    <w:rsid w:val="00381B00"/>
    <w:rsid w:val="00382169"/>
    <w:rsid w:val="00387E48"/>
    <w:rsid w:val="00390198"/>
    <w:rsid w:val="00390A7F"/>
    <w:rsid w:val="00390B37"/>
    <w:rsid w:val="003932E3"/>
    <w:rsid w:val="00393301"/>
    <w:rsid w:val="0039522E"/>
    <w:rsid w:val="003A0AC5"/>
    <w:rsid w:val="003A3B16"/>
    <w:rsid w:val="003A4270"/>
    <w:rsid w:val="003A52A9"/>
    <w:rsid w:val="003B21A8"/>
    <w:rsid w:val="003B4E2B"/>
    <w:rsid w:val="003B55FB"/>
    <w:rsid w:val="003B712A"/>
    <w:rsid w:val="003C0BD1"/>
    <w:rsid w:val="003C21D1"/>
    <w:rsid w:val="003C299E"/>
    <w:rsid w:val="003C33BC"/>
    <w:rsid w:val="003C33CA"/>
    <w:rsid w:val="003C3BBB"/>
    <w:rsid w:val="003C43E0"/>
    <w:rsid w:val="003C57F8"/>
    <w:rsid w:val="003C5838"/>
    <w:rsid w:val="003C6C44"/>
    <w:rsid w:val="003C76B2"/>
    <w:rsid w:val="003C7952"/>
    <w:rsid w:val="003C7E6C"/>
    <w:rsid w:val="003D0962"/>
    <w:rsid w:val="003D1ADC"/>
    <w:rsid w:val="003D2A0D"/>
    <w:rsid w:val="003D312D"/>
    <w:rsid w:val="003D3805"/>
    <w:rsid w:val="003D38A3"/>
    <w:rsid w:val="003D4CE3"/>
    <w:rsid w:val="003D4FA5"/>
    <w:rsid w:val="003D56FD"/>
    <w:rsid w:val="003D67C6"/>
    <w:rsid w:val="003D77F2"/>
    <w:rsid w:val="003D7B8E"/>
    <w:rsid w:val="003D7D82"/>
    <w:rsid w:val="003E05DB"/>
    <w:rsid w:val="003E06ED"/>
    <w:rsid w:val="003E3381"/>
    <w:rsid w:val="003E3C27"/>
    <w:rsid w:val="003E4903"/>
    <w:rsid w:val="003E54E8"/>
    <w:rsid w:val="003E563B"/>
    <w:rsid w:val="003E61AE"/>
    <w:rsid w:val="003E7D6E"/>
    <w:rsid w:val="003F182C"/>
    <w:rsid w:val="003F1BB6"/>
    <w:rsid w:val="003F2B25"/>
    <w:rsid w:val="003F6755"/>
    <w:rsid w:val="003F78A0"/>
    <w:rsid w:val="003F7A40"/>
    <w:rsid w:val="0040029E"/>
    <w:rsid w:val="00400750"/>
    <w:rsid w:val="00400EA8"/>
    <w:rsid w:val="00402224"/>
    <w:rsid w:val="0040359D"/>
    <w:rsid w:val="004048EB"/>
    <w:rsid w:val="0040563E"/>
    <w:rsid w:val="00410D4D"/>
    <w:rsid w:val="00411204"/>
    <w:rsid w:val="004122DF"/>
    <w:rsid w:val="0041276C"/>
    <w:rsid w:val="00413600"/>
    <w:rsid w:val="00413BA3"/>
    <w:rsid w:val="004146E7"/>
    <w:rsid w:val="004149E3"/>
    <w:rsid w:val="0041796F"/>
    <w:rsid w:val="004204D0"/>
    <w:rsid w:val="00420852"/>
    <w:rsid w:val="00421C7F"/>
    <w:rsid w:val="00421E08"/>
    <w:rsid w:val="0042246C"/>
    <w:rsid w:val="00422548"/>
    <w:rsid w:val="0042347B"/>
    <w:rsid w:val="004237E5"/>
    <w:rsid w:val="00423FE6"/>
    <w:rsid w:val="0042505D"/>
    <w:rsid w:val="00430C56"/>
    <w:rsid w:val="004320DF"/>
    <w:rsid w:val="004325BD"/>
    <w:rsid w:val="00432989"/>
    <w:rsid w:val="00432FD2"/>
    <w:rsid w:val="00437F70"/>
    <w:rsid w:val="00440E32"/>
    <w:rsid w:val="00441FA0"/>
    <w:rsid w:val="00442FE4"/>
    <w:rsid w:val="004435AD"/>
    <w:rsid w:val="00443D38"/>
    <w:rsid w:val="00450CAB"/>
    <w:rsid w:val="00450E6E"/>
    <w:rsid w:val="00453939"/>
    <w:rsid w:val="004541C0"/>
    <w:rsid w:val="0046117B"/>
    <w:rsid w:val="00461579"/>
    <w:rsid w:val="004628A9"/>
    <w:rsid w:val="00462CF3"/>
    <w:rsid w:val="00465AF0"/>
    <w:rsid w:val="004674D5"/>
    <w:rsid w:val="00470B65"/>
    <w:rsid w:val="00471C03"/>
    <w:rsid w:val="00472ACE"/>
    <w:rsid w:val="00473242"/>
    <w:rsid w:val="00473637"/>
    <w:rsid w:val="00473D48"/>
    <w:rsid w:val="004740BF"/>
    <w:rsid w:val="004740CC"/>
    <w:rsid w:val="00475E8E"/>
    <w:rsid w:val="00480159"/>
    <w:rsid w:val="0048143C"/>
    <w:rsid w:val="004816AF"/>
    <w:rsid w:val="00481858"/>
    <w:rsid w:val="0048434E"/>
    <w:rsid w:val="0048761F"/>
    <w:rsid w:val="00491EE6"/>
    <w:rsid w:val="00492B4B"/>
    <w:rsid w:val="0049475C"/>
    <w:rsid w:val="004949EC"/>
    <w:rsid w:val="00494BF2"/>
    <w:rsid w:val="004A3871"/>
    <w:rsid w:val="004A419D"/>
    <w:rsid w:val="004A57E6"/>
    <w:rsid w:val="004A6C1C"/>
    <w:rsid w:val="004A76C6"/>
    <w:rsid w:val="004A7B9F"/>
    <w:rsid w:val="004B0F2F"/>
    <w:rsid w:val="004B2A68"/>
    <w:rsid w:val="004B35C2"/>
    <w:rsid w:val="004B3674"/>
    <w:rsid w:val="004B4524"/>
    <w:rsid w:val="004B68C2"/>
    <w:rsid w:val="004B6FE0"/>
    <w:rsid w:val="004C0299"/>
    <w:rsid w:val="004C2525"/>
    <w:rsid w:val="004C41AC"/>
    <w:rsid w:val="004C41DF"/>
    <w:rsid w:val="004C4501"/>
    <w:rsid w:val="004C5374"/>
    <w:rsid w:val="004C6815"/>
    <w:rsid w:val="004C707C"/>
    <w:rsid w:val="004C7D46"/>
    <w:rsid w:val="004D1889"/>
    <w:rsid w:val="004E13C1"/>
    <w:rsid w:val="004E35FF"/>
    <w:rsid w:val="004E44D5"/>
    <w:rsid w:val="004E5985"/>
    <w:rsid w:val="004E7EFA"/>
    <w:rsid w:val="004F1441"/>
    <w:rsid w:val="004F16B3"/>
    <w:rsid w:val="004F2236"/>
    <w:rsid w:val="004F22BA"/>
    <w:rsid w:val="004F35D5"/>
    <w:rsid w:val="004F3B9D"/>
    <w:rsid w:val="004F40A6"/>
    <w:rsid w:val="004F5025"/>
    <w:rsid w:val="004F6396"/>
    <w:rsid w:val="004F6EF2"/>
    <w:rsid w:val="004F7EFA"/>
    <w:rsid w:val="00501FE3"/>
    <w:rsid w:val="005047C9"/>
    <w:rsid w:val="00504E46"/>
    <w:rsid w:val="005052F5"/>
    <w:rsid w:val="0050536E"/>
    <w:rsid w:val="00513223"/>
    <w:rsid w:val="00513B0B"/>
    <w:rsid w:val="0051417F"/>
    <w:rsid w:val="00515333"/>
    <w:rsid w:val="005160B4"/>
    <w:rsid w:val="005201DD"/>
    <w:rsid w:val="00524D8B"/>
    <w:rsid w:val="00524F9F"/>
    <w:rsid w:val="00526519"/>
    <w:rsid w:val="00526B44"/>
    <w:rsid w:val="00526EB7"/>
    <w:rsid w:val="00527D49"/>
    <w:rsid w:val="00527E3C"/>
    <w:rsid w:val="005304F1"/>
    <w:rsid w:val="0053368D"/>
    <w:rsid w:val="0053381D"/>
    <w:rsid w:val="00533AEE"/>
    <w:rsid w:val="00533C75"/>
    <w:rsid w:val="005342A4"/>
    <w:rsid w:val="00535BD3"/>
    <w:rsid w:val="00535E64"/>
    <w:rsid w:val="005361BD"/>
    <w:rsid w:val="005375D0"/>
    <w:rsid w:val="00540C06"/>
    <w:rsid w:val="0054139C"/>
    <w:rsid w:val="005420A2"/>
    <w:rsid w:val="0054245B"/>
    <w:rsid w:val="00542F29"/>
    <w:rsid w:val="0054309F"/>
    <w:rsid w:val="00545832"/>
    <w:rsid w:val="00545959"/>
    <w:rsid w:val="005459D0"/>
    <w:rsid w:val="00551970"/>
    <w:rsid w:val="00551C18"/>
    <w:rsid w:val="005525B7"/>
    <w:rsid w:val="00552D87"/>
    <w:rsid w:val="00557803"/>
    <w:rsid w:val="00557F6D"/>
    <w:rsid w:val="005614E8"/>
    <w:rsid w:val="005626D8"/>
    <w:rsid w:val="00562DC9"/>
    <w:rsid w:val="00565196"/>
    <w:rsid w:val="00567CFB"/>
    <w:rsid w:val="0057069B"/>
    <w:rsid w:val="00570953"/>
    <w:rsid w:val="00570F7C"/>
    <w:rsid w:val="005716CA"/>
    <w:rsid w:val="00572472"/>
    <w:rsid w:val="00572907"/>
    <w:rsid w:val="00573875"/>
    <w:rsid w:val="00575BA6"/>
    <w:rsid w:val="00577374"/>
    <w:rsid w:val="00577745"/>
    <w:rsid w:val="00577CAE"/>
    <w:rsid w:val="00580555"/>
    <w:rsid w:val="00582B93"/>
    <w:rsid w:val="00583DA4"/>
    <w:rsid w:val="0058435C"/>
    <w:rsid w:val="0058446E"/>
    <w:rsid w:val="00586785"/>
    <w:rsid w:val="00587D7D"/>
    <w:rsid w:val="00592F58"/>
    <w:rsid w:val="005939BB"/>
    <w:rsid w:val="00594EF8"/>
    <w:rsid w:val="005953A2"/>
    <w:rsid w:val="005969A1"/>
    <w:rsid w:val="005A0689"/>
    <w:rsid w:val="005A0714"/>
    <w:rsid w:val="005A0842"/>
    <w:rsid w:val="005A23AE"/>
    <w:rsid w:val="005A34EF"/>
    <w:rsid w:val="005A385A"/>
    <w:rsid w:val="005A3E84"/>
    <w:rsid w:val="005B00EF"/>
    <w:rsid w:val="005B171A"/>
    <w:rsid w:val="005B3AF6"/>
    <w:rsid w:val="005B4E4D"/>
    <w:rsid w:val="005B578B"/>
    <w:rsid w:val="005B5FAD"/>
    <w:rsid w:val="005B60D2"/>
    <w:rsid w:val="005B7C22"/>
    <w:rsid w:val="005C2A44"/>
    <w:rsid w:val="005C2F73"/>
    <w:rsid w:val="005C31B6"/>
    <w:rsid w:val="005C3ABB"/>
    <w:rsid w:val="005C49E7"/>
    <w:rsid w:val="005C514B"/>
    <w:rsid w:val="005D140F"/>
    <w:rsid w:val="005D34DF"/>
    <w:rsid w:val="005D3CAE"/>
    <w:rsid w:val="005D59EB"/>
    <w:rsid w:val="005D6A6D"/>
    <w:rsid w:val="005D729B"/>
    <w:rsid w:val="005D73B1"/>
    <w:rsid w:val="005E0D5E"/>
    <w:rsid w:val="005E11A3"/>
    <w:rsid w:val="005E381C"/>
    <w:rsid w:val="005E4EAE"/>
    <w:rsid w:val="005E6311"/>
    <w:rsid w:val="005E6455"/>
    <w:rsid w:val="005E6E04"/>
    <w:rsid w:val="005F0338"/>
    <w:rsid w:val="005F0475"/>
    <w:rsid w:val="005F10AC"/>
    <w:rsid w:val="005F1364"/>
    <w:rsid w:val="005F14C6"/>
    <w:rsid w:val="005F2297"/>
    <w:rsid w:val="005F281C"/>
    <w:rsid w:val="005F394C"/>
    <w:rsid w:val="005F450D"/>
    <w:rsid w:val="005F4983"/>
    <w:rsid w:val="005F4E3D"/>
    <w:rsid w:val="005F5F01"/>
    <w:rsid w:val="005F6C1A"/>
    <w:rsid w:val="00600A9B"/>
    <w:rsid w:val="00600FD8"/>
    <w:rsid w:val="0060204F"/>
    <w:rsid w:val="006020B4"/>
    <w:rsid w:val="0060211F"/>
    <w:rsid w:val="0060508D"/>
    <w:rsid w:val="00607044"/>
    <w:rsid w:val="00610658"/>
    <w:rsid w:val="00611B6E"/>
    <w:rsid w:val="00612478"/>
    <w:rsid w:val="00612970"/>
    <w:rsid w:val="0061311B"/>
    <w:rsid w:val="006153E8"/>
    <w:rsid w:val="00615C61"/>
    <w:rsid w:val="00615D9A"/>
    <w:rsid w:val="006162B7"/>
    <w:rsid w:val="0062092B"/>
    <w:rsid w:val="00620BA7"/>
    <w:rsid w:val="00621212"/>
    <w:rsid w:val="00623091"/>
    <w:rsid w:val="006230F0"/>
    <w:rsid w:val="006234BF"/>
    <w:rsid w:val="00623E2E"/>
    <w:rsid w:val="0062472E"/>
    <w:rsid w:val="0062526B"/>
    <w:rsid w:val="00626EF6"/>
    <w:rsid w:val="006307B3"/>
    <w:rsid w:val="00631118"/>
    <w:rsid w:val="00632562"/>
    <w:rsid w:val="00636BC2"/>
    <w:rsid w:val="00637EAE"/>
    <w:rsid w:val="00637F40"/>
    <w:rsid w:val="00640119"/>
    <w:rsid w:val="00642941"/>
    <w:rsid w:val="006437B7"/>
    <w:rsid w:val="0064463A"/>
    <w:rsid w:val="00645596"/>
    <w:rsid w:val="006474D0"/>
    <w:rsid w:val="0064767A"/>
    <w:rsid w:val="0064786F"/>
    <w:rsid w:val="006478EB"/>
    <w:rsid w:val="00650EDE"/>
    <w:rsid w:val="00651DDD"/>
    <w:rsid w:val="00652E1F"/>
    <w:rsid w:val="0065471A"/>
    <w:rsid w:val="00655921"/>
    <w:rsid w:val="00656208"/>
    <w:rsid w:val="006607C1"/>
    <w:rsid w:val="00660A75"/>
    <w:rsid w:val="0066100D"/>
    <w:rsid w:val="0066133A"/>
    <w:rsid w:val="006616DD"/>
    <w:rsid w:val="00662102"/>
    <w:rsid w:val="00666489"/>
    <w:rsid w:val="00667AF8"/>
    <w:rsid w:val="0067099B"/>
    <w:rsid w:val="00670E1C"/>
    <w:rsid w:val="0067198B"/>
    <w:rsid w:val="00672AE1"/>
    <w:rsid w:val="006738B4"/>
    <w:rsid w:val="006776CC"/>
    <w:rsid w:val="006810EE"/>
    <w:rsid w:val="00681AA8"/>
    <w:rsid w:val="006827CD"/>
    <w:rsid w:val="00684443"/>
    <w:rsid w:val="0068603F"/>
    <w:rsid w:val="00687185"/>
    <w:rsid w:val="00687E47"/>
    <w:rsid w:val="0069047A"/>
    <w:rsid w:val="00694201"/>
    <w:rsid w:val="006943DA"/>
    <w:rsid w:val="00695D5C"/>
    <w:rsid w:val="00697EBB"/>
    <w:rsid w:val="006A0520"/>
    <w:rsid w:val="006A1475"/>
    <w:rsid w:val="006A23B4"/>
    <w:rsid w:val="006A2BEB"/>
    <w:rsid w:val="006A2DC1"/>
    <w:rsid w:val="006A39C6"/>
    <w:rsid w:val="006A40EF"/>
    <w:rsid w:val="006A4F2F"/>
    <w:rsid w:val="006A5689"/>
    <w:rsid w:val="006A6235"/>
    <w:rsid w:val="006A71A9"/>
    <w:rsid w:val="006A7C90"/>
    <w:rsid w:val="006B13B6"/>
    <w:rsid w:val="006B1ED2"/>
    <w:rsid w:val="006B3A07"/>
    <w:rsid w:val="006B5111"/>
    <w:rsid w:val="006B6E7B"/>
    <w:rsid w:val="006C29CD"/>
    <w:rsid w:val="006C2D00"/>
    <w:rsid w:val="006C420C"/>
    <w:rsid w:val="006C4560"/>
    <w:rsid w:val="006C4EBF"/>
    <w:rsid w:val="006C5852"/>
    <w:rsid w:val="006C5B3B"/>
    <w:rsid w:val="006C6F92"/>
    <w:rsid w:val="006C78D4"/>
    <w:rsid w:val="006D0E7B"/>
    <w:rsid w:val="006D1025"/>
    <w:rsid w:val="006D1780"/>
    <w:rsid w:val="006D46BD"/>
    <w:rsid w:val="006D5A74"/>
    <w:rsid w:val="006D656A"/>
    <w:rsid w:val="006D70AE"/>
    <w:rsid w:val="006E04DD"/>
    <w:rsid w:val="006E1ED3"/>
    <w:rsid w:val="006E267B"/>
    <w:rsid w:val="006E2C42"/>
    <w:rsid w:val="006E3164"/>
    <w:rsid w:val="006E3BDD"/>
    <w:rsid w:val="006E5CE2"/>
    <w:rsid w:val="006E6D79"/>
    <w:rsid w:val="006F071E"/>
    <w:rsid w:val="006F100B"/>
    <w:rsid w:val="006F28BE"/>
    <w:rsid w:val="006F28FF"/>
    <w:rsid w:val="006F36E8"/>
    <w:rsid w:val="0070112A"/>
    <w:rsid w:val="00702B9A"/>
    <w:rsid w:val="00703ACC"/>
    <w:rsid w:val="0070700E"/>
    <w:rsid w:val="0070728D"/>
    <w:rsid w:val="00707C6B"/>
    <w:rsid w:val="007118FF"/>
    <w:rsid w:val="00713653"/>
    <w:rsid w:val="007152DC"/>
    <w:rsid w:val="007170FB"/>
    <w:rsid w:val="00717923"/>
    <w:rsid w:val="007247F7"/>
    <w:rsid w:val="007265CC"/>
    <w:rsid w:val="00726FF0"/>
    <w:rsid w:val="00727894"/>
    <w:rsid w:val="007279B6"/>
    <w:rsid w:val="00730141"/>
    <w:rsid w:val="00731EA9"/>
    <w:rsid w:val="0073259B"/>
    <w:rsid w:val="007337FC"/>
    <w:rsid w:val="00736328"/>
    <w:rsid w:val="00740A28"/>
    <w:rsid w:val="00741172"/>
    <w:rsid w:val="00742B1E"/>
    <w:rsid w:val="00744357"/>
    <w:rsid w:val="00746870"/>
    <w:rsid w:val="0074746B"/>
    <w:rsid w:val="0074748A"/>
    <w:rsid w:val="00750B0F"/>
    <w:rsid w:val="00750FA9"/>
    <w:rsid w:val="00751A5B"/>
    <w:rsid w:val="007539DC"/>
    <w:rsid w:val="00755A75"/>
    <w:rsid w:val="00755F97"/>
    <w:rsid w:val="00757B15"/>
    <w:rsid w:val="007607A4"/>
    <w:rsid w:val="007649E4"/>
    <w:rsid w:val="0076514D"/>
    <w:rsid w:val="007658E3"/>
    <w:rsid w:val="00766A82"/>
    <w:rsid w:val="00766E63"/>
    <w:rsid w:val="00767468"/>
    <w:rsid w:val="007722C8"/>
    <w:rsid w:val="00772BD2"/>
    <w:rsid w:val="0077327F"/>
    <w:rsid w:val="00773C0B"/>
    <w:rsid w:val="00776AE4"/>
    <w:rsid w:val="00777B17"/>
    <w:rsid w:val="00777F2C"/>
    <w:rsid w:val="0078433B"/>
    <w:rsid w:val="00790F4C"/>
    <w:rsid w:val="00791EC3"/>
    <w:rsid w:val="007929EA"/>
    <w:rsid w:val="00793945"/>
    <w:rsid w:val="00793EFB"/>
    <w:rsid w:val="0079605A"/>
    <w:rsid w:val="007A1559"/>
    <w:rsid w:val="007A27C3"/>
    <w:rsid w:val="007A3A15"/>
    <w:rsid w:val="007A3D63"/>
    <w:rsid w:val="007A525F"/>
    <w:rsid w:val="007A7F40"/>
    <w:rsid w:val="007B0172"/>
    <w:rsid w:val="007B1759"/>
    <w:rsid w:val="007B2550"/>
    <w:rsid w:val="007B55F9"/>
    <w:rsid w:val="007B65EE"/>
    <w:rsid w:val="007B6BB9"/>
    <w:rsid w:val="007B75A9"/>
    <w:rsid w:val="007B7DCE"/>
    <w:rsid w:val="007C06F4"/>
    <w:rsid w:val="007C203B"/>
    <w:rsid w:val="007C3E1B"/>
    <w:rsid w:val="007C4DC0"/>
    <w:rsid w:val="007C5D3F"/>
    <w:rsid w:val="007C7150"/>
    <w:rsid w:val="007D0294"/>
    <w:rsid w:val="007D0BD8"/>
    <w:rsid w:val="007D0F42"/>
    <w:rsid w:val="007D1068"/>
    <w:rsid w:val="007D1A02"/>
    <w:rsid w:val="007D201F"/>
    <w:rsid w:val="007D25BA"/>
    <w:rsid w:val="007D2D05"/>
    <w:rsid w:val="007D3844"/>
    <w:rsid w:val="007D5C19"/>
    <w:rsid w:val="007D678F"/>
    <w:rsid w:val="007E0263"/>
    <w:rsid w:val="007E1725"/>
    <w:rsid w:val="007E1804"/>
    <w:rsid w:val="007E28A9"/>
    <w:rsid w:val="007E477D"/>
    <w:rsid w:val="007E4D9E"/>
    <w:rsid w:val="007E6150"/>
    <w:rsid w:val="007E61A1"/>
    <w:rsid w:val="007E71FC"/>
    <w:rsid w:val="007E7AD2"/>
    <w:rsid w:val="007E7E49"/>
    <w:rsid w:val="007F01FB"/>
    <w:rsid w:val="007F1D8D"/>
    <w:rsid w:val="007F30BE"/>
    <w:rsid w:val="007F45EA"/>
    <w:rsid w:val="007F5C7B"/>
    <w:rsid w:val="007F5D49"/>
    <w:rsid w:val="007F6D54"/>
    <w:rsid w:val="007F78E3"/>
    <w:rsid w:val="00803F39"/>
    <w:rsid w:val="00804B71"/>
    <w:rsid w:val="0080512C"/>
    <w:rsid w:val="0080601D"/>
    <w:rsid w:val="0080676F"/>
    <w:rsid w:val="00810F49"/>
    <w:rsid w:val="00812E20"/>
    <w:rsid w:val="00813EBC"/>
    <w:rsid w:val="00814C31"/>
    <w:rsid w:val="0081589B"/>
    <w:rsid w:val="00816C9B"/>
    <w:rsid w:val="00820859"/>
    <w:rsid w:val="00822014"/>
    <w:rsid w:val="00822BF7"/>
    <w:rsid w:val="00822E37"/>
    <w:rsid w:val="008235DD"/>
    <w:rsid w:val="008253DF"/>
    <w:rsid w:val="00826CEC"/>
    <w:rsid w:val="00832CCA"/>
    <w:rsid w:val="00832EA7"/>
    <w:rsid w:val="00833D34"/>
    <w:rsid w:val="00834C24"/>
    <w:rsid w:val="008410CD"/>
    <w:rsid w:val="008410E6"/>
    <w:rsid w:val="008413AD"/>
    <w:rsid w:val="00841E35"/>
    <w:rsid w:val="008428E2"/>
    <w:rsid w:val="00842FE8"/>
    <w:rsid w:val="008452C4"/>
    <w:rsid w:val="00845647"/>
    <w:rsid w:val="00846097"/>
    <w:rsid w:val="00846895"/>
    <w:rsid w:val="008504AC"/>
    <w:rsid w:val="0085054B"/>
    <w:rsid w:val="0085098F"/>
    <w:rsid w:val="00851B9F"/>
    <w:rsid w:val="0085227C"/>
    <w:rsid w:val="00853E59"/>
    <w:rsid w:val="0085477A"/>
    <w:rsid w:val="00855807"/>
    <w:rsid w:val="008564A8"/>
    <w:rsid w:val="00856BAE"/>
    <w:rsid w:val="00856F40"/>
    <w:rsid w:val="0086040F"/>
    <w:rsid w:val="00860732"/>
    <w:rsid w:val="00862D5A"/>
    <w:rsid w:val="00863A0E"/>
    <w:rsid w:val="00865F22"/>
    <w:rsid w:val="00866443"/>
    <w:rsid w:val="00870B79"/>
    <w:rsid w:val="0087199A"/>
    <w:rsid w:val="0087208C"/>
    <w:rsid w:val="00873761"/>
    <w:rsid w:val="008748C5"/>
    <w:rsid w:val="00876D10"/>
    <w:rsid w:val="0088172E"/>
    <w:rsid w:val="0088178E"/>
    <w:rsid w:val="00883136"/>
    <w:rsid w:val="00884F1D"/>
    <w:rsid w:val="0088699F"/>
    <w:rsid w:val="00887BB9"/>
    <w:rsid w:val="00891532"/>
    <w:rsid w:val="00894380"/>
    <w:rsid w:val="0089478A"/>
    <w:rsid w:val="008952DA"/>
    <w:rsid w:val="00897820"/>
    <w:rsid w:val="008A09AC"/>
    <w:rsid w:val="008A103D"/>
    <w:rsid w:val="008A14C7"/>
    <w:rsid w:val="008A1599"/>
    <w:rsid w:val="008A1B75"/>
    <w:rsid w:val="008A2488"/>
    <w:rsid w:val="008A369E"/>
    <w:rsid w:val="008A43CB"/>
    <w:rsid w:val="008A4C26"/>
    <w:rsid w:val="008A4CD5"/>
    <w:rsid w:val="008A5705"/>
    <w:rsid w:val="008A757B"/>
    <w:rsid w:val="008A7C54"/>
    <w:rsid w:val="008B2A39"/>
    <w:rsid w:val="008B3EFB"/>
    <w:rsid w:val="008C008A"/>
    <w:rsid w:val="008C10FF"/>
    <w:rsid w:val="008C2E5D"/>
    <w:rsid w:val="008C5B78"/>
    <w:rsid w:val="008D16D6"/>
    <w:rsid w:val="008D19A7"/>
    <w:rsid w:val="008D218F"/>
    <w:rsid w:val="008D25DC"/>
    <w:rsid w:val="008D2EAB"/>
    <w:rsid w:val="008D312B"/>
    <w:rsid w:val="008D6128"/>
    <w:rsid w:val="008E1C17"/>
    <w:rsid w:val="008E2096"/>
    <w:rsid w:val="008E23F4"/>
    <w:rsid w:val="008E3454"/>
    <w:rsid w:val="008E4FD9"/>
    <w:rsid w:val="008E5DB4"/>
    <w:rsid w:val="008E61D9"/>
    <w:rsid w:val="008E7919"/>
    <w:rsid w:val="008E7A5A"/>
    <w:rsid w:val="008F0130"/>
    <w:rsid w:val="008F19F7"/>
    <w:rsid w:val="008F5B26"/>
    <w:rsid w:val="008F5F18"/>
    <w:rsid w:val="008F65BA"/>
    <w:rsid w:val="008F6901"/>
    <w:rsid w:val="008F71B9"/>
    <w:rsid w:val="008F721A"/>
    <w:rsid w:val="00900E2D"/>
    <w:rsid w:val="00900FB9"/>
    <w:rsid w:val="0090174C"/>
    <w:rsid w:val="00901CF2"/>
    <w:rsid w:val="00907609"/>
    <w:rsid w:val="009126AA"/>
    <w:rsid w:val="00912DFB"/>
    <w:rsid w:val="009156F9"/>
    <w:rsid w:val="00915EC8"/>
    <w:rsid w:val="009167DD"/>
    <w:rsid w:val="00917374"/>
    <w:rsid w:val="00920AC4"/>
    <w:rsid w:val="00920E9A"/>
    <w:rsid w:val="009212FF"/>
    <w:rsid w:val="0092158A"/>
    <w:rsid w:val="00921D24"/>
    <w:rsid w:val="009246AD"/>
    <w:rsid w:val="00925632"/>
    <w:rsid w:val="00925C8C"/>
    <w:rsid w:val="009260DF"/>
    <w:rsid w:val="009266F3"/>
    <w:rsid w:val="009310B1"/>
    <w:rsid w:val="009313B0"/>
    <w:rsid w:val="00932EC4"/>
    <w:rsid w:val="00934B1A"/>
    <w:rsid w:val="00935A9B"/>
    <w:rsid w:val="00935EAF"/>
    <w:rsid w:val="009367A4"/>
    <w:rsid w:val="00936B5D"/>
    <w:rsid w:val="009378C6"/>
    <w:rsid w:val="009436E2"/>
    <w:rsid w:val="00943F99"/>
    <w:rsid w:val="00943FD0"/>
    <w:rsid w:val="00944263"/>
    <w:rsid w:val="00945C63"/>
    <w:rsid w:val="00945E8A"/>
    <w:rsid w:val="00946351"/>
    <w:rsid w:val="00950A0A"/>
    <w:rsid w:val="00950D37"/>
    <w:rsid w:val="00954201"/>
    <w:rsid w:val="00954508"/>
    <w:rsid w:val="0095462A"/>
    <w:rsid w:val="00954FA5"/>
    <w:rsid w:val="009552BA"/>
    <w:rsid w:val="0095645F"/>
    <w:rsid w:val="00956CBB"/>
    <w:rsid w:val="009604A6"/>
    <w:rsid w:val="009614F9"/>
    <w:rsid w:val="00961FDA"/>
    <w:rsid w:val="00962265"/>
    <w:rsid w:val="00967892"/>
    <w:rsid w:val="00967F51"/>
    <w:rsid w:val="00970170"/>
    <w:rsid w:val="00971035"/>
    <w:rsid w:val="009710CE"/>
    <w:rsid w:val="00972F07"/>
    <w:rsid w:val="009738FA"/>
    <w:rsid w:val="00977FA7"/>
    <w:rsid w:val="0098009B"/>
    <w:rsid w:val="009825FC"/>
    <w:rsid w:val="00983387"/>
    <w:rsid w:val="009840EC"/>
    <w:rsid w:val="0098431E"/>
    <w:rsid w:val="00985668"/>
    <w:rsid w:val="009879EF"/>
    <w:rsid w:val="00987F27"/>
    <w:rsid w:val="0099228C"/>
    <w:rsid w:val="009934C8"/>
    <w:rsid w:val="00994019"/>
    <w:rsid w:val="00994B21"/>
    <w:rsid w:val="0099504D"/>
    <w:rsid w:val="00997EA1"/>
    <w:rsid w:val="00997F86"/>
    <w:rsid w:val="009A001C"/>
    <w:rsid w:val="009A0BD6"/>
    <w:rsid w:val="009A3F8E"/>
    <w:rsid w:val="009A55BB"/>
    <w:rsid w:val="009A6C89"/>
    <w:rsid w:val="009B0736"/>
    <w:rsid w:val="009B138A"/>
    <w:rsid w:val="009B1CF3"/>
    <w:rsid w:val="009B1E31"/>
    <w:rsid w:val="009B2B5C"/>
    <w:rsid w:val="009B466B"/>
    <w:rsid w:val="009B581D"/>
    <w:rsid w:val="009B704D"/>
    <w:rsid w:val="009C0ACF"/>
    <w:rsid w:val="009C1660"/>
    <w:rsid w:val="009C4977"/>
    <w:rsid w:val="009C605B"/>
    <w:rsid w:val="009C67A0"/>
    <w:rsid w:val="009C6836"/>
    <w:rsid w:val="009D0A39"/>
    <w:rsid w:val="009D1038"/>
    <w:rsid w:val="009D18BB"/>
    <w:rsid w:val="009D3047"/>
    <w:rsid w:val="009D30CE"/>
    <w:rsid w:val="009D4384"/>
    <w:rsid w:val="009D45DD"/>
    <w:rsid w:val="009D54B7"/>
    <w:rsid w:val="009D5FF4"/>
    <w:rsid w:val="009D7368"/>
    <w:rsid w:val="009E023C"/>
    <w:rsid w:val="009E05BF"/>
    <w:rsid w:val="009E1002"/>
    <w:rsid w:val="009E3058"/>
    <w:rsid w:val="009E6492"/>
    <w:rsid w:val="009E6B8D"/>
    <w:rsid w:val="009E6E89"/>
    <w:rsid w:val="009F2A2D"/>
    <w:rsid w:val="009F31E1"/>
    <w:rsid w:val="009F42D7"/>
    <w:rsid w:val="009F5F08"/>
    <w:rsid w:val="009F76B0"/>
    <w:rsid w:val="00A02941"/>
    <w:rsid w:val="00A03ED8"/>
    <w:rsid w:val="00A04F08"/>
    <w:rsid w:val="00A05E00"/>
    <w:rsid w:val="00A06B18"/>
    <w:rsid w:val="00A06FCD"/>
    <w:rsid w:val="00A07076"/>
    <w:rsid w:val="00A10845"/>
    <w:rsid w:val="00A108CE"/>
    <w:rsid w:val="00A110F3"/>
    <w:rsid w:val="00A114D4"/>
    <w:rsid w:val="00A11B35"/>
    <w:rsid w:val="00A11B42"/>
    <w:rsid w:val="00A125FC"/>
    <w:rsid w:val="00A20D58"/>
    <w:rsid w:val="00A21D92"/>
    <w:rsid w:val="00A22046"/>
    <w:rsid w:val="00A22903"/>
    <w:rsid w:val="00A248F6"/>
    <w:rsid w:val="00A26F4B"/>
    <w:rsid w:val="00A316BA"/>
    <w:rsid w:val="00A316CF"/>
    <w:rsid w:val="00A31A83"/>
    <w:rsid w:val="00A3201B"/>
    <w:rsid w:val="00A321EC"/>
    <w:rsid w:val="00A32229"/>
    <w:rsid w:val="00A332AA"/>
    <w:rsid w:val="00A35994"/>
    <w:rsid w:val="00A41602"/>
    <w:rsid w:val="00A4214B"/>
    <w:rsid w:val="00A42420"/>
    <w:rsid w:val="00A42DCD"/>
    <w:rsid w:val="00A46787"/>
    <w:rsid w:val="00A47850"/>
    <w:rsid w:val="00A51636"/>
    <w:rsid w:val="00A538CA"/>
    <w:rsid w:val="00A54D48"/>
    <w:rsid w:val="00A5539E"/>
    <w:rsid w:val="00A556BF"/>
    <w:rsid w:val="00A64647"/>
    <w:rsid w:val="00A67014"/>
    <w:rsid w:val="00A67399"/>
    <w:rsid w:val="00A67476"/>
    <w:rsid w:val="00A717F2"/>
    <w:rsid w:val="00A734EA"/>
    <w:rsid w:val="00A73B97"/>
    <w:rsid w:val="00A745E0"/>
    <w:rsid w:val="00A74EC0"/>
    <w:rsid w:val="00A75E6F"/>
    <w:rsid w:val="00A765B1"/>
    <w:rsid w:val="00A80084"/>
    <w:rsid w:val="00A808E0"/>
    <w:rsid w:val="00A81E29"/>
    <w:rsid w:val="00A82021"/>
    <w:rsid w:val="00A82372"/>
    <w:rsid w:val="00A83CED"/>
    <w:rsid w:val="00A8670C"/>
    <w:rsid w:val="00A86D19"/>
    <w:rsid w:val="00A87EE4"/>
    <w:rsid w:val="00A90633"/>
    <w:rsid w:val="00A92E01"/>
    <w:rsid w:val="00A96746"/>
    <w:rsid w:val="00AA1B44"/>
    <w:rsid w:val="00AA1DBD"/>
    <w:rsid w:val="00AA24D3"/>
    <w:rsid w:val="00AA47F3"/>
    <w:rsid w:val="00AA4E6F"/>
    <w:rsid w:val="00AA52ED"/>
    <w:rsid w:val="00AA779E"/>
    <w:rsid w:val="00AB100A"/>
    <w:rsid w:val="00AB1653"/>
    <w:rsid w:val="00AB1B70"/>
    <w:rsid w:val="00AB1CC9"/>
    <w:rsid w:val="00AB5A1D"/>
    <w:rsid w:val="00AB7DEF"/>
    <w:rsid w:val="00AC2DD4"/>
    <w:rsid w:val="00AC32E1"/>
    <w:rsid w:val="00AC60C8"/>
    <w:rsid w:val="00AC6E10"/>
    <w:rsid w:val="00AD0FEE"/>
    <w:rsid w:val="00AD1D59"/>
    <w:rsid w:val="00AD387F"/>
    <w:rsid w:val="00AD5ABD"/>
    <w:rsid w:val="00AD5B18"/>
    <w:rsid w:val="00AD66B7"/>
    <w:rsid w:val="00AE2929"/>
    <w:rsid w:val="00AE2A2C"/>
    <w:rsid w:val="00AE71DA"/>
    <w:rsid w:val="00AE78F4"/>
    <w:rsid w:val="00AF0859"/>
    <w:rsid w:val="00AF120D"/>
    <w:rsid w:val="00AF3043"/>
    <w:rsid w:val="00AF329F"/>
    <w:rsid w:val="00AF370A"/>
    <w:rsid w:val="00AF3CEF"/>
    <w:rsid w:val="00AF48E8"/>
    <w:rsid w:val="00AF57D0"/>
    <w:rsid w:val="00AF587A"/>
    <w:rsid w:val="00AF70B2"/>
    <w:rsid w:val="00B01204"/>
    <w:rsid w:val="00B01C32"/>
    <w:rsid w:val="00B01D9E"/>
    <w:rsid w:val="00B02798"/>
    <w:rsid w:val="00B03176"/>
    <w:rsid w:val="00B0352A"/>
    <w:rsid w:val="00B03725"/>
    <w:rsid w:val="00B04A33"/>
    <w:rsid w:val="00B055A6"/>
    <w:rsid w:val="00B05831"/>
    <w:rsid w:val="00B058FA"/>
    <w:rsid w:val="00B06730"/>
    <w:rsid w:val="00B0694B"/>
    <w:rsid w:val="00B06EED"/>
    <w:rsid w:val="00B10C8E"/>
    <w:rsid w:val="00B112A6"/>
    <w:rsid w:val="00B11F22"/>
    <w:rsid w:val="00B1282C"/>
    <w:rsid w:val="00B12A00"/>
    <w:rsid w:val="00B12B34"/>
    <w:rsid w:val="00B12C96"/>
    <w:rsid w:val="00B12F08"/>
    <w:rsid w:val="00B162F0"/>
    <w:rsid w:val="00B16830"/>
    <w:rsid w:val="00B177A0"/>
    <w:rsid w:val="00B178CE"/>
    <w:rsid w:val="00B17DF5"/>
    <w:rsid w:val="00B21903"/>
    <w:rsid w:val="00B21F8F"/>
    <w:rsid w:val="00B23F35"/>
    <w:rsid w:val="00B24F51"/>
    <w:rsid w:val="00B251B1"/>
    <w:rsid w:val="00B262F7"/>
    <w:rsid w:val="00B27379"/>
    <w:rsid w:val="00B27B88"/>
    <w:rsid w:val="00B27CB0"/>
    <w:rsid w:val="00B308E5"/>
    <w:rsid w:val="00B310DB"/>
    <w:rsid w:val="00B3359F"/>
    <w:rsid w:val="00B34DA5"/>
    <w:rsid w:val="00B357FD"/>
    <w:rsid w:val="00B36E13"/>
    <w:rsid w:val="00B37629"/>
    <w:rsid w:val="00B37C90"/>
    <w:rsid w:val="00B40149"/>
    <w:rsid w:val="00B40247"/>
    <w:rsid w:val="00B434C8"/>
    <w:rsid w:val="00B453D9"/>
    <w:rsid w:val="00B455EA"/>
    <w:rsid w:val="00B45CEB"/>
    <w:rsid w:val="00B46072"/>
    <w:rsid w:val="00B46F1C"/>
    <w:rsid w:val="00B471D3"/>
    <w:rsid w:val="00B5444E"/>
    <w:rsid w:val="00B55F09"/>
    <w:rsid w:val="00B561F4"/>
    <w:rsid w:val="00B57E54"/>
    <w:rsid w:val="00B611F1"/>
    <w:rsid w:val="00B63084"/>
    <w:rsid w:val="00B64DB6"/>
    <w:rsid w:val="00B669A2"/>
    <w:rsid w:val="00B7062A"/>
    <w:rsid w:val="00B7179C"/>
    <w:rsid w:val="00B739AE"/>
    <w:rsid w:val="00B73BBA"/>
    <w:rsid w:val="00B76348"/>
    <w:rsid w:val="00B769BE"/>
    <w:rsid w:val="00B77188"/>
    <w:rsid w:val="00B805D2"/>
    <w:rsid w:val="00B80C95"/>
    <w:rsid w:val="00B81E18"/>
    <w:rsid w:val="00B82861"/>
    <w:rsid w:val="00B82A9D"/>
    <w:rsid w:val="00B82C9D"/>
    <w:rsid w:val="00B83B25"/>
    <w:rsid w:val="00B83D80"/>
    <w:rsid w:val="00B85727"/>
    <w:rsid w:val="00B85D45"/>
    <w:rsid w:val="00B861BA"/>
    <w:rsid w:val="00B911A3"/>
    <w:rsid w:val="00B919E1"/>
    <w:rsid w:val="00B91F3E"/>
    <w:rsid w:val="00B91FA2"/>
    <w:rsid w:val="00B92C83"/>
    <w:rsid w:val="00B92EE2"/>
    <w:rsid w:val="00B9484F"/>
    <w:rsid w:val="00B94F54"/>
    <w:rsid w:val="00B97CBE"/>
    <w:rsid w:val="00BA031D"/>
    <w:rsid w:val="00BA039B"/>
    <w:rsid w:val="00BA0CE2"/>
    <w:rsid w:val="00BA11ED"/>
    <w:rsid w:val="00BA1D8D"/>
    <w:rsid w:val="00BA3E68"/>
    <w:rsid w:val="00BA42DE"/>
    <w:rsid w:val="00BA55C3"/>
    <w:rsid w:val="00BA56A0"/>
    <w:rsid w:val="00BA639A"/>
    <w:rsid w:val="00BA6EDC"/>
    <w:rsid w:val="00BB065A"/>
    <w:rsid w:val="00BB271E"/>
    <w:rsid w:val="00BC042C"/>
    <w:rsid w:val="00BC04CC"/>
    <w:rsid w:val="00BC1F03"/>
    <w:rsid w:val="00BC204B"/>
    <w:rsid w:val="00BC41A7"/>
    <w:rsid w:val="00BC4936"/>
    <w:rsid w:val="00BC7A9B"/>
    <w:rsid w:val="00BD308B"/>
    <w:rsid w:val="00BD384C"/>
    <w:rsid w:val="00BD3E48"/>
    <w:rsid w:val="00BD734C"/>
    <w:rsid w:val="00BE1838"/>
    <w:rsid w:val="00BE2802"/>
    <w:rsid w:val="00BE401B"/>
    <w:rsid w:val="00BE6F3C"/>
    <w:rsid w:val="00BE7069"/>
    <w:rsid w:val="00BE7FEE"/>
    <w:rsid w:val="00BF040F"/>
    <w:rsid w:val="00BF3AEA"/>
    <w:rsid w:val="00BF3BD2"/>
    <w:rsid w:val="00BF3D41"/>
    <w:rsid w:val="00BF4A39"/>
    <w:rsid w:val="00BF6DD2"/>
    <w:rsid w:val="00C035C8"/>
    <w:rsid w:val="00C04AD7"/>
    <w:rsid w:val="00C05936"/>
    <w:rsid w:val="00C06391"/>
    <w:rsid w:val="00C1144F"/>
    <w:rsid w:val="00C1326A"/>
    <w:rsid w:val="00C13476"/>
    <w:rsid w:val="00C139E0"/>
    <w:rsid w:val="00C13CB7"/>
    <w:rsid w:val="00C13F06"/>
    <w:rsid w:val="00C141DC"/>
    <w:rsid w:val="00C155E2"/>
    <w:rsid w:val="00C15D54"/>
    <w:rsid w:val="00C21602"/>
    <w:rsid w:val="00C219FC"/>
    <w:rsid w:val="00C21A9F"/>
    <w:rsid w:val="00C21B4F"/>
    <w:rsid w:val="00C23177"/>
    <w:rsid w:val="00C274D2"/>
    <w:rsid w:val="00C275F4"/>
    <w:rsid w:val="00C30186"/>
    <w:rsid w:val="00C3030B"/>
    <w:rsid w:val="00C310BF"/>
    <w:rsid w:val="00C31A39"/>
    <w:rsid w:val="00C34706"/>
    <w:rsid w:val="00C35AD3"/>
    <w:rsid w:val="00C35ADC"/>
    <w:rsid w:val="00C3636C"/>
    <w:rsid w:val="00C364B0"/>
    <w:rsid w:val="00C36B06"/>
    <w:rsid w:val="00C415EB"/>
    <w:rsid w:val="00C41B59"/>
    <w:rsid w:val="00C43510"/>
    <w:rsid w:val="00C50CF0"/>
    <w:rsid w:val="00C52EA8"/>
    <w:rsid w:val="00C54D76"/>
    <w:rsid w:val="00C5521F"/>
    <w:rsid w:val="00C5654D"/>
    <w:rsid w:val="00C565D9"/>
    <w:rsid w:val="00C56A98"/>
    <w:rsid w:val="00C57AF9"/>
    <w:rsid w:val="00C57F4A"/>
    <w:rsid w:val="00C60B21"/>
    <w:rsid w:val="00C62A57"/>
    <w:rsid w:val="00C63EAC"/>
    <w:rsid w:val="00C6788E"/>
    <w:rsid w:val="00C67AB7"/>
    <w:rsid w:val="00C704BA"/>
    <w:rsid w:val="00C70980"/>
    <w:rsid w:val="00C7138D"/>
    <w:rsid w:val="00C71B0B"/>
    <w:rsid w:val="00C72BDD"/>
    <w:rsid w:val="00C74324"/>
    <w:rsid w:val="00C75A3D"/>
    <w:rsid w:val="00C7623E"/>
    <w:rsid w:val="00C76EB3"/>
    <w:rsid w:val="00C7710D"/>
    <w:rsid w:val="00C80B5E"/>
    <w:rsid w:val="00C81AAA"/>
    <w:rsid w:val="00C83452"/>
    <w:rsid w:val="00C83C11"/>
    <w:rsid w:val="00C84ACB"/>
    <w:rsid w:val="00C853FD"/>
    <w:rsid w:val="00C8570D"/>
    <w:rsid w:val="00C87A27"/>
    <w:rsid w:val="00C909B3"/>
    <w:rsid w:val="00C914EC"/>
    <w:rsid w:val="00C93C7D"/>
    <w:rsid w:val="00C941F9"/>
    <w:rsid w:val="00C9678F"/>
    <w:rsid w:val="00CA00ED"/>
    <w:rsid w:val="00CA1984"/>
    <w:rsid w:val="00CA1CBC"/>
    <w:rsid w:val="00CA2672"/>
    <w:rsid w:val="00CA343E"/>
    <w:rsid w:val="00CA3E76"/>
    <w:rsid w:val="00CA40D8"/>
    <w:rsid w:val="00CA4528"/>
    <w:rsid w:val="00CA489A"/>
    <w:rsid w:val="00CA56FE"/>
    <w:rsid w:val="00CA7C87"/>
    <w:rsid w:val="00CB226A"/>
    <w:rsid w:val="00CB2527"/>
    <w:rsid w:val="00CB45FF"/>
    <w:rsid w:val="00CB4E6F"/>
    <w:rsid w:val="00CB508E"/>
    <w:rsid w:val="00CB7229"/>
    <w:rsid w:val="00CC009B"/>
    <w:rsid w:val="00CC1818"/>
    <w:rsid w:val="00CC1976"/>
    <w:rsid w:val="00CC2805"/>
    <w:rsid w:val="00CC32E4"/>
    <w:rsid w:val="00CC381B"/>
    <w:rsid w:val="00CC5052"/>
    <w:rsid w:val="00CC5E2D"/>
    <w:rsid w:val="00CC78CC"/>
    <w:rsid w:val="00CD09C6"/>
    <w:rsid w:val="00CD2DF8"/>
    <w:rsid w:val="00CD4177"/>
    <w:rsid w:val="00CD4635"/>
    <w:rsid w:val="00CD48D5"/>
    <w:rsid w:val="00CD49A8"/>
    <w:rsid w:val="00CD7C93"/>
    <w:rsid w:val="00CE0B66"/>
    <w:rsid w:val="00CE1D21"/>
    <w:rsid w:val="00CE40C4"/>
    <w:rsid w:val="00CE4102"/>
    <w:rsid w:val="00CF1502"/>
    <w:rsid w:val="00CF1523"/>
    <w:rsid w:val="00CF350A"/>
    <w:rsid w:val="00CF3BCA"/>
    <w:rsid w:val="00CF5C47"/>
    <w:rsid w:val="00CF631D"/>
    <w:rsid w:val="00CF6E98"/>
    <w:rsid w:val="00CF76B2"/>
    <w:rsid w:val="00CF7B21"/>
    <w:rsid w:val="00CF7EE2"/>
    <w:rsid w:val="00D035A2"/>
    <w:rsid w:val="00D03BAF"/>
    <w:rsid w:val="00D04B6A"/>
    <w:rsid w:val="00D0577C"/>
    <w:rsid w:val="00D05CD1"/>
    <w:rsid w:val="00D0668B"/>
    <w:rsid w:val="00D07446"/>
    <w:rsid w:val="00D10534"/>
    <w:rsid w:val="00D1207F"/>
    <w:rsid w:val="00D12443"/>
    <w:rsid w:val="00D13785"/>
    <w:rsid w:val="00D137E2"/>
    <w:rsid w:val="00D13B17"/>
    <w:rsid w:val="00D14697"/>
    <w:rsid w:val="00D20BE8"/>
    <w:rsid w:val="00D21914"/>
    <w:rsid w:val="00D22BFB"/>
    <w:rsid w:val="00D2593A"/>
    <w:rsid w:val="00D30D3B"/>
    <w:rsid w:val="00D31725"/>
    <w:rsid w:val="00D32080"/>
    <w:rsid w:val="00D32E66"/>
    <w:rsid w:val="00D35817"/>
    <w:rsid w:val="00D35A66"/>
    <w:rsid w:val="00D3726F"/>
    <w:rsid w:val="00D415BB"/>
    <w:rsid w:val="00D41973"/>
    <w:rsid w:val="00D42D06"/>
    <w:rsid w:val="00D4404B"/>
    <w:rsid w:val="00D45ABE"/>
    <w:rsid w:val="00D45E91"/>
    <w:rsid w:val="00D4644E"/>
    <w:rsid w:val="00D46679"/>
    <w:rsid w:val="00D471C3"/>
    <w:rsid w:val="00D47D08"/>
    <w:rsid w:val="00D50ADA"/>
    <w:rsid w:val="00D55601"/>
    <w:rsid w:val="00D55C46"/>
    <w:rsid w:val="00D5605D"/>
    <w:rsid w:val="00D61FDA"/>
    <w:rsid w:val="00D62761"/>
    <w:rsid w:val="00D62AD0"/>
    <w:rsid w:val="00D63842"/>
    <w:rsid w:val="00D66A05"/>
    <w:rsid w:val="00D66CCA"/>
    <w:rsid w:val="00D717FD"/>
    <w:rsid w:val="00D72E0C"/>
    <w:rsid w:val="00D73973"/>
    <w:rsid w:val="00D73C35"/>
    <w:rsid w:val="00D74510"/>
    <w:rsid w:val="00D74799"/>
    <w:rsid w:val="00D76D59"/>
    <w:rsid w:val="00D80029"/>
    <w:rsid w:val="00D81CD2"/>
    <w:rsid w:val="00D847C4"/>
    <w:rsid w:val="00D854DE"/>
    <w:rsid w:val="00D86E50"/>
    <w:rsid w:val="00D91F24"/>
    <w:rsid w:val="00D92FE0"/>
    <w:rsid w:val="00D93CF3"/>
    <w:rsid w:val="00D96168"/>
    <w:rsid w:val="00D970D6"/>
    <w:rsid w:val="00DA1D69"/>
    <w:rsid w:val="00DA1E84"/>
    <w:rsid w:val="00DA316E"/>
    <w:rsid w:val="00DA3FAF"/>
    <w:rsid w:val="00DA5B34"/>
    <w:rsid w:val="00DA7ABB"/>
    <w:rsid w:val="00DA7ED4"/>
    <w:rsid w:val="00DB018F"/>
    <w:rsid w:val="00DB05D4"/>
    <w:rsid w:val="00DB1725"/>
    <w:rsid w:val="00DB4ACA"/>
    <w:rsid w:val="00DB746D"/>
    <w:rsid w:val="00DC0CE1"/>
    <w:rsid w:val="00DC1679"/>
    <w:rsid w:val="00DC41F3"/>
    <w:rsid w:val="00DC570C"/>
    <w:rsid w:val="00DC60E9"/>
    <w:rsid w:val="00DC72E6"/>
    <w:rsid w:val="00DD153E"/>
    <w:rsid w:val="00DD1A69"/>
    <w:rsid w:val="00DD451E"/>
    <w:rsid w:val="00DD4B46"/>
    <w:rsid w:val="00DD5A82"/>
    <w:rsid w:val="00DD5D7E"/>
    <w:rsid w:val="00DD6179"/>
    <w:rsid w:val="00DD626C"/>
    <w:rsid w:val="00DD7B4F"/>
    <w:rsid w:val="00DE12BB"/>
    <w:rsid w:val="00DE1CAC"/>
    <w:rsid w:val="00DE445E"/>
    <w:rsid w:val="00DE488A"/>
    <w:rsid w:val="00DE570A"/>
    <w:rsid w:val="00DE76EC"/>
    <w:rsid w:val="00DF5ADA"/>
    <w:rsid w:val="00DF5F07"/>
    <w:rsid w:val="00DF7E4C"/>
    <w:rsid w:val="00E00749"/>
    <w:rsid w:val="00E037CC"/>
    <w:rsid w:val="00E040E4"/>
    <w:rsid w:val="00E05E07"/>
    <w:rsid w:val="00E1115F"/>
    <w:rsid w:val="00E12F81"/>
    <w:rsid w:val="00E13A4A"/>
    <w:rsid w:val="00E13C32"/>
    <w:rsid w:val="00E144AF"/>
    <w:rsid w:val="00E15BA8"/>
    <w:rsid w:val="00E15CDE"/>
    <w:rsid w:val="00E16C74"/>
    <w:rsid w:val="00E16D71"/>
    <w:rsid w:val="00E20A81"/>
    <w:rsid w:val="00E21132"/>
    <w:rsid w:val="00E2453F"/>
    <w:rsid w:val="00E2484B"/>
    <w:rsid w:val="00E24ECA"/>
    <w:rsid w:val="00E25249"/>
    <w:rsid w:val="00E26F71"/>
    <w:rsid w:val="00E26FE5"/>
    <w:rsid w:val="00E31D22"/>
    <w:rsid w:val="00E33D05"/>
    <w:rsid w:val="00E34AC7"/>
    <w:rsid w:val="00E35CC3"/>
    <w:rsid w:val="00E37031"/>
    <w:rsid w:val="00E3792E"/>
    <w:rsid w:val="00E42660"/>
    <w:rsid w:val="00E42674"/>
    <w:rsid w:val="00E42DC5"/>
    <w:rsid w:val="00E42EA9"/>
    <w:rsid w:val="00E44F4B"/>
    <w:rsid w:val="00E46B80"/>
    <w:rsid w:val="00E502E9"/>
    <w:rsid w:val="00E504BE"/>
    <w:rsid w:val="00E528FB"/>
    <w:rsid w:val="00E52ADF"/>
    <w:rsid w:val="00E53A8F"/>
    <w:rsid w:val="00E547EA"/>
    <w:rsid w:val="00E55B06"/>
    <w:rsid w:val="00E57C69"/>
    <w:rsid w:val="00E63677"/>
    <w:rsid w:val="00E638B5"/>
    <w:rsid w:val="00E65A09"/>
    <w:rsid w:val="00E774C8"/>
    <w:rsid w:val="00E83F18"/>
    <w:rsid w:val="00E86242"/>
    <w:rsid w:val="00E87247"/>
    <w:rsid w:val="00E90E26"/>
    <w:rsid w:val="00E90F82"/>
    <w:rsid w:val="00E913DF"/>
    <w:rsid w:val="00E914B5"/>
    <w:rsid w:val="00E92342"/>
    <w:rsid w:val="00E9368E"/>
    <w:rsid w:val="00E93BBC"/>
    <w:rsid w:val="00E94DC7"/>
    <w:rsid w:val="00E9511E"/>
    <w:rsid w:val="00E95CA5"/>
    <w:rsid w:val="00E95E63"/>
    <w:rsid w:val="00E96B38"/>
    <w:rsid w:val="00E9766E"/>
    <w:rsid w:val="00EA1172"/>
    <w:rsid w:val="00EA7EE5"/>
    <w:rsid w:val="00EB055A"/>
    <w:rsid w:val="00EB08E8"/>
    <w:rsid w:val="00EB39AB"/>
    <w:rsid w:val="00EB48DA"/>
    <w:rsid w:val="00EB5BC1"/>
    <w:rsid w:val="00EB7BB0"/>
    <w:rsid w:val="00EC1332"/>
    <w:rsid w:val="00EC1D94"/>
    <w:rsid w:val="00EC2F36"/>
    <w:rsid w:val="00EC3B66"/>
    <w:rsid w:val="00EC3E9B"/>
    <w:rsid w:val="00EC4A4F"/>
    <w:rsid w:val="00EC5A80"/>
    <w:rsid w:val="00EC69E3"/>
    <w:rsid w:val="00EC6AF1"/>
    <w:rsid w:val="00EC6B92"/>
    <w:rsid w:val="00ED449D"/>
    <w:rsid w:val="00ED472C"/>
    <w:rsid w:val="00ED56C2"/>
    <w:rsid w:val="00ED7408"/>
    <w:rsid w:val="00EE2481"/>
    <w:rsid w:val="00EE39B7"/>
    <w:rsid w:val="00EE3AD3"/>
    <w:rsid w:val="00EE3BAF"/>
    <w:rsid w:val="00EE4470"/>
    <w:rsid w:val="00EE7CF0"/>
    <w:rsid w:val="00EF09DA"/>
    <w:rsid w:val="00EF13AD"/>
    <w:rsid w:val="00EF21AC"/>
    <w:rsid w:val="00EF3291"/>
    <w:rsid w:val="00EF3C50"/>
    <w:rsid w:val="00EF6392"/>
    <w:rsid w:val="00EF6986"/>
    <w:rsid w:val="00EF6A0B"/>
    <w:rsid w:val="00EF7236"/>
    <w:rsid w:val="00F02AEB"/>
    <w:rsid w:val="00F0315C"/>
    <w:rsid w:val="00F045E2"/>
    <w:rsid w:val="00F0684C"/>
    <w:rsid w:val="00F07364"/>
    <w:rsid w:val="00F07962"/>
    <w:rsid w:val="00F12225"/>
    <w:rsid w:val="00F128D7"/>
    <w:rsid w:val="00F13601"/>
    <w:rsid w:val="00F158DD"/>
    <w:rsid w:val="00F17FA8"/>
    <w:rsid w:val="00F200A4"/>
    <w:rsid w:val="00F211DC"/>
    <w:rsid w:val="00F21784"/>
    <w:rsid w:val="00F21E24"/>
    <w:rsid w:val="00F23A9E"/>
    <w:rsid w:val="00F24594"/>
    <w:rsid w:val="00F25DDF"/>
    <w:rsid w:val="00F26DB8"/>
    <w:rsid w:val="00F30C04"/>
    <w:rsid w:val="00F32664"/>
    <w:rsid w:val="00F32F1A"/>
    <w:rsid w:val="00F3389E"/>
    <w:rsid w:val="00F34D19"/>
    <w:rsid w:val="00F37012"/>
    <w:rsid w:val="00F4091A"/>
    <w:rsid w:val="00F413BA"/>
    <w:rsid w:val="00F41C00"/>
    <w:rsid w:val="00F42FD9"/>
    <w:rsid w:val="00F443F9"/>
    <w:rsid w:val="00F44596"/>
    <w:rsid w:val="00F44B2C"/>
    <w:rsid w:val="00F44E08"/>
    <w:rsid w:val="00F45EE1"/>
    <w:rsid w:val="00F46705"/>
    <w:rsid w:val="00F467FE"/>
    <w:rsid w:val="00F4737F"/>
    <w:rsid w:val="00F511C7"/>
    <w:rsid w:val="00F53079"/>
    <w:rsid w:val="00F5375B"/>
    <w:rsid w:val="00F537EB"/>
    <w:rsid w:val="00F57256"/>
    <w:rsid w:val="00F5734B"/>
    <w:rsid w:val="00F609B7"/>
    <w:rsid w:val="00F649C2"/>
    <w:rsid w:val="00F6617A"/>
    <w:rsid w:val="00F67A15"/>
    <w:rsid w:val="00F67B44"/>
    <w:rsid w:val="00F71F07"/>
    <w:rsid w:val="00F72BD9"/>
    <w:rsid w:val="00F72D08"/>
    <w:rsid w:val="00F74B0F"/>
    <w:rsid w:val="00F753F6"/>
    <w:rsid w:val="00F80186"/>
    <w:rsid w:val="00F80CA1"/>
    <w:rsid w:val="00F817A3"/>
    <w:rsid w:val="00F8266F"/>
    <w:rsid w:val="00F83E20"/>
    <w:rsid w:val="00F85774"/>
    <w:rsid w:val="00F92360"/>
    <w:rsid w:val="00F92E4D"/>
    <w:rsid w:val="00F92FCB"/>
    <w:rsid w:val="00F96A81"/>
    <w:rsid w:val="00F97E15"/>
    <w:rsid w:val="00FA0C2E"/>
    <w:rsid w:val="00FA1A06"/>
    <w:rsid w:val="00FA4F35"/>
    <w:rsid w:val="00FA5945"/>
    <w:rsid w:val="00FA684A"/>
    <w:rsid w:val="00FB03BF"/>
    <w:rsid w:val="00FB4FB7"/>
    <w:rsid w:val="00FB6933"/>
    <w:rsid w:val="00FB731E"/>
    <w:rsid w:val="00FC09AE"/>
    <w:rsid w:val="00FC0C4B"/>
    <w:rsid w:val="00FC10D2"/>
    <w:rsid w:val="00FC2DC2"/>
    <w:rsid w:val="00FC3680"/>
    <w:rsid w:val="00FC4CBF"/>
    <w:rsid w:val="00FC56F1"/>
    <w:rsid w:val="00FC61EF"/>
    <w:rsid w:val="00FC663E"/>
    <w:rsid w:val="00FD0097"/>
    <w:rsid w:val="00FD1FB9"/>
    <w:rsid w:val="00FD21AD"/>
    <w:rsid w:val="00FD2B3D"/>
    <w:rsid w:val="00FD395E"/>
    <w:rsid w:val="00FD3CB9"/>
    <w:rsid w:val="00FD513C"/>
    <w:rsid w:val="00FD636B"/>
    <w:rsid w:val="00FD71B8"/>
    <w:rsid w:val="00FE10DE"/>
    <w:rsid w:val="00FE1856"/>
    <w:rsid w:val="00FE3672"/>
    <w:rsid w:val="00FE3FD1"/>
    <w:rsid w:val="00FE4E9C"/>
    <w:rsid w:val="00FE51FB"/>
    <w:rsid w:val="00FE74FE"/>
    <w:rsid w:val="00FF02F3"/>
    <w:rsid w:val="00FF0626"/>
    <w:rsid w:val="00FF423A"/>
    <w:rsid w:val="00FF42C2"/>
    <w:rsid w:val="00FF519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4AB8A8F"/>
  <w15:docId w15:val="{041EB114-58EF-4182-8753-0AA8D005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Char Char,Footnote number,Appel note de bas de page,a Footnote Reference,FZ"/>
    <w:link w:val="4G"/>
    <w:uiPriority w:val="99"/>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rsid w:val="00CF0214"/>
    <w:pPr>
      <w:pBdr>
        <w:bottom w:val="single" w:sz="4" w:space="4" w:color="auto"/>
      </w:pBdr>
      <w:spacing w:line="240" w:lineRule="auto"/>
    </w:pPr>
    <w:rPr>
      <w:b/>
      <w:sz w:val="18"/>
      <w:lang w:val="x-none"/>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Char,FA Fuﬂnotentext,Footnote Text Char Char Char Char Char Char Char Char,f,fn,A, Char,Footnote Reference1"/>
    <w:basedOn w:val="Normal"/>
    <w:link w:val="FootnoteTextChar"/>
    <w:uiPriority w:val="99"/>
    <w:qFormat/>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link w:val="EndnoteTextChar"/>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rsid w:val="00CF0214"/>
    <w:pPr>
      <w:spacing w:line="240" w:lineRule="auto"/>
    </w:pPr>
    <w:rPr>
      <w:sz w:val="16"/>
      <w:lang w:val="x-none"/>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A Fuﬂnotentext Char,f Char,fn Char,A Char, Char Char"/>
    <w:link w:val="FootnoteText"/>
    <w:uiPriority w:val="99"/>
    <w:rsid w:val="00507EEE"/>
    <w:rPr>
      <w:sz w:val="18"/>
      <w:lang w:eastAsia="en-US"/>
    </w:rPr>
  </w:style>
  <w:style w:type="paragraph" w:styleId="CommentText">
    <w:name w:val="annotation text"/>
    <w:basedOn w:val="Normal"/>
    <w:link w:val="CommentTextChar"/>
    <w:uiPriority w:val="99"/>
    <w:unhideWhenUsed/>
    <w:rsid w:val="002C17AB"/>
    <w:pPr>
      <w:suppressAutoHyphens w:val="0"/>
      <w:spacing w:line="240" w:lineRule="auto"/>
    </w:pPr>
    <w:rPr>
      <w:rFonts w:ascii="Cambria" w:hAnsi="Cambria"/>
      <w:sz w:val="24"/>
      <w:szCs w:val="24"/>
      <w:lang w:val="x-none" w:eastAsia="fr-FR"/>
    </w:rPr>
  </w:style>
  <w:style w:type="character" w:customStyle="1" w:styleId="CommentTextChar">
    <w:name w:val="Comment Text Char"/>
    <w:link w:val="CommentText"/>
    <w:uiPriority w:val="99"/>
    <w:rsid w:val="002C17AB"/>
    <w:rPr>
      <w:rFonts w:ascii="Cambria" w:hAnsi="Cambria"/>
      <w:sz w:val="24"/>
      <w:szCs w:val="24"/>
      <w:lang w:eastAsia="fr-FR"/>
    </w:rPr>
  </w:style>
  <w:style w:type="character" w:customStyle="1" w:styleId="hps">
    <w:name w:val="hps"/>
    <w:rsid w:val="00A85B14"/>
  </w:style>
  <w:style w:type="paragraph" w:customStyle="1" w:styleId="ColorfulList-Accent11">
    <w:name w:val="Colorful List - Accent 11"/>
    <w:basedOn w:val="Normal"/>
    <w:uiPriority w:val="34"/>
    <w:qFormat/>
    <w:rsid w:val="00A85B14"/>
    <w:pPr>
      <w:suppressAutoHyphens w:val="0"/>
      <w:spacing w:line="240" w:lineRule="auto"/>
      <w:ind w:left="720"/>
      <w:contextualSpacing/>
    </w:pPr>
    <w:rPr>
      <w:rFonts w:ascii="Cambria" w:eastAsia="Cambria" w:hAnsi="Cambria"/>
      <w:sz w:val="24"/>
      <w:szCs w:val="24"/>
      <w:lang w:val="en-US"/>
    </w:rPr>
  </w:style>
  <w:style w:type="character" w:styleId="CommentReference">
    <w:name w:val="annotation reference"/>
    <w:uiPriority w:val="99"/>
    <w:unhideWhenUsed/>
    <w:rsid w:val="00F110D0"/>
    <w:rPr>
      <w:sz w:val="16"/>
      <w:szCs w:val="16"/>
    </w:rPr>
  </w:style>
  <w:style w:type="paragraph" w:styleId="BalloonText">
    <w:name w:val="Balloon Text"/>
    <w:basedOn w:val="Normal"/>
    <w:link w:val="BalloonTextChar"/>
    <w:uiPriority w:val="99"/>
    <w:rsid w:val="00F110D0"/>
    <w:pPr>
      <w:spacing w:line="240" w:lineRule="auto"/>
    </w:pPr>
    <w:rPr>
      <w:rFonts w:ascii="Tahoma" w:hAnsi="Tahoma"/>
      <w:sz w:val="16"/>
      <w:szCs w:val="16"/>
      <w:lang w:val="x-none"/>
    </w:rPr>
  </w:style>
  <w:style w:type="character" w:customStyle="1" w:styleId="BalloonTextChar">
    <w:name w:val="Balloon Text Char"/>
    <w:link w:val="BalloonText"/>
    <w:uiPriority w:val="99"/>
    <w:rsid w:val="00F110D0"/>
    <w:rPr>
      <w:rFonts w:ascii="Tahoma" w:hAnsi="Tahoma" w:cs="Tahoma"/>
      <w:sz w:val="16"/>
      <w:szCs w:val="16"/>
      <w:lang w:eastAsia="en-US"/>
    </w:rPr>
  </w:style>
  <w:style w:type="character" w:customStyle="1" w:styleId="SingleTxtGChar">
    <w:name w:val="_ Single Txt_G Char"/>
    <w:link w:val="SingleTxtG"/>
    <w:locked/>
    <w:rsid w:val="001137B3"/>
    <w:rPr>
      <w:lang w:eastAsia="en-US"/>
    </w:rPr>
  </w:style>
  <w:style w:type="character" w:customStyle="1" w:styleId="HChGChar">
    <w:name w:val="_ H _Ch_G Char"/>
    <w:link w:val="HChG"/>
    <w:locked/>
    <w:rsid w:val="001137B3"/>
    <w:rPr>
      <w:b/>
      <w:sz w:val="28"/>
      <w:lang w:eastAsia="en-US"/>
    </w:rPr>
  </w:style>
  <w:style w:type="paragraph" w:styleId="CommentSubject">
    <w:name w:val="annotation subject"/>
    <w:basedOn w:val="CommentText"/>
    <w:next w:val="CommentText"/>
    <w:link w:val="CommentSubjectChar"/>
    <w:uiPriority w:val="99"/>
    <w:rsid w:val="00962FD0"/>
    <w:pPr>
      <w:suppressAutoHyphens/>
      <w:spacing w:line="240" w:lineRule="atLeast"/>
    </w:pPr>
    <w:rPr>
      <w:b/>
      <w:bCs/>
      <w:lang w:eastAsia="en-US"/>
    </w:rPr>
  </w:style>
  <w:style w:type="character" w:customStyle="1" w:styleId="CommentSubjectChar">
    <w:name w:val="Comment Subject Char"/>
    <w:link w:val="CommentSubject"/>
    <w:uiPriority w:val="99"/>
    <w:rsid w:val="00962FD0"/>
    <w:rPr>
      <w:rFonts w:ascii="Cambria" w:hAnsi="Cambria"/>
      <w:b/>
      <w:bCs/>
      <w:sz w:val="24"/>
      <w:szCs w:val="24"/>
      <w:lang w:eastAsia="en-US"/>
    </w:rPr>
  </w:style>
  <w:style w:type="paragraph" w:customStyle="1" w:styleId="Default">
    <w:name w:val="Default"/>
    <w:uiPriority w:val="99"/>
    <w:rsid w:val="0064555A"/>
    <w:pPr>
      <w:autoSpaceDE w:val="0"/>
      <w:autoSpaceDN w:val="0"/>
      <w:adjustRightInd w:val="0"/>
    </w:pPr>
    <w:rPr>
      <w:rFonts w:ascii="MrsEavesRoman" w:hAnsi="MrsEavesRoman" w:cs="MrsEavesRoman"/>
      <w:color w:val="000000"/>
      <w:sz w:val="24"/>
      <w:szCs w:val="24"/>
    </w:rPr>
  </w:style>
  <w:style w:type="character" w:customStyle="1" w:styleId="HeaderChar">
    <w:name w:val="Header Char"/>
    <w:aliases w:val="6_G Char"/>
    <w:link w:val="Header"/>
    <w:uiPriority w:val="99"/>
    <w:rsid w:val="0014441D"/>
    <w:rPr>
      <w:b/>
      <w:sz w:val="18"/>
      <w:lang w:eastAsia="en-US"/>
    </w:rPr>
  </w:style>
  <w:style w:type="character" w:customStyle="1" w:styleId="FooterChar">
    <w:name w:val="Footer Char"/>
    <w:aliases w:val="3_G Char"/>
    <w:link w:val="Footer"/>
    <w:rsid w:val="0014441D"/>
    <w:rPr>
      <w:sz w:val="16"/>
      <w:lang w:eastAsia="en-US"/>
    </w:rPr>
  </w:style>
  <w:style w:type="paragraph" w:styleId="Caption">
    <w:name w:val="caption"/>
    <w:basedOn w:val="Normal"/>
    <w:next w:val="Normal"/>
    <w:uiPriority w:val="35"/>
    <w:qFormat/>
    <w:rsid w:val="0014441D"/>
    <w:pPr>
      <w:suppressAutoHyphens w:val="0"/>
      <w:spacing w:after="200" w:line="276" w:lineRule="auto"/>
    </w:pPr>
    <w:rPr>
      <w:rFonts w:ascii="Calibri" w:eastAsia="Calibri" w:hAnsi="Calibri" w:cs="Arial"/>
      <w:b/>
      <w:bCs/>
    </w:rPr>
  </w:style>
  <w:style w:type="paragraph" w:styleId="ListParagraph">
    <w:name w:val="List Paragraph"/>
    <w:basedOn w:val="Normal"/>
    <w:link w:val="ListParagraphChar"/>
    <w:uiPriority w:val="34"/>
    <w:qFormat/>
    <w:rsid w:val="00B3359F"/>
    <w:pPr>
      <w:suppressAutoHyphens w:val="0"/>
      <w:spacing w:line="240" w:lineRule="auto"/>
      <w:ind w:left="720"/>
      <w:contextualSpacing/>
    </w:pPr>
    <w:rPr>
      <w:rFonts w:ascii="Calibri" w:eastAsia="Calibri" w:hAnsi="Calibri" w:cs="Arial"/>
      <w:sz w:val="22"/>
      <w:szCs w:val="22"/>
      <w:lang w:val="en-AU"/>
    </w:rPr>
  </w:style>
  <w:style w:type="paragraph" w:styleId="NormalWeb">
    <w:name w:val="Normal (Web)"/>
    <w:basedOn w:val="Normal"/>
    <w:uiPriority w:val="99"/>
    <w:unhideWhenUsed/>
    <w:rsid w:val="00E96B38"/>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E96B38"/>
    <w:rPr>
      <w:b/>
      <w:bCs/>
    </w:rPr>
  </w:style>
  <w:style w:type="paragraph" w:styleId="Revision">
    <w:name w:val="Revision"/>
    <w:hidden/>
    <w:uiPriority w:val="99"/>
    <w:semiHidden/>
    <w:rsid w:val="00E96B38"/>
    <w:rPr>
      <w:rFonts w:ascii="Calibri" w:eastAsia="Calibri" w:hAnsi="Calibri"/>
      <w:sz w:val="22"/>
      <w:szCs w:val="22"/>
      <w:lang w:eastAsia="en-US"/>
    </w:rPr>
  </w:style>
  <w:style w:type="character" w:customStyle="1" w:styleId="Heading1Char">
    <w:name w:val="Heading 1 Char"/>
    <w:aliases w:val="Table_G Char"/>
    <w:link w:val="Heading1"/>
    <w:rsid w:val="0073259B"/>
    <w:rPr>
      <w:lang w:val="x-none" w:eastAsia="en-US"/>
    </w:rPr>
  </w:style>
  <w:style w:type="paragraph" w:customStyle="1" w:styleId="NoSpacing1">
    <w:name w:val="No Spacing1"/>
    <w:rsid w:val="0073259B"/>
    <w:pPr>
      <w:spacing w:after="200" w:line="276" w:lineRule="auto"/>
    </w:pPr>
    <w:rPr>
      <w:rFonts w:ascii="Calibri" w:eastAsia="Calibri" w:hAnsi="Calibri"/>
      <w:sz w:val="22"/>
      <w:szCs w:val="22"/>
      <w:lang w:val="en-US" w:eastAsia="en-US"/>
    </w:rPr>
  </w:style>
  <w:style w:type="paragraph" w:customStyle="1" w:styleId="Heading1-Roman">
    <w:name w:val="Heading 1- Roman"/>
    <w:basedOn w:val="Normal"/>
    <w:link w:val="Heading1-RomanChar"/>
    <w:qFormat/>
    <w:rsid w:val="0073259B"/>
    <w:pPr>
      <w:keepNext/>
      <w:keepLines/>
      <w:numPr>
        <w:numId w:val="3"/>
      </w:numPr>
      <w:tabs>
        <w:tab w:val="right" w:pos="851"/>
      </w:tabs>
      <w:spacing w:before="360" w:after="240" w:line="300" w:lineRule="exact"/>
      <w:ind w:right="1134"/>
    </w:pPr>
    <w:rPr>
      <w:b/>
      <w:sz w:val="28"/>
    </w:rPr>
  </w:style>
  <w:style w:type="paragraph" w:customStyle="1" w:styleId="Heading2-Letter">
    <w:name w:val="Heading 2 - Letter"/>
    <w:basedOn w:val="ListParagraph"/>
    <w:link w:val="Heading2-LetterChar"/>
    <w:qFormat/>
    <w:rsid w:val="0073259B"/>
    <w:pPr>
      <w:keepNext/>
      <w:keepLines/>
      <w:numPr>
        <w:numId w:val="4"/>
      </w:numPr>
      <w:tabs>
        <w:tab w:val="right" w:pos="1134"/>
      </w:tabs>
      <w:suppressAutoHyphens/>
      <w:spacing w:before="360" w:after="240" w:line="270" w:lineRule="exact"/>
      <w:ind w:left="1134" w:right="1134" w:hanging="567"/>
    </w:pPr>
    <w:rPr>
      <w:rFonts w:ascii="Times New Roman" w:eastAsia="Times New Roman" w:hAnsi="Times New Roman" w:cs="Times New Roman"/>
      <w:b/>
      <w:sz w:val="24"/>
      <w:szCs w:val="20"/>
      <w:lang w:val="en-GB"/>
    </w:rPr>
  </w:style>
  <w:style w:type="character" w:customStyle="1" w:styleId="Heading1-RomanChar">
    <w:name w:val="Heading 1- Roman Char"/>
    <w:link w:val="Heading1-Roman"/>
    <w:rsid w:val="0073259B"/>
    <w:rPr>
      <w:b/>
      <w:sz w:val="28"/>
      <w:lang w:eastAsia="en-US"/>
    </w:rPr>
  </w:style>
  <w:style w:type="paragraph" w:customStyle="1" w:styleId="COIpara">
    <w:name w:val="COI para"/>
    <w:basedOn w:val="ListParagraph"/>
    <w:link w:val="COIparaChar"/>
    <w:qFormat/>
    <w:rsid w:val="0073259B"/>
    <w:pPr>
      <w:suppressAutoHyphens/>
      <w:spacing w:after="120" w:line="240" w:lineRule="atLeast"/>
      <w:ind w:left="1134" w:right="1134" w:hanging="425"/>
      <w:jc w:val="both"/>
    </w:pPr>
    <w:rPr>
      <w:rFonts w:ascii="Times New Roman" w:eastAsia="Times New Roman" w:hAnsi="Times New Roman" w:cs="Times New Roman"/>
      <w:color w:val="000000"/>
      <w:sz w:val="20"/>
      <w:szCs w:val="20"/>
      <w:lang w:val="en-GB"/>
    </w:rPr>
  </w:style>
  <w:style w:type="character" w:customStyle="1" w:styleId="ListParagraphChar">
    <w:name w:val="List Paragraph Char"/>
    <w:link w:val="ListParagraph"/>
    <w:uiPriority w:val="34"/>
    <w:rsid w:val="0073259B"/>
    <w:rPr>
      <w:rFonts w:ascii="Calibri" w:eastAsia="Calibri" w:hAnsi="Calibri" w:cs="Arial"/>
      <w:sz w:val="22"/>
      <w:szCs w:val="22"/>
      <w:lang w:val="en-AU" w:eastAsia="en-US"/>
    </w:rPr>
  </w:style>
  <w:style w:type="character" w:customStyle="1" w:styleId="Heading2-LetterChar">
    <w:name w:val="Heading 2 - Letter Char"/>
    <w:link w:val="Heading2-Letter"/>
    <w:rsid w:val="0073259B"/>
    <w:rPr>
      <w:rFonts w:eastAsia="Times New Roman"/>
      <w:b/>
      <w:sz w:val="24"/>
      <w:lang w:eastAsia="en-US"/>
    </w:rPr>
  </w:style>
  <w:style w:type="paragraph" w:customStyle="1" w:styleId="Recs">
    <w:name w:val="Recs"/>
    <w:basedOn w:val="COIpara"/>
    <w:link w:val="RecsChar"/>
    <w:qFormat/>
    <w:rsid w:val="0073259B"/>
    <w:rPr>
      <w:b/>
    </w:rPr>
  </w:style>
  <w:style w:type="character" w:customStyle="1" w:styleId="COIparaChar">
    <w:name w:val="COI para Char"/>
    <w:link w:val="COIpara"/>
    <w:rsid w:val="0073259B"/>
    <w:rPr>
      <w:color w:val="000000"/>
      <w:lang w:eastAsia="en-US"/>
    </w:rPr>
  </w:style>
  <w:style w:type="paragraph" w:customStyle="1" w:styleId="4G">
    <w:name w:val="4_G"/>
    <w:basedOn w:val="Normal"/>
    <w:link w:val="FootnoteReference"/>
    <w:uiPriority w:val="99"/>
    <w:rsid w:val="0073259B"/>
    <w:pPr>
      <w:suppressAutoHyphens w:val="0"/>
      <w:spacing w:line="240" w:lineRule="auto"/>
      <w:jc w:val="both"/>
    </w:pPr>
    <w:rPr>
      <w:sz w:val="18"/>
      <w:vertAlign w:val="superscript"/>
      <w:lang w:eastAsia="en-GB"/>
    </w:rPr>
  </w:style>
  <w:style w:type="character" w:customStyle="1" w:styleId="RecsChar">
    <w:name w:val="Recs Char"/>
    <w:link w:val="Recs"/>
    <w:rsid w:val="0073259B"/>
    <w:rPr>
      <w:b/>
      <w:color w:val="000000"/>
      <w:lang w:eastAsia="en-US"/>
    </w:rPr>
  </w:style>
  <w:style w:type="paragraph" w:styleId="BodyText">
    <w:name w:val="Body Text"/>
    <w:basedOn w:val="Normal"/>
    <w:link w:val="BodyTextChar"/>
    <w:uiPriority w:val="99"/>
    <w:unhideWhenUsed/>
    <w:rsid w:val="0073259B"/>
    <w:pPr>
      <w:tabs>
        <w:tab w:val="left" w:pos="567"/>
        <w:tab w:val="right" w:leader="dot" w:pos="9016"/>
      </w:tabs>
      <w:suppressAutoHyphens w:val="0"/>
      <w:spacing w:line="240" w:lineRule="auto"/>
      <w:jc w:val="both"/>
    </w:pPr>
    <w:rPr>
      <w:color w:val="FF0000"/>
      <w:sz w:val="22"/>
      <w:szCs w:val="22"/>
      <w:lang w:eastAsia="en-GB"/>
    </w:rPr>
  </w:style>
  <w:style w:type="character" w:customStyle="1" w:styleId="BodyTextChar">
    <w:name w:val="Body Text Char"/>
    <w:link w:val="BodyText"/>
    <w:uiPriority w:val="99"/>
    <w:rsid w:val="0073259B"/>
    <w:rPr>
      <w:color w:val="FF0000"/>
      <w:sz w:val="22"/>
      <w:szCs w:val="22"/>
    </w:rPr>
  </w:style>
  <w:style w:type="paragraph" w:customStyle="1" w:styleId="SingleTxtG-Withnumbering">
    <w:name w:val="_ Single Txt_G - With numbering"/>
    <w:basedOn w:val="SingleTxtG"/>
    <w:qFormat/>
    <w:rsid w:val="005342A4"/>
    <w:pPr>
      <w:numPr>
        <w:numId w:val="5"/>
      </w:numPr>
    </w:pPr>
  </w:style>
  <w:style w:type="character" w:customStyle="1" w:styleId="normal1">
    <w:name w:val="normal1"/>
    <w:rsid w:val="00E15CDE"/>
    <w:rPr>
      <w:vanish w:val="0"/>
      <w:webHidden w:val="0"/>
      <w:color w:val="484848"/>
      <w:spacing w:val="3"/>
      <w:sz w:val="19"/>
      <w:szCs w:val="19"/>
      <w:specVanish w:val="0"/>
    </w:rPr>
  </w:style>
  <w:style w:type="character" w:customStyle="1" w:styleId="Heading6Char">
    <w:name w:val="Heading 6 Char"/>
    <w:link w:val="Heading6"/>
    <w:uiPriority w:val="9"/>
    <w:rsid w:val="00AC6E10"/>
    <w:rPr>
      <w:lang w:eastAsia="en-US"/>
    </w:rPr>
  </w:style>
  <w:style w:type="paragraph" w:customStyle="1" w:styleId="a">
    <w:name w:val="Обычный"/>
    <w:rsid w:val="00240B37"/>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val="en-US" w:eastAsia="en-US"/>
    </w:rPr>
  </w:style>
  <w:style w:type="character" w:customStyle="1" w:styleId="apple-converted-space">
    <w:name w:val="apple-converted-space"/>
    <w:basedOn w:val="DefaultParagraphFont"/>
    <w:rsid w:val="005A0842"/>
  </w:style>
  <w:style w:type="character" w:customStyle="1" w:styleId="intro1">
    <w:name w:val="intro1"/>
    <w:rsid w:val="00BE7FEE"/>
    <w:rPr>
      <w:i/>
      <w:iCs/>
      <w:vanish w:val="0"/>
      <w:webHidden w:val="0"/>
      <w:color w:val="484848"/>
      <w:spacing w:val="3"/>
      <w:sz w:val="19"/>
      <w:szCs w:val="19"/>
      <w:specVanish w:val="0"/>
    </w:rPr>
  </w:style>
  <w:style w:type="character" w:styleId="Emphasis">
    <w:name w:val="Emphasis"/>
    <w:uiPriority w:val="20"/>
    <w:qFormat/>
    <w:rsid w:val="009614F9"/>
    <w:rPr>
      <w:i/>
      <w:iCs/>
    </w:rPr>
  </w:style>
  <w:style w:type="character" w:customStyle="1" w:styleId="mw-cite-backlink">
    <w:name w:val="mw-cite-backlink"/>
    <w:rsid w:val="001014DB"/>
  </w:style>
  <w:style w:type="character" w:styleId="HTMLCite">
    <w:name w:val="HTML Cite"/>
    <w:uiPriority w:val="99"/>
    <w:unhideWhenUsed/>
    <w:rsid w:val="001014DB"/>
    <w:rPr>
      <w:i/>
      <w:iCs/>
    </w:rPr>
  </w:style>
  <w:style w:type="character" w:customStyle="1" w:styleId="reference-accessdate">
    <w:name w:val="reference-accessdate"/>
    <w:rsid w:val="001014DB"/>
  </w:style>
  <w:style w:type="character" w:customStyle="1" w:styleId="nowrap1">
    <w:name w:val="nowrap1"/>
    <w:rsid w:val="001014DB"/>
  </w:style>
  <w:style w:type="paragraph" w:customStyle="1" w:styleId="singletxtg-withnumbering0">
    <w:name w:val="singletxtg-withnumbering"/>
    <w:basedOn w:val="Normal"/>
    <w:rsid w:val="003F7A40"/>
    <w:pPr>
      <w:suppressAutoHyphens w:val="0"/>
      <w:spacing w:before="100" w:beforeAutospacing="1" w:after="100" w:afterAutospacing="1" w:line="240" w:lineRule="auto"/>
    </w:pPr>
    <w:rPr>
      <w:sz w:val="24"/>
      <w:szCs w:val="24"/>
      <w:lang w:eastAsia="en-GB"/>
    </w:rPr>
  </w:style>
  <w:style w:type="character" w:customStyle="1" w:styleId="Heading2Char">
    <w:name w:val="Heading 2 Char"/>
    <w:basedOn w:val="DefaultParagraphFont"/>
    <w:link w:val="Heading2"/>
    <w:rsid w:val="00D03BAF"/>
    <w:rPr>
      <w:lang w:eastAsia="en-US"/>
    </w:rPr>
  </w:style>
  <w:style w:type="character" w:customStyle="1" w:styleId="Heading3Char">
    <w:name w:val="Heading 3 Char"/>
    <w:basedOn w:val="DefaultParagraphFont"/>
    <w:link w:val="Heading3"/>
    <w:rsid w:val="00D03BAF"/>
    <w:rPr>
      <w:lang w:eastAsia="en-US"/>
    </w:rPr>
  </w:style>
  <w:style w:type="character" w:customStyle="1" w:styleId="Heading4Char">
    <w:name w:val="Heading 4 Char"/>
    <w:basedOn w:val="DefaultParagraphFont"/>
    <w:link w:val="Heading4"/>
    <w:rsid w:val="00D03BAF"/>
    <w:rPr>
      <w:lang w:eastAsia="en-US"/>
    </w:rPr>
  </w:style>
  <w:style w:type="character" w:customStyle="1" w:styleId="Heading5Char">
    <w:name w:val="Heading 5 Char"/>
    <w:basedOn w:val="DefaultParagraphFont"/>
    <w:link w:val="Heading5"/>
    <w:rsid w:val="00D03BAF"/>
    <w:rPr>
      <w:lang w:eastAsia="en-US"/>
    </w:rPr>
  </w:style>
  <w:style w:type="character" w:customStyle="1" w:styleId="Heading7Char">
    <w:name w:val="Heading 7 Char"/>
    <w:basedOn w:val="DefaultParagraphFont"/>
    <w:link w:val="Heading7"/>
    <w:rsid w:val="00D03BAF"/>
    <w:rPr>
      <w:lang w:eastAsia="en-US"/>
    </w:rPr>
  </w:style>
  <w:style w:type="character" w:customStyle="1" w:styleId="Heading8Char">
    <w:name w:val="Heading 8 Char"/>
    <w:basedOn w:val="DefaultParagraphFont"/>
    <w:link w:val="Heading8"/>
    <w:rsid w:val="00D03BAF"/>
    <w:rPr>
      <w:lang w:eastAsia="en-US"/>
    </w:rPr>
  </w:style>
  <w:style w:type="character" w:customStyle="1" w:styleId="Heading9Char">
    <w:name w:val="Heading 9 Char"/>
    <w:basedOn w:val="DefaultParagraphFont"/>
    <w:link w:val="Heading9"/>
    <w:rsid w:val="00D03BAF"/>
    <w:rPr>
      <w:lang w:eastAsia="en-US"/>
    </w:rPr>
  </w:style>
  <w:style w:type="character" w:customStyle="1" w:styleId="EndnoteTextChar">
    <w:name w:val="Endnote Text Char"/>
    <w:aliases w:val="2_G Char"/>
    <w:basedOn w:val="DefaultParagraphFont"/>
    <w:link w:val="EndnoteText"/>
    <w:rsid w:val="00D03BAF"/>
    <w:rPr>
      <w:sz w:val="18"/>
      <w:lang w:val="x-none" w:eastAsia="en-US"/>
    </w:rPr>
  </w:style>
  <w:style w:type="character" w:customStyle="1" w:styleId="BalloonTextChar1">
    <w:name w:val="Balloon Text Char1"/>
    <w:uiPriority w:val="99"/>
    <w:rsid w:val="00D03BAF"/>
    <w:rPr>
      <w:rFonts w:ascii="Tahoma" w:eastAsia="Times New Roman" w:hAnsi="Tahoma" w:cs="Times New Roman"/>
      <w:sz w:val="16"/>
      <w:szCs w:val="16"/>
    </w:rPr>
  </w:style>
  <w:style w:type="character" w:customStyle="1" w:styleId="shorttext">
    <w:name w:val="short_text"/>
    <w:basedOn w:val="DefaultParagraphFont"/>
    <w:rsid w:val="00D03BAF"/>
  </w:style>
  <w:style w:type="character" w:customStyle="1" w:styleId="A2">
    <w:name w:val="A2"/>
    <w:uiPriority w:val="99"/>
    <w:rsid w:val="00D03BAF"/>
    <w:rPr>
      <w:rFonts w:cs="Bariol Regular"/>
      <w:color w:val="000000"/>
      <w:sz w:val="22"/>
      <w:szCs w:val="22"/>
    </w:rPr>
  </w:style>
  <w:style w:type="character" w:customStyle="1" w:styleId="lblsmallmessage">
    <w:name w:val="lblsmallmessage"/>
    <w:basedOn w:val="DefaultParagraphFont"/>
    <w:rsid w:val="00D03BAF"/>
  </w:style>
  <w:style w:type="character" w:customStyle="1" w:styleId="domino-highlight-yellow">
    <w:name w:val="domino-highlight-yellow"/>
    <w:basedOn w:val="DefaultParagraphFont"/>
    <w:rsid w:val="00D03BAF"/>
  </w:style>
  <w:style w:type="character" w:customStyle="1" w:styleId="il">
    <w:name w:val="il"/>
    <w:basedOn w:val="DefaultParagraphFont"/>
    <w:rsid w:val="00D03BAF"/>
  </w:style>
  <w:style w:type="paragraph" w:customStyle="1" w:styleId="s32b251d">
    <w:name w:val="s32b251d"/>
    <w:basedOn w:val="Normal"/>
    <w:rsid w:val="00D03BAF"/>
    <w:pPr>
      <w:suppressAutoHyphens w:val="0"/>
      <w:spacing w:before="100" w:beforeAutospacing="1" w:after="100" w:afterAutospacing="1" w:line="240" w:lineRule="auto"/>
    </w:pPr>
    <w:rPr>
      <w:sz w:val="24"/>
      <w:szCs w:val="24"/>
      <w:lang w:eastAsia="en-GB"/>
    </w:rPr>
  </w:style>
  <w:style w:type="character" w:customStyle="1" w:styleId="s6b621b36">
    <w:name w:val="s6b621b36"/>
    <w:basedOn w:val="DefaultParagraphFont"/>
    <w:rsid w:val="00D03BAF"/>
  </w:style>
  <w:style w:type="character" w:customStyle="1" w:styleId="sb8d990e2">
    <w:name w:val="sb8d990e2"/>
    <w:basedOn w:val="DefaultParagraphFont"/>
    <w:rsid w:val="00D03BAF"/>
  </w:style>
  <w:style w:type="paragraph" w:styleId="DocumentMap">
    <w:name w:val="Document Map"/>
    <w:basedOn w:val="Normal"/>
    <w:link w:val="DocumentMapChar"/>
    <w:uiPriority w:val="99"/>
    <w:unhideWhenUsed/>
    <w:rsid w:val="00E42674"/>
    <w:pPr>
      <w:suppressAutoHyphens w:val="0"/>
      <w:spacing w:line="240" w:lineRule="auto"/>
    </w:pPr>
    <w:rPr>
      <w:rFonts w:ascii="Gulim" w:eastAsia="Gulim" w:hAnsiTheme="minorHAnsi" w:cstheme="minorBidi"/>
      <w:sz w:val="18"/>
      <w:szCs w:val="18"/>
      <w:lang w:val="en-US"/>
    </w:rPr>
  </w:style>
  <w:style w:type="character" w:customStyle="1" w:styleId="DocumentMapChar">
    <w:name w:val="Document Map Char"/>
    <w:basedOn w:val="DefaultParagraphFont"/>
    <w:link w:val="DocumentMap"/>
    <w:uiPriority w:val="99"/>
    <w:rsid w:val="00E42674"/>
    <w:rPr>
      <w:rFonts w:ascii="Gulim" w:eastAsia="Gulim" w:hAnsiTheme="minorHAnsi" w:cstheme="minorBidi"/>
      <w:sz w:val="18"/>
      <w:szCs w:val="18"/>
      <w:lang w:val="en-US" w:eastAsia="en-US"/>
    </w:rPr>
  </w:style>
  <w:style w:type="paragraph" w:styleId="Subtitle">
    <w:name w:val="Subtitle"/>
    <w:basedOn w:val="Normal"/>
    <w:next w:val="Normal"/>
    <w:link w:val="SubtitleChar"/>
    <w:uiPriority w:val="11"/>
    <w:qFormat/>
    <w:rsid w:val="00E42674"/>
    <w:pPr>
      <w:suppressAutoHyphens w:val="0"/>
      <w:spacing w:line="240" w:lineRule="auto"/>
    </w:pPr>
    <w:rPr>
      <w:sz w:val="16"/>
      <w:szCs w:val="16"/>
      <w:lang w:val="en-US"/>
    </w:rPr>
  </w:style>
  <w:style w:type="character" w:customStyle="1" w:styleId="SubtitleChar">
    <w:name w:val="Subtitle Char"/>
    <w:basedOn w:val="DefaultParagraphFont"/>
    <w:link w:val="Subtitle"/>
    <w:uiPriority w:val="11"/>
    <w:rsid w:val="00E42674"/>
    <w:rPr>
      <w:rFonts w:eastAsiaTheme="minorEastAsia"/>
      <w:sz w:val="16"/>
      <w:szCs w:val="16"/>
      <w:lang w:val="en-US" w:eastAsia="en-US"/>
    </w:rPr>
  </w:style>
  <w:style w:type="paragraph" w:customStyle="1" w:styleId="Footnote">
    <w:name w:val="Footnote"/>
    <w:basedOn w:val="FootnoteText"/>
    <w:link w:val="FootnoteChar"/>
    <w:qFormat/>
    <w:rsid w:val="00442FE4"/>
    <w:rPr>
      <w:sz w:val="16"/>
      <w:szCs w:val="16"/>
    </w:rPr>
  </w:style>
  <w:style w:type="character" w:customStyle="1" w:styleId="FootnoteChar">
    <w:name w:val="Footnote Char"/>
    <w:basedOn w:val="FootnoteTextChar"/>
    <w:link w:val="Footnote"/>
    <w:rsid w:val="00442FE4"/>
    <w:rPr>
      <w:sz w:val="16"/>
      <w:szCs w:val="16"/>
      <w:lang w:val="x-none" w:eastAsia="en-US"/>
    </w:rPr>
  </w:style>
  <w:style w:type="character" w:customStyle="1" w:styleId="st">
    <w:name w:val="st"/>
    <w:basedOn w:val="DefaultParagraphFont"/>
    <w:rsid w:val="008C008A"/>
  </w:style>
  <w:style w:type="character" w:customStyle="1" w:styleId="style37">
    <w:name w:val="style37"/>
    <w:rsid w:val="0066100D"/>
    <w:rPr>
      <w:rFonts w:cs="Times New Roman"/>
    </w:rPr>
  </w:style>
  <w:style w:type="paragraph" w:customStyle="1" w:styleId="MediumGrid21">
    <w:name w:val="Medium Grid 21"/>
    <w:qFormat/>
    <w:rsid w:val="0066100D"/>
    <w:rPr>
      <w:rFonts w:eastAsia="MS Mincho"/>
      <w:sz w:val="24"/>
      <w:szCs w:val="24"/>
      <w:lang w:val="en-US" w:eastAsia="en-US"/>
    </w:rPr>
  </w:style>
  <w:style w:type="character" w:customStyle="1" w:styleId="Char2">
    <w:name w:val="Char2"/>
    <w:rsid w:val="0066100D"/>
  </w:style>
  <w:style w:type="paragraph" w:customStyle="1" w:styleId="ColorfulShading-Accent11">
    <w:name w:val="Colorful Shading - Accent 11"/>
    <w:hidden/>
    <w:uiPriority w:val="99"/>
    <w:semiHidden/>
    <w:rsid w:val="0066100D"/>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90481">
      <w:bodyDiv w:val="1"/>
      <w:marLeft w:val="0"/>
      <w:marRight w:val="0"/>
      <w:marTop w:val="0"/>
      <w:marBottom w:val="0"/>
      <w:divBdr>
        <w:top w:val="none" w:sz="0" w:space="0" w:color="auto"/>
        <w:left w:val="none" w:sz="0" w:space="0" w:color="auto"/>
        <w:bottom w:val="none" w:sz="0" w:space="0" w:color="auto"/>
        <w:right w:val="none" w:sz="0" w:space="0" w:color="auto"/>
      </w:divBdr>
    </w:div>
    <w:div w:id="134491294">
      <w:bodyDiv w:val="1"/>
      <w:marLeft w:val="0"/>
      <w:marRight w:val="0"/>
      <w:marTop w:val="0"/>
      <w:marBottom w:val="0"/>
      <w:divBdr>
        <w:top w:val="none" w:sz="0" w:space="0" w:color="auto"/>
        <w:left w:val="none" w:sz="0" w:space="0" w:color="auto"/>
        <w:bottom w:val="none" w:sz="0" w:space="0" w:color="auto"/>
        <w:right w:val="none" w:sz="0" w:space="0" w:color="auto"/>
      </w:divBdr>
    </w:div>
    <w:div w:id="154685633">
      <w:bodyDiv w:val="1"/>
      <w:marLeft w:val="0"/>
      <w:marRight w:val="0"/>
      <w:marTop w:val="0"/>
      <w:marBottom w:val="0"/>
      <w:divBdr>
        <w:top w:val="none" w:sz="0" w:space="0" w:color="auto"/>
        <w:left w:val="none" w:sz="0" w:space="0" w:color="auto"/>
        <w:bottom w:val="none" w:sz="0" w:space="0" w:color="auto"/>
        <w:right w:val="none" w:sz="0" w:space="0" w:color="auto"/>
      </w:divBdr>
    </w:div>
    <w:div w:id="159319893">
      <w:bodyDiv w:val="1"/>
      <w:marLeft w:val="0"/>
      <w:marRight w:val="0"/>
      <w:marTop w:val="0"/>
      <w:marBottom w:val="0"/>
      <w:divBdr>
        <w:top w:val="none" w:sz="0" w:space="0" w:color="auto"/>
        <w:left w:val="none" w:sz="0" w:space="0" w:color="auto"/>
        <w:bottom w:val="none" w:sz="0" w:space="0" w:color="auto"/>
        <w:right w:val="none" w:sz="0" w:space="0" w:color="auto"/>
      </w:divBdr>
    </w:div>
    <w:div w:id="176041795">
      <w:bodyDiv w:val="1"/>
      <w:marLeft w:val="0"/>
      <w:marRight w:val="0"/>
      <w:marTop w:val="0"/>
      <w:marBottom w:val="0"/>
      <w:divBdr>
        <w:top w:val="none" w:sz="0" w:space="0" w:color="auto"/>
        <w:left w:val="none" w:sz="0" w:space="0" w:color="auto"/>
        <w:bottom w:val="none" w:sz="0" w:space="0" w:color="auto"/>
        <w:right w:val="none" w:sz="0" w:space="0" w:color="auto"/>
      </w:divBdr>
    </w:div>
    <w:div w:id="251009152">
      <w:bodyDiv w:val="1"/>
      <w:marLeft w:val="0"/>
      <w:marRight w:val="0"/>
      <w:marTop w:val="0"/>
      <w:marBottom w:val="0"/>
      <w:divBdr>
        <w:top w:val="none" w:sz="0" w:space="0" w:color="auto"/>
        <w:left w:val="none" w:sz="0" w:space="0" w:color="auto"/>
        <w:bottom w:val="none" w:sz="0" w:space="0" w:color="auto"/>
        <w:right w:val="none" w:sz="0" w:space="0" w:color="auto"/>
      </w:divBdr>
    </w:div>
    <w:div w:id="279149221">
      <w:bodyDiv w:val="1"/>
      <w:marLeft w:val="0"/>
      <w:marRight w:val="0"/>
      <w:marTop w:val="0"/>
      <w:marBottom w:val="0"/>
      <w:divBdr>
        <w:top w:val="none" w:sz="0" w:space="0" w:color="auto"/>
        <w:left w:val="none" w:sz="0" w:space="0" w:color="auto"/>
        <w:bottom w:val="none" w:sz="0" w:space="0" w:color="auto"/>
        <w:right w:val="none" w:sz="0" w:space="0" w:color="auto"/>
      </w:divBdr>
    </w:div>
    <w:div w:id="322902146">
      <w:bodyDiv w:val="1"/>
      <w:marLeft w:val="0"/>
      <w:marRight w:val="0"/>
      <w:marTop w:val="0"/>
      <w:marBottom w:val="0"/>
      <w:divBdr>
        <w:top w:val="none" w:sz="0" w:space="0" w:color="auto"/>
        <w:left w:val="none" w:sz="0" w:space="0" w:color="auto"/>
        <w:bottom w:val="none" w:sz="0" w:space="0" w:color="auto"/>
        <w:right w:val="none" w:sz="0" w:space="0" w:color="auto"/>
      </w:divBdr>
    </w:div>
    <w:div w:id="404033150">
      <w:bodyDiv w:val="1"/>
      <w:marLeft w:val="0"/>
      <w:marRight w:val="0"/>
      <w:marTop w:val="0"/>
      <w:marBottom w:val="0"/>
      <w:divBdr>
        <w:top w:val="none" w:sz="0" w:space="0" w:color="auto"/>
        <w:left w:val="none" w:sz="0" w:space="0" w:color="auto"/>
        <w:bottom w:val="none" w:sz="0" w:space="0" w:color="auto"/>
        <w:right w:val="none" w:sz="0" w:space="0" w:color="auto"/>
      </w:divBdr>
    </w:div>
    <w:div w:id="465701562">
      <w:bodyDiv w:val="1"/>
      <w:marLeft w:val="0"/>
      <w:marRight w:val="0"/>
      <w:marTop w:val="0"/>
      <w:marBottom w:val="0"/>
      <w:divBdr>
        <w:top w:val="none" w:sz="0" w:space="0" w:color="auto"/>
        <w:left w:val="none" w:sz="0" w:space="0" w:color="auto"/>
        <w:bottom w:val="none" w:sz="0" w:space="0" w:color="auto"/>
        <w:right w:val="none" w:sz="0" w:space="0" w:color="auto"/>
      </w:divBdr>
    </w:div>
    <w:div w:id="488445292">
      <w:bodyDiv w:val="1"/>
      <w:marLeft w:val="0"/>
      <w:marRight w:val="0"/>
      <w:marTop w:val="0"/>
      <w:marBottom w:val="0"/>
      <w:divBdr>
        <w:top w:val="none" w:sz="0" w:space="0" w:color="auto"/>
        <w:left w:val="none" w:sz="0" w:space="0" w:color="auto"/>
        <w:bottom w:val="none" w:sz="0" w:space="0" w:color="auto"/>
        <w:right w:val="none" w:sz="0" w:space="0" w:color="auto"/>
      </w:divBdr>
      <w:divsChild>
        <w:div w:id="655258179">
          <w:marLeft w:val="0"/>
          <w:marRight w:val="0"/>
          <w:marTop w:val="0"/>
          <w:marBottom w:val="0"/>
          <w:divBdr>
            <w:top w:val="none" w:sz="0" w:space="0" w:color="auto"/>
            <w:left w:val="none" w:sz="0" w:space="0" w:color="auto"/>
            <w:bottom w:val="none" w:sz="0" w:space="0" w:color="auto"/>
            <w:right w:val="none" w:sz="0" w:space="0" w:color="auto"/>
          </w:divBdr>
          <w:divsChild>
            <w:div w:id="18489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6951">
      <w:bodyDiv w:val="1"/>
      <w:marLeft w:val="0"/>
      <w:marRight w:val="0"/>
      <w:marTop w:val="0"/>
      <w:marBottom w:val="0"/>
      <w:divBdr>
        <w:top w:val="none" w:sz="0" w:space="0" w:color="auto"/>
        <w:left w:val="none" w:sz="0" w:space="0" w:color="auto"/>
        <w:bottom w:val="none" w:sz="0" w:space="0" w:color="auto"/>
        <w:right w:val="none" w:sz="0" w:space="0" w:color="auto"/>
      </w:divBdr>
    </w:div>
    <w:div w:id="732392083">
      <w:bodyDiv w:val="1"/>
      <w:marLeft w:val="0"/>
      <w:marRight w:val="0"/>
      <w:marTop w:val="0"/>
      <w:marBottom w:val="0"/>
      <w:divBdr>
        <w:top w:val="none" w:sz="0" w:space="0" w:color="auto"/>
        <w:left w:val="none" w:sz="0" w:space="0" w:color="auto"/>
        <w:bottom w:val="none" w:sz="0" w:space="0" w:color="auto"/>
        <w:right w:val="none" w:sz="0" w:space="0" w:color="auto"/>
      </w:divBdr>
    </w:div>
    <w:div w:id="823818551">
      <w:bodyDiv w:val="1"/>
      <w:marLeft w:val="0"/>
      <w:marRight w:val="0"/>
      <w:marTop w:val="0"/>
      <w:marBottom w:val="0"/>
      <w:divBdr>
        <w:top w:val="none" w:sz="0" w:space="0" w:color="auto"/>
        <w:left w:val="none" w:sz="0" w:space="0" w:color="auto"/>
        <w:bottom w:val="none" w:sz="0" w:space="0" w:color="auto"/>
        <w:right w:val="none" w:sz="0" w:space="0" w:color="auto"/>
      </w:divBdr>
      <w:divsChild>
        <w:div w:id="1292438490">
          <w:marLeft w:val="0"/>
          <w:marRight w:val="0"/>
          <w:marTop w:val="0"/>
          <w:marBottom w:val="0"/>
          <w:divBdr>
            <w:top w:val="none" w:sz="0" w:space="0" w:color="auto"/>
            <w:left w:val="none" w:sz="0" w:space="0" w:color="auto"/>
            <w:bottom w:val="none" w:sz="0" w:space="0" w:color="auto"/>
            <w:right w:val="none" w:sz="0" w:space="0" w:color="auto"/>
          </w:divBdr>
          <w:divsChild>
            <w:div w:id="55015096">
              <w:marLeft w:val="0"/>
              <w:marRight w:val="0"/>
              <w:marTop w:val="0"/>
              <w:marBottom w:val="0"/>
              <w:divBdr>
                <w:top w:val="none" w:sz="0" w:space="0" w:color="auto"/>
                <w:left w:val="none" w:sz="0" w:space="0" w:color="auto"/>
                <w:bottom w:val="none" w:sz="0" w:space="0" w:color="auto"/>
                <w:right w:val="none" w:sz="0" w:space="0" w:color="auto"/>
              </w:divBdr>
            </w:div>
            <w:div w:id="28095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832">
      <w:bodyDiv w:val="1"/>
      <w:marLeft w:val="0"/>
      <w:marRight w:val="0"/>
      <w:marTop w:val="0"/>
      <w:marBottom w:val="0"/>
      <w:divBdr>
        <w:top w:val="none" w:sz="0" w:space="0" w:color="auto"/>
        <w:left w:val="none" w:sz="0" w:space="0" w:color="auto"/>
        <w:bottom w:val="none" w:sz="0" w:space="0" w:color="auto"/>
        <w:right w:val="none" w:sz="0" w:space="0" w:color="auto"/>
      </w:divBdr>
    </w:div>
    <w:div w:id="953905059">
      <w:bodyDiv w:val="1"/>
      <w:marLeft w:val="0"/>
      <w:marRight w:val="0"/>
      <w:marTop w:val="0"/>
      <w:marBottom w:val="0"/>
      <w:divBdr>
        <w:top w:val="none" w:sz="0" w:space="0" w:color="auto"/>
        <w:left w:val="none" w:sz="0" w:space="0" w:color="auto"/>
        <w:bottom w:val="none" w:sz="0" w:space="0" w:color="auto"/>
        <w:right w:val="none" w:sz="0" w:space="0" w:color="auto"/>
      </w:divBdr>
    </w:div>
    <w:div w:id="1096442000">
      <w:bodyDiv w:val="1"/>
      <w:marLeft w:val="0"/>
      <w:marRight w:val="0"/>
      <w:marTop w:val="0"/>
      <w:marBottom w:val="0"/>
      <w:divBdr>
        <w:top w:val="none" w:sz="0" w:space="0" w:color="auto"/>
        <w:left w:val="none" w:sz="0" w:space="0" w:color="auto"/>
        <w:bottom w:val="none" w:sz="0" w:space="0" w:color="auto"/>
        <w:right w:val="none" w:sz="0" w:space="0" w:color="auto"/>
      </w:divBdr>
    </w:div>
    <w:div w:id="1171414845">
      <w:bodyDiv w:val="1"/>
      <w:marLeft w:val="0"/>
      <w:marRight w:val="0"/>
      <w:marTop w:val="0"/>
      <w:marBottom w:val="0"/>
      <w:divBdr>
        <w:top w:val="none" w:sz="0" w:space="0" w:color="auto"/>
        <w:left w:val="none" w:sz="0" w:space="0" w:color="auto"/>
        <w:bottom w:val="none" w:sz="0" w:space="0" w:color="auto"/>
        <w:right w:val="none" w:sz="0" w:space="0" w:color="auto"/>
      </w:divBdr>
    </w:div>
    <w:div w:id="1193298776">
      <w:bodyDiv w:val="1"/>
      <w:marLeft w:val="0"/>
      <w:marRight w:val="0"/>
      <w:marTop w:val="0"/>
      <w:marBottom w:val="0"/>
      <w:divBdr>
        <w:top w:val="none" w:sz="0" w:space="0" w:color="auto"/>
        <w:left w:val="none" w:sz="0" w:space="0" w:color="auto"/>
        <w:bottom w:val="none" w:sz="0" w:space="0" w:color="auto"/>
        <w:right w:val="none" w:sz="0" w:space="0" w:color="auto"/>
      </w:divBdr>
    </w:div>
    <w:div w:id="1230922953">
      <w:bodyDiv w:val="1"/>
      <w:marLeft w:val="0"/>
      <w:marRight w:val="0"/>
      <w:marTop w:val="0"/>
      <w:marBottom w:val="0"/>
      <w:divBdr>
        <w:top w:val="none" w:sz="0" w:space="0" w:color="auto"/>
        <w:left w:val="none" w:sz="0" w:space="0" w:color="auto"/>
        <w:bottom w:val="none" w:sz="0" w:space="0" w:color="auto"/>
        <w:right w:val="none" w:sz="0" w:space="0" w:color="auto"/>
      </w:divBdr>
    </w:div>
    <w:div w:id="1231841800">
      <w:bodyDiv w:val="1"/>
      <w:marLeft w:val="0"/>
      <w:marRight w:val="0"/>
      <w:marTop w:val="0"/>
      <w:marBottom w:val="0"/>
      <w:divBdr>
        <w:top w:val="none" w:sz="0" w:space="0" w:color="auto"/>
        <w:left w:val="none" w:sz="0" w:space="0" w:color="auto"/>
        <w:bottom w:val="none" w:sz="0" w:space="0" w:color="auto"/>
        <w:right w:val="none" w:sz="0" w:space="0" w:color="auto"/>
      </w:divBdr>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322659811">
      <w:bodyDiv w:val="1"/>
      <w:marLeft w:val="0"/>
      <w:marRight w:val="0"/>
      <w:marTop w:val="0"/>
      <w:marBottom w:val="0"/>
      <w:divBdr>
        <w:top w:val="none" w:sz="0" w:space="0" w:color="auto"/>
        <w:left w:val="none" w:sz="0" w:space="0" w:color="auto"/>
        <w:bottom w:val="none" w:sz="0" w:space="0" w:color="auto"/>
        <w:right w:val="none" w:sz="0" w:space="0" w:color="auto"/>
      </w:divBdr>
    </w:div>
    <w:div w:id="1383748608">
      <w:bodyDiv w:val="1"/>
      <w:marLeft w:val="0"/>
      <w:marRight w:val="0"/>
      <w:marTop w:val="0"/>
      <w:marBottom w:val="0"/>
      <w:divBdr>
        <w:top w:val="none" w:sz="0" w:space="0" w:color="auto"/>
        <w:left w:val="none" w:sz="0" w:space="0" w:color="auto"/>
        <w:bottom w:val="none" w:sz="0" w:space="0" w:color="auto"/>
        <w:right w:val="none" w:sz="0" w:space="0" w:color="auto"/>
      </w:divBdr>
    </w:div>
    <w:div w:id="1398893549">
      <w:bodyDiv w:val="1"/>
      <w:marLeft w:val="0"/>
      <w:marRight w:val="0"/>
      <w:marTop w:val="0"/>
      <w:marBottom w:val="0"/>
      <w:divBdr>
        <w:top w:val="none" w:sz="0" w:space="0" w:color="auto"/>
        <w:left w:val="none" w:sz="0" w:space="0" w:color="auto"/>
        <w:bottom w:val="none" w:sz="0" w:space="0" w:color="auto"/>
        <w:right w:val="none" w:sz="0" w:space="0" w:color="auto"/>
      </w:divBdr>
      <w:divsChild>
        <w:div w:id="1219823418">
          <w:marLeft w:val="0"/>
          <w:marRight w:val="0"/>
          <w:marTop w:val="0"/>
          <w:marBottom w:val="0"/>
          <w:divBdr>
            <w:top w:val="none" w:sz="0" w:space="0" w:color="auto"/>
            <w:left w:val="none" w:sz="0" w:space="0" w:color="auto"/>
            <w:bottom w:val="none" w:sz="0" w:space="0" w:color="auto"/>
            <w:right w:val="none" w:sz="0" w:space="0" w:color="auto"/>
          </w:divBdr>
          <w:divsChild>
            <w:div w:id="1900945301">
              <w:marLeft w:val="0"/>
              <w:marRight w:val="0"/>
              <w:marTop w:val="0"/>
              <w:marBottom w:val="0"/>
              <w:divBdr>
                <w:top w:val="none" w:sz="0" w:space="0" w:color="auto"/>
                <w:left w:val="none" w:sz="0" w:space="0" w:color="auto"/>
                <w:bottom w:val="none" w:sz="0" w:space="0" w:color="auto"/>
                <w:right w:val="none" w:sz="0" w:space="0" w:color="auto"/>
              </w:divBdr>
              <w:divsChild>
                <w:div w:id="16145093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90831">
      <w:bodyDiv w:val="1"/>
      <w:marLeft w:val="0"/>
      <w:marRight w:val="0"/>
      <w:marTop w:val="0"/>
      <w:marBottom w:val="0"/>
      <w:divBdr>
        <w:top w:val="none" w:sz="0" w:space="0" w:color="auto"/>
        <w:left w:val="none" w:sz="0" w:space="0" w:color="auto"/>
        <w:bottom w:val="none" w:sz="0" w:space="0" w:color="auto"/>
        <w:right w:val="none" w:sz="0" w:space="0" w:color="auto"/>
      </w:divBdr>
      <w:divsChild>
        <w:div w:id="1506162924">
          <w:marLeft w:val="0"/>
          <w:marRight w:val="0"/>
          <w:marTop w:val="0"/>
          <w:marBottom w:val="0"/>
          <w:divBdr>
            <w:top w:val="none" w:sz="0" w:space="0" w:color="auto"/>
            <w:left w:val="none" w:sz="0" w:space="0" w:color="auto"/>
            <w:bottom w:val="none" w:sz="0" w:space="0" w:color="auto"/>
            <w:right w:val="none" w:sz="0" w:space="0" w:color="auto"/>
          </w:divBdr>
        </w:div>
      </w:divsChild>
    </w:div>
    <w:div w:id="1454399954">
      <w:bodyDiv w:val="1"/>
      <w:marLeft w:val="0"/>
      <w:marRight w:val="0"/>
      <w:marTop w:val="0"/>
      <w:marBottom w:val="0"/>
      <w:divBdr>
        <w:top w:val="none" w:sz="0" w:space="0" w:color="auto"/>
        <w:left w:val="none" w:sz="0" w:space="0" w:color="auto"/>
        <w:bottom w:val="none" w:sz="0" w:space="0" w:color="auto"/>
        <w:right w:val="none" w:sz="0" w:space="0" w:color="auto"/>
      </w:divBdr>
    </w:div>
    <w:div w:id="1470392285">
      <w:bodyDiv w:val="1"/>
      <w:marLeft w:val="0"/>
      <w:marRight w:val="0"/>
      <w:marTop w:val="0"/>
      <w:marBottom w:val="0"/>
      <w:divBdr>
        <w:top w:val="none" w:sz="0" w:space="0" w:color="auto"/>
        <w:left w:val="none" w:sz="0" w:space="0" w:color="auto"/>
        <w:bottom w:val="none" w:sz="0" w:space="0" w:color="auto"/>
        <w:right w:val="none" w:sz="0" w:space="0" w:color="auto"/>
      </w:divBdr>
    </w:div>
    <w:div w:id="1487432677">
      <w:bodyDiv w:val="1"/>
      <w:marLeft w:val="0"/>
      <w:marRight w:val="0"/>
      <w:marTop w:val="0"/>
      <w:marBottom w:val="0"/>
      <w:divBdr>
        <w:top w:val="none" w:sz="0" w:space="0" w:color="auto"/>
        <w:left w:val="none" w:sz="0" w:space="0" w:color="auto"/>
        <w:bottom w:val="none" w:sz="0" w:space="0" w:color="auto"/>
        <w:right w:val="none" w:sz="0" w:space="0" w:color="auto"/>
      </w:divBdr>
    </w:div>
    <w:div w:id="1515073210">
      <w:bodyDiv w:val="1"/>
      <w:marLeft w:val="0"/>
      <w:marRight w:val="0"/>
      <w:marTop w:val="0"/>
      <w:marBottom w:val="0"/>
      <w:divBdr>
        <w:top w:val="none" w:sz="0" w:space="0" w:color="auto"/>
        <w:left w:val="none" w:sz="0" w:space="0" w:color="auto"/>
        <w:bottom w:val="none" w:sz="0" w:space="0" w:color="auto"/>
        <w:right w:val="none" w:sz="0" w:space="0" w:color="auto"/>
      </w:divBdr>
    </w:div>
    <w:div w:id="1627732112">
      <w:bodyDiv w:val="1"/>
      <w:marLeft w:val="0"/>
      <w:marRight w:val="0"/>
      <w:marTop w:val="0"/>
      <w:marBottom w:val="0"/>
      <w:divBdr>
        <w:top w:val="none" w:sz="0" w:space="0" w:color="auto"/>
        <w:left w:val="none" w:sz="0" w:space="0" w:color="auto"/>
        <w:bottom w:val="none" w:sz="0" w:space="0" w:color="auto"/>
        <w:right w:val="none" w:sz="0" w:space="0" w:color="auto"/>
      </w:divBdr>
    </w:div>
    <w:div w:id="1645626001">
      <w:bodyDiv w:val="1"/>
      <w:marLeft w:val="0"/>
      <w:marRight w:val="0"/>
      <w:marTop w:val="0"/>
      <w:marBottom w:val="0"/>
      <w:divBdr>
        <w:top w:val="none" w:sz="0" w:space="0" w:color="auto"/>
        <w:left w:val="none" w:sz="0" w:space="0" w:color="auto"/>
        <w:bottom w:val="none" w:sz="0" w:space="0" w:color="auto"/>
        <w:right w:val="none" w:sz="0" w:space="0" w:color="auto"/>
      </w:divBdr>
    </w:div>
    <w:div w:id="1712148310">
      <w:bodyDiv w:val="1"/>
      <w:marLeft w:val="0"/>
      <w:marRight w:val="0"/>
      <w:marTop w:val="0"/>
      <w:marBottom w:val="0"/>
      <w:divBdr>
        <w:top w:val="none" w:sz="0" w:space="0" w:color="auto"/>
        <w:left w:val="none" w:sz="0" w:space="0" w:color="auto"/>
        <w:bottom w:val="none" w:sz="0" w:space="0" w:color="auto"/>
        <w:right w:val="none" w:sz="0" w:space="0" w:color="auto"/>
      </w:divBdr>
    </w:div>
    <w:div w:id="1724283798">
      <w:bodyDiv w:val="1"/>
      <w:marLeft w:val="0"/>
      <w:marRight w:val="0"/>
      <w:marTop w:val="0"/>
      <w:marBottom w:val="0"/>
      <w:divBdr>
        <w:top w:val="none" w:sz="0" w:space="0" w:color="auto"/>
        <w:left w:val="none" w:sz="0" w:space="0" w:color="auto"/>
        <w:bottom w:val="none" w:sz="0" w:space="0" w:color="auto"/>
        <w:right w:val="none" w:sz="0" w:space="0" w:color="auto"/>
      </w:divBdr>
    </w:div>
    <w:div w:id="1730229800">
      <w:bodyDiv w:val="1"/>
      <w:marLeft w:val="0"/>
      <w:marRight w:val="0"/>
      <w:marTop w:val="0"/>
      <w:marBottom w:val="0"/>
      <w:divBdr>
        <w:top w:val="none" w:sz="0" w:space="0" w:color="auto"/>
        <w:left w:val="none" w:sz="0" w:space="0" w:color="auto"/>
        <w:bottom w:val="none" w:sz="0" w:space="0" w:color="auto"/>
        <w:right w:val="none" w:sz="0" w:space="0" w:color="auto"/>
      </w:divBdr>
    </w:div>
    <w:div w:id="1730303407">
      <w:bodyDiv w:val="1"/>
      <w:marLeft w:val="0"/>
      <w:marRight w:val="0"/>
      <w:marTop w:val="0"/>
      <w:marBottom w:val="0"/>
      <w:divBdr>
        <w:top w:val="none" w:sz="0" w:space="0" w:color="auto"/>
        <w:left w:val="none" w:sz="0" w:space="0" w:color="auto"/>
        <w:bottom w:val="none" w:sz="0" w:space="0" w:color="auto"/>
        <w:right w:val="none" w:sz="0" w:space="0" w:color="auto"/>
      </w:divBdr>
    </w:div>
    <w:div w:id="1742562271">
      <w:bodyDiv w:val="1"/>
      <w:marLeft w:val="0"/>
      <w:marRight w:val="0"/>
      <w:marTop w:val="0"/>
      <w:marBottom w:val="0"/>
      <w:divBdr>
        <w:top w:val="none" w:sz="0" w:space="0" w:color="auto"/>
        <w:left w:val="none" w:sz="0" w:space="0" w:color="auto"/>
        <w:bottom w:val="none" w:sz="0" w:space="0" w:color="auto"/>
        <w:right w:val="none" w:sz="0" w:space="0" w:color="auto"/>
      </w:divBdr>
    </w:div>
    <w:div w:id="1746294946">
      <w:bodyDiv w:val="1"/>
      <w:marLeft w:val="0"/>
      <w:marRight w:val="0"/>
      <w:marTop w:val="0"/>
      <w:marBottom w:val="0"/>
      <w:divBdr>
        <w:top w:val="none" w:sz="0" w:space="0" w:color="auto"/>
        <w:left w:val="none" w:sz="0" w:space="0" w:color="auto"/>
        <w:bottom w:val="none" w:sz="0" w:space="0" w:color="auto"/>
        <w:right w:val="none" w:sz="0" w:space="0" w:color="auto"/>
      </w:divBdr>
      <w:divsChild>
        <w:div w:id="1133714420">
          <w:marLeft w:val="0"/>
          <w:marRight w:val="0"/>
          <w:marTop w:val="0"/>
          <w:marBottom w:val="0"/>
          <w:divBdr>
            <w:top w:val="none" w:sz="0" w:space="0" w:color="auto"/>
            <w:left w:val="none" w:sz="0" w:space="0" w:color="auto"/>
            <w:bottom w:val="none" w:sz="0" w:space="0" w:color="auto"/>
            <w:right w:val="none" w:sz="0" w:space="0" w:color="auto"/>
          </w:divBdr>
          <w:divsChild>
            <w:div w:id="19223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4215">
      <w:bodyDiv w:val="1"/>
      <w:marLeft w:val="0"/>
      <w:marRight w:val="0"/>
      <w:marTop w:val="0"/>
      <w:marBottom w:val="0"/>
      <w:divBdr>
        <w:top w:val="none" w:sz="0" w:space="0" w:color="auto"/>
        <w:left w:val="none" w:sz="0" w:space="0" w:color="auto"/>
        <w:bottom w:val="none" w:sz="0" w:space="0" w:color="auto"/>
        <w:right w:val="none" w:sz="0" w:space="0" w:color="auto"/>
      </w:divBdr>
    </w:div>
    <w:div w:id="1834680502">
      <w:bodyDiv w:val="1"/>
      <w:marLeft w:val="0"/>
      <w:marRight w:val="0"/>
      <w:marTop w:val="0"/>
      <w:marBottom w:val="0"/>
      <w:divBdr>
        <w:top w:val="none" w:sz="0" w:space="0" w:color="auto"/>
        <w:left w:val="none" w:sz="0" w:space="0" w:color="auto"/>
        <w:bottom w:val="none" w:sz="0" w:space="0" w:color="auto"/>
        <w:right w:val="none" w:sz="0" w:space="0" w:color="auto"/>
      </w:divBdr>
      <w:divsChild>
        <w:div w:id="1367288668">
          <w:marLeft w:val="0"/>
          <w:marRight w:val="0"/>
          <w:marTop w:val="0"/>
          <w:marBottom w:val="0"/>
          <w:divBdr>
            <w:top w:val="none" w:sz="0" w:space="0" w:color="auto"/>
            <w:left w:val="none" w:sz="0" w:space="0" w:color="auto"/>
            <w:bottom w:val="none" w:sz="0" w:space="0" w:color="auto"/>
            <w:right w:val="none" w:sz="0" w:space="0" w:color="auto"/>
          </w:divBdr>
          <w:divsChild>
            <w:div w:id="981429054">
              <w:marLeft w:val="0"/>
              <w:marRight w:val="0"/>
              <w:marTop w:val="0"/>
              <w:marBottom w:val="0"/>
              <w:divBdr>
                <w:top w:val="none" w:sz="0" w:space="0" w:color="auto"/>
                <w:left w:val="none" w:sz="0" w:space="0" w:color="auto"/>
                <w:bottom w:val="none" w:sz="0" w:space="0" w:color="auto"/>
                <w:right w:val="none" w:sz="0" w:space="0" w:color="auto"/>
              </w:divBdr>
              <w:divsChild>
                <w:div w:id="84432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8694">
      <w:bodyDiv w:val="1"/>
      <w:marLeft w:val="0"/>
      <w:marRight w:val="0"/>
      <w:marTop w:val="0"/>
      <w:marBottom w:val="0"/>
      <w:divBdr>
        <w:top w:val="none" w:sz="0" w:space="0" w:color="auto"/>
        <w:left w:val="none" w:sz="0" w:space="0" w:color="auto"/>
        <w:bottom w:val="none" w:sz="0" w:space="0" w:color="auto"/>
        <w:right w:val="none" w:sz="0" w:space="0" w:color="auto"/>
      </w:divBdr>
    </w:div>
    <w:div w:id="1843162186">
      <w:bodyDiv w:val="1"/>
      <w:marLeft w:val="0"/>
      <w:marRight w:val="0"/>
      <w:marTop w:val="0"/>
      <w:marBottom w:val="0"/>
      <w:divBdr>
        <w:top w:val="none" w:sz="0" w:space="0" w:color="auto"/>
        <w:left w:val="none" w:sz="0" w:space="0" w:color="auto"/>
        <w:bottom w:val="none" w:sz="0" w:space="0" w:color="auto"/>
        <w:right w:val="none" w:sz="0" w:space="0" w:color="auto"/>
      </w:divBdr>
    </w:div>
    <w:div w:id="1865821131">
      <w:bodyDiv w:val="1"/>
      <w:marLeft w:val="0"/>
      <w:marRight w:val="0"/>
      <w:marTop w:val="0"/>
      <w:marBottom w:val="0"/>
      <w:divBdr>
        <w:top w:val="none" w:sz="0" w:space="0" w:color="auto"/>
        <w:left w:val="none" w:sz="0" w:space="0" w:color="auto"/>
        <w:bottom w:val="none" w:sz="0" w:space="0" w:color="auto"/>
        <w:right w:val="none" w:sz="0" w:space="0" w:color="auto"/>
      </w:divBdr>
    </w:div>
    <w:div w:id="1972858816">
      <w:bodyDiv w:val="1"/>
      <w:marLeft w:val="0"/>
      <w:marRight w:val="0"/>
      <w:marTop w:val="0"/>
      <w:marBottom w:val="0"/>
      <w:divBdr>
        <w:top w:val="none" w:sz="0" w:space="0" w:color="auto"/>
        <w:left w:val="none" w:sz="0" w:space="0" w:color="auto"/>
        <w:bottom w:val="none" w:sz="0" w:space="0" w:color="auto"/>
        <w:right w:val="none" w:sz="0" w:space="0" w:color="auto"/>
      </w:divBdr>
    </w:div>
    <w:div w:id="2077124306">
      <w:bodyDiv w:val="1"/>
      <w:marLeft w:val="0"/>
      <w:marRight w:val="0"/>
      <w:marTop w:val="0"/>
      <w:marBottom w:val="0"/>
      <w:divBdr>
        <w:top w:val="none" w:sz="0" w:space="0" w:color="auto"/>
        <w:left w:val="none" w:sz="0" w:space="0" w:color="auto"/>
        <w:bottom w:val="none" w:sz="0" w:space="0" w:color="auto"/>
        <w:right w:val="none" w:sz="0" w:space="0" w:color="auto"/>
      </w:divBdr>
    </w:div>
    <w:div w:id="213820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debt-and-finance.unctad.org/Documents/SDW_roadmap.pdf" TargetMode="External"/><Relationship Id="rId2" Type="http://schemas.openxmlformats.org/officeDocument/2006/relationships/hyperlink" Target="https://www.legifrance.gouv.fr/affichTexteArticle.do;jsessionid=98B52AFB2E6A7147F71FB87CF89A6291.tplgfr28s_2?idArticle=JORFARTI000033558576&amp;cidTexte=JORFTEXT000033558528&amp;dateTexte=29990101&amp;categorieLien=id" TargetMode="External"/><Relationship Id="rId1" Type="http://schemas.openxmlformats.org/officeDocument/2006/relationships/hyperlink" Target="https://www.irishtimes.com/business/financial-services/goldman-vulture-funds-collect-465m-from-distressed-irish-loans-1.366447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aun\NotBackedUp-Data\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B0CA8-5AB2-49A8-8207-F3DC36BC430F}">
  <ds:schemaRefs>
    <ds:schemaRef ds:uri="http://schemas.microsoft.com/office/2006/metadata/longProperties"/>
  </ds:schemaRefs>
</ds:datastoreItem>
</file>

<file path=customXml/itemProps2.xml><?xml version="1.0" encoding="utf-8"?>
<ds:datastoreItem xmlns:ds="http://schemas.openxmlformats.org/officeDocument/2006/customXml" ds:itemID="{E6D0CBDC-893F-4F92-9516-90252C824AFA}">
  <ds:schemaRefs>
    <ds:schemaRef ds:uri="http://schemas.microsoft.com/sharepoint/v3/contenttype/forms"/>
  </ds:schemaRefs>
</ds:datastoreItem>
</file>

<file path=customXml/itemProps3.xml><?xml version="1.0" encoding="utf-8"?>
<ds:datastoreItem xmlns:ds="http://schemas.openxmlformats.org/officeDocument/2006/customXml" ds:itemID="{EEEC7EAF-BA59-4CFB-B7F9-E2C971D77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798EB0-90B0-48B5-BEF4-49EDAB698D3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5.xml><?xml version="1.0" encoding="utf-8"?>
<ds:datastoreItem xmlns:ds="http://schemas.openxmlformats.org/officeDocument/2006/customXml" ds:itemID="{BD9555DC-0D1D-40D2-B4E2-DA001194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21</Pages>
  <Words>8940</Words>
  <Characters>50958</Characters>
  <Application>Microsoft Office Word</Application>
  <DocSecurity>0</DocSecurity>
  <Lines>424</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CSD</Company>
  <LinksUpToDate>false</LinksUpToDate>
  <CharactersWithSpaces>59779</CharactersWithSpaces>
  <SharedDoc>false</SharedDoc>
  <HLinks>
    <vt:vector size="18" baseType="variant">
      <vt:variant>
        <vt:i4>1376285</vt:i4>
      </vt:variant>
      <vt:variant>
        <vt:i4>6</vt:i4>
      </vt:variant>
      <vt:variant>
        <vt:i4>0</vt:i4>
      </vt:variant>
      <vt:variant>
        <vt:i4>5</vt:i4>
      </vt:variant>
      <vt:variant>
        <vt:lpwstr>http://unddr.org/uploads/documents/IDDRS 2.10 The UN Approach to DDR.pdf</vt:lpwstr>
      </vt:variant>
      <vt:variant>
        <vt:lpwstr/>
      </vt:variant>
      <vt:variant>
        <vt:i4>3604561</vt:i4>
      </vt:variant>
      <vt:variant>
        <vt:i4>3</vt:i4>
      </vt:variant>
      <vt:variant>
        <vt:i4>0</vt:i4>
      </vt:variant>
      <vt:variant>
        <vt:i4>5</vt:i4>
      </vt:variant>
      <vt:variant>
        <vt:lpwstr>http://www.gp.gov.ua/ua/news.html?_m=publications&amp;_c=view&amp;_t=rec&amp;id=165591</vt:lpwstr>
      </vt:variant>
      <vt:variant>
        <vt:lpwstr/>
      </vt:variant>
      <vt:variant>
        <vt:i4>7798829</vt:i4>
      </vt:variant>
      <vt:variant>
        <vt:i4>0</vt:i4>
      </vt:variant>
      <vt:variant>
        <vt:i4>0</vt:i4>
      </vt:variant>
      <vt:variant>
        <vt:i4>5</vt:i4>
      </vt:variant>
      <vt:variant>
        <vt:lpwstr>https://iconnect.ohchr.org/om/,DanaInfo=www.osce.org+220211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KIRBY</dc:creator>
  <cp:lastModifiedBy>WALKER Angelique</cp:lastModifiedBy>
  <cp:revision>2</cp:revision>
  <cp:lastPrinted>2019-02-11T18:25:00Z</cp:lastPrinted>
  <dcterms:created xsi:type="dcterms:W3CDTF">2019-02-13T07:23:00Z</dcterms:created>
  <dcterms:modified xsi:type="dcterms:W3CDTF">2019-02-13T07:23:00Z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TemplateUrl">
    <vt:lpwstr/>
  </property>
  <property fmtid="{D5CDD505-2E9C-101B-9397-08002B2CF9AE}" pid="8" name="xd_ProgID">
    <vt:lpwstr/>
  </property>
</Properties>
</file>