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36" w:type="dxa"/>
        <w:tblLook w:val="04A0" w:firstRow="1" w:lastRow="0" w:firstColumn="1" w:lastColumn="0" w:noHBand="0" w:noVBand="1"/>
      </w:tblPr>
      <w:tblGrid>
        <w:gridCol w:w="2959"/>
        <w:gridCol w:w="233"/>
      </w:tblGrid>
      <w:tr w:rsidR="00FD50EA" w:rsidRPr="007747CC" w14:paraId="40C9C4B3" w14:textId="77777777" w:rsidTr="00141776">
        <w:tc>
          <w:tcPr>
            <w:tcW w:w="2959" w:type="dxa"/>
            <w:tcMar>
              <w:top w:w="113" w:type="dxa"/>
              <w:left w:w="57" w:type="dxa"/>
              <w:bottom w:w="113" w:type="dxa"/>
              <w:right w:w="0" w:type="dxa"/>
            </w:tcMar>
            <w:hideMark/>
          </w:tcPr>
          <w:p w14:paraId="5BBD05CD" w14:textId="299877D5" w:rsidR="00FD50EA" w:rsidRPr="00C50489" w:rsidRDefault="00251240" w:rsidP="00141776">
            <w:pPr>
              <w:rPr>
                <w:sz w:val="14"/>
                <w:szCs w:val="14"/>
                <w:highlight w:val="yellow"/>
              </w:rPr>
            </w:pPr>
            <w:r w:rsidRPr="00407039">
              <w:rPr>
                <w:sz w:val="14"/>
                <w:szCs w:val="14"/>
              </w:rPr>
              <w:t>REFERENCE:</w:t>
            </w:r>
            <w:r w:rsidR="00D70AC1" w:rsidRPr="00407039">
              <w:rPr>
                <w:sz w:val="14"/>
                <w:szCs w:val="14"/>
              </w:rPr>
              <w:t>OHCHR/HRCTMD/AC2</w:t>
            </w:r>
            <w:r w:rsidR="00141776" w:rsidRPr="00407039">
              <w:rPr>
                <w:sz w:val="14"/>
                <w:szCs w:val="14"/>
              </w:rPr>
              <w:t>4</w:t>
            </w:r>
            <w:r w:rsidR="00FD50EA" w:rsidRPr="00407039">
              <w:rPr>
                <w:sz w:val="14"/>
                <w:szCs w:val="14"/>
              </w:rPr>
              <w:t>//NV</w:t>
            </w:r>
            <w:r w:rsidR="00407039" w:rsidRPr="00407039">
              <w:rPr>
                <w:sz w:val="14"/>
                <w:szCs w:val="14"/>
              </w:rPr>
              <w:t>1</w:t>
            </w:r>
          </w:p>
        </w:tc>
        <w:tc>
          <w:tcPr>
            <w:tcW w:w="233" w:type="dxa"/>
            <w:tcMar>
              <w:top w:w="113" w:type="dxa"/>
              <w:left w:w="113" w:type="dxa"/>
              <w:bottom w:w="113" w:type="dxa"/>
              <w:right w:w="0" w:type="dxa"/>
            </w:tcMar>
          </w:tcPr>
          <w:p w14:paraId="7D9463E8" w14:textId="77777777" w:rsidR="00FD50EA" w:rsidRPr="007747CC" w:rsidRDefault="00FD50EA" w:rsidP="00DE0614">
            <w:pPr>
              <w:rPr>
                <w:sz w:val="24"/>
                <w:szCs w:val="24"/>
              </w:rPr>
            </w:pPr>
          </w:p>
        </w:tc>
      </w:tr>
    </w:tbl>
    <w:p w14:paraId="178BE5F7" w14:textId="50A5254C" w:rsidR="00FD50EA" w:rsidRPr="007747CC" w:rsidRDefault="00FD50EA" w:rsidP="00D70AC1">
      <w:pPr>
        <w:pStyle w:val="H1G"/>
        <w:ind w:left="0" w:right="140" w:firstLine="0"/>
        <w:rPr>
          <w:szCs w:val="24"/>
        </w:rPr>
      </w:pPr>
      <w:r w:rsidRPr="007747CC">
        <w:rPr>
          <w:szCs w:val="24"/>
          <w:u w:val="single"/>
        </w:rPr>
        <w:t>Subject</w:t>
      </w:r>
      <w:r w:rsidRPr="00141776">
        <w:rPr>
          <w:szCs w:val="24"/>
        </w:rPr>
        <w:t>:</w:t>
      </w:r>
      <w:r w:rsidRPr="007747CC">
        <w:rPr>
          <w:szCs w:val="24"/>
        </w:rPr>
        <w:t xml:space="preserve"> </w:t>
      </w:r>
      <w:r w:rsidR="00407039" w:rsidRPr="00407039">
        <w:rPr>
          <w:szCs w:val="24"/>
        </w:rPr>
        <w:t>Current levels of representation of women in human rights organs and mechanisms</w:t>
      </w:r>
    </w:p>
    <w:p w14:paraId="6D01ED86" w14:textId="77777777" w:rsidR="00FD50EA" w:rsidRPr="007747CC" w:rsidRDefault="00FD50EA" w:rsidP="00FD50EA">
      <w:pPr>
        <w:tabs>
          <w:tab w:val="left" w:pos="993"/>
        </w:tabs>
        <w:rPr>
          <w:sz w:val="24"/>
          <w:szCs w:val="24"/>
        </w:rPr>
      </w:pPr>
    </w:p>
    <w:p w14:paraId="7E0221BD" w14:textId="6C42ADEA" w:rsidR="00FD50EA" w:rsidRPr="007747CC" w:rsidRDefault="00FD50EA" w:rsidP="00E22F5A">
      <w:pPr>
        <w:pStyle w:val="SingleTxtG"/>
        <w:spacing w:after="0" w:line="240" w:lineRule="auto"/>
        <w:ind w:left="0" w:right="99"/>
        <w:rPr>
          <w:sz w:val="24"/>
          <w:szCs w:val="24"/>
        </w:rPr>
      </w:pPr>
      <w:r w:rsidRPr="007747CC">
        <w:rPr>
          <w:sz w:val="24"/>
          <w:szCs w:val="24"/>
        </w:rPr>
        <w:tab/>
        <w:t xml:space="preserve">The Secretariat of the Human Rights Council Advisory Committee, on behalf of the Advisory Committee, has the honour </w:t>
      </w:r>
      <w:r w:rsidRPr="00D70AC1">
        <w:rPr>
          <w:sz w:val="24"/>
          <w:szCs w:val="24"/>
        </w:rPr>
        <w:t xml:space="preserve">to </w:t>
      </w:r>
      <w:r w:rsidR="00383719" w:rsidRPr="00D70AC1">
        <w:rPr>
          <w:sz w:val="24"/>
          <w:szCs w:val="24"/>
        </w:rPr>
        <w:t>refer to resolution 41/</w:t>
      </w:r>
      <w:r w:rsidR="00D70AC1" w:rsidRPr="00D70AC1">
        <w:rPr>
          <w:sz w:val="24"/>
          <w:szCs w:val="24"/>
        </w:rPr>
        <w:t>6</w:t>
      </w:r>
      <w:r w:rsidR="00D70AC1">
        <w:rPr>
          <w:sz w:val="24"/>
          <w:szCs w:val="24"/>
        </w:rPr>
        <w:t xml:space="preserve"> adopted by the Human Rights Council on</w:t>
      </w:r>
      <w:r w:rsidR="00314F0D" w:rsidRPr="00D70AC1">
        <w:rPr>
          <w:sz w:val="24"/>
          <w:szCs w:val="24"/>
        </w:rPr>
        <w:t xml:space="preserve"> </w:t>
      </w:r>
      <w:r w:rsidR="00D70AC1">
        <w:rPr>
          <w:sz w:val="24"/>
          <w:szCs w:val="24"/>
        </w:rPr>
        <w:t>11</w:t>
      </w:r>
      <w:r w:rsidRPr="00D70AC1">
        <w:rPr>
          <w:sz w:val="24"/>
          <w:szCs w:val="24"/>
        </w:rPr>
        <w:t xml:space="preserve"> </w:t>
      </w:r>
      <w:r w:rsidR="00383719" w:rsidRPr="00D70AC1">
        <w:rPr>
          <w:sz w:val="24"/>
          <w:szCs w:val="24"/>
        </w:rPr>
        <w:t>July 2019</w:t>
      </w:r>
      <w:r w:rsidRPr="00D70AC1">
        <w:rPr>
          <w:sz w:val="24"/>
          <w:szCs w:val="24"/>
        </w:rPr>
        <w:t xml:space="preserve"> </w:t>
      </w:r>
      <w:r w:rsidRPr="00383719">
        <w:rPr>
          <w:sz w:val="24"/>
          <w:szCs w:val="24"/>
        </w:rPr>
        <w:t>entitled “</w:t>
      </w:r>
      <w:r w:rsidR="006C73D5" w:rsidRPr="00383719">
        <w:rPr>
          <w:sz w:val="24"/>
          <w:szCs w:val="24"/>
        </w:rPr>
        <w:t>Elimination of all forms of discrimination against</w:t>
      </w:r>
      <w:r w:rsidR="006C73D5" w:rsidRPr="006C73D5">
        <w:rPr>
          <w:sz w:val="24"/>
          <w:szCs w:val="24"/>
        </w:rPr>
        <w:t xml:space="preserve"> </w:t>
      </w:r>
      <w:r w:rsidR="006C73D5" w:rsidRPr="00383719">
        <w:rPr>
          <w:sz w:val="24"/>
          <w:szCs w:val="24"/>
        </w:rPr>
        <w:t>women and girls</w:t>
      </w:r>
      <w:r w:rsidRPr="00383719">
        <w:rPr>
          <w:sz w:val="24"/>
          <w:szCs w:val="24"/>
        </w:rPr>
        <w:t>”. The resolution is attached for ease of reference.</w:t>
      </w:r>
    </w:p>
    <w:p w14:paraId="32D55DCD" w14:textId="77777777" w:rsidR="00FD50EA" w:rsidRPr="007747CC" w:rsidRDefault="00FD50EA" w:rsidP="00FD50EA">
      <w:pPr>
        <w:tabs>
          <w:tab w:val="left" w:pos="993"/>
        </w:tabs>
        <w:jc w:val="both"/>
        <w:rPr>
          <w:sz w:val="24"/>
          <w:szCs w:val="24"/>
        </w:rPr>
      </w:pPr>
    </w:p>
    <w:p w14:paraId="4EC11EB5" w14:textId="42B1591D" w:rsidR="006C73D5" w:rsidRPr="00D70AC1" w:rsidRDefault="00FD50EA" w:rsidP="00B9463E">
      <w:pPr>
        <w:pStyle w:val="SingleTxtG"/>
        <w:spacing w:after="0" w:line="240" w:lineRule="auto"/>
        <w:ind w:left="0" w:right="99"/>
        <w:rPr>
          <w:sz w:val="24"/>
          <w:szCs w:val="24"/>
        </w:rPr>
      </w:pPr>
      <w:r w:rsidRPr="007747CC">
        <w:rPr>
          <w:color w:val="FF0000"/>
          <w:sz w:val="24"/>
          <w:szCs w:val="24"/>
        </w:rPr>
        <w:tab/>
      </w:r>
      <w:r w:rsidRPr="00D70AC1">
        <w:rPr>
          <w:sz w:val="24"/>
          <w:szCs w:val="24"/>
        </w:rPr>
        <w:t xml:space="preserve">In </w:t>
      </w:r>
      <w:r w:rsidR="00141776">
        <w:rPr>
          <w:sz w:val="24"/>
          <w:szCs w:val="24"/>
        </w:rPr>
        <w:t>the said</w:t>
      </w:r>
      <w:r w:rsidRPr="00D70AC1">
        <w:rPr>
          <w:sz w:val="24"/>
          <w:szCs w:val="24"/>
        </w:rPr>
        <w:t xml:space="preserve"> resolution, the Council </w:t>
      </w:r>
      <w:r w:rsidR="00B9463E" w:rsidRPr="00D70AC1">
        <w:rPr>
          <w:sz w:val="24"/>
          <w:szCs w:val="24"/>
        </w:rPr>
        <w:t>request</w:t>
      </w:r>
      <w:r w:rsidR="00B9463E">
        <w:rPr>
          <w:sz w:val="24"/>
          <w:szCs w:val="24"/>
        </w:rPr>
        <w:t>ed</w:t>
      </w:r>
      <w:r w:rsidR="00B9463E" w:rsidRPr="00D70AC1">
        <w:rPr>
          <w:sz w:val="24"/>
          <w:szCs w:val="24"/>
        </w:rPr>
        <w:t xml:space="preserve"> </w:t>
      </w:r>
      <w:r w:rsidR="006C73D5" w:rsidRPr="00D70AC1">
        <w:rPr>
          <w:sz w:val="24"/>
          <w:szCs w:val="24"/>
        </w:rPr>
        <w:t xml:space="preserve">the Advisory Committee </w:t>
      </w:r>
      <w:r w:rsidR="00D70AC1" w:rsidRPr="00D70AC1">
        <w:rPr>
          <w:sz w:val="24"/>
          <w:szCs w:val="24"/>
        </w:rPr>
        <w:t>to prepare a report, in close cooperation with the Working Group and the Committee on the Elimination of Discrimination against Women, on current levels of representation of women in human rights organs and mechanisms such as the Advisory Committee, the treaty bodies and the special procedures established by the Human Rights Council</w:t>
      </w:r>
      <w:r w:rsidR="00B9463E">
        <w:rPr>
          <w:sz w:val="24"/>
          <w:szCs w:val="24"/>
        </w:rPr>
        <w:t>.</w:t>
      </w:r>
      <w:r w:rsidR="00B9463E" w:rsidRPr="00D70AC1">
        <w:rPr>
          <w:sz w:val="24"/>
          <w:szCs w:val="24"/>
        </w:rPr>
        <w:t xml:space="preserve"> </w:t>
      </w:r>
      <w:r w:rsidR="00B9463E">
        <w:rPr>
          <w:sz w:val="24"/>
          <w:szCs w:val="24"/>
        </w:rPr>
        <w:t>T</w:t>
      </w:r>
      <w:r w:rsidR="00B9463E" w:rsidRPr="00D70AC1">
        <w:rPr>
          <w:sz w:val="24"/>
          <w:szCs w:val="24"/>
        </w:rPr>
        <w:t xml:space="preserve">he </w:t>
      </w:r>
      <w:r w:rsidR="00D70AC1" w:rsidRPr="00D70AC1">
        <w:rPr>
          <w:sz w:val="24"/>
          <w:szCs w:val="24"/>
        </w:rPr>
        <w:t>report, to be presented to the Council at its forty-seventh session</w:t>
      </w:r>
      <w:r w:rsidR="001666EE">
        <w:rPr>
          <w:sz w:val="24"/>
          <w:szCs w:val="24"/>
        </w:rPr>
        <w:t xml:space="preserve"> (March 2021)</w:t>
      </w:r>
      <w:r w:rsidR="00D70AC1" w:rsidRPr="00D70AC1">
        <w:rPr>
          <w:sz w:val="24"/>
          <w:szCs w:val="24"/>
        </w:rPr>
        <w:t>, is to include good practices by States in nominating, electing and appointing candidates to ensure balanced gender representation, in line with the system-wide strategy on gender parity, and recommendations to assist the Council and Member States in this regard</w:t>
      </w:r>
      <w:r w:rsidR="006C73D5" w:rsidRPr="00D70AC1">
        <w:rPr>
          <w:sz w:val="24"/>
          <w:szCs w:val="24"/>
        </w:rPr>
        <w:t>.</w:t>
      </w:r>
    </w:p>
    <w:p w14:paraId="415539ED" w14:textId="2BCFBBBC" w:rsidR="00FD50EA" w:rsidRPr="007747CC" w:rsidRDefault="00FD50EA" w:rsidP="006C73D5">
      <w:pPr>
        <w:tabs>
          <w:tab w:val="left" w:pos="993"/>
        </w:tabs>
        <w:jc w:val="both"/>
      </w:pPr>
    </w:p>
    <w:p w14:paraId="69E537F5" w14:textId="4799F5C5" w:rsidR="00FD50EA" w:rsidRDefault="00FD50EA" w:rsidP="00E22F5A">
      <w:pPr>
        <w:pStyle w:val="SingleTxtG"/>
        <w:spacing w:after="0" w:line="240" w:lineRule="auto"/>
        <w:ind w:left="0" w:right="99"/>
        <w:rPr>
          <w:sz w:val="24"/>
          <w:szCs w:val="24"/>
          <w:lang w:eastAsia="ko-KR"/>
        </w:rPr>
      </w:pPr>
      <w:r w:rsidRPr="007747CC">
        <w:rPr>
          <w:sz w:val="24"/>
          <w:szCs w:val="24"/>
        </w:rPr>
        <w:tab/>
        <w:t>In this regard</w:t>
      </w:r>
      <w:r w:rsidR="00DE58DC">
        <w:rPr>
          <w:sz w:val="24"/>
          <w:szCs w:val="24"/>
        </w:rPr>
        <w:t>,</w:t>
      </w:r>
      <w:r w:rsidR="00D70AC1">
        <w:rPr>
          <w:sz w:val="24"/>
          <w:szCs w:val="24"/>
        </w:rPr>
        <w:t xml:space="preserve"> and in accordance with</w:t>
      </w:r>
      <w:r w:rsidR="00F2130E">
        <w:rPr>
          <w:sz w:val="24"/>
          <w:szCs w:val="24"/>
        </w:rPr>
        <w:t xml:space="preserve"> paragraph </w:t>
      </w:r>
      <w:r w:rsidR="00D70AC1">
        <w:rPr>
          <w:sz w:val="24"/>
          <w:szCs w:val="24"/>
        </w:rPr>
        <w:t>17 of the resolution,</w:t>
      </w:r>
      <w:r w:rsidR="00F2130E">
        <w:rPr>
          <w:sz w:val="24"/>
          <w:szCs w:val="24"/>
        </w:rPr>
        <w:t xml:space="preserve"> </w:t>
      </w:r>
      <w:r w:rsidRPr="007747CC">
        <w:rPr>
          <w:sz w:val="24"/>
          <w:szCs w:val="24"/>
        </w:rPr>
        <w:t>the Human Rights Council Advisory Committee</w:t>
      </w:r>
      <w:r w:rsidR="003E701E">
        <w:rPr>
          <w:sz w:val="24"/>
          <w:szCs w:val="24"/>
        </w:rPr>
        <w:t xml:space="preserve">, </w:t>
      </w:r>
      <w:r w:rsidR="003E701E">
        <w:rPr>
          <w:sz w:val="24"/>
          <w:szCs w:val="24"/>
          <w:lang w:eastAsia="ko-KR"/>
        </w:rPr>
        <w:t>in preparation of</w:t>
      </w:r>
      <w:r w:rsidR="003E701E" w:rsidRPr="00D70AC1">
        <w:rPr>
          <w:sz w:val="24"/>
          <w:szCs w:val="24"/>
          <w:lang w:eastAsia="ko-KR"/>
        </w:rPr>
        <w:t xml:space="preserve"> the above-mentioned report</w:t>
      </w:r>
      <w:r w:rsidR="003E701E">
        <w:rPr>
          <w:sz w:val="24"/>
          <w:szCs w:val="24"/>
        </w:rPr>
        <w:t xml:space="preserve">, </w:t>
      </w:r>
      <w:r w:rsidR="00141776">
        <w:rPr>
          <w:sz w:val="24"/>
          <w:szCs w:val="24"/>
        </w:rPr>
        <w:t>reiterates its request for</w:t>
      </w:r>
      <w:r w:rsidR="00B9463E">
        <w:rPr>
          <w:sz w:val="24"/>
          <w:szCs w:val="24"/>
        </w:rPr>
        <w:t xml:space="preserve"> </w:t>
      </w:r>
      <w:r w:rsidR="00D70AC1" w:rsidRPr="00D70AC1">
        <w:rPr>
          <w:sz w:val="24"/>
          <w:szCs w:val="24"/>
          <w:lang w:eastAsia="ko-KR"/>
        </w:rPr>
        <w:t>views, inputs and meaningful participation of relevant stakeholders</w:t>
      </w:r>
      <w:r w:rsidR="00141776">
        <w:rPr>
          <w:sz w:val="24"/>
          <w:szCs w:val="24"/>
          <w:lang w:eastAsia="ko-KR"/>
        </w:rPr>
        <w:t>,</w:t>
      </w:r>
      <w:r w:rsidR="00D70AC1" w:rsidRPr="00D70AC1">
        <w:rPr>
          <w:sz w:val="24"/>
          <w:szCs w:val="24"/>
          <w:lang w:eastAsia="ko-KR"/>
        </w:rPr>
        <w:t xml:space="preserve"> </w:t>
      </w:r>
      <w:r w:rsidR="00141776">
        <w:rPr>
          <w:sz w:val="24"/>
          <w:szCs w:val="24"/>
          <w:lang w:eastAsia="ko-KR"/>
        </w:rPr>
        <w:t>who may not yet have done so</w:t>
      </w:r>
      <w:r w:rsidR="00D70AC1" w:rsidRPr="00D70AC1">
        <w:rPr>
          <w:sz w:val="24"/>
          <w:szCs w:val="24"/>
          <w:lang w:eastAsia="ko-KR"/>
        </w:rPr>
        <w:t>, including Member States, international and regional organizations, the Office of the United Nations High Commissioner for Human Rights, the special procedures, national human rights institutions, civil society an</w:t>
      </w:r>
      <w:r w:rsidR="003E701E">
        <w:rPr>
          <w:sz w:val="24"/>
          <w:szCs w:val="24"/>
          <w:lang w:eastAsia="ko-KR"/>
        </w:rPr>
        <w:t>d academic institutions</w:t>
      </w:r>
      <w:r w:rsidR="006C73D5" w:rsidRPr="00D70AC1">
        <w:rPr>
          <w:sz w:val="24"/>
          <w:szCs w:val="24"/>
          <w:lang w:eastAsia="ko-KR"/>
        </w:rPr>
        <w:t>.</w:t>
      </w:r>
      <w:r w:rsidR="00B9463E">
        <w:rPr>
          <w:sz w:val="24"/>
          <w:szCs w:val="24"/>
          <w:lang w:eastAsia="ko-KR"/>
        </w:rPr>
        <w:t xml:space="preserve"> </w:t>
      </w:r>
      <w:r w:rsidR="00141776">
        <w:rPr>
          <w:sz w:val="24"/>
          <w:szCs w:val="24"/>
          <w:lang w:eastAsia="ko-KR"/>
        </w:rPr>
        <w:t>Th</w:t>
      </w:r>
      <w:r w:rsidR="00B9463E">
        <w:rPr>
          <w:sz w:val="24"/>
          <w:szCs w:val="24"/>
          <w:lang w:eastAsia="ko-KR"/>
        </w:rPr>
        <w:t xml:space="preserve">e </w:t>
      </w:r>
      <w:r w:rsidR="00B9463E" w:rsidRPr="00B9463E">
        <w:rPr>
          <w:sz w:val="24"/>
          <w:szCs w:val="24"/>
          <w:lang w:eastAsia="ko-KR"/>
        </w:rPr>
        <w:t xml:space="preserve">Advisory Committee </w:t>
      </w:r>
      <w:r w:rsidR="00141776">
        <w:rPr>
          <w:sz w:val="24"/>
          <w:szCs w:val="24"/>
          <w:lang w:eastAsia="ko-KR"/>
        </w:rPr>
        <w:t>is therefore recirculating</w:t>
      </w:r>
      <w:r w:rsidR="00B9463E" w:rsidRPr="00B9463E">
        <w:rPr>
          <w:sz w:val="24"/>
          <w:szCs w:val="24"/>
          <w:lang w:eastAsia="ko-KR"/>
        </w:rPr>
        <w:t xml:space="preserve"> the attached questionnaire on the topic to facilitate the submission of inputs for the report.  </w:t>
      </w:r>
    </w:p>
    <w:p w14:paraId="2673ABB0" w14:textId="77777777" w:rsidR="00251240" w:rsidRPr="007747CC" w:rsidRDefault="00251240" w:rsidP="00FD50EA">
      <w:pPr>
        <w:tabs>
          <w:tab w:val="left" w:pos="993"/>
        </w:tabs>
        <w:jc w:val="both"/>
        <w:rPr>
          <w:sz w:val="24"/>
          <w:szCs w:val="24"/>
        </w:rPr>
      </w:pPr>
    </w:p>
    <w:p w14:paraId="19A0A4B9" w14:textId="738E5FF3" w:rsidR="00FD50EA" w:rsidRPr="007747CC" w:rsidRDefault="00FD50EA" w:rsidP="00E22F5A">
      <w:pPr>
        <w:pStyle w:val="SingleTxtG"/>
        <w:spacing w:after="0" w:line="240" w:lineRule="auto"/>
        <w:ind w:left="0" w:right="99"/>
        <w:rPr>
          <w:sz w:val="24"/>
          <w:szCs w:val="24"/>
        </w:rPr>
      </w:pPr>
      <w:r w:rsidRPr="007747CC">
        <w:rPr>
          <w:sz w:val="24"/>
          <w:szCs w:val="24"/>
        </w:rPr>
        <w:tab/>
      </w:r>
      <w:r w:rsidR="00B9463E" w:rsidRPr="00B9463E">
        <w:rPr>
          <w:sz w:val="24"/>
          <w:szCs w:val="24"/>
        </w:rPr>
        <w:t xml:space="preserve">The </w:t>
      </w:r>
      <w:r w:rsidR="00B9463E" w:rsidRPr="00B9463E">
        <w:rPr>
          <w:sz w:val="24"/>
          <w:szCs w:val="24"/>
          <w:lang w:eastAsia="ko-KR"/>
        </w:rPr>
        <w:t>Secretariat</w:t>
      </w:r>
      <w:r w:rsidR="00B9463E" w:rsidRPr="00B9463E">
        <w:rPr>
          <w:sz w:val="24"/>
          <w:szCs w:val="24"/>
        </w:rPr>
        <w:t xml:space="preserve"> of the Advisory Committee would be grateful if any information could be submitted by </w:t>
      </w:r>
      <w:r w:rsidR="00141776">
        <w:rPr>
          <w:b/>
          <w:bCs/>
          <w:sz w:val="24"/>
          <w:szCs w:val="24"/>
        </w:rPr>
        <w:t>29 May</w:t>
      </w:r>
      <w:r w:rsidR="00B9463E" w:rsidRPr="00B350A4">
        <w:rPr>
          <w:b/>
          <w:bCs/>
          <w:sz w:val="24"/>
          <w:szCs w:val="24"/>
        </w:rPr>
        <w:t xml:space="preserve"> 20</w:t>
      </w:r>
      <w:r w:rsidR="00141776">
        <w:rPr>
          <w:b/>
          <w:bCs/>
          <w:sz w:val="24"/>
          <w:szCs w:val="24"/>
        </w:rPr>
        <w:t>20</w:t>
      </w:r>
      <w:r w:rsidR="00B9463E" w:rsidRPr="00B9463E">
        <w:rPr>
          <w:sz w:val="24"/>
          <w:szCs w:val="24"/>
        </w:rPr>
        <w:t xml:space="preserve"> to the following address:</w:t>
      </w:r>
    </w:p>
    <w:p w14:paraId="42DC0434" w14:textId="77777777" w:rsidR="00FD50EA" w:rsidRPr="007747CC" w:rsidRDefault="00FD50EA" w:rsidP="00FD50EA">
      <w:pPr>
        <w:tabs>
          <w:tab w:val="left" w:pos="993"/>
        </w:tabs>
        <w:jc w:val="both"/>
        <w:rPr>
          <w:sz w:val="24"/>
          <w:szCs w:val="24"/>
        </w:rPr>
      </w:pPr>
      <w:r w:rsidRPr="007747CC">
        <w:rPr>
          <w:sz w:val="24"/>
          <w:szCs w:val="24"/>
        </w:rPr>
        <w:tab/>
      </w:r>
      <w:r w:rsidRPr="007747CC">
        <w:rPr>
          <w:sz w:val="24"/>
          <w:szCs w:val="24"/>
        </w:rPr>
        <w:tab/>
      </w:r>
    </w:p>
    <w:p w14:paraId="0D9A252C" w14:textId="77777777" w:rsidR="00FD50EA" w:rsidRPr="00E9237D" w:rsidRDefault="00FD50EA" w:rsidP="00FD50EA">
      <w:pPr>
        <w:tabs>
          <w:tab w:val="left" w:pos="993"/>
        </w:tabs>
        <w:ind w:left="1440"/>
        <w:jc w:val="both"/>
        <w:rPr>
          <w:sz w:val="24"/>
          <w:szCs w:val="24"/>
        </w:rPr>
      </w:pPr>
      <w:r w:rsidRPr="00E9237D">
        <w:rPr>
          <w:sz w:val="24"/>
          <w:szCs w:val="24"/>
        </w:rPr>
        <w:t>Secretariat of the Human Rights Council Advisory Committee</w:t>
      </w:r>
    </w:p>
    <w:p w14:paraId="6D90BA23" w14:textId="77777777" w:rsidR="00FD50EA" w:rsidRPr="007747CC" w:rsidRDefault="00FD50EA" w:rsidP="00FD50EA">
      <w:pPr>
        <w:tabs>
          <w:tab w:val="left" w:pos="993"/>
        </w:tabs>
        <w:jc w:val="both"/>
        <w:rPr>
          <w:sz w:val="24"/>
          <w:szCs w:val="24"/>
        </w:rPr>
      </w:pPr>
      <w:r w:rsidRPr="007747CC">
        <w:rPr>
          <w:sz w:val="24"/>
          <w:szCs w:val="24"/>
        </w:rPr>
        <w:tab/>
      </w:r>
      <w:r w:rsidRPr="007747CC">
        <w:rPr>
          <w:sz w:val="24"/>
          <w:szCs w:val="24"/>
        </w:rPr>
        <w:tab/>
        <w:t>OHCHR - United Nations Office at Geneva</w:t>
      </w:r>
    </w:p>
    <w:p w14:paraId="6441B08C" w14:textId="77777777" w:rsidR="00FD50EA" w:rsidRPr="007747CC" w:rsidRDefault="00FD50EA" w:rsidP="00FD50EA">
      <w:pPr>
        <w:tabs>
          <w:tab w:val="left" w:pos="993"/>
        </w:tabs>
        <w:ind w:left="1440"/>
        <w:jc w:val="both"/>
        <w:rPr>
          <w:sz w:val="24"/>
          <w:szCs w:val="24"/>
          <w:lang w:val="de-DE"/>
        </w:rPr>
      </w:pPr>
      <w:r w:rsidRPr="007747CC">
        <w:rPr>
          <w:sz w:val="24"/>
          <w:szCs w:val="24"/>
          <w:lang w:val="de-DE"/>
        </w:rPr>
        <w:t>CH-1211 Geneva 10, Switzerland</w:t>
      </w:r>
    </w:p>
    <w:p w14:paraId="471ED0FD" w14:textId="77777777" w:rsidR="00FD50EA" w:rsidRPr="007747CC" w:rsidRDefault="00FD50EA" w:rsidP="00FD50EA">
      <w:pPr>
        <w:tabs>
          <w:tab w:val="left" w:pos="993"/>
        </w:tabs>
        <w:ind w:left="1440"/>
        <w:jc w:val="both"/>
        <w:rPr>
          <w:sz w:val="24"/>
          <w:szCs w:val="24"/>
          <w:lang w:val="de-DE"/>
        </w:rPr>
      </w:pPr>
      <w:r w:rsidRPr="007747CC">
        <w:rPr>
          <w:sz w:val="24"/>
          <w:szCs w:val="24"/>
          <w:lang w:val="de-DE"/>
        </w:rPr>
        <w:t xml:space="preserve">E-mail: </w:t>
      </w:r>
      <w:hyperlink r:id="rId12" w:history="1">
        <w:r w:rsidRPr="007747CC">
          <w:rPr>
            <w:color w:val="0000FF"/>
            <w:sz w:val="24"/>
            <w:szCs w:val="24"/>
            <w:u w:val="single"/>
            <w:lang w:val="de-DE"/>
          </w:rPr>
          <w:t>hrcadvisorycommittee@ohchr.org</w:t>
        </w:r>
      </w:hyperlink>
    </w:p>
    <w:p w14:paraId="0444437E" w14:textId="77777777" w:rsidR="00FD50EA" w:rsidRPr="00E9237D" w:rsidRDefault="00FD50EA" w:rsidP="00FD50EA">
      <w:pPr>
        <w:tabs>
          <w:tab w:val="left" w:pos="993"/>
        </w:tabs>
        <w:ind w:left="1440"/>
        <w:jc w:val="both"/>
        <w:rPr>
          <w:sz w:val="24"/>
          <w:szCs w:val="24"/>
        </w:rPr>
      </w:pPr>
      <w:r w:rsidRPr="00E9237D">
        <w:rPr>
          <w:sz w:val="24"/>
          <w:szCs w:val="24"/>
        </w:rPr>
        <w:t>Fax: +41 22 917 9011</w:t>
      </w:r>
    </w:p>
    <w:p w14:paraId="49DDFA7C" w14:textId="77777777" w:rsidR="00FD50EA" w:rsidRPr="007747CC" w:rsidRDefault="00FD50EA" w:rsidP="00FD50EA">
      <w:pPr>
        <w:tabs>
          <w:tab w:val="left" w:pos="993"/>
        </w:tabs>
        <w:jc w:val="both"/>
        <w:rPr>
          <w:sz w:val="24"/>
          <w:szCs w:val="24"/>
        </w:rPr>
      </w:pPr>
    </w:p>
    <w:p w14:paraId="63DF4C59" w14:textId="77777777" w:rsidR="00FD50EA" w:rsidRPr="007747CC" w:rsidRDefault="00FD50EA" w:rsidP="00E22F5A">
      <w:pPr>
        <w:pStyle w:val="SingleTxtG"/>
        <w:spacing w:after="0" w:line="240" w:lineRule="auto"/>
        <w:ind w:left="0" w:right="99"/>
        <w:rPr>
          <w:sz w:val="24"/>
          <w:szCs w:val="24"/>
        </w:rPr>
      </w:pPr>
      <w:r w:rsidRPr="007747CC">
        <w:rPr>
          <w:sz w:val="24"/>
          <w:szCs w:val="24"/>
        </w:rPr>
        <w:tab/>
        <w:t xml:space="preserve">The Secretariat </w:t>
      </w:r>
      <w:r w:rsidRPr="007747CC">
        <w:rPr>
          <w:sz w:val="24"/>
          <w:szCs w:val="24"/>
          <w:lang w:eastAsia="ko-KR"/>
        </w:rPr>
        <w:t>of</w:t>
      </w:r>
      <w:r w:rsidRPr="007747CC">
        <w:rPr>
          <w:sz w:val="24"/>
          <w:szCs w:val="24"/>
        </w:rPr>
        <w:t xml:space="preserve"> the Human Rights Council Advisory Committee avails itself of this opportunity to renew the assurances of its highest consideration.</w:t>
      </w:r>
    </w:p>
    <w:p w14:paraId="0880E25B" w14:textId="77777777" w:rsidR="00FD50EA" w:rsidRPr="007747CC" w:rsidRDefault="00FD50EA" w:rsidP="00FD50EA">
      <w:pPr>
        <w:tabs>
          <w:tab w:val="left" w:pos="993"/>
        </w:tabs>
        <w:jc w:val="both"/>
        <w:rPr>
          <w:sz w:val="24"/>
          <w:szCs w:val="24"/>
        </w:rPr>
      </w:pPr>
    </w:p>
    <w:p w14:paraId="4BEFC70E" w14:textId="061C29DD" w:rsidR="00FD50EA" w:rsidRDefault="00F36205" w:rsidP="00251240">
      <w:pPr>
        <w:tabs>
          <w:tab w:val="left" w:pos="993"/>
        </w:tabs>
        <w:jc w:val="right"/>
        <w:rPr>
          <w:sz w:val="24"/>
          <w:szCs w:val="24"/>
        </w:rPr>
      </w:pPr>
      <w:r w:rsidRPr="00F36205">
        <w:rPr>
          <w:sz w:val="24"/>
          <w:szCs w:val="24"/>
        </w:rPr>
        <w:t>2</w:t>
      </w:r>
      <w:r w:rsidR="00B9463E" w:rsidRPr="00F36205">
        <w:rPr>
          <w:sz w:val="24"/>
          <w:szCs w:val="24"/>
        </w:rPr>
        <w:t xml:space="preserve"> </w:t>
      </w:r>
      <w:r w:rsidR="00141776">
        <w:rPr>
          <w:sz w:val="24"/>
          <w:szCs w:val="24"/>
        </w:rPr>
        <w:t>March 2020</w:t>
      </w:r>
    </w:p>
    <w:p w14:paraId="017EAB73" w14:textId="73841C09" w:rsidR="00D02A53" w:rsidRDefault="00D02A53" w:rsidP="00251240">
      <w:pPr>
        <w:tabs>
          <w:tab w:val="left" w:pos="993"/>
        </w:tabs>
        <w:jc w:val="right"/>
        <w:rPr>
          <w:sz w:val="24"/>
          <w:szCs w:val="24"/>
        </w:rPr>
      </w:pPr>
    </w:p>
    <w:p w14:paraId="7AC15AE1" w14:textId="77777777" w:rsidR="00D02A53" w:rsidRPr="00DD4197" w:rsidRDefault="00D02A53" w:rsidP="00D02A53">
      <w:pPr>
        <w:jc w:val="center"/>
        <w:rPr>
          <w:rFonts w:asciiTheme="majorBidi" w:hAnsiTheme="majorBidi" w:cstheme="majorBidi"/>
          <w:b/>
          <w:bCs/>
          <w:sz w:val="24"/>
          <w:szCs w:val="24"/>
        </w:rPr>
      </w:pPr>
      <w:r w:rsidRPr="00DD4197">
        <w:rPr>
          <w:rFonts w:asciiTheme="majorBidi" w:hAnsiTheme="majorBidi" w:cstheme="majorBidi"/>
          <w:b/>
          <w:bCs/>
          <w:sz w:val="24"/>
          <w:szCs w:val="24"/>
        </w:rPr>
        <w:lastRenderedPageBreak/>
        <w:t>Advisory Committee of the Human Rights Council</w:t>
      </w:r>
    </w:p>
    <w:p w14:paraId="66C8533C" w14:textId="77777777" w:rsidR="00D02A53" w:rsidRPr="00DD4197" w:rsidRDefault="00D02A53" w:rsidP="00D02A53">
      <w:pPr>
        <w:shd w:val="clear" w:color="auto" w:fill="FFFFFF"/>
        <w:jc w:val="center"/>
        <w:rPr>
          <w:rFonts w:asciiTheme="majorBidi" w:hAnsiTheme="majorBidi" w:cstheme="majorBidi"/>
          <w:b/>
          <w:sz w:val="24"/>
          <w:szCs w:val="24"/>
          <w:lang w:eastAsia="es-419"/>
        </w:rPr>
      </w:pPr>
      <w:r w:rsidRPr="00DD4197">
        <w:rPr>
          <w:rFonts w:asciiTheme="majorBidi" w:hAnsiTheme="majorBidi" w:cstheme="majorBidi"/>
          <w:b/>
          <w:bCs/>
          <w:sz w:val="24"/>
          <w:szCs w:val="24"/>
        </w:rPr>
        <w:t xml:space="preserve">Questionnaire on </w:t>
      </w:r>
      <w:r w:rsidRPr="008B1367">
        <w:rPr>
          <w:rFonts w:asciiTheme="majorBidi" w:hAnsiTheme="majorBidi" w:cstheme="majorBidi"/>
          <w:b/>
          <w:bCs/>
          <w:sz w:val="24"/>
          <w:szCs w:val="24"/>
        </w:rPr>
        <w:t>current levels of representation of women in human rights organs and mechanisms</w:t>
      </w:r>
    </w:p>
    <w:p w14:paraId="2E2E1B69" w14:textId="77777777" w:rsidR="00D02A53" w:rsidRDefault="00D02A53" w:rsidP="00D02A53">
      <w:pPr>
        <w:pStyle w:val="ListParagraph"/>
        <w:shd w:val="clear" w:color="auto" w:fill="FFFFFF"/>
        <w:spacing w:after="0" w:line="240" w:lineRule="auto"/>
        <w:jc w:val="both"/>
        <w:rPr>
          <w:rFonts w:asciiTheme="majorBidi" w:eastAsia="Times New Roman" w:hAnsiTheme="majorBidi" w:cstheme="majorBidi"/>
          <w:sz w:val="24"/>
          <w:szCs w:val="24"/>
          <w:lang w:val="en-GB" w:eastAsia="es-419"/>
        </w:rPr>
      </w:pPr>
    </w:p>
    <w:p w14:paraId="39DE533A" w14:textId="77777777" w:rsidR="00D02A53" w:rsidRPr="00DD4197" w:rsidRDefault="00D02A53" w:rsidP="00D02A53">
      <w:pPr>
        <w:pStyle w:val="ListParagraph"/>
        <w:numPr>
          <w:ilvl w:val="0"/>
          <w:numId w:val="25"/>
        </w:numPr>
        <w:shd w:val="clear" w:color="auto" w:fill="FFFFFF"/>
        <w:spacing w:after="0" w:line="240" w:lineRule="auto"/>
        <w:jc w:val="both"/>
        <w:rPr>
          <w:rFonts w:asciiTheme="majorBidi" w:eastAsia="Times New Roman" w:hAnsiTheme="majorBidi" w:cstheme="majorBidi"/>
          <w:sz w:val="24"/>
          <w:szCs w:val="24"/>
          <w:lang w:val="en-GB" w:eastAsia="es-419"/>
        </w:rPr>
      </w:pPr>
      <w:r w:rsidRPr="00DD4197">
        <w:rPr>
          <w:rFonts w:asciiTheme="majorBidi" w:eastAsia="Times New Roman" w:hAnsiTheme="majorBidi" w:cstheme="majorBidi"/>
          <w:sz w:val="24"/>
          <w:szCs w:val="24"/>
          <w:lang w:val="en-GB" w:eastAsia="es-419"/>
        </w:rPr>
        <w:t>Do current processes in the State allow for</w:t>
      </w:r>
      <w:r>
        <w:rPr>
          <w:rFonts w:asciiTheme="majorBidi" w:eastAsia="Times New Roman" w:hAnsiTheme="majorBidi" w:cstheme="majorBidi"/>
          <w:sz w:val="24"/>
          <w:szCs w:val="24"/>
          <w:lang w:val="en-GB" w:eastAsia="es-419"/>
        </w:rPr>
        <w:t>,</w:t>
      </w:r>
      <w:r w:rsidRPr="00DD4197">
        <w:rPr>
          <w:rFonts w:asciiTheme="majorBidi" w:eastAsia="Times New Roman" w:hAnsiTheme="majorBidi" w:cstheme="majorBidi"/>
          <w:sz w:val="24"/>
          <w:szCs w:val="24"/>
          <w:lang w:val="en-GB" w:eastAsia="es-419"/>
        </w:rPr>
        <w:t xml:space="preserve"> or encourage</w:t>
      </w:r>
      <w:r>
        <w:rPr>
          <w:rFonts w:asciiTheme="majorBidi" w:eastAsia="Times New Roman" w:hAnsiTheme="majorBidi" w:cstheme="majorBidi"/>
          <w:sz w:val="24"/>
          <w:szCs w:val="24"/>
          <w:lang w:val="en-GB" w:eastAsia="es-419"/>
        </w:rPr>
        <w:t>,</w:t>
      </w:r>
      <w:r w:rsidRPr="00DD4197">
        <w:rPr>
          <w:rFonts w:asciiTheme="majorBidi" w:eastAsia="Times New Roman" w:hAnsiTheme="majorBidi" w:cstheme="majorBidi"/>
          <w:sz w:val="24"/>
          <w:szCs w:val="24"/>
          <w:lang w:val="en-GB" w:eastAsia="es-419"/>
        </w:rPr>
        <w:t xml:space="preserve"> a consideration of gender balance when nominating, electing and appointing </w:t>
      </w:r>
      <w:bookmarkStart w:id="0" w:name="_Hlk17741727"/>
      <w:r>
        <w:rPr>
          <w:rFonts w:asciiTheme="majorBidi" w:eastAsia="Times New Roman" w:hAnsiTheme="majorBidi" w:cstheme="majorBidi"/>
          <w:sz w:val="24"/>
          <w:szCs w:val="24"/>
          <w:lang w:val="en-GB" w:eastAsia="es-419"/>
        </w:rPr>
        <w:t xml:space="preserve">experts </w:t>
      </w:r>
      <w:r w:rsidRPr="00DD4197">
        <w:rPr>
          <w:rFonts w:asciiTheme="majorBidi" w:eastAsia="Times New Roman" w:hAnsiTheme="majorBidi" w:cstheme="majorBidi"/>
          <w:sz w:val="24"/>
          <w:szCs w:val="24"/>
          <w:lang w:val="en-GB" w:eastAsia="es-419"/>
        </w:rPr>
        <w:t xml:space="preserve">for human rights organs such as the Advisory Committee and treaty bodies? </w:t>
      </w:r>
      <w:bookmarkEnd w:id="0"/>
      <w:r w:rsidRPr="00DD4197">
        <w:rPr>
          <w:rFonts w:asciiTheme="majorBidi" w:eastAsia="Times New Roman" w:hAnsiTheme="majorBidi" w:cstheme="majorBidi"/>
          <w:sz w:val="24"/>
          <w:szCs w:val="24"/>
          <w:lang w:val="en-GB" w:eastAsia="es-419"/>
        </w:rPr>
        <w:t>Do these processes ensure publicity, transparency, and participation by civil society</w:t>
      </w:r>
      <w:r>
        <w:rPr>
          <w:rFonts w:asciiTheme="majorBidi" w:eastAsia="Times New Roman" w:hAnsiTheme="majorBidi" w:cstheme="majorBidi"/>
          <w:sz w:val="24"/>
          <w:szCs w:val="24"/>
          <w:lang w:val="en-GB" w:eastAsia="es-419"/>
        </w:rPr>
        <w:t xml:space="preserve"> organizations</w:t>
      </w:r>
      <w:r w:rsidRPr="00DD4197">
        <w:rPr>
          <w:rFonts w:asciiTheme="majorBidi" w:eastAsia="Times New Roman" w:hAnsiTheme="majorBidi" w:cstheme="majorBidi"/>
          <w:sz w:val="24"/>
          <w:szCs w:val="24"/>
          <w:lang w:val="en-GB" w:eastAsia="es-419"/>
        </w:rPr>
        <w:t xml:space="preserve"> and/or other actors?</w:t>
      </w:r>
    </w:p>
    <w:p w14:paraId="212BA7DF" w14:textId="77777777" w:rsidR="00D02A53" w:rsidRPr="00DD4197" w:rsidRDefault="00D02A53" w:rsidP="00D02A53">
      <w:pPr>
        <w:pStyle w:val="ListParagraph"/>
        <w:shd w:val="clear" w:color="auto" w:fill="FFFFFF"/>
        <w:spacing w:after="0" w:line="240" w:lineRule="auto"/>
        <w:jc w:val="both"/>
        <w:rPr>
          <w:rFonts w:asciiTheme="majorBidi" w:eastAsia="Times New Roman" w:hAnsiTheme="majorBidi" w:cstheme="majorBidi"/>
          <w:sz w:val="24"/>
          <w:szCs w:val="24"/>
          <w:lang w:val="en-GB" w:eastAsia="es-419"/>
        </w:rPr>
      </w:pPr>
    </w:p>
    <w:p w14:paraId="22D3DAA6" w14:textId="77777777" w:rsidR="00D02A53" w:rsidRPr="00DD4197" w:rsidRDefault="00D02A53" w:rsidP="00D02A53">
      <w:pPr>
        <w:pStyle w:val="ListParagraph"/>
        <w:numPr>
          <w:ilvl w:val="0"/>
          <w:numId w:val="25"/>
        </w:numPr>
        <w:shd w:val="clear" w:color="auto" w:fill="FFFFFF"/>
        <w:spacing w:after="0" w:line="240" w:lineRule="auto"/>
        <w:jc w:val="both"/>
        <w:rPr>
          <w:rFonts w:asciiTheme="majorBidi" w:eastAsia="Times New Roman" w:hAnsiTheme="majorBidi" w:cstheme="majorBidi"/>
          <w:sz w:val="24"/>
          <w:szCs w:val="24"/>
          <w:lang w:val="en-GB" w:eastAsia="es-419"/>
        </w:rPr>
      </w:pPr>
      <w:r w:rsidRPr="00DD4197">
        <w:rPr>
          <w:rFonts w:asciiTheme="majorBidi" w:eastAsia="Times New Roman" w:hAnsiTheme="majorBidi" w:cstheme="majorBidi"/>
          <w:sz w:val="24"/>
          <w:szCs w:val="24"/>
          <w:lang w:val="en-GB" w:eastAsia="es-419"/>
        </w:rPr>
        <w:t>Does the State take into account the gender composition of the treaty bod</w:t>
      </w:r>
      <w:r>
        <w:rPr>
          <w:rFonts w:asciiTheme="majorBidi" w:eastAsia="Times New Roman" w:hAnsiTheme="majorBidi" w:cstheme="majorBidi"/>
          <w:sz w:val="24"/>
          <w:szCs w:val="24"/>
          <w:lang w:val="en-GB" w:eastAsia="es-419"/>
        </w:rPr>
        <w:t>ies</w:t>
      </w:r>
      <w:r w:rsidRPr="00DD4197">
        <w:rPr>
          <w:rFonts w:asciiTheme="majorBidi" w:eastAsia="Times New Roman" w:hAnsiTheme="majorBidi" w:cstheme="majorBidi"/>
          <w:sz w:val="24"/>
          <w:szCs w:val="24"/>
          <w:lang w:val="en-GB" w:eastAsia="es-419"/>
        </w:rPr>
        <w:t xml:space="preserve"> or the Advisory Committee at the time of nomination or </w:t>
      </w:r>
      <w:r>
        <w:rPr>
          <w:rFonts w:asciiTheme="majorBidi" w:eastAsia="Times New Roman" w:hAnsiTheme="majorBidi" w:cstheme="majorBidi"/>
          <w:sz w:val="24"/>
          <w:szCs w:val="24"/>
          <w:lang w:val="en-GB" w:eastAsia="es-419"/>
        </w:rPr>
        <w:t>election</w:t>
      </w:r>
      <w:r w:rsidRPr="00DD4197">
        <w:rPr>
          <w:rFonts w:asciiTheme="majorBidi" w:eastAsia="Times New Roman" w:hAnsiTheme="majorBidi" w:cstheme="majorBidi"/>
          <w:sz w:val="24"/>
          <w:szCs w:val="24"/>
          <w:lang w:val="en-GB" w:eastAsia="es-419"/>
        </w:rPr>
        <w:t xml:space="preserve">? </w:t>
      </w:r>
    </w:p>
    <w:p w14:paraId="3477D478" w14:textId="77777777" w:rsidR="00D02A53" w:rsidRPr="00DD4197" w:rsidRDefault="00D02A53" w:rsidP="00D02A53">
      <w:pPr>
        <w:shd w:val="clear" w:color="auto" w:fill="FFFFFF"/>
        <w:ind w:left="360"/>
        <w:jc w:val="both"/>
        <w:rPr>
          <w:rFonts w:asciiTheme="majorBidi" w:hAnsiTheme="majorBidi" w:cstheme="majorBidi"/>
          <w:sz w:val="24"/>
          <w:szCs w:val="24"/>
          <w:lang w:eastAsia="es-419"/>
        </w:rPr>
      </w:pPr>
      <w:r w:rsidRPr="00DD4197">
        <w:rPr>
          <w:rFonts w:asciiTheme="majorBidi" w:hAnsiTheme="majorBidi" w:cstheme="majorBidi"/>
          <w:sz w:val="24"/>
          <w:szCs w:val="24"/>
          <w:lang w:eastAsia="es-419"/>
        </w:rPr>
        <w:t> </w:t>
      </w:r>
    </w:p>
    <w:p w14:paraId="741EC1FA" w14:textId="77777777" w:rsidR="00D02A53" w:rsidRPr="00DD4197" w:rsidRDefault="00D02A53" w:rsidP="00D02A53">
      <w:pPr>
        <w:pStyle w:val="ListParagraph"/>
        <w:numPr>
          <w:ilvl w:val="0"/>
          <w:numId w:val="25"/>
        </w:numPr>
        <w:shd w:val="clear" w:color="auto" w:fill="FFFFFF"/>
        <w:spacing w:after="0" w:line="240" w:lineRule="auto"/>
        <w:jc w:val="both"/>
        <w:rPr>
          <w:rFonts w:asciiTheme="majorBidi" w:eastAsia="Times New Roman" w:hAnsiTheme="majorBidi" w:cstheme="majorBidi"/>
          <w:sz w:val="24"/>
          <w:szCs w:val="24"/>
          <w:lang w:val="en-GB" w:eastAsia="es-419"/>
        </w:rPr>
      </w:pPr>
      <w:r w:rsidRPr="00DD4197">
        <w:rPr>
          <w:rFonts w:asciiTheme="majorBidi" w:eastAsia="Times New Roman" w:hAnsiTheme="majorBidi" w:cstheme="majorBidi"/>
          <w:sz w:val="24"/>
          <w:szCs w:val="24"/>
          <w:lang w:val="en-GB" w:eastAsia="es-419"/>
        </w:rPr>
        <w:t>Does the State have any good national practices related to</w:t>
      </w:r>
      <w:r>
        <w:rPr>
          <w:rFonts w:asciiTheme="majorBidi" w:eastAsia="Times New Roman" w:hAnsiTheme="majorBidi" w:cstheme="majorBidi"/>
          <w:sz w:val="24"/>
          <w:szCs w:val="24"/>
          <w:lang w:val="en-GB" w:eastAsia="es-419"/>
        </w:rPr>
        <w:t xml:space="preserve"> the</w:t>
      </w:r>
      <w:r w:rsidRPr="00DD4197">
        <w:rPr>
          <w:rFonts w:asciiTheme="majorBidi" w:eastAsia="Times New Roman" w:hAnsiTheme="majorBidi" w:cstheme="majorBidi"/>
          <w:sz w:val="24"/>
          <w:szCs w:val="24"/>
          <w:lang w:val="en-GB" w:eastAsia="es-419"/>
        </w:rPr>
        <w:t xml:space="preserve"> nomination, election and appointing processes for human rights organs such as the Advisory Committee and treaty bodies? Do these processes take into account gender when nominating, electing, or appointing?</w:t>
      </w:r>
    </w:p>
    <w:p w14:paraId="5B049179" w14:textId="77777777" w:rsidR="00D02A53" w:rsidRPr="00DD4197" w:rsidRDefault="00D02A53" w:rsidP="00D02A53">
      <w:pPr>
        <w:shd w:val="clear" w:color="auto" w:fill="FFFFFF"/>
        <w:ind w:left="720"/>
        <w:jc w:val="both"/>
        <w:rPr>
          <w:rFonts w:asciiTheme="majorBidi" w:hAnsiTheme="majorBidi" w:cstheme="majorBidi"/>
          <w:sz w:val="24"/>
          <w:szCs w:val="24"/>
          <w:lang w:eastAsia="es-419"/>
        </w:rPr>
      </w:pPr>
      <w:r w:rsidRPr="00DD4197">
        <w:rPr>
          <w:rFonts w:asciiTheme="majorBidi" w:hAnsiTheme="majorBidi" w:cstheme="majorBidi"/>
          <w:sz w:val="24"/>
          <w:szCs w:val="24"/>
          <w:lang w:eastAsia="es-419"/>
        </w:rPr>
        <w:t> </w:t>
      </w:r>
    </w:p>
    <w:p w14:paraId="594DC053" w14:textId="77777777" w:rsidR="00D02A53" w:rsidRPr="00DD4197" w:rsidRDefault="00D02A53" w:rsidP="00D02A53">
      <w:pPr>
        <w:pStyle w:val="ListParagraph"/>
        <w:numPr>
          <w:ilvl w:val="0"/>
          <w:numId w:val="25"/>
        </w:numPr>
        <w:shd w:val="clear" w:color="auto" w:fill="FFFFFF"/>
        <w:spacing w:after="0" w:line="240" w:lineRule="auto"/>
        <w:jc w:val="both"/>
        <w:rPr>
          <w:rFonts w:asciiTheme="majorBidi" w:eastAsia="Times New Roman" w:hAnsiTheme="majorBidi" w:cstheme="majorBidi"/>
          <w:sz w:val="24"/>
          <w:szCs w:val="24"/>
          <w:lang w:val="en-GB" w:eastAsia="es-419"/>
        </w:rPr>
      </w:pPr>
      <w:r w:rsidRPr="00DD4197">
        <w:rPr>
          <w:rFonts w:asciiTheme="majorBidi" w:eastAsia="Times New Roman" w:hAnsiTheme="majorBidi" w:cstheme="majorBidi"/>
          <w:sz w:val="24"/>
          <w:szCs w:val="24"/>
          <w:lang w:val="en-GB" w:eastAsia="es-419"/>
        </w:rPr>
        <w:t>How does the State take into consideration its obligations concerning non-discrimination and women’s right to equal access to participation</w:t>
      </w:r>
      <w:r>
        <w:rPr>
          <w:rFonts w:asciiTheme="majorBidi" w:eastAsia="Times New Roman" w:hAnsiTheme="majorBidi" w:cstheme="majorBidi"/>
          <w:sz w:val="24"/>
          <w:szCs w:val="24"/>
          <w:lang w:val="en-GB" w:eastAsia="es-419"/>
        </w:rPr>
        <w:t>,</w:t>
      </w:r>
      <w:r w:rsidRPr="00DD4197">
        <w:rPr>
          <w:rFonts w:asciiTheme="majorBidi" w:eastAsia="Times New Roman" w:hAnsiTheme="majorBidi" w:cstheme="majorBidi"/>
          <w:sz w:val="24"/>
          <w:szCs w:val="24"/>
          <w:lang w:val="en-GB" w:eastAsia="es-419"/>
        </w:rPr>
        <w:t xml:space="preserve"> </w:t>
      </w:r>
      <w:r>
        <w:rPr>
          <w:rFonts w:asciiTheme="majorBidi" w:eastAsia="Times New Roman" w:hAnsiTheme="majorBidi" w:cstheme="majorBidi"/>
          <w:sz w:val="24"/>
          <w:szCs w:val="24"/>
          <w:lang w:val="en-GB" w:eastAsia="es-419"/>
        </w:rPr>
        <w:t>as well as</w:t>
      </w:r>
      <w:r w:rsidRPr="00DD4197">
        <w:rPr>
          <w:rFonts w:asciiTheme="majorBidi" w:eastAsia="Times New Roman" w:hAnsiTheme="majorBidi" w:cstheme="majorBidi"/>
          <w:sz w:val="24"/>
          <w:szCs w:val="24"/>
          <w:lang w:val="en-GB" w:eastAsia="es-419"/>
        </w:rPr>
        <w:t xml:space="preserve"> its obligations under Article 8 of CEDAW to ensure women’s equal participation in the work of human rights organs when nominating or appointing candidates for those </w:t>
      </w:r>
      <w:r>
        <w:rPr>
          <w:rFonts w:asciiTheme="majorBidi" w:eastAsia="Times New Roman" w:hAnsiTheme="majorBidi" w:cstheme="majorBidi"/>
          <w:sz w:val="24"/>
          <w:szCs w:val="24"/>
          <w:lang w:val="en-GB" w:eastAsia="es-419"/>
        </w:rPr>
        <w:t>organs and mechanisms</w:t>
      </w:r>
      <w:r w:rsidRPr="00DD4197">
        <w:rPr>
          <w:rFonts w:asciiTheme="majorBidi" w:eastAsia="Times New Roman" w:hAnsiTheme="majorBidi" w:cstheme="majorBidi"/>
          <w:sz w:val="24"/>
          <w:szCs w:val="24"/>
          <w:lang w:val="en-GB" w:eastAsia="es-419"/>
        </w:rPr>
        <w:t>?</w:t>
      </w:r>
    </w:p>
    <w:p w14:paraId="16D8032D" w14:textId="77777777" w:rsidR="00D02A53" w:rsidRPr="00DD4197" w:rsidRDefault="00D02A53" w:rsidP="00D02A53">
      <w:pPr>
        <w:shd w:val="clear" w:color="auto" w:fill="FFFFFF"/>
        <w:ind w:left="720"/>
        <w:jc w:val="both"/>
        <w:rPr>
          <w:rFonts w:asciiTheme="majorBidi" w:hAnsiTheme="majorBidi" w:cstheme="majorBidi"/>
          <w:sz w:val="24"/>
          <w:szCs w:val="24"/>
          <w:lang w:eastAsia="es-419"/>
        </w:rPr>
      </w:pPr>
      <w:r w:rsidRPr="00DD4197">
        <w:rPr>
          <w:rFonts w:asciiTheme="majorBidi" w:hAnsiTheme="majorBidi" w:cstheme="majorBidi"/>
          <w:sz w:val="24"/>
          <w:szCs w:val="24"/>
          <w:lang w:eastAsia="es-419"/>
        </w:rPr>
        <w:t> </w:t>
      </w:r>
    </w:p>
    <w:p w14:paraId="77FE92B6" w14:textId="77777777" w:rsidR="00D02A53" w:rsidRPr="00DD4197" w:rsidRDefault="00D02A53" w:rsidP="00D02A53">
      <w:pPr>
        <w:pStyle w:val="ListParagraph"/>
        <w:numPr>
          <w:ilvl w:val="0"/>
          <w:numId w:val="25"/>
        </w:numPr>
        <w:shd w:val="clear" w:color="auto" w:fill="FFFFFF"/>
        <w:spacing w:after="0" w:line="240" w:lineRule="auto"/>
        <w:jc w:val="both"/>
        <w:rPr>
          <w:rFonts w:asciiTheme="majorBidi" w:eastAsia="Times New Roman" w:hAnsiTheme="majorBidi" w:cstheme="majorBidi"/>
          <w:sz w:val="24"/>
          <w:szCs w:val="24"/>
          <w:lang w:val="en-GB" w:eastAsia="es-419"/>
        </w:rPr>
      </w:pPr>
      <w:r w:rsidRPr="00DD4197">
        <w:rPr>
          <w:rFonts w:asciiTheme="majorBidi" w:eastAsia="Times New Roman" w:hAnsiTheme="majorBidi" w:cstheme="majorBidi"/>
          <w:sz w:val="24"/>
          <w:szCs w:val="24"/>
          <w:lang w:val="en-GB" w:eastAsia="es-419"/>
        </w:rPr>
        <w:t>How many women has the State nominated to human rights organs and mechanisms in the last five years (such as the Advisory Committee or treaty bodies)?</w:t>
      </w:r>
    </w:p>
    <w:p w14:paraId="7C4F4740" w14:textId="77777777" w:rsidR="00D02A53" w:rsidRPr="00DD4197" w:rsidRDefault="00D02A53" w:rsidP="00D02A53">
      <w:pPr>
        <w:pStyle w:val="ListParagraph"/>
        <w:jc w:val="both"/>
        <w:rPr>
          <w:rFonts w:asciiTheme="majorBidi" w:eastAsia="Times New Roman" w:hAnsiTheme="majorBidi" w:cstheme="majorBidi"/>
          <w:sz w:val="24"/>
          <w:szCs w:val="24"/>
          <w:lang w:val="en-GB" w:eastAsia="es-419"/>
        </w:rPr>
      </w:pPr>
    </w:p>
    <w:p w14:paraId="086D5B43" w14:textId="77777777" w:rsidR="00D02A53" w:rsidRPr="00DD4197" w:rsidRDefault="00D02A53" w:rsidP="00D02A53">
      <w:pPr>
        <w:pStyle w:val="ListParagraph"/>
        <w:numPr>
          <w:ilvl w:val="0"/>
          <w:numId w:val="25"/>
        </w:numPr>
        <w:shd w:val="clear" w:color="auto" w:fill="FFFFFF"/>
        <w:spacing w:after="0" w:line="240" w:lineRule="auto"/>
        <w:jc w:val="both"/>
        <w:rPr>
          <w:rFonts w:asciiTheme="majorBidi" w:eastAsia="Times New Roman" w:hAnsiTheme="majorBidi" w:cstheme="majorBidi"/>
          <w:sz w:val="24"/>
          <w:szCs w:val="24"/>
          <w:lang w:val="en-GB" w:eastAsia="es-419"/>
        </w:rPr>
      </w:pPr>
      <w:r w:rsidRPr="00DD4197">
        <w:rPr>
          <w:rFonts w:asciiTheme="majorBidi" w:hAnsiTheme="majorBidi" w:cstheme="majorBidi"/>
          <w:sz w:val="24"/>
          <w:szCs w:val="24"/>
          <w:shd w:val="clear" w:color="auto" w:fill="FFFFFF"/>
          <w:lang w:val="en-GB"/>
        </w:rPr>
        <w:t xml:space="preserve">Does the State take any action to publicize and encourage women to </w:t>
      </w:r>
      <w:r>
        <w:rPr>
          <w:rFonts w:asciiTheme="majorBidi" w:hAnsiTheme="majorBidi" w:cstheme="majorBidi"/>
          <w:sz w:val="24"/>
          <w:szCs w:val="24"/>
          <w:shd w:val="clear" w:color="auto" w:fill="FFFFFF"/>
          <w:lang w:val="en-GB"/>
        </w:rPr>
        <w:t>apply</w:t>
      </w:r>
      <w:r w:rsidRPr="00DD4197">
        <w:rPr>
          <w:rFonts w:asciiTheme="majorBidi" w:hAnsiTheme="majorBidi" w:cstheme="majorBidi"/>
          <w:sz w:val="24"/>
          <w:szCs w:val="24"/>
          <w:shd w:val="clear" w:color="auto" w:fill="FFFFFF"/>
          <w:lang w:val="en-GB"/>
        </w:rPr>
        <w:t xml:space="preserve"> </w:t>
      </w:r>
      <w:r w:rsidRPr="00285FB5">
        <w:rPr>
          <w:rFonts w:asciiTheme="majorBidi" w:hAnsiTheme="majorBidi" w:cstheme="majorBidi"/>
          <w:sz w:val="24"/>
          <w:szCs w:val="24"/>
          <w:shd w:val="clear" w:color="auto" w:fill="FFFFFF"/>
          <w:lang w:val="en-GB"/>
        </w:rPr>
        <w:t>for</w:t>
      </w:r>
      <w:r>
        <w:rPr>
          <w:rFonts w:asciiTheme="majorBidi" w:hAnsiTheme="majorBidi" w:cstheme="majorBidi"/>
          <w:sz w:val="24"/>
          <w:szCs w:val="24"/>
          <w:shd w:val="clear" w:color="auto" w:fill="FFFFFF"/>
          <w:lang w:val="en-GB"/>
        </w:rPr>
        <w:t xml:space="preserve"> the special procedures</w:t>
      </w:r>
      <w:r w:rsidRPr="00285FB5">
        <w:rPr>
          <w:rFonts w:asciiTheme="majorBidi" w:hAnsiTheme="majorBidi" w:cstheme="majorBidi"/>
          <w:sz w:val="24"/>
          <w:szCs w:val="24"/>
          <w:shd w:val="clear" w:color="auto" w:fill="FFFFFF"/>
          <w:lang w:val="en-GB"/>
        </w:rPr>
        <w:t xml:space="preserve"> </w:t>
      </w:r>
      <w:r>
        <w:rPr>
          <w:rFonts w:asciiTheme="majorBidi" w:hAnsiTheme="majorBidi" w:cstheme="majorBidi"/>
          <w:sz w:val="24"/>
          <w:szCs w:val="24"/>
          <w:shd w:val="clear" w:color="auto" w:fill="FFFFFF"/>
          <w:lang w:val="en-GB"/>
        </w:rPr>
        <w:t>mandate-holders</w:t>
      </w:r>
      <w:r w:rsidRPr="00285FB5">
        <w:rPr>
          <w:rFonts w:asciiTheme="majorBidi" w:hAnsiTheme="majorBidi" w:cstheme="majorBidi"/>
          <w:sz w:val="24"/>
          <w:szCs w:val="24"/>
          <w:shd w:val="clear" w:color="auto" w:fill="FFFFFF"/>
          <w:lang w:val="en-GB"/>
        </w:rPr>
        <w:t xml:space="preserve"> vacancies</w:t>
      </w:r>
      <w:r w:rsidRPr="00DD4197">
        <w:rPr>
          <w:rFonts w:asciiTheme="majorBidi" w:hAnsiTheme="majorBidi" w:cstheme="majorBidi"/>
          <w:sz w:val="24"/>
          <w:szCs w:val="24"/>
          <w:shd w:val="clear" w:color="auto" w:fill="FFFFFF"/>
          <w:lang w:val="en-GB"/>
        </w:rPr>
        <w:t>?</w:t>
      </w:r>
    </w:p>
    <w:p w14:paraId="6652DA4D" w14:textId="77777777" w:rsidR="00D02A53" w:rsidRPr="00DD4197" w:rsidRDefault="00D02A53" w:rsidP="00D02A53">
      <w:pPr>
        <w:pStyle w:val="ListParagraph"/>
        <w:jc w:val="both"/>
        <w:rPr>
          <w:rFonts w:asciiTheme="majorBidi" w:eastAsia="Times New Roman" w:hAnsiTheme="majorBidi" w:cstheme="majorBidi"/>
          <w:sz w:val="24"/>
          <w:szCs w:val="24"/>
          <w:lang w:val="en-GB" w:eastAsia="es-419"/>
        </w:rPr>
      </w:pPr>
    </w:p>
    <w:p w14:paraId="138DA852" w14:textId="77777777" w:rsidR="00D02A53" w:rsidRPr="00DD4197" w:rsidRDefault="00D02A53" w:rsidP="00D02A53">
      <w:pPr>
        <w:pStyle w:val="ListParagraph"/>
        <w:numPr>
          <w:ilvl w:val="0"/>
          <w:numId w:val="25"/>
        </w:numPr>
        <w:jc w:val="both"/>
        <w:rPr>
          <w:rFonts w:asciiTheme="majorBidi" w:hAnsiTheme="majorBidi" w:cstheme="majorBidi"/>
          <w:sz w:val="24"/>
          <w:szCs w:val="24"/>
          <w:lang w:val="en-GB"/>
        </w:rPr>
      </w:pPr>
      <w:r w:rsidRPr="00DD4197">
        <w:rPr>
          <w:rFonts w:asciiTheme="majorBidi" w:hAnsiTheme="majorBidi" w:cstheme="majorBidi"/>
          <w:sz w:val="24"/>
          <w:szCs w:val="24"/>
          <w:lang w:val="en-GB"/>
        </w:rPr>
        <w:t>What are the main challenges within your country in tackling the issue of gender balance when nominating and electing</w:t>
      </w:r>
      <w:r>
        <w:rPr>
          <w:rFonts w:asciiTheme="majorBidi" w:hAnsiTheme="majorBidi" w:cstheme="majorBidi"/>
          <w:sz w:val="24"/>
          <w:szCs w:val="24"/>
          <w:lang w:val="en-GB"/>
        </w:rPr>
        <w:t xml:space="preserve"> candidates</w:t>
      </w:r>
      <w:r w:rsidRPr="00DD4197">
        <w:rPr>
          <w:rFonts w:asciiTheme="majorBidi" w:hAnsiTheme="majorBidi" w:cstheme="majorBidi"/>
          <w:sz w:val="24"/>
          <w:szCs w:val="24"/>
          <w:lang w:val="en-GB"/>
        </w:rPr>
        <w:t xml:space="preserve"> </w:t>
      </w:r>
      <w:r w:rsidRPr="00DD4197">
        <w:rPr>
          <w:rFonts w:asciiTheme="majorBidi" w:eastAsia="Times New Roman" w:hAnsiTheme="majorBidi" w:cstheme="majorBidi"/>
          <w:sz w:val="24"/>
          <w:szCs w:val="24"/>
          <w:lang w:val="en-GB" w:eastAsia="es-419"/>
        </w:rPr>
        <w:t>for human rights organs</w:t>
      </w:r>
      <w:r>
        <w:rPr>
          <w:rFonts w:asciiTheme="majorBidi" w:eastAsia="Times New Roman" w:hAnsiTheme="majorBidi" w:cstheme="majorBidi"/>
          <w:sz w:val="24"/>
          <w:szCs w:val="24"/>
          <w:lang w:val="en-GB" w:eastAsia="es-419"/>
        </w:rPr>
        <w:t xml:space="preserve"> and mechanisms</w:t>
      </w:r>
      <w:r w:rsidRPr="00DD4197">
        <w:rPr>
          <w:rFonts w:asciiTheme="majorBidi" w:eastAsia="Times New Roman" w:hAnsiTheme="majorBidi" w:cstheme="majorBidi"/>
          <w:sz w:val="24"/>
          <w:szCs w:val="24"/>
          <w:lang w:val="en-GB" w:eastAsia="es-419"/>
        </w:rPr>
        <w:t xml:space="preserve"> such as the Advisory Committee</w:t>
      </w:r>
      <w:r>
        <w:rPr>
          <w:rFonts w:asciiTheme="majorBidi" w:eastAsia="Times New Roman" w:hAnsiTheme="majorBidi" w:cstheme="majorBidi"/>
          <w:sz w:val="24"/>
          <w:szCs w:val="24"/>
          <w:lang w:val="en-GB" w:eastAsia="es-419"/>
        </w:rPr>
        <w:t>,</w:t>
      </w:r>
      <w:r w:rsidRPr="00DD4197">
        <w:rPr>
          <w:rFonts w:asciiTheme="majorBidi" w:eastAsia="Times New Roman" w:hAnsiTheme="majorBidi" w:cstheme="majorBidi"/>
          <w:sz w:val="24"/>
          <w:szCs w:val="24"/>
          <w:lang w:val="en-GB" w:eastAsia="es-419"/>
        </w:rPr>
        <w:t xml:space="preserve"> treaty bodies</w:t>
      </w:r>
      <w:r w:rsidRPr="00A7704C">
        <w:rPr>
          <w:lang w:val="en-GB"/>
        </w:rPr>
        <w:t xml:space="preserve"> </w:t>
      </w:r>
      <w:r w:rsidRPr="00740502">
        <w:rPr>
          <w:rFonts w:asciiTheme="majorBidi" w:eastAsia="Times New Roman" w:hAnsiTheme="majorBidi" w:cstheme="majorBidi"/>
          <w:sz w:val="24"/>
          <w:szCs w:val="24"/>
          <w:lang w:val="en-GB" w:eastAsia="es-419"/>
        </w:rPr>
        <w:t>and the special procedures</w:t>
      </w:r>
      <w:r w:rsidRPr="00DD4197">
        <w:rPr>
          <w:rFonts w:asciiTheme="majorBidi" w:eastAsia="Times New Roman" w:hAnsiTheme="majorBidi" w:cstheme="majorBidi"/>
          <w:sz w:val="24"/>
          <w:szCs w:val="24"/>
          <w:lang w:val="en-GB" w:eastAsia="es-419"/>
        </w:rPr>
        <w:t xml:space="preserve">? </w:t>
      </w:r>
      <w:r w:rsidRPr="00DD4197">
        <w:rPr>
          <w:rFonts w:asciiTheme="majorBidi" w:hAnsiTheme="majorBidi" w:cstheme="majorBidi"/>
          <w:sz w:val="24"/>
          <w:szCs w:val="24"/>
          <w:lang w:val="en-GB"/>
        </w:rPr>
        <w:t xml:space="preserve"> </w:t>
      </w:r>
    </w:p>
    <w:p w14:paraId="3C7F1E4B" w14:textId="77777777" w:rsidR="00D02A53" w:rsidRPr="00DD4197" w:rsidRDefault="00D02A53" w:rsidP="00D02A53">
      <w:pPr>
        <w:pStyle w:val="ListParagraph"/>
        <w:jc w:val="both"/>
        <w:rPr>
          <w:rFonts w:asciiTheme="majorBidi" w:eastAsia="Times New Roman" w:hAnsiTheme="majorBidi" w:cstheme="majorBidi"/>
          <w:sz w:val="24"/>
          <w:szCs w:val="24"/>
          <w:lang w:val="en-GB" w:eastAsia="es-419"/>
        </w:rPr>
      </w:pPr>
    </w:p>
    <w:p w14:paraId="73B9E82D" w14:textId="77777777" w:rsidR="00D02A53" w:rsidRPr="00DD4197" w:rsidRDefault="00D02A53" w:rsidP="00D02A53">
      <w:pPr>
        <w:pStyle w:val="ListParagraph"/>
        <w:numPr>
          <w:ilvl w:val="0"/>
          <w:numId w:val="25"/>
        </w:numPr>
        <w:shd w:val="clear" w:color="auto" w:fill="FFFFFF"/>
        <w:spacing w:after="0" w:line="240" w:lineRule="auto"/>
        <w:jc w:val="both"/>
        <w:rPr>
          <w:rFonts w:asciiTheme="majorBidi" w:eastAsia="Times New Roman" w:hAnsiTheme="majorBidi" w:cstheme="majorBidi"/>
          <w:sz w:val="24"/>
          <w:szCs w:val="24"/>
          <w:lang w:val="en-GB" w:eastAsia="es-419"/>
        </w:rPr>
      </w:pPr>
      <w:r w:rsidRPr="00DD4197">
        <w:rPr>
          <w:rFonts w:asciiTheme="majorBidi" w:eastAsia="Times New Roman" w:hAnsiTheme="majorBidi" w:cstheme="majorBidi"/>
          <w:sz w:val="24"/>
          <w:szCs w:val="24"/>
          <w:lang w:val="en-GB" w:eastAsia="es-419"/>
        </w:rPr>
        <w:t xml:space="preserve">Are there good practices by the State or other </w:t>
      </w:r>
      <w:r w:rsidRPr="00740502">
        <w:rPr>
          <w:rFonts w:asciiTheme="majorBidi" w:eastAsia="Times New Roman" w:hAnsiTheme="majorBidi" w:cstheme="majorBidi"/>
          <w:sz w:val="24"/>
          <w:szCs w:val="24"/>
          <w:lang w:val="en-GB" w:eastAsia="es-419"/>
        </w:rPr>
        <w:t xml:space="preserve">stakeholders </w:t>
      </w:r>
      <w:r w:rsidRPr="00DD4197">
        <w:rPr>
          <w:rFonts w:asciiTheme="majorBidi" w:eastAsia="Times New Roman" w:hAnsiTheme="majorBidi" w:cstheme="majorBidi"/>
          <w:sz w:val="24"/>
          <w:szCs w:val="24"/>
          <w:lang w:val="en-GB" w:eastAsia="es-419"/>
        </w:rPr>
        <w:t>that ensure gender parity</w:t>
      </w:r>
      <w:r>
        <w:rPr>
          <w:rFonts w:asciiTheme="majorBidi" w:eastAsia="Times New Roman" w:hAnsiTheme="majorBidi" w:cstheme="majorBidi"/>
          <w:sz w:val="24"/>
          <w:szCs w:val="24"/>
          <w:lang w:val="en-GB" w:eastAsia="es-419"/>
        </w:rPr>
        <w:t>? If yes, could you please share these practices?</w:t>
      </w:r>
    </w:p>
    <w:p w14:paraId="3E0D0ABF" w14:textId="77777777" w:rsidR="00D02A53" w:rsidRPr="00DD4197" w:rsidRDefault="00D02A53" w:rsidP="00D02A53">
      <w:pPr>
        <w:shd w:val="clear" w:color="auto" w:fill="FFFFFF"/>
        <w:ind w:left="720"/>
        <w:jc w:val="both"/>
        <w:rPr>
          <w:rFonts w:asciiTheme="majorBidi" w:hAnsiTheme="majorBidi" w:cstheme="majorBidi"/>
          <w:sz w:val="24"/>
          <w:szCs w:val="24"/>
          <w:lang w:eastAsia="es-419"/>
        </w:rPr>
      </w:pPr>
      <w:r w:rsidRPr="00DD4197">
        <w:rPr>
          <w:rFonts w:asciiTheme="majorBidi" w:hAnsiTheme="majorBidi" w:cstheme="majorBidi"/>
          <w:sz w:val="24"/>
          <w:szCs w:val="24"/>
          <w:lang w:eastAsia="es-419"/>
        </w:rPr>
        <w:t> </w:t>
      </w:r>
    </w:p>
    <w:p w14:paraId="156219BB" w14:textId="77777777" w:rsidR="00D02A53" w:rsidRPr="00DD4197" w:rsidRDefault="00D02A53" w:rsidP="00D02A53">
      <w:pPr>
        <w:pStyle w:val="ListParagraph"/>
        <w:numPr>
          <w:ilvl w:val="0"/>
          <w:numId w:val="25"/>
        </w:numPr>
        <w:shd w:val="clear" w:color="auto" w:fill="FFFFFF"/>
        <w:spacing w:after="0" w:line="240" w:lineRule="auto"/>
        <w:jc w:val="both"/>
        <w:rPr>
          <w:rFonts w:asciiTheme="majorBidi" w:eastAsia="Times New Roman" w:hAnsiTheme="majorBidi" w:cstheme="majorBidi"/>
          <w:sz w:val="24"/>
          <w:szCs w:val="24"/>
          <w:lang w:val="en-GB" w:eastAsia="es-419"/>
        </w:rPr>
      </w:pPr>
      <w:r w:rsidRPr="00DD4197">
        <w:rPr>
          <w:rFonts w:asciiTheme="majorBidi" w:eastAsia="Times New Roman" w:hAnsiTheme="majorBidi" w:cstheme="majorBidi"/>
          <w:sz w:val="24"/>
          <w:szCs w:val="24"/>
          <w:lang w:val="en-GB" w:eastAsia="es-419"/>
        </w:rPr>
        <w:t>Are there recommendations directed to States, international bodies, or other entities, that you wish to make in order to strengthen and inform this report?</w:t>
      </w:r>
    </w:p>
    <w:p w14:paraId="2E348D7E" w14:textId="77777777" w:rsidR="00D02A53" w:rsidRPr="007747CC" w:rsidRDefault="00D02A53" w:rsidP="00251240">
      <w:pPr>
        <w:tabs>
          <w:tab w:val="left" w:pos="993"/>
        </w:tabs>
        <w:jc w:val="right"/>
        <w:rPr>
          <w:sz w:val="24"/>
          <w:szCs w:val="24"/>
        </w:rPr>
      </w:pPr>
      <w:bookmarkStart w:id="1" w:name="_GoBack"/>
      <w:bookmarkEnd w:id="1"/>
    </w:p>
    <w:sectPr w:rsidR="00D02A53" w:rsidRPr="007747CC" w:rsidSect="00C772EF">
      <w:headerReference w:type="default" r:id="rId13"/>
      <w:footerReference w:type="default" r:id="rId14"/>
      <w:headerReference w:type="first" r:id="rId15"/>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4D59C" w14:textId="77777777" w:rsidR="00507D16" w:rsidRDefault="00507D16">
      <w:r>
        <w:separator/>
      </w:r>
    </w:p>
  </w:endnote>
  <w:endnote w:type="continuationSeparator" w:id="0">
    <w:p w14:paraId="2DB042B9" w14:textId="77777777" w:rsidR="00507D16" w:rsidRDefault="00507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AFCC5" w14:textId="77777777" w:rsidR="00440E30" w:rsidRDefault="00440E30"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92D32" w14:textId="77777777" w:rsidR="00507D16" w:rsidRDefault="00507D16">
      <w:r>
        <w:separator/>
      </w:r>
    </w:p>
  </w:footnote>
  <w:footnote w:type="continuationSeparator" w:id="0">
    <w:p w14:paraId="5932A485" w14:textId="77777777" w:rsidR="00507D16" w:rsidRDefault="00507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4E644" w14:textId="3B561E19" w:rsidR="00440E30" w:rsidRPr="00AD4CA9" w:rsidRDefault="00D70AC1" w:rsidP="00F80A14">
    <w:pPr>
      <w:pStyle w:val="Header"/>
      <w:tabs>
        <w:tab w:val="clear" w:pos="4153"/>
        <w:tab w:val="clear" w:pos="8306"/>
        <w:tab w:val="right" w:pos="9214"/>
      </w:tabs>
      <w:spacing w:before="360" w:after="840"/>
      <w:rPr>
        <w:sz w:val="14"/>
        <w:szCs w:val="14"/>
        <w:lang w:val="en-GB"/>
      </w:rPr>
    </w:pPr>
    <w:r>
      <w:rPr>
        <w:noProof/>
        <w:lang w:val="en-GB" w:eastAsia="en-GB"/>
      </w:rPr>
      <w:drawing>
        <wp:anchor distT="0" distB="0" distL="114300" distR="114300" simplePos="0" relativeHeight="251658240" behindDoc="1" locked="0" layoutInCell="1" allowOverlap="1" wp14:anchorId="37A27254" wp14:editId="53887E30">
          <wp:simplePos x="0" y="0"/>
          <wp:positionH relativeFrom="column">
            <wp:align>center</wp:align>
          </wp:positionH>
          <wp:positionV relativeFrom="paragraph">
            <wp:posOffset>124460</wp:posOffset>
          </wp:positionV>
          <wp:extent cx="2464435" cy="450215"/>
          <wp:effectExtent l="0" t="0" r="0" b="0"/>
          <wp:wrapTight wrapText="bothSides">
            <wp:wrapPolygon edited="0">
              <wp:start x="0" y="0"/>
              <wp:lineTo x="0" y="21021"/>
              <wp:lineTo x="21372" y="21021"/>
              <wp:lineTo x="21372" y="0"/>
              <wp:lineTo x="0" y="0"/>
            </wp:wrapPolygon>
          </wp:wrapTight>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pic:spPr>
              </pic:pic>
            </a:graphicData>
          </a:graphic>
          <wp14:sizeRelH relativeFrom="page">
            <wp14:pctWidth>0</wp14:pctWidth>
          </wp14:sizeRelH>
          <wp14:sizeRelV relativeFrom="page">
            <wp14:pctHeight>0</wp14:pctHeight>
          </wp14:sizeRelV>
        </wp:anchor>
      </w:drawing>
    </w:r>
    <w:r w:rsidR="00440E30">
      <w:rPr>
        <w:sz w:val="14"/>
        <w:szCs w:val="14"/>
        <w:lang w:val="en-GB"/>
      </w:rPr>
      <w:tab/>
      <w:t xml:space="preserve">PAGE </w:t>
    </w:r>
    <w:r w:rsidR="00440E30" w:rsidRPr="0028624E">
      <w:rPr>
        <w:sz w:val="14"/>
        <w:szCs w:val="14"/>
        <w:lang w:val="en-GB"/>
      </w:rPr>
      <w:fldChar w:fldCharType="begin"/>
    </w:r>
    <w:r w:rsidR="00440E30" w:rsidRPr="0028624E">
      <w:rPr>
        <w:sz w:val="14"/>
        <w:szCs w:val="14"/>
        <w:lang w:val="en-GB"/>
      </w:rPr>
      <w:instrText xml:space="preserve"> PAGE   \* MERGEFORMAT </w:instrText>
    </w:r>
    <w:r w:rsidR="00440E30" w:rsidRPr="0028624E">
      <w:rPr>
        <w:sz w:val="14"/>
        <w:szCs w:val="14"/>
        <w:lang w:val="en-GB"/>
      </w:rPr>
      <w:fldChar w:fldCharType="separate"/>
    </w:r>
    <w:r w:rsidR="00D02A53">
      <w:rPr>
        <w:noProof/>
        <w:sz w:val="14"/>
        <w:szCs w:val="14"/>
        <w:lang w:val="en-GB"/>
      </w:rPr>
      <w:t>2</w:t>
    </w:r>
    <w:r w:rsidR="00440E30"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896DD" w14:textId="0DCACD9A" w:rsidR="00440E30" w:rsidRPr="00925A9D" w:rsidRDefault="00D70AC1" w:rsidP="00D3608E">
    <w:pPr>
      <w:pStyle w:val="Header"/>
      <w:tabs>
        <w:tab w:val="clear" w:pos="4153"/>
        <w:tab w:val="clear" w:pos="8306"/>
      </w:tabs>
      <w:spacing w:before="1680" w:after="60"/>
      <w:jc w:val="center"/>
      <w:rPr>
        <w:sz w:val="14"/>
        <w:szCs w:val="14"/>
        <w:lang w:val="en-GB"/>
      </w:rPr>
    </w:pPr>
    <w:r>
      <w:rPr>
        <w:noProof/>
        <w:lang w:val="en-GB" w:eastAsia="en-GB"/>
      </w:rPr>
      <w:drawing>
        <wp:anchor distT="0" distB="0" distL="114300" distR="114300" simplePos="0" relativeHeight="251657216" behindDoc="1" locked="0" layoutInCell="1" allowOverlap="1" wp14:anchorId="72F0614B" wp14:editId="15AFA147">
          <wp:simplePos x="0" y="0"/>
          <wp:positionH relativeFrom="column">
            <wp:align>center</wp:align>
          </wp:positionH>
          <wp:positionV relativeFrom="paragraph">
            <wp:posOffset>248285</wp:posOffset>
          </wp:positionV>
          <wp:extent cx="3962400" cy="723900"/>
          <wp:effectExtent l="0" t="0" r="0" b="0"/>
          <wp:wrapTight wrapText="bothSides">
            <wp:wrapPolygon edited="0">
              <wp:start x="0" y="0"/>
              <wp:lineTo x="0" y="21032"/>
              <wp:lineTo x="21496" y="21032"/>
              <wp:lineTo x="21496" y="0"/>
              <wp:lineTo x="0" y="0"/>
            </wp:wrapPolygon>
          </wp:wrapTight>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pic:spPr>
              </pic:pic>
            </a:graphicData>
          </a:graphic>
          <wp14:sizeRelH relativeFrom="page">
            <wp14:pctWidth>0</wp14:pctWidth>
          </wp14:sizeRelH>
          <wp14:sizeRelV relativeFrom="page">
            <wp14:pctHeight>0</wp14:pctHeight>
          </wp14:sizeRelV>
        </wp:anchor>
      </w:drawing>
    </w:r>
    <w:r w:rsidR="00440E30" w:rsidRPr="00925A9D">
      <w:rPr>
        <w:sz w:val="14"/>
        <w:szCs w:val="14"/>
        <w:lang w:val="en-GB"/>
      </w:rPr>
      <w:t>HAUT-COMMISSARIAT AUX DROITS DE L’HOMME • OFFICE OF THE HIGH COMMISSIONER FOR HUMAN RIGHTS</w:t>
    </w:r>
  </w:p>
  <w:p w14:paraId="1D3FEE66" w14:textId="77777777" w:rsidR="00440E30" w:rsidRPr="00E410AD" w:rsidRDefault="00440E30" w:rsidP="00D3608E">
    <w:pPr>
      <w:pStyle w:val="Header"/>
      <w:tabs>
        <w:tab w:val="clear" w:pos="4153"/>
        <w:tab w:val="right" w:pos="3686"/>
        <w:tab w:val="left" w:pos="5812"/>
      </w:tabs>
      <w:jc w:val="center"/>
      <w:rPr>
        <w:sz w:val="14"/>
        <w:szCs w:val="14"/>
        <w:lang w:val="fr-CH"/>
      </w:rPr>
    </w:pPr>
    <w:r w:rsidRPr="00E410AD">
      <w:rPr>
        <w:sz w:val="14"/>
        <w:szCs w:val="14"/>
        <w:lang w:val="fr-CH"/>
      </w:rPr>
      <w:t>PALAIS DES NATIONS • 1211 GENEVA 10, SWITZERLAND</w:t>
    </w:r>
  </w:p>
  <w:p w14:paraId="38A971DB" w14:textId="77777777" w:rsidR="00440E30" w:rsidRPr="00E410AD" w:rsidRDefault="00440E30" w:rsidP="009F18EC">
    <w:pPr>
      <w:pStyle w:val="Header"/>
      <w:tabs>
        <w:tab w:val="clear" w:pos="4153"/>
        <w:tab w:val="clear" w:pos="8306"/>
        <w:tab w:val="right" w:pos="3686"/>
        <w:tab w:val="left" w:pos="5812"/>
      </w:tabs>
      <w:spacing w:before="80" w:after="360"/>
      <w:jc w:val="center"/>
      <w:rPr>
        <w:sz w:val="14"/>
        <w:szCs w:val="14"/>
        <w:lang w:val="fr-CH"/>
      </w:rPr>
    </w:pPr>
    <w:r w:rsidRPr="00E410AD">
      <w:rPr>
        <w:sz w:val="14"/>
        <w:szCs w:val="14"/>
        <w:lang w:val="fr-CH"/>
      </w:rPr>
      <w:t>www.ohc</w:t>
    </w:r>
    <w:r w:rsidR="00CD1C98">
      <w:rPr>
        <w:sz w:val="14"/>
        <w:szCs w:val="14"/>
        <w:lang w:val="fr-CH"/>
      </w:rPr>
      <w:t xml:space="preserve">hr.org • TEL: </w:t>
    </w:r>
    <w:r w:rsidR="00083BD0">
      <w:rPr>
        <w:sz w:val="14"/>
        <w:szCs w:val="14"/>
        <w:lang w:val="fr-CH"/>
      </w:rPr>
      <w:t xml:space="preserve">+41 22 917 9000 • FAX: </w:t>
    </w:r>
    <w:r w:rsidR="000E197C">
      <w:rPr>
        <w:sz w:val="14"/>
        <w:szCs w:val="14"/>
        <w:lang w:val="fr-CH"/>
      </w:rPr>
      <w:t xml:space="preserve">+41 22 917 9008 • E-MAIL: </w:t>
    </w:r>
    <w:r w:rsidR="00011CA2" w:rsidRPr="00011CA2">
      <w:rPr>
        <w:sz w:val="14"/>
        <w:szCs w:val="14"/>
        <w:lang w:val="fr-CH"/>
      </w:rPr>
      <w:t>hrcadvisorycommittee@ohchr.org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BE57D8"/>
    <w:multiLevelType w:val="hybridMultilevel"/>
    <w:tmpl w:val="6EA06C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5"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6"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8D566E0"/>
    <w:multiLevelType w:val="hybridMultilevel"/>
    <w:tmpl w:val="393E8888"/>
    <w:lvl w:ilvl="0" w:tplc="5898434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9"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3" w15:restartNumberingAfterBreak="0">
    <w:nsid w:val="3F8229FF"/>
    <w:multiLevelType w:val="hybridMultilevel"/>
    <w:tmpl w:val="4F06FCE0"/>
    <w:lvl w:ilvl="0" w:tplc="580A000F">
      <w:start w:val="1"/>
      <w:numFmt w:val="decimal"/>
      <w:lvlText w:val="%1."/>
      <w:lvlJc w:val="left"/>
      <w:pPr>
        <w:ind w:left="720" w:hanging="360"/>
      </w:pPr>
      <w:rPr>
        <w:rFonts w:ascii="Times New Roman" w:hAnsi="Times New Roman" w:cs="Times New Roman"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5"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6"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8"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1"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2"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4"/>
  </w:num>
  <w:num w:numId="3">
    <w:abstractNumId w:val="18"/>
  </w:num>
  <w:num w:numId="4">
    <w:abstractNumId w:val="9"/>
  </w:num>
  <w:num w:numId="5">
    <w:abstractNumId w:val="19"/>
  </w:num>
  <w:num w:numId="6">
    <w:abstractNumId w:val="11"/>
  </w:num>
  <w:num w:numId="7">
    <w:abstractNumId w:val="2"/>
  </w:num>
  <w:num w:numId="8">
    <w:abstractNumId w:val="12"/>
  </w:num>
  <w:num w:numId="9">
    <w:abstractNumId w:val="4"/>
  </w:num>
  <w:num w:numId="10">
    <w:abstractNumId w:val="1"/>
  </w:num>
  <w:num w:numId="11">
    <w:abstractNumId w:val="10"/>
  </w:num>
  <w:num w:numId="12">
    <w:abstractNumId w:val="22"/>
  </w:num>
  <w:num w:numId="13">
    <w:abstractNumId w:val="23"/>
  </w:num>
  <w:num w:numId="14">
    <w:abstractNumId w:val="15"/>
  </w:num>
  <w:num w:numId="15">
    <w:abstractNumId w:val="6"/>
  </w:num>
  <w:num w:numId="16">
    <w:abstractNumId w:val="0"/>
  </w:num>
  <w:num w:numId="17">
    <w:abstractNumId w:val="21"/>
  </w:num>
  <w:num w:numId="18">
    <w:abstractNumId w:val="8"/>
  </w:num>
  <w:num w:numId="19">
    <w:abstractNumId w:val="14"/>
  </w:num>
  <w:num w:numId="20">
    <w:abstractNumId w:val="5"/>
  </w:num>
  <w:num w:numId="21">
    <w:abstractNumId w:val="20"/>
  </w:num>
  <w:num w:numId="22">
    <w:abstractNumId w:val="17"/>
  </w:num>
  <w:num w:numId="23">
    <w:abstractNumId w:val="7"/>
  </w:num>
  <w:num w:numId="24">
    <w:abstractNumId w:val="3"/>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CH"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fr-CH"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11CA2"/>
    <w:rsid w:val="000138F6"/>
    <w:rsid w:val="00013F30"/>
    <w:rsid w:val="000170D0"/>
    <w:rsid w:val="00026D1F"/>
    <w:rsid w:val="00077294"/>
    <w:rsid w:val="00083BD0"/>
    <w:rsid w:val="000875C6"/>
    <w:rsid w:val="000A2B89"/>
    <w:rsid w:val="000A6F03"/>
    <w:rsid w:val="000B54D7"/>
    <w:rsid w:val="000C25D0"/>
    <w:rsid w:val="000C3817"/>
    <w:rsid w:val="000C41CD"/>
    <w:rsid w:val="000D34F2"/>
    <w:rsid w:val="000E197C"/>
    <w:rsid w:val="000E42EE"/>
    <w:rsid w:val="000F6517"/>
    <w:rsid w:val="00106F64"/>
    <w:rsid w:val="00112286"/>
    <w:rsid w:val="0011491C"/>
    <w:rsid w:val="00115798"/>
    <w:rsid w:val="001205D6"/>
    <w:rsid w:val="00120B25"/>
    <w:rsid w:val="00137B3E"/>
    <w:rsid w:val="00141776"/>
    <w:rsid w:val="001666EE"/>
    <w:rsid w:val="00190D13"/>
    <w:rsid w:val="00194332"/>
    <w:rsid w:val="001C0772"/>
    <w:rsid w:val="001E3384"/>
    <w:rsid w:val="001F275D"/>
    <w:rsid w:val="002028A9"/>
    <w:rsid w:val="0021296A"/>
    <w:rsid w:val="00213455"/>
    <w:rsid w:val="00214487"/>
    <w:rsid w:val="00214C64"/>
    <w:rsid w:val="00221893"/>
    <w:rsid w:val="00227E2F"/>
    <w:rsid w:val="00235A1A"/>
    <w:rsid w:val="002431DB"/>
    <w:rsid w:val="00251240"/>
    <w:rsid w:val="0025174E"/>
    <w:rsid w:val="00270F85"/>
    <w:rsid w:val="00274FA3"/>
    <w:rsid w:val="00275C35"/>
    <w:rsid w:val="002813E4"/>
    <w:rsid w:val="0028624E"/>
    <w:rsid w:val="002863A2"/>
    <w:rsid w:val="002A7066"/>
    <w:rsid w:val="002D1B96"/>
    <w:rsid w:val="002E6117"/>
    <w:rsid w:val="002E65F4"/>
    <w:rsid w:val="002E6E5F"/>
    <w:rsid w:val="00314F0D"/>
    <w:rsid w:val="00323761"/>
    <w:rsid w:val="00324438"/>
    <w:rsid w:val="00335FB9"/>
    <w:rsid w:val="00356299"/>
    <w:rsid w:val="00356E38"/>
    <w:rsid w:val="00361113"/>
    <w:rsid w:val="00383719"/>
    <w:rsid w:val="00396E4C"/>
    <w:rsid w:val="00397748"/>
    <w:rsid w:val="003A3957"/>
    <w:rsid w:val="003B269D"/>
    <w:rsid w:val="003C37C3"/>
    <w:rsid w:val="003D3D66"/>
    <w:rsid w:val="003D5B9F"/>
    <w:rsid w:val="003E701E"/>
    <w:rsid w:val="003F5384"/>
    <w:rsid w:val="00407039"/>
    <w:rsid w:val="004150E2"/>
    <w:rsid w:val="00415EFC"/>
    <w:rsid w:val="00440E30"/>
    <w:rsid w:val="00443DF5"/>
    <w:rsid w:val="00447412"/>
    <w:rsid w:val="004523FF"/>
    <w:rsid w:val="00454013"/>
    <w:rsid w:val="00455C6D"/>
    <w:rsid w:val="00456419"/>
    <w:rsid w:val="00460258"/>
    <w:rsid w:val="00464650"/>
    <w:rsid w:val="00487795"/>
    <w:rsid w:val="004A702E"/>
    <w:rsid w:val="004C044F"/>
    <w:rsid w:val="004C3C6D"/>
    <w:rsid w:val="004C55EA"/>
    <w:rsid w:val="004D4035"/>
    <w:rsid w:val="004D6742"/>
    <w:rsid w:val="004E0AB6"/>
    <w:rsid w:val="004E49EC"/>
    <w:rsid w:val="004E4D86"/>
    <w:rsid w:val="00507D16"/>
    <w:rsid w:val="005164A4"/>
    <w:rsid w:val="00517546"/>
    <w:rsid w:val="0052673C"/>
    <w:rsid w:val="00530EF5"/>
    <w:rsid w:val="0055573E"/>
    <w:rsid w:val="00562D63"/>
    <w:rsid w:val="00564578"/>
    <w:rsid w:val="00570A1B"/>
    <w:rsid w:val="005736D7"/>
    <w:rsid w:val="00576638"/>
    <w:rsid w:val="00580D1F"/>
    <w:rsid w:val="00582278"/>
    <w:rsid w:val="005849E6"/>
    <w:rsid w:val="00585F8E"/>
    <w:rsid w:val="005871D9"/>
    <w:rsid w:val="005957ED"/>
    <w:rsid w:val="00595E33"/>
    <w:rsid w:val="005B4794"/>
    <w:rsid w:val="005B7418"/>
    <w:rsid w:val="005E1D49"/>
    <w:rsid w:val="005E600D"/>
    <w:rsid w:val="005E7C37"/>
    <w:rsid w:val="005F5733"/>
    <w:rsid w:val="0060068B"/>
    <w:rsid w:val="00613047"/>
    <w:rsid w:val="00627A52"/>
    <w:rsid w:val="00636BD7"/>
    <w:rsid w:val="006412EA"/>
    <w:rsid w:val="00645695"/>
    <w:rsid w:val="006605E5"/>
    <w:rsid w:val="006617A4"/>
    <w:rsid w:val="006618CA"/>
    <w:rsid w:val="00664CA2"/>
    <w:rsid w:val="00667227"/>
    <w:rsid w:val="0067029D"/>
    <w:rsid w:val="006749F6"/>
    <w:rsid w:val="006815EE"/>
    <w:rsid w:val="00682D26"/>
    <w:rsid w:val="00682DDB"/>
    <w:rsid w:val="006834E4"/>
    <w:rsid w:val="00693AAA"/>
    <w:rsid w:val="006B3224"/>
    <w:rsid w:val="006B5A71"/>
    <w:rsid w:val="006C73D5"/>
    <w:rsid w:val="006F790C"/>
    <w:rsid w:val="00712363"/>
    <w:rsid w:val="007210F6"/>
    <w:rsid w:val="00721D17"/>
    <w:rsid w:val="00723438"/>
    <w:rsid w:val="00733660"/>
    <w:rsid w:val="00737337"/>
    <w:rsid w:val="00741EBC"/>
    <w:rsid w:val="007432E5"/>
    <w:rsid w:val="007450E8"/>
    <w:rsid w:val="00776BDB"/>
    <w:rsid w:val="0079051E"/>
    <w:rsid w:val="00790CBE"/>
    <w:rsid w:val="007C4A8E"/>
    <w:rsid w:val="007C648D"/>
    <w:rsid w:val="007D1657"/>
    <w:rsid w:val="007D476F"/>
    <w:rsid w:val="007E1585"/>
    <w:rsid w:val="00807C6D"/>
    <w:rsid w:val="008143F7"/>
    <w:rsid w:val="008170B0"/>
    <w:rsid w:val="00842220"/>
    <w:rsid w:val="008427AA"/>
    <w:rsid w:val="008553DE"/>
    <w:rsid w:val="008556FA"/>
    <w:rsid w:val="008568EA"/>
    <w:rsid w:val="008656FA"/>
    <w:rsid w:val="00874280"/>
    <w:rsid w:val="008774BB"/>
    <w:rsid w:val="008774E3"/>
    <w:rsid w:val="008A7210"/>
    <w:rsid w:val="008B1C55"/>
    <w:rsid w:val="008B2BAD"/>
    <w:rsid w:val="008B4DD7"/>
    <w:rsid w:val="008C2924"/>
    <w:rsid w:val="008C60C0"/>
    <w:rsid w:val="008C6D0D"/>
    <w:rsid w:val="008E46C1"/>
    <w:rsid w:val="009019E5"/>
    <w:rsid w:val="009240B2"/>
    <w:rsid w:val="00925A9D"/>
    <w:rsid w:val="00943D30"/>
    <w:rsid w:val="00944040"/>
    <w:rsid w:val="00944E25"/>
    <w:rsid w:val="0097283F"/>
    <w:rsid w:val="009A2EB7"/>
    <w:rsid w:val="009B459A"/>
    <w:rsid w:val="009C139A"/>
    <w:rsid w:val="009D76A9"/>
    <w:rsid w:val="009E1224"/>
    <w:rsid w:val="009F18EC"/>
    <w:rsid w:val="009F2043"/>
    <w:rsid w:val="009F2491"/>
    <w:rsid w:val="009F4A94"/>
    <w:rsid w:val="00A01741"/>
    <w:rsid w:val="00A02B3D"/>
    <w:rsid w:val="00A03EDC"/>
    <w:rsid w:val="00A1222C"/>
    <w:rsid w:val="00A13D5F"/>
    <w:rsid w:val="00A21EF1"/>
    <w:rsid w:val="00A26BBF"/>
    <w:rsid w:val="00A34DA7"/>
    <w:rsid w:val="00A3761B"/>
    <w:rsid w:val="00A439B9"/>
    <w:rsid w:val="00A51271"/>
    <w:rsid w:val="00A54482"/>
    <w:rsid w:val="00A61E26"/>
    <w:rsid w:val="00A63977"/>
    <w:rsid w:val="00A86B19"/>
    <w:rsid w:val="00A97BA4"/>
    <w:rsid w:val="00AC50E4"/>
    <w:rsid w:val="00AD4CA9"/>
    <w:rsid w:val="00AE03D7"/>
    <w:rsid w:val="00AE2F5E"/>
    <w:rsid w:val="00AF291B"/>
    <w:rsid w:val="00B04529"/>
    <w:rsid w:val="00B14752"/>
    <w:rsid w:val="00B27302"/>
    <w:rsid w:val="00B3003E"/>
    <w:rsid w:val="00B325A2"/>
    <w:rsid w:val="00B350A4"/>
    <w:rsid w:val="00B42B30"/>
    <w:rsid w:val="00B45749"/>
    <w:rsid w:val="00B458F6"/>
    <w:rsid w:val="00B54DD5"/>
    <w:rsid w:val="00B7425B"/>
    <w:rsid w:val="00B84F09"/>
    <w:rsid w:val="00B84F46"/>
    <w:rsid w:val="00B9463E"/>
    <w:rsid w:val="00BA09BA"/>
    <w:rsid w:val="00BD6119"/>
    <w:rsid w:val="00BD71DF"/>
    <w:rsid w:val="00BE1715"/>
    <w:rsid w:val="00BF6684"/>
    <w:rsid w:val="00C04FBD"/>
    <w:rsid w:val="00C12BED"/>
    <w:rsid w:val="00C23DDD"/>
    <w:rsid w:val="00C35851"/>
    <w:rsid w:val="00C50489"/>
    <w:rsid w:val="00C64254"/>
    <w:rsid w:val="00C74811"/>
    <w:rsid w:val="00C772EF"/>
    <w:rsid w:val="00C82CCE"/>
    <w:rsid w:val="00CB1C6E"/>
    <w:rsid w:val="00CC5BEF"/>
    <w:rsid w:val="00CD1C98"/>
    <w:rsid w:val="00D00DDC"/>
    <w:rsid w:val="00D02A53"/>
    <w:rsid w:val="00D02F61"/>
    <w:rsid w:val="00D239C7"/>
    <w:rsid w:val="00D32E5B"/>
    <w:rsid w:val="00D3608E"/>
    <w:rsid w:val="00D36635"/>
    <w:rsid w:val="00D5039D"/>
    <w:rsid w:val="00D5082F"/>
    <w:rsid w:val="00D5468B"/>
    <w:rsid w:val="00D55990"/>
    <w:rsid w:val="00D67524"/>
    <w:rsid w:val="00D70178"/>
    <w:rsid w:val="00D70AC1"/>
    <w:rsid w:val="00D84C7E"/>
    <w:rsid w:val="00D968C8"/>
    <w:rsid w:val="00DB5616"/>
    <w:rsid w:val="00DB5F19"/>
    <w:rsid w:val="00DD4909"/>
    <w:rsid w:val="00DE0614"/>
    <w:rsid w:val="00DE3254"/>
    <w:rsid w:val="00DE58DC"/>
    <w:rsid w:val="00DF21B7"/>
    <w:rsid w:val="00E033EA"/>
    <w:rsid w:val="00E13BE9"/>
    <w:rsid w:val="00E15347"/>
    <w:rsid w:val="00E22F5A"/>
    <w:rsid w:val="00E25CDA"/>
    <w:rsid w:val="00E410AD"/>
    <w:rsid w:val="00E550E4"/>
    <w:rsid w:val="00E60057"/>
    <w:rsid w:val="00E679E8"/>
    <w:rsid w:val="00E82AB3"/>
    <w:rsid w:val="00E9237D"/>
    <w:rsid w:val="00E977BA"/>
    <w:rsid w:val="00EA6B3E"/>
    <w:rsid w:val="00EE5BA8"/>
    <w:rsid w:val="00EF0062"/>
    <w:rsid w:val="00F006B5"/>
    <w:rsid w:val="00F0632F"/>
    <w:rsid w:val="00F20492"/>
    <w:rsid w:val="00F207CC"/>
    <w:rsid w:val="00F2130E"/>
    <w:rsid w:val="00F36205"/>
    <w:rsid w:val="00F47B64"/>
    <w:rsid w:val="00F611C6"/>
    <w:rsid w:val="00F80A14"/>
    <w:rsid w:val="00F80D28"/>
    <w:rsid w:val="00F82ECF"/>
    <w:rsid w:val="00F9568D"/>
    <w:rsid w:val="00FB41B6"/>
    <w:rsid w:val="00FC1DDB"/>
    <w:rsid w:val="00FD50EA"/>
    <w:rsid w:val="00FE6E4C"/>
    <w:rsid w:val="00FF3CEE"/>
    <w:rsid w:val="00FF590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5D3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val="en-GB" w:eastAsia="en-US"/>
    </w:rPr>
  </w:style>
  <w:style w:type="character" w:styleId="FollowedHyperlink">
    <w:name w:val="FollowedHyperlink"/>
    <w:rsid w:val="00B3003E"/>
    <w:rPr>
      <w:color w:val="800080"/>
      <w:u w:val="single"/>
    </w:rPr>
  </w:style>
  <w:style w:type="character" w:styleId="Strong">
    <w:name w:val="Strong"/>
    <w:uiPriority w:val="22"/>
    <w:qFormat/>
    <w:rsid w:val="00DE3254"/>
    <w:rPr>
      <w:b/>
      <w:bCs/>
    </w:rPr>
  </w:style>
  <w:style w:type="paragraph" w:styleId="NormalWeb">
    <w:name w:val="Normal (Web)"/>
    <w:basedOn w:val="Normal"/>
    <w:uiPriority w:val="99"/>
    <w:unhideWhenUsed/>
    <w:rsid w:val="00DE3254"/>
    <w:pPr>
      <w:spacing w:before="100" w:beforeAutospacing="1" w:after="100" w:afterAutospacing="1"/>
    </w:pPr>
    <w:rPr>
      <w:sz w:val="24"/>
      <w:szCs w:val="24"/>
      <w:lang w:eastAsia="en-GB"/>
    </w:rPr>
  </w:style>
  <w:style w:type="character" w:customStyle="1" w:styleId="H1GChar">
    <w:name w:val="_ H_1_G Char"/>
    <w:link w:val="H1G"/>
    <w:rsid w:val="00FD50EA"/>
    <w:rPr>
      <w:b/>
      <w:sz w:val="24"/>
    </w:rPr>
  </w:style>
  <w:style w:type="paragraph" w:customStyle="1" w:styleId="H1G">
    <w:name w:val="_ H_1_G"/>
    <w:basedOn w:val="Normal"/>
    <w:next w:val="Normal"/>
    <w:link w:val="H1GChar"/>
    <w:rsid w:val="00FD50EA"/>
    <w:pPr>
      <w:keepNext/>
      <w:keepLines/>
      <w:tabs>
        <w:tab w:val="right" w:pos="851"/>
      </w:tabs>
      <w:suppressAutoHyphens/>
      <w:spacing w:before="360" w:after="240" w:line="270" w:lineRule="exact"/>
      <w:ind w:left="1134" w:right="1134" w:hanging="1134"/>
    </w:pPr>
    <w:rPr>
      <w:b/>
      <w:sz w:val="24"/>
      <w:lang w:eastAsia="en-GB"/>
    </w:rPr>
  </w:style>
  <w:style w:type="paragraph" w:customStyle="1" w:styleId="SingleTxtG">
    <w:name w:val="_ Single Txt_G"/>
    <w:basedOn w:val="Normal"/>
    <w:link w:val="SingleTxtGChar"/>
    <w:qFormat/>
    <w:rsid w:val="006C73D5"/>
    <w:pPr>
      <w:suppressAutoHyphens/>
      <w:spacing w:after="120" w:line="240" w:lineRule="atLeast"/>
      <w:ind w:left="1134" w:right="1134"/>
      <w:jc w:val="both"/>
    </w:pPr>
  </w:style>
  <w:style w:type="character" w:customStyle="1" w:styleId="SingleTxtGChar">
    <w:name w:val="_ Single Txt_G Char"/>
    <w:link w:val="SingleTxtG"/>
    <w:rsid w:val="006C73D5"/>
    <w:rPr>
      <w:lang w:val="en-GB" w:eastAsia="en-US"/>
    </w:rPr>
  </w:style>
  <w:style w:type="paragraph" w:styleId="ListParagraph">
    <w:name w:val="List Paragraph"/>
    <w:basedOn w:val="Normal"/>
    <w:uiPriority w:val="34"/>
    <w:qFormat/>
    <w:rsid w:val="00D02A53"/>
    <w:pPr>
      <w:spacing w:after="160" w:line="259" w:lineRule="auto"/>
      <w:ind w:left="720"/>
      <w:contextualSpacing/>
    </w:pPr>
    <w:rPr>
      <w:rFonts w:asciiTheme="minorHAnsi" w:eastAsiaTheme="minorHAnsi" w:hAnsiTheme="minorHAnsi" w:cstheme="minorBidi"/>
      <w:sz w:val="22"/>
      <w:szCs w:val="22"/>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76593">
      <w:bodyDiv w:val="1"/>
      <w:marLeft w:val="0"/>
      <w:marRight w:val="0"/>
      <w:marTop w:val="0"/>
      <w:marBottom w:val="0"/>
      <w:divBdr>
        <w:top w:val="none" w:sz="0" w:space="0" w:color="auto"/>
        <w:left w:val="none" w:sz="0" w:space="0" w:color="auto"/>
        <w:bottom w:val="none" w:sz="0" w:space="0" w:color="auto"/>
        <w:right w:val="none" w:sz="0" w:space="0" w:color="auto"/>
      </w:divBdr>
    </w:div>
    <w:div w:id="183060094">
      <w:bodyDiv w:val="1"/>
      <w:marLeft w:val="0"/>
      <w:marRight w:val="0"/>
      <w:marTop w:val="0"/>
      <w:marBottom w:val="0"/>
      <w:divBdr>
        <w:top w:val="none" w:sz="0" w:space="0" w:color="auto"/>
        <w:left w:val="none" w:sz="0" w:space="0" w:color="auto"/>
        <w:bottom w:val="none" w:sz="0" w:space="0" w:color="auto"/>
        <w:right w:val="none" w:sz="0" w:space="0" w:color="auto"/>
      </w:divBdr>
    </w:div>
    <w:div w:id="591547457">
      <w:bodyDiv w:val="1"/>
      <w:marLeft w:val="0"/>
      <w:marRight w:val="0"/>
      <w:marTop w:val="0"/>
      <w:marBottom w:val="0"/>
      <w:divBdr>
        <w:top w:val="none" w:sz="0" w:space="0" w:color="auto"/>
        <w:left w:val="none" w:sz="0" w:space="0" w:color="auto"/>
        <w:bottom w:val="none" w:sz="0" w:space="0" w:color="auto"/>
        <w:right w:val="none" w:sz="0" w:space="0" w:color="auto"/>
      </w:divBdr>
      <w:divsChild>
        <w:div w:id="892040878">
          <w:marLeft w:val="0"/>
          <w:marRight w:val="0"/>
          <w:marTop w:val="0"/>
          <w:marBottom w:val="0"/>
          <w:divBdr>
            <w:top w:val="none" w:sz="0" w:space="0" w:color="auto"/>
            <w:left w:val="none" w:sz="0" w:space="0" w:color="auto"/>
            <w:bottom w:val="none" w:sz="0" w:space="0" w:color="auto"/>
            <w:right w:val="none" w:sz="0" w:space="0" w:color="auto"/>
          </w:divBdr>
          <w:divsChild>
            <w:div w:id="648904644">
              <w:marLeft w:val="0"/>
              <w:marRight w:val="0"/>
              <w:marTop w:val="0"/>
              <w:marBottom w:val="0"/>
              <w:divBdr>
                <w:top w:val="none" w:sz="0" w:space="0" w:color="auto"/>
                <w:left w:val="none" w:sz="0" w:space="0" w:color="auto"/>
                <w:bottom w:val="none" w:sz="0" w:space="0" w:color="auto"/>
                <w:right w:val="none" w:sz="0" w:space="0" w:color="auto"/>
              </w:divBdr>
              <w:divsChild>
                <w:div w:id="560403385">
                  <w:marLeft w:val="0"/>
                  <w:marRight w:val="0"/>
                  <w:marTop w:val="0"/>
                  <w:marBottom w:val="0"/>
                  <w:divBdr>
                    <w:top w:val="none" w:sz="0" w:space="0" w:color="auto"/>
                    <w:left w:val="none" w:sz="0" w:space="0" w:color="auto"/>
                    <w:bottom w:val="none" w:sz="0" w:space="0" w:color="auto"/>
                    <w:right w:val="none" w:sz="0" w:space="0" w:color="auto"/>
                  </w:divBdr>
                  <w:divsChild>
                    <w:div w:id="1334449594">
                      <w:marLeft w:val="0"/>
                      <w:marRight w:val="0"/>
                      <w:marTop w:val="0"/>
                      <w:marBottom w:val="0"/>
                      <w:divBdr>
                        <w:top w:val="none" w:sz="0" w:space="0" w:color="auto"/>
                        <w:left w:val="none" w:sz="0" w:space="0" w:color="auto"/>
                        <w:bottom w:val="none" w:sz="0" w:space="0" w:color="auto"/>
                        <w:right w:val="none" w:sz="0" w:space="0" w:color="auto"/>
                      </w:divBdr>
                      <w:divsChild>
                        <w:div w:id="13266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48428">
      <w:bodyDiv w:val="1"/>
      <w:marLeft w:val="0"/>
      <w:marRight w:val="0"/>
      <w:marTop w:val="0"/>
      <w:marBottom w:val="0"/>
      <w:divBdr>
        <w:top w:val="none" w:sz="0" w:space="0" w:color="auto"/>
        <w:left w:val="none" w:sz="0" w:space="0" w:color="auto"/>
        <w:bottom w:val="none" w:sz="0" w:space="0" w:color="auto"/>
        <w:right w:val="none" w:sz="0" w:space="0" w:color="auto"/>
      </w:divBdr>
      <w:divsChild>
        <w:div w:id="450247433">
          <w:marLeft w:val="0"/>
          <w:marRight w:val="0"/>
          <w:marTop w:val="0"/>
          <w:marBottom w:val="0"/>
          <w:divBdr>
            <w:top w:val="none" w:sz="0" w:space="0" w:color="auto"/>
            <w:left w:val="none" w:sz="0" w:space="0" w:color="auto"/>
            <w:bottom w:val="none" w:sz="0" w:space="0" w:color="auto"/>
            <w:right w:val="none" w:sz="0" w:space="0" w:color="auto"/>
          </w:divBdr>
          <w:divsChild>
            <w:div w:id="40709881">
              <w:marLeft w:val="0"/>
              <w:marRight w:val="0"/>
              <w:marTop w:val="0"/>
              <w:marBottom w:val="0"/>
              <w:divBdr>
                <w:top w:val="none" w:sz="0" w:space="0" w:color="auto"/>
                <w:left w:val="none" w:sz="0" w:space="0" w:color="auto"/>
                <w:bottom w:val="none" w:sz="0" w:space="0" w:color="auto"/>
                <w:right w:val="none" w:sz="0" w:space="0" w:color="auto"/>
              </w:divBdr>
              <w:divsChild>
                <w:div w:id="754937003">
                  <w:marLeft w:val="0"/>
                  <w:marRight w:val="0"/>
                  <w:marTop w:val="0"/>
                  <w:marBottom w:val="0"/>
                  <w:divBdr>
                    <w:top w:val="none" w:sz="0" w:space="0" w:color="auto"/>
                    <w:left w:val="none" w:sz="0" w:space="0" w:color="auto"/>
                    <w:bottom w:val="none" w:sz="0" w:space="0" w:color="auto"/>
                    <w:right w:val="none" w:sz="0" w:space="0" w:color="auto"/>
                  </w:divBdr>
                  <w:divsChild>
                    <w:div w:id="615796145">
                      <w:marLeft w:val="0"/>
                      <w:marRight w:val="0"/>
                      <w:marTop w:val="0"/>
                      <w:marBottom w:val="0"/>
                      <w:divBdr>
                        <w:top w:val="none" w:sz="0" w:space="0" w:color="auto"/>
                        <w:left w:val="none" w:sz="0" w:space="0" w:color="auto"/>
                        <w:bottom w:val="none" w:sz="0" w:space="0" w:color="auto"/>
                        <w:right w:val="none" w:sz="0" w:space="0" w:color="auto"/>
                      </w:divBdr>
                      <w:divsChild>
                        <w:div w:id="4233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894585">
      <w:bodyDiv w:val="1"/>
      <w:marLeft w:val="0"/>
      <w:marRight w:val="0"/>
      <w:marTop w:val="0"/>
      <w:marBottom w:val="0"/>
      <w:divBdr>
        <w:top w:val="none" w:sz="0" w:space="0" w:color="auto"/>
        <w:left w:val="none" w:sz="0" w:space="0" w:color="auto"/>
        <w:bottom w:val="none" w:sz="0" w:space="0" w:color="auto"/>
        <w:right w:val="none" w:sz="0" w:space="0" w:color="auto"/>
      </w:divBdr>
      <w:divsChild>
        <w:div w:id="866720235">
          <w:marLeft w:val="0"/>
          <w:marRight w:val="0"/>
          <w:marTop w:val="0"/>
          <w:marBottom w:val="0"/>
          <w:divBdr>
            <w:top w:val="none" w:sz="0" w:space="0" w:color="auto"/>
            <w:left w:val="none" w:sz="0" w:space="0" w:color="auto"/>
            <w:bottom w:val="none" w:sz="0" w:space="0" w:color="auto"/>
            <w:right w:val="none" w:sz="0" w:space="0" w:color="auto"/>
          </w:divBdr>
          <w:divsChild>
            <w:div w:id="1695645496">
              <w:marLeft w:val="0"/>
              <w:marRight w:val="0"/>
              <w:marTop w:val="0"/>
              <w:marBottom w:val="0"/>
              <w:divBdr>
                <w:top w:val="none" w:sz="0" w:space="0" w:color="auto"/>
                <w:left w:val="none" w:sz="0" w:space="0" w:color="auto"/>
                <w:bottom w:val="none" w:sz="0" w:space="0" w:color="auto"/>
                <w:right w:val="none" w:sz="0" w:space="0" w:color="auto"/>
              </w:divBdr>
              <w:divsChild>
                <w:div w:id="580916742">
                  <w:marLeft w:val="0"/>
                  <w:marRight w:val="0"/>
                  <w:marTop w:val="0"/>
                  <w:marBottom w:val="0"/>
                  <w:divBdr>
                    <w:top w:val="none" w:sz="0" w:space="0" w:color="auto"/>
                    <w:left w:val="none" w:sz="0" w:space="0" w:color="auto"/>
                    <w:bottom w:val="none" w:sz="0" w:space="0" w:color="auto"/>
                    <w:right w:val="none" w:sz="0" w:space="0" w:color="auto"/>
                  </w:divBdr>
                  <w:divsChild>
                    <w:div w:id="931206256">
                      <w:marLeft w:val="0"/>
                      <w:marRight w:val="0"/>
                      <w:marTop w:val="0"/>
                      <w:marBottom w:val="0"/>
                      <w:divBdr>
                        <w:top w:val="none" w:sz="0" w:space="0" w:color="auto"/>
                        <w:left w:val="none" w:sz="0" w:space="0" w:color="auto"/>
                        <w:bottom w:val="none" w:sz="0" w:space="0" w:color="auto"/>
                        <w:right w:val="none" w:sz="0" w:space="0" w:color="auto"/>
                      </w:divBdr>
                      <w:divsChild>
                        <w:div w:id="8297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00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rcadvisorycommittee@ohchr.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05DD3-C0F6-49FC-B2DE-56506E04777E}">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23FE284-F28F-499D-903A-6B6968DF2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7CE3E5-BE38-4F74-AE2D-5BC92B82EA6D}">
  <ds:schemaRefs>
    <ds:schemaRef ds:uri="http://schemas.microsoft.com/sharepoint/v3/contenttype/forms"/>
  </ds:schemaRefs>
</ds:datastoreItem>
</file>

<file path=customXml/itemProps4.xml><?xml version="1.0" encoding="utf-8"?>
<ds:datastoreItem xmlns:ds="http://schemas.openxmlformats.org/officeDocument/2006/customXml" ds:itemID="{84E69F6A-1306-4417-B12B-0E749DA7454E}">
  <ds:schemaRefs>
    <ds:schemaRef ds:uri="http://schemas.microsoft.com/office/2006/metadata/longProperties"/>
  </ds:schemaRefs>
</ds:datastoreItem>
</file>

<file path=customXml/itemProps5.xml><?xml version="1.0" encoding="utf-8"?>
<ds:datastoreItem xmlns:ds="http://schemas.openxmlformats.org/officeDocument/2006/customXml" ds:itemID="{ECACFEED-7314-498E-8686-DF472F91D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3829</Characters>
  <Application>Microsoft Office Word</Application>
  <DocSecurity>0</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NV legally binding instruments_AC22 (E)</vt:lpstr>
      <vt:lpstr>NV legally binding instruments_AC22 (E)</vt:lpstr>
    </vt:vector>
  </TitlesOfParts>
  <LinksUpToDate>false</LinksUpToDate>
  <CharactersWithSpaces>4491</CharactersWithSpaces>
  <SharedDoc>false</SharedDoc>
  <HLinks>
    <vt:vector size="6" baseType="variant">
      <vt:variant>
        <vt:i4>8192073</vt:i4>
      </vt:variant>
      <vt:variant>
        <vt:i4>0</vt:i4>
      </vt:variant>
      <vt:variant>
        <vt:i4>0</vt:i4>
      </vt:variant>
      <vt:variant>
        <vt:i4>5</vt:i4>
      </vt:variant>
      <vt:variant>
        <vt:lpwstr>mailto:hrcadvisorycommittee@ohchr.org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2020-03-20T08:46:00Z</dcterms:created>
  <dcterms:modified xsi:type="dcterms:W3CDTF">2020-03-20T14:59:00Z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0x0101008822B9E06671B54FA89F14538B9B0FEA</vt:lpwstr>
  </property>
</Properties>
</file>