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57BC0" w:rsidRPr="006B7237" w14:paraId="79022BF0" w14:textId="77777777" w:rsidTr="00A048D2">
        <w:trPr>
          <w:trHeight w:hRule="exact" w:val="851"/>
        </w:trPr>
        <w:tc>
          <w:tcPr>
            <w:tcW w:w="1276" w:type="dxa"/>
            <w:tcBorders>
              <w:bottom w:val="single" w:sz="4" w:space="0" w:color="auto"/>
            </w:tcBorders>
          </w:tcPr>
          <w:p w14:paraId="4DD05936" w14:textId="77777777" w:rsidR="00057BC0" w:rsidRPr="00DB58B5" w:rsidRDefault="00057BC0" w:rsidP="00186254">
            <w:bookmarkStart w:id="0" w:name="_GoBack"/>
            <w:bookmarkEnd w:id="0"/>
          </w:p>
        </w:tc>
        <w:tc>
          <w:tcPr>
            <w:tcW w:w="2268" w:type="dxa"/>
            <w:tcBorders>
              <w:bottom w:val="single" w:sz="4" w:space="0" w:color="auto"/>
            </w:tcBorders>
            <w:vAlign w:val="bottom"/>
          </w:tcPr>
          <w:p w14:paraId="4CFB4A6D" w14:textId="457F064D" w:rsidR="00057BC0" w:rsidRPr="006B7237" w:rsidRDefault="00057BC0" w:rsidP="00186254">
            <w:pPr>
              <w:spacing w:after="80" w:line="300" w:lineRule="exact"/>
              <w:rPr>
                <w:sz w:val="28"/>
              </w:rPr>
            </w:pPr>
          </w:p>
        </w:tc>
        <w:tc>
          <w:tcPr>
            <w:tcW w:w="6095" w:type="dxa"/>
            <w:gridSpan w:val="2"/>
            <w:tcBorders>
              <w:bottom w:val="single" w:sz="4" w:space="0" w:color="auto"/>
            </w:tcBorders>
            <w:vAlign w:val="bottom"/>
          </w:tcPr>
          <w:p w14:paraId="5F632152" w14:textId="77777777" w:rsidR="00057BC0" w:rsidRPr="006B7237" w:rsidRDefault="006950EE" w:rsidP="00EA0114">
            <w:pPr>
              <w:jc w:val="right"/>
            </w:pPr>
            <w:r w:rsidRPr="006B7237">
              <w:rPr>
                <w:sz w:val="40"/>
              </w:rPr>
              <w:t>A</w:t>
            </w:r>
            <w:r w:rsidRPr="006B7237">
              <w:t>/HRC/39/CRP.1</w:t>
            </w:r>
          </w:p>
        </w:tc>
      </w:tr>
      <w:tr w:rsidR="00057BC0" w:rsidRPr="006B7237" w14:paraId="1753CBE9" w14:textId="77777777" w:rsidTr="00186254">
        <w:trPr>
          <w:trHeight w:hRule="exact" w:val="2835"/>
        </w:trPr>
        <w:tc>
          <w:tcPr>
            <w:tcW w:w="1276" w:type="dxa"/>
            <w:tcBorders>
              <w:top w:val="single" w:sz="4" w:space="0" w:color="auto"/>
              <w:bottom w:val="single" w:sz="12" w:space="0" w:color="auto"/>
            </w:tcBorders>
          </w:tcPr>
          <w:p w14:paraId="635C9EA1" w14:textId="68FB0291" w:rsidR="00057BC0" w:rsidRPr="006B7237" w:rsidRDefault="00057BC0" w:rsidP="00186254">
            <w:pPr>
              <w:spacing w:before="120"/>
              <w:jc w:val="center"/>
            </w:pPr>
          </w:p>
        </w:tc>
        <w:tc>
          <w:tcPr>
            <w:tcW w:w="5528" w:type="dxa"/>
            <w:gridSpan w:val="2"/>
            <w:tcBorders>
              <w:top w:val="single" w:sz="4" w:space="0" w:color="auto"/>
              <w:bottom w:val="single" w:sz="12" w:space="0" w:color="auto"/>
            </w:tcBorders>
          </w:tcPr>
          <w:p w14:paraId="733E7DD9" w14:textId="49D952B3" w:rsidR="00057BC0" w:rsidRPr="006B7237" w:rsidRDefault="00057BC0" w:rsidP="00186254">
            <w:pPr>
              <w:spacing w:before="120" w:line="420" w:lineRule="exact"/>
              <w:rPr>
                <w:b/>
                <w:sz w:val="40"/>
                <w:szCs w:val="40"/>
              </w:rPr>
            </w:pPr>
          </w:p>
        </w:tc>
        <w:tc>
          <w:tcPr>
            <w:tcW w:w="2835" w:type="dxa"/>
            <w:tcBorders>
              <w:top w:val="single" w:sz="4" w:space="0" w:color="auto"/>
              <w:bottom w:val="single" w:sz="12" w:space="0" w:color="auto"/>
            </w:tcBorders>
          </w:tcPr>
          <w:p w14:paraId="3F6ED53C" w14:textId="455B239E" w:rsidR="00057BC0" w:rsidRPr="009C52DF" w:rsidRDefault="00C44725" w:rsidP="00EA0114">
            <w:pPr>
              <w:spacing w:before="240" w:line="240" w:lineRule="exact"/>
            </w:pPr>
            <w:r>
              <w:t>05 May 2020</w:t>
            </w:r>
          </w:p>
          <w:p w14:paraId="3A562D22" w14:textId="77777777" w:rsidR="00EA0114" w:rsidRPr="006B7237" w:rsidRDefault="00EA0114" w:rsidP="00EA0114">
            <w:pPr>
              <w:spacing w:line="240" w:lineRule="exact"/>
            </w:pPr>
          </w:p>
          <w:p w14:paraId="170E36AA" w14:textId="3807CC94" w:rsidR="00EA0114" w:rsidRPr="006B7237" w:rsidRDefault="00900F04" w:rsidP="00EA0114">
            <w:pPr>
              <w:spacing w:line="240" w:lineRule="exact"/>
            </w:pPr>
            <w:r>
              <w:t>Unofficial translation</w:t>
            </w:r>
          </w:p>
        </w:tc>
      </w:tr>
    </w:tbl>
    <w:p w14:paraId="00B018D5" w14:textId="77777777" w:rsidR="00900F04" w:rsidRPr="00E72ABD" w:rsidRDefault="00900F04" w:rsidP="00900F04">
      <w:pPr>
        <w:spacing w:before="120"/>
        <w:rPr>
          <w:b/>
          <w:sz w:val="24"/>
          <w:szCs w:val="24"/>
          <w:u w:val="thick"/>
        </w:rPr>
      </w:pPr>
      <w:r w:rsidRPr="00E72ABD">
        <w:rPr>
          <w:b/>
          <w:sz w:val="24"/>
          <w:szCs w:val="24"/>
        </w:rPr>
        <w:t>Human Rights Council</w:t>
      </w:r>
    </w:p>
    <w:p w14:paraId="31E82400" w14:textId="461093DE" w:rsidR="00A048D2" w:rsidRPr="006B7237" w:rsidRDefault="00900F04" w:rsidP="00A048D2">
      <w:pPr>
        <w:rPr>
          <w:b/>
        </w:rPr>
      </w:pPr>
      <w:r>
        <w:rPr>
          <w:b/>
        </w:rPr>
        <w:t>Thirt</w:t>
      </w:r>
      <w:r w:rsidRPr="00900F04">
        <w:rPr>
          <w:b/>
        </w:rPr>
        <w:t>y-</w:t>
      </w:r>
      <w:r>
        <w:rPr>
          <w:b/>
        </w:rPr>
        <w:t>ninth</w:t>
      </w:r>
      <w:r w:rsidRPr="00900F04">
        <w:rPr>
          <w:b/>
        </w:rPr>
        <w:t xml:space="preserve"> session</w:t>
      </w:r>
      <w:r>
        <w:rPr>
          <w:b/>
        </w:rPr>
        <w:t xml:space="preserve"> </w:t>
      </w:r>
    </w:p>
    <w:p w14:paraId="31B9E599" w14:textId="6A52D7DA" w:rsidR="00A048D2" w:rsidRPr="006B7237" w:rsidRDefault="009C52DF" w:rsidP="00A048D2">
      <w:r>
        <w:t>10-</w:t>
      </w:r>
      <w:r w:rsidR="00900F04">
        <w:t>28 S</w:t>
      </w:r>
      <w:r w:rsidR="00A048D2" w:rsidRPr="006B7237">
        <w:t>eptemb</w:t>
      </w:r>
      <w:r w:rsidR="00900F04">
        <w:t>er</w:t>
      </w:r>
      <w:r w:rsidR="00A048D2" w:rsidRPr="006B7237">
        <w:t xml:space="preserve"> 2018</w:t>
      </w:r>
    </w:p>
    <w:p w14:paraId="62589CA7" w14:textId="6BA3C128" w:rsidR="00900F04" w:rsidRDefault="00900F04" w:rsidP="00A048D2">
      <w:r w:rsidRPr="00900F04">
        <w:t xml:space="preserve">Agenda item 4 </w:t>
      </w:r>
    </w:p>
    <w:p w14:paraId="698F85B5" w14:textId="5D2DE19D" w:rsidR="00A048D2" w:rsidRPr="00900F04" w:rsidRDefault="00900F04" w:rsidP="00A048D2">
      <w:pPr>
        <w:rPr>
          <w:b/>
          <w:lang w:val="en-GB"/>
        </w:rPr>
      </w:pPr>
      <w:r w:rsidRPr="00900F04">
        <w:rPr>
          <w:b/>
          <w:lang w:val="en-GB"/>
        </w:rPr>
        <w:t>Human rights situations that require the Council’s attention</w:t>
      </w:r>
    </w:p>
    <w:p w14:paraId="4209627F" w14:textId="194FFE96" w:rsidR="006950EE" w:rsidRPr="00900F04" w:rsidRDefault="00A048D2" w:rsidP="006950EE">
      <w:pPr>
        <w:pStyle w:val="HMG"/>
        <w:rPr>
          <w:lang w:val="en-GB"/>
        </w:rPr>
      </w:pPr>
      <w:r w:rsidRPr="00900F04">
        <w:rPr>
          <w:lang w:val="en-GB"/>
        </w:rPr>
        <w:tab/>
      </w:r>
      <w:r w:rsidRPr="00900F04">
        <w:rPr>
          <w:lang w:val="en-GB"/>
        </w:rPr>
        <w:tab/>
      </w:r>
      <w:r w:rsidR="00900F04" w:rsidRPr="00900F04">
        <w:rPr>
          <w:lang w:val="en-GB"/>
        </w:rPr>
        <w:t>Detailed Final Report of the Commission of Inquiry on Burundi</w:t>
      </w:r>
      <w:r w:rsidR="00900F04" w:rsidRPr="00900F04">
        <w:rPr>
          <w:rStyle w:val="FootnoteReference"/>
          <w:sz w:val="34"/>
          <w:vertAlign w:val="baseline"/>
          <w:lang w:val="en-GB"/>
        </w:rPr>
        <w:t xml:space="preserve"> </w:t>
      </w:r>
      <w:r w:rsidR="006950EE" w:rsidRPr="00900F04">
        <w:rPr>
          <w:rStyle w:val="FootnoteReference"/>
          <w:b w:val="0"/>
          <w:sz w:val="20"/>
          <w:vertAlign w:val="baseline"/>
          <w:lang w:val="en-GB"/>
        </w:rPr>
        <w:footnoteReference w:customMarkFollows="1" w:id="2"/>
        <w:t>*</w:t>
      </w:r>
      <w:r w:rsidRPr="00900F04">
        <w:rPr>
          <w:b w:val="0"/>
          <w:lang w:val="en-GB"/>
        </w:rPr>
        <w:t xml:space="preserve"> </w:t>
      </w:r>
    </w:p>
    <w:p w14:paraId="1A026141" w14:textId="77777777" w:rsidR="006950EE" w:rsidRPr="00900F04" w:rsidRDefault="006950EE">
      <w:pPr>
        <w:suppressAutoHyphens w:val="0"/>
        <w:spacing w:line="240" w:lineRule="auto"/>
        <w:rPr>
          <w:b/>
          <w:sz w:val="28"/>
          <w:lang w:val="en-GB"/>
        </w:rPr>
      </w:pPr>
      <w:r w:rsidRPr="00900F04">
        <w:rPr>
          <w:lang w:val="en-GB"/>
        </w:rPr>
        <w:br w:type="page"/>
      </w:r>
    </w:p>
    <w:p w14:paraId="6859BB80" w14:textId="3E3DE5DA" w:rsidR="006950EE" w:rsidRPr="001033BF" w:rsidRDefault="00B95C3A" w:rsidP="00094BEE">
      <w:pPr>
        <w:spacing w:after="120"/>
        <w:rPr>
          <w:sz w:val="28"/>
          <w:lang w:val="en-GB"/>
        </w:rPr>
      </w:pPr>
      <w:r w:rsidRPr="001033BF">
        <w:rPr>
          <w:sz w:val="28"/>
          <w:lang w:val="en-GB"/>
        </w:rPr>
        <w:lastRenderedPageBreak/>
        <w:t>Content</w:t>
      </w:r>
    </w:p>
    <w:p w14:paraId="557B02E1" w14:textId="64FC75DA" w:rsidR="006950EE" w:rsidRPr="001033BF" w:rsidRDefault="006950EE" w:rsidP="00C61DE1">
      <w:pPr>
        <w:tabs>
          <w:tab w:val="right" w:pos="850"/>
          <w:tab w:val="left" w:pos="1134"/>
          <w:tab w:val="left" w:pos="1559"/>
          <w:tab w:val="left" w:pos="1984"/>
          <w:tab w:val="left" w:leader="dot" w:pos="7654"/>
          <w:tab w:val="right" w:pos="8929"/>
          <w:tab w:val="right" w:pos="9638"/>
        </w:tabs>
        <w:spacing w:after="120"/>
        <w:rPr>
          <w:noProof/>
          <w:lang w:val="en-GB"/>
        </w:rPr>
      </w:pPr>
      <w:r w:rsidRPr="001033BF">
        <w:rPr>
          <w:noProof/>
          <w:lang w:val="en-GB"/>
        </w:rPr>
        <w:tab/>
      </w:r>
      <w:r w:rsidR="00C61DE1" w:rsidRPr="001033BF">
        <w:rPr>
          <w:noProof/>
          <w:lang w:val="en-GB"/>
        </w:rPr>
        <w:tab/>
      </w:r>
      <w:r w:rsidR="00C61DE1" w:rsidRPr="001033BF">
        <w:rPr>
          <w:noProof/>
          <w:lang w:val="en-GB"/>
        </w:rPr>
        <w:tab/>
      </w:r>
      <w:r w:rsidR="00C61DE1" w:rsidRPr="001033BF">
        <w:rPr>
          <w:noProof/>
          <w:lang w:val="en-GB"/>
        </w:rPr>
        <w:tab/>
      </w:r>
      <w:r w:rsidR="00900F04" w:rsidRPr="001033BF">
        <w:rPr>
          <w:noProof/>
          <w:lang w:val="en-GB"/>
        </w:rPr>
        <w:tab/>
      </w:r>
      <w:r w:rsidR="00900F04" w:rsidRPr="001033BF">
        <w:rPr>
          <w:noProof/>
          <w:lang w:val="en-GB"/>
        </w:rPr>
        <w:tab/>
      </w:r>
      <w:r w:rsidRPr="001033BF">
        <w:rPr>
          <w:noProof/>
          <w:lang w:val="en-GB"/>
        </w:rPr>
        <w:t>Page</w:t>
      </w:r>
    </w:p>
    <w:p w14:paraId="6B2A425C" w14:textId="3E8692CA" w:rsidR="006950EE" w:rsidRPr="00C5736C"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1033BF">
        <w:rPr>
          <w:noProof/>
          <w:lang w:val="en-GB"/>
        </w:rPr>
        <w:tab/>
      </w:r>
      <w:r w:rsidR="00896300" w:rsidRPr="00C5736C">
        <w:rPr>
          <w:noProof/>
          <w:lang w:val="en-GB"/>
        </w:rPr>
        <w:t>I.</w:t>
      </w:r>
      <w:r w:rsidR="00896300" w:rsidRPr="00C5736C">
        <w:rPr>
          <w:noProof/>
          <w:lang w:val="en-GB"/>
        </w:rPr>
        <w:tab/>
      </w:r>
      <w:r w:rsidRPr="00C5736C">
        <w:rPr>
          <w:noProof/>
          <w:lang w:val="en-GB"/>
        </w:rPr>
        <w:t>I</w:t>
      </w:r>
      <w:r w:rsidR="009C52DF" w:rsidRPr="00C5736C">
        <w:rPr>
          <w:noProof/>
          <w:lang w:val="en-GB"/>
        </w:rPr>
        <w:t>ntroduction</w:t>
      </w:r>
      <w:r w:rsidR="005611D3" w:rsidRPr="00C5736C">
        <w:rPr>
          <w:noProof/>
          <w:lang w:val="en-GB"/>
        </w:rPr>
        <w:tab/>
      </w:r>
      <w:r w:rsidR="005611D3" w:rsidRPr="00C5736C">
        <w:rPr>
          <w:noProof/>
          <w:lang w:val="en-GB"/>
        </w:rPr>
        <w:tab/>
      </w:r>
      <w:r w:rsidR="005611D3" w:rsidRPr="00C5736C">
        <w:rPr>
          <w:noProof/>
          <w:lang w:val="en-GB"/>
        </w:rPr>
        <w:tab/>
      </w:r>
      <w:r w:rsidR="009D66E6" w:rsidRPr="00C5736C">
        <w:rPr>
          <w:noProof/>
          <w:lang w:val="en-GB"/>
        </w:rPr>
        <w:t>6</w:t>
      </w:r>
    </w:p>
    <w:p w14:paraId="4F40AE58" w14:textId="13A43375" w:rsidR="006950EE" w:rsidRPr="00900F04"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C5736C">
        <w:rPr>
          <w:noProof/>
          <w:lang w:val="en-GB"/>
        </w:rPr>
        <w:tab/>
      </w:r>
      <w:r w:rsidRPr="00C5736C">
        <w:rPr>
          <w:noProof/>
          <w:lang w:val="en-GB"/>
        </w:rPr>
        <w:tab/>
      </w:r>
      <w:r w:rsidR="00896300" w:rsidRPr="00900F04">
        <w:rPr>
          <w:noProof/>
          <w:lang w:val="en-GB"/>
        </w:rPr>
        <w:t>A.</w:t>
      </w:r>
      <w:r w:rsidR="00896300" w:rsidRPr="00900F04">
        <w:rPr>
          <w:noProof/>
          <w:lang w:val="en-GB"/>
        </w:rPr>
        <w:tab/>
      </w:r>
      <w:r w:rsidR="00900F04" w:rsidRPr="00900F04">
        <w:rPr>
          <w:noProof/>
          <w:lang w:val="en-GB"/>
        </w:rPr>
        <w:t>Extension of the mandate of the Commission</w:t>
      </w:r>
      <w:r w:rsidR="005611D3" w:rsidRPr="00900F04">
        <w:rPr>
          <w:noProof/>
          <w:lang w:val="en-GB"/>
        </w:rPr>
        <w:tab/>
      </w:r>
      <w:r w:rsidR="005611D3" w:rsidRPr="00900F04">
        <w:rPr>
          <w:noProof/>
          <w:lang w:val="en-GB"/>
        </w:rPr>
        <w:tab/>
      </w:r>
      <w:r w:rsidR="005611D3" w:rsidRPr="00900F04">
        <w:rPr>
          <w:noProof/>
          <w:lang w:val="en-GB"/>
        </w:rPr>
        <w:tab/>
      </w:r>
      <w:r w:rsidR="009D66E6" w:rsidRPr="00900F04">
        <w:rPr>
          <w:noProof/>
          <w:lang w:val="en-GB"/>
        </w:rPr>
        <w:t>6</w:t>
      </w:r>
    </w:p>
    <w:p w14:paraId="7DC37E2D" w14:textId="27290733" w:rsidR="006950EE" w:rsidRPr="00900F04"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900F04">
        <w:rPr>
          <w:noProof/>
          <w:lang w:val="en-GB"/>
        </w:rPr>
        <w:tab/>
      </w:r>
      <w:r w:rsidRPr="00900F04">
        <w:rPr>
          <w:noProof/>
          <w:lang w:val="en-GB"/>
        </w:rPr>
        <w:tab/>
      </w:r>
      <w:r w:rsidR="0080516D" w:rsidRPr="00900F04">
        <w:rPr>
          <w:noProof/>
          <w:lang w:val="en-GB"/>
        </w:rPr>
        <w:t>B.</w:t>
      </w:r>
      <w:r w:rsidR="0080516D" w:rsidRPr="00900F04">
        <w:rPr>
          <w:noProof/>
          <w:lang w:val="en-GB"/>
        </w:rPr>
        <w:tab/>
      </w:r>
      <w:r w:rsidR="00900F04" w:rsidRPr="00900F04">
        <w:rPr>
          <w:noProof/>
          <w:lang w:val="en-GB"/>
        </w:rPr>
        <w:t>Cooperation with the Commission</w:t>
      </w:r>
      <w:r w:rsidRPr="00900F04">
        <w:rPr>
          <w:noProof/>
          <w:lang w:val="en-GB"/>
        </w:rPr>
        <w:tab/>
      </w:r>
      <w:r w:rsidRPr="00900F04">
        <w:rPr>
          <w:noProof/>
          <w:lang w:val="en-GB"/>
        </w:rPr>
        <w:tab/>
      </w:r>
      <w:r w:rsidRPr="00900F04">
        <w:rPr>
          <w:noProof/>
          <w:lang w:val="en-GB"/>
        </w:rPr>
        <w:tab/>
      </w:r>
      <w:r w:rsidR="009D66E6" w:rsidRPr="00900F04">
        <w:rPr>
          <w:noProof/>
          <w:lang w:val="en-GB"/>
        </w:rPr>
        <w:t>8</w:t>
      </w:r>
    </w:p>
    <w:p w14:paraId="661E0631" w14:textId="629105D6" w:rsidR="006950EE" w:rsidRPr="00900F04"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900F04">
        <w:rPr>
          <w:noProof/>
          <w:lang w:val="en-GB"/>
        </w:rPr>
        <w:tab/>
      </w:r>
      <w:r w:rsidRPr="00900F04">
        <w:rPr>
          <w:noProof/>
          <w:lang w:val="en-GB"/>
        </w:rPr>
        <w:tab/>
        <w:t>C.</w:t>
      </w:r>
      <w:r w:rsidRPr="00900F04">
        <w:rPr>
          <w:noProof/>
          <w:lang w:val="en-GB"/>
        </w:rPr>
        <w:tab/>
      </w:r>
      <w:r w:rsidR="00900F04" w:rsidRPr="00900F04">
        <w:rPr>
          <w:noProof/>
          <w:lang w:val="en-GB"/>
        </w:rPr>
        <w:t>Methodology and applicable law</w:t>
      </w:r>
      <w:r w:rsidRPr="00900F04">
        <w:rPr>
          <w:noProof/>
          <w:lang w:val="en-GB"/>
        </w:rPr>
        <w:tab/>
      </w:r>
      <w:r w:rsidRPr="00900F04">
        <w:rPr>
          <w:noProof/>
          <w:lang w:val="en-GB"/>
        </w:rPr>
        <w:tab/>
      </w:r>
      <w:r w:rsidRPr="00900F04">
        <w:rPr>
          <w:noProof/>
          <w:lang w:val="en-GB"/>
        </w:rPr>
        <w:tab/>
      </w:r>
      <w:r w:rsidR="009D66E6" w:rsidRPr="00900F04">
        <w:rPr>
          <w:noProof/>
          <w:lang w:val="en-GB"/>
        </w:rPr>
        <w:t>9</w:t>
      </w:r>
    </w:p>
    <w:p w14:paraId="21946026" w14:textId="15D13D89" w:rsidR="006950EE" w:rsidRPr="00900F04" w:rsidRDefault="000569BA" w:rsidP="005611D3">
      <w:pPr>
        <w:tabs>
          <w:tab w:val="right" w:pos="850"/>
          <w:tab w:val="left" w:pos="1134"/>
          <w:tab w:val="left" w:pos="1559"/>
          <w:tab w:val="left" w:pos="1984"/>
          <w:tab w:val="left" w:leader="dot" w:pos="7654"/>
          <w:tab w:val="right" w:pos="9639"/>
        </w:tabs>
        <w:spacing w:after="120"/>
        <w:rPr>
          <w:noProof/>
          <w:lang w:val="en-GB"/>
        </w:rPr>
      </w:pPr>
      <w:r w:rsidRPr="00900F04">
        <w:rPr>
          <w:noProof/>
          <w:lang w:val="en-GB"/>
        </w:rPr>
        <w:tab/>
      </w:r>
      <w:r w:rsidRPr="00900F04">
        <w:rPr>
          <w:noProof/>
          <w:lang w:val="en-GB"/>
        </w:rPr>
        <w:tab/>
        <w:t>D.</w:t>
      </w:r>
      <w:r w:rsidRPr="00900F04">
        <w:rPr>
          <w:noProof/>
          <w:lang w:val="en-GB"/>
        </w:rPr>
        <w:tab/>
      </w:r>
      <w:r w:rsidR="00900F04" w:rsidRPr="00900F04">
        <w:rPr>
          <w:noProof/>
          <w:lang w:val="en-GB"/>
        </w:rPr>
        <w:t xml:space="preserve">Political, diplomatic and humanitarian </w:t>
      </w:r>
      <w:r w:rsidR="00900F04">
        <w:rPr>
          <w:noProof/>
          <w:lang w:val="en-GB"/>
        </w:rPr>
        <w:t>contexts</w:t>
      </w:r>
      <w:r w:rsidRPr="00900F04">
        <w:rPr>
          <w:noProof/>
          <w:lang w:val="en-GB"/>
        </w:rPr>
        <w:tab/>
      </w:r>
      <w:r w:rsidRPr="00900F04">
        <w:rPr>
          <w:noProof/>
          <w:lang w:val="en-GB"/>
        </w:rPr>
        <w:tab/>
      </w:r>
      <w:r w:rsidR="009D66E6" w:rsidRPr="00900F04">
        <w:rPr>
          <w:noProof/>
          <w:lang w:val="en-GB"/>
        </w:rPr>
        <w:t>13</w:t>
      </w:r>
    </w:p>
    <w:p w14:paraId="09CDC1DD" w14:textId="717CFCEE" w:rsidR="006950EE" w:rsidRPr="00B95C3A" w:rsidRDefault="000569BA" w:rsidP="005611D3">
      <w:pPr>
        <w:tabs>
          <w:tab w:val="right" w:pos="850"/>
          <w:tab w:val="left" w:pos="1134"/>
          <w:tab w:val="left" w:pos="1559"/>
          <w:tab w:val="left" w:pos="1984"/>
          <w:tab w:val="left" w:leader="dot" w:pos="7654"/>
          <w:tab w:val="right" w:pos="9072"/>
          <w:tab w:val="right" w:pos="9639"/>
        </w:tabs>
        <w:spacing w:after="120"/>
        <w:rPr>
          <w:noProof/>
          <w:lang w:val="en-GB"/>
        </w:rPr>
      </w:pPr>
      <w:r w:rsidRPr="00900F04">
        <w:rPr>
          <w:noProof/>
          <w:lang w:val="en-GB"/>
        </w:rPr>
        <w:tab/>
      </w:r>
      <w:r w:rsidRPr="00B95C3A">
        <w:rPr>
          <w:noProof/>
          <w:lang w:val="en-GB"/>
        </w:rPr>
        <w:t>II.</w:t>
      </w:r>
      <w:r w:rsidRPr="00B95C3A">
        <w:rPr>
          <w:noProof/>
          <w:lang w:val="en-GB"/>
        </w:rPr>
        <w:tab/>
      </w:r>
      <w:r w:rsidR="00B95C3A" w:rsidRPr="00B95C3A">
        <w:rPr>
          <w:noProof/>
          <w:lang w:val="en-GB"/>
        </w:rPr>
        <w:t>Precursors and aggravating factors of the current crisis</w:t>
      </w:r>
      <w:r w:rsidRPr="00B95C3A">
        <w:rPr>
          <w:noProof/>
          <w:lang w:val="en-GB"/>
        </w:rPr>
        <w:tab/>
      </w:r>
      <w:r w:rsidR="009C52DF" w:rsidRPr="00B95C3A">
        <w:rPr>
          <w:noProof/>
          <w:lang w:val="en-GB"/>
        </w:rPr>
        <w:tab/>
      </w:r>
      <w:r w:rsidR="009D66E6" w:rsidRPr="00B95C3A">
        <w:rPr>
          <w:noProof/>
          <w:lang w:val="en-GB"/>
        </w:rPr>
        <w:t>25</w:t>
      </w:r>
    </w:p>
    <w:p w14:paraId="3592F0B6" w14:textId="29AFA987" w:rsidR="006950EE" w:rsidRPr="00B95C3A" w:rsidRDefault="000569BA" w:rsidP="00C61DE1">
      <w:pPr>
        <w:tabs>
          <w:tab w:val="right" w:pos="850"/>
          <w:tab w:val="left" w:pos="1134"/>
          <w:tab w:val="left" w:pos="1559"/>
          <w:tab w:val="left" w:pos="1984"/>
          <w:tab w:val="left" w:leader="dot" w:pos="7654"/>
          <w:tab w:val="right" w:pos="8929"/>
          <w:tab w:val="right" w:pos="9639"/>
        </w:tabs>
        <w:spacing w:after="120"/>
        <w:rPr>
          <w:noProof/>
          <w:lang w:val="en-GB"/>
        </w:rPr>
      </w:pPr>
      <w:r w:rsidRPr="00B95C3A">
        <w:rPr>
          <w:noProof/>
          <w:lang w:val="en-GB"/>
        </w:rPr>
        <w:tab/>
      </w:r>
      <w:r w:rsidRPr="00B95C3A">
        <w:rPr>
          <w:noProof/>
          <w:lang w:val="en-GB"/>
        </w:rPr>
        <w:tab/>
        <w:t>A.</w:t>
      </w:r>
      <w:r w:rsidRPr="00B95C3A">
        <w:rPr>
          <w:noProof/>
          <w:lang w:val="en-GB"/>
        </w:rPr>
        <w:tab/>
      </w:r>
      <w:r w:rsidR="00B95C3A" w:rsidRPr="00B95C3A">
        <w:rPr>
          <w:noProof/>
          <w:lang w:val="en-GB"/>
        </w:rPr>
        <w:t>Cyclical factors</w:t>
      </w:r>
      <w:r w:rsidR="006950EE" w:rsidRPr="00B95C3A">
        <w:rPr>
          <w:noProof/>
          <w:lang w:val="en-GB"/>
        </w:rPr>
        <w:t xml:space="preserve"> : </w:t>
      </w:r>
      <w:r w:rsidR="00B95C3A" w:rsidRPr="00B95C3A">
        <w:rPr>
          <w:noProof/>
          <w:lang w:val="en-GB"/>
        </w:rPr>
        <w:t>a gradually shrinking democratic space</w:t>
      </w:r>
      <w:r w:rsidRPr="00B95C3A">
        <w:rPr>
          <w:noProof/>
          <w:lang w:val="en-GB"/>
        </w:rPr>
        <w:tab/>
      </w:r>
      <w:r w:rsidR="00E14697" w:rsidRPr="00B95C3A">
        <w:rPr>
          <w:noProof/>
          <w:lang w:val="en-GB"/>
        </w:rPr>
        <w:tab/>
      </w:r>
      <w:r w:rsidR="009D66E6" w:rsidRPr="00B95C3A">
        <w:rPr>
          <w:noProof/>
          <w:lang w:val="en-GB"/>
        </w:rPr>
        <w:t>25</w:t>
      </w:r>
    </w:p>
    <w:p w14:paraId="710D62AE" w14:textId="12E1F7C2" w:rsidR="006950EE" w:rsidRPr="00B95C3A" w:rsidRDefault="004F3B1A" w:rsidP="003D0CC5">
      <w:pPr>
        <w:tabs>
          <w:tab w:val="right" w:pos="850"/>
          <w:tab w:val="left" w:pos="1134"/>
          <w:tab w:val="left" w:pos="1559"/>
          <w:tab w:val="left" w:pos="1984"/>
          <w:tab w:val="left" w:leader="dot" w:pos="7654"/>
          <w:tab w:val="right" w:pos="8929"/>
          <w:tab w:val="right" w:pos="9639"/>
        </w:tabs>
        <w:spacing w:after="120"/>
        <w:ind w:left="1559" w:hanging="1559"/>
        <w:rPr>
          <w:noProof/>
          <w:lang w:val="en-GB"/>
        </w:rPr>
      </w:pPr>
      <w:r w:rsidRPr="00B95C3A">
        <w:rPr>
          <w:noProof/>
          <w:lang w:val="en-GB"/>
        </w:rPr>
        <w:tab/>
      </w:r>
      <w:r w:rsidRPr="00B95C3A">
        <w:rPr>
          <w:noProof/>
          <w:lang w:val="en-GB"/>
        </w:rPr>
        <w:tab/>
        <w:t>B</w:t>
      </w:r>
      <w:r w:rsidRPr="00B95C3A">
        <w:rPr>
          <w:noProof/>
          <w:lang w:val="en-GB"/>
        </w:rPr>
        <w:tab/>
      </w:r>
      <w:r w:rsidR="006950EE" w:rsidRPr="00B95C3A">
        <w:rPr>
          <w:noProof/>
          <w:lang w:val="en-GB"/>
        </w:rPr>
        <w:t xml:space="preserve">Facteurs </w:t>
      </w:r>
      <w:r w:rsidR="00120D1C" w:rsidRPr="00B95C3A">
        <w:rPr>
          <w:noProof/>
          <w:lang w:val="en-GB"/>
        </w:rPr>
        <w:t xml:space="preserve">structurels : </w:t>
      </w:r>
      <w:r w:rsidR="006950EE" w:rsidRPr="00B95C3A">
        <w:rPr>
          <w:noProof/>
          <w:lang w:val="en-GB"/>
        </w:rPr>
        <w:t>institution</w:t>
      </w:r>
      <w:r w:rsidR="00B95C3A" w:rsidRPr="00B95C3A">
        <w:rPr>
          <w:noProof/>
          <w:lang w:val="en-GB"/>
        </w:rPr>
        <w:t>al weaknesses and problems related to the sharing of resources</w:t>
      </w:r>
      <w:r w:rsidRPr="00B95C3A">
        <w:rPr>
          <w:noProof/>
          <w:lang w:val="en-GB"/>
        </w:rPr>
        <w:tab/>
      </w:r>
      <w:r w:rsidRPr="00B95C3A">
        <w:rPr>
          <w:noProof/>
          <w:lang w:val="en-GB"/>
        </w:rPr>
        <w:tab/>
      </w:r>
      <w:r w:rsidR="009D66E6" w:rsidRPr="00B95C3A">
        <w:rPr>
          <w:noProof/>
          <w:lang w:val="en-GB"/>
        </w:rPr>
        <w:t>36</w:t>
      </w:r>
      <w:r w:rsidRPr="00B95C3A">
        <w:rPr>
          <w:noProof/>
          <w:lang w:val="en-GB"/>
        </w:rPr>
        <w:tab/>
      </w:r>
    </w:p>
    <w:p w14:paraId="4109EA4B" w14:textId="0F32F17D" w:rsidR="006950EE" w:rsidRPr="00B95C3A" w:rsidRDefault="004F3B1A" w:rsidP="004F3B1A">
      <w:pPr>
        <w:tabs>
          <w:tab w:val="left" w:pos="709"/>
          <w:tab w:val="left" w:pos="1134"/>
          <w:tab w:val="left" w:leader="dot" w:pos="7654"/>
          <w:tab w:val="right" w:pos="8929"/>
          <w:tab w:val="right" w:pos="9639"/>
        </w:tabs>
        <w:spacing w:after="120"/>
        <w:rPr>
          <w:noProof/>
          <w:lang w:val="en-GB"/>
        </w:rPr>
      </w:pPr>
      <w:r w:rsidRPr="00B95C3A">
        <w:rPr>
          <w:noProof/>
          <w:lang w:val="en-GB"/>
        </w:rPr>
        <w:tab/>
      </w:r>
      <w:r w:rsidR="006950EE" w:rsidRPr="00B95C3A">
        <w:rPr>
          <w:noProof/>
          <w:lang w:val="en-GB"/>
        </w:rPr>
        <w:t>II</w:t>
      </w:r>
      <w:r w:rsidRPr="00B95C3A">
        <w:rPr>
          <w:noProof/>
          <w:lang w:val="en-GB"/>
        </w:rPr>
        <w:t>I.</w:t>
      </w:r>
      <w:r w:rsidRPr="00B95C3A">
        <w:rPr>
          <w:noProof/>
          <w:lang w:val="en-GB"/>
        </w:rPr>
        <w:tab/>
      </w:r>
      <w:r w:rsidR="00B626C4" w:rsidRPr="00B95C3A">
        <w:rPr>
          <w:noProof/>
          <w:lang w:val="en-GB"/>
        </w:rPr>
        <w:t>Human rights situation</w:t>
      </w:r>
      <w:r w:rsidR="00B95C3A" w:rsidRPr="00B95C3A">
        <w:rPr>
          <w:noProof/>
          <w:lang w:val="en-GB"/>
        </w:rPr>
        <w:t>**</w:t>
      </w:r>
      <w:r w:rsidRPr="00B95C3A">
        <w:rPr>
          <w:noProof/>
          <w:lang w:val="en-GB"/>
        </w:rPr>
        <w:tab/>
      </w:r>
      <w:r w:rsidR="009C52DF" w:rsidRPr="00B95C3A">
        <w:rPr>
          <w:noProof/>
          <w:lang w:val="en-GB"/>
        </w:rPr>
        <w:tab/>
      </w:r>
      <w:r w:rsidR="009D66E6" w:rsidRPr="00B95C3A">
        <w:rPr>
          <w:noProof/>
          <w:lang w:val="en-GB"/>
        </w:rPr>
        <w:t>80</w:t>
      </w:r>
      <w:r w:rsidRPr="00B95C3A">
        <w:rPr>
          <w:noProof/>
          <w:lang w:val="en-GB"/>
        </w:rPr>
        <w:tab/>
      </w:r>
    </w:p>
    <w:p w14:paraId="346E1C02" w14:textId="4BF85663" w:rsidR="006950EE" w:rsidRPr="00B626C4" w:rsidRDefault="004F3B1A" w:rsidP="004C1C49">
      <w:pPr>
        <w:tabs>
          <w:tab w:val="right" w:pos="850"/>
          <w:tab w:val="left" w:pos="1134"/>
          <w:tab w:val="left" w:pos="1559"/>
          <w:tab w:val="left" w:pos="1984"/>
          <w:tab w:val="left" w:pos="4253"/>
          <w:tab w:val="left" w:leader="dot" w:pos="7654"/>
          <w:tab w:val="right" w:pos="8929"/>
          <w:tab w:val="right" w:pos="9639"/>
        </w:tabs>
        <w:spacing w:after="120"/>
        <w:rPr>
          <w:noProof/>
          <w:lang w:val="en-GB"/>
        </w:rPr>
      </w:pPr>
      <w:r w:rsidRPr="00B95C3A">
        <w:rPr>
          <w:noProof/>
          <w:lang w:val="en-GB"/>
        </w:rPr>
        <w:tab/>
      </w:r>
      <w:r w:rsidRPr="00B95C3A">
        <w:rPr>
          <w:noProof/>
          <w:lang w:val="en-GB"/>
        </w:rPr>
        <w:tab/>
      </w:r>
      <w:r w:rsidRPr="00B626C4">
        <w:rPr>
          <w:noProof/>
          <w:lang w:val="en-GB"/>
        </w:rPr>
        <w:t>A.</w:t>
      </w:r>
      <w:r w:rsidRPr="00B626C4">
        <w:rPr>
          <w:noProof/>
          <w:lang w:val="en-GB"/>
        </w:rPr>
        <w:tab/>
      </w:r>
      <w:r w:rsidR="00B626C4" w:rsidRPr="00B626C4">
        <w:rPr>
          <w:noProof/>
          <w:lang w:val="en-GB"/>
        </w:rPr>
        <w:t xml:space="preserve">Main trends </w:t>
      </w:r>
      <w:r w:rsidR="00B626C4">
        <w:rPr>
          <w:noProof/>
          <w:lang w:val="en-GB"/>
        </w:rPr>
        <w:t xml:space="preserve">in </w:t>
      </w:r>
      <w:r w:rsidR="006950EE" w:rsidRPr="00B626C4">
        <w:rPr>
          <w:noProof/>
          <w:lang w:val="en-GB"/>
        </w:rPr>
        <w:t xml:space="preserve">2017 </w:t>
      </w:r>
      <w:r w:rsidR="00AD259D" w:rsidRPr="00B626C4">
        <w:rPr>
          <w:noProof/>
          <w:lang w:val="en-GB"/>
        </w:rPr>
        <w:t>and</w:t>
      </w:r>
      <w:r w:rsidR="006950EE" w:rsidRPr="00B626C4">
        <w:rPr>
          <w:noProof/>
          <w:lang w:val="en-GB"/>
        </w:rPr>
        <w:t xml:space="preserve"> 2018</w:t>
      </w:r>
      <w:r w:rsidR="00B95C3A">
        <w:rPr>
          <w:noProof/>
          <w:lang w:val="en-GB"/>
        </w:rPr>
        <w:t>**</w:t>
      </w:r>
      <w:r w:rsidR="00B95C3A">
        <w:rPr>
          <w:noProof/>
          <w:lang w:val="en-GB"/>
        </w:rPr>
        <w:tab/>
      </w:r>
      <w:r w:rsidRPr="00B626C4">
        <w:rPr>
          <w:noProof/>
          <w:lang w:val="en-GB"/>
        </w:rPr>
        <w:tab/>
      </w:r>
      <w:r w:rsidR="00B626C4">
        <w:rPr>
          <w:noProof/>
          <w:lang w:val="en-GB"/>
        </w:rPr>
        <w:tab/>
      </w:r>
      <w:r w:rsidR="00A44354" w:rsidRPr="00B626C4">
        <w:rPr>
          <w:noProof/>
          <w:lang w:val="en-GB"/>
        </w:rPr>
        <w:t>81</w:t>
      </w:r>
      <w:r w:rsidRPr="00B626C4">
        <w:rPr>
          <w:noProof/>
          <w:lang w:val="en-GB"/>
        </w:rPr>
        <w:tab/>
      </w:r>
    </w:p>
    <w:p w14:paraId="7F354D9E" w14:textId="5F26B96F" w:rsidR="006950EE" w:rsidRPr="00B95C3A" w:rsidRDefault="004F3B1A"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Pr="00B95C3A">
        <w:rPr>
          <w:noProof/>
          <w:lang w:val="en-GB"/>
        </w:rPr>
        <w:t>B.</w:t>
      </w:r>
      <w:r w:rsidRPr="00B95C3A">
        <w:rPr>
          <w:noProof/>
          <w:lang w:val="en-GB"/>
        </w:rPr>
        <w:tab/>
      </w:r>
      <w:r w:rsidR="00B626C4" w:rsidRPr="00B95C3A">
        <w:rPr>
          <w:noProof/>
          <w:lang w:val="en-GB"/>
        </w:rPr>
        <w:t>Responsibility</w:t>
      </w:r>
      <w:r w:rsidR="00B95C3A" w:rsidRPr="00B95C3A">
        <w:rPr>
          <w:noProof/>
          <w:lang w:val="en-GB"/>
        </w:rPr>
        <w:t>**</w:t>
      </w:r>
      <w:r w:rsidRPr="00B95C3A">
        <w:rPr>
          <w:noProof/>
          <w:lang w:val="en-GB"/>
        </w:rPr>
        <w:tab/>
      </w:r>
      <w:r w:rsidRPr="00B95C3A">
        <w:rPr>
          <w:noProof/>
          <w:lang w:val="en-GB"/>
        </w:rPr>
        <w:tab/>
      </w:r>
      <w:r w:rsidR="00A44354" w:rsidRPr="00B95C3A">
        <w:rPr>
          <w:noProof/>
          <w:lang w:val="en-GB"/>
        </w:rPr>
        <w:t>82</w:t>
      </w:r>
      <w:r w:rsidRPr="00B95C3A">
        <w:rPr>
          <w:noProof/>
          <w:lang w:val="en-GB"/>
        </w:rPr>
        <w:tab/>
      </w:r>
    </w:p>
    <w:p w14:paraId="7A8F730C" w14:textId="0743AE79" w:rsidR="006950EE" w:rsidRPr="00B626C4" w:rsidRDefault="004F3B1A" w:rsidP="00C61DE1">
      <w:pPr>
        <w:tabs>
          <w:tab w:val="right" w:pos="850"/>
          <w:tab w:val="left" w:pos="1134"/>
          <w:tab w:val="left" w:pos="1559"/>
          <w:tab w:val="left" w:pos="1984"/>
          <w:tab w:val="left" w:leader="dot" w:pos="7654"/>
          <w:tab w:val="right" w:pos="8929"/>
          <w:tab w:val="right" w:pos="9639"/>
        </w:tabs>
        <w:spacing w:after="120"/>
        <w:rPr>
          <w:noProof/>
          <w:lang w:val="en-GB"/>
        </w:rPr>
      </w:pPr>
      <w:r w:rsidRPr="00B95C3A">
        <w:rPr>
          <w:noProof/>
          <w:lang w:val="en-GB"/>
        </w:rPr>
        <w:tab/>
      </w:r>
      <w:r w:rsidRPr="00B95C3A">
        <w:rPr>
          <w:noProof/>
          <w:lang w:val="en-GB"/>
        </w:rPr>
        <w:tab/>
      </w:r>
      <w:r w:rsidRPr="00B626C4">
        <w:rPr>
          <w:noProof/>
          <w:lang w:val="en-GB"/>
        </w:rPr>
        <w:t>C.</w:t>
      </w:r>
      <w:r w:rsidRPr="00B626C4">
        <w:rPr>
          <w:noProof/>
          <w:lang w:val="en-GB"/>
        </w:rPr>
        <w:tab/>
      </w:r>
      <w:r w:rsidR="00B626C4" w:rsidRPr="00B626C4">
        <w:rPr>
          <w:noProof/>
          <w:lang w:val="en-GB"/>
        </w:rPr>
        <w:t>Violations of civil and political rights</w:t>
      </w:r>
      <w:r w:rsidR="00B95C3A">
        <w:rPr>
          <w:noProof/>
          <w:lang w:val="en-GB"/>
        </w:rPr>
        <w:t>**</w:t>
      </w:r>
      <w:r w:rsidRPr="00B626C4">
        <w:rPr>
          <w:noProof/>
          <w:lang w:val="en-GB"/>
        </w:rPr>
        <w:tab/>
      </w:r>
      <w:r w:rsidRPr="00B626C4">
        <w:rPr>
          <w:noProof/>
          <w:lang w:val="en-GB"/>
        </w:rPr>
        <w:tab/>
      </w:r>
      <w:r w:rsidR="009D66E6" w:rsidRPr="00B626C4">
        <w:rPr>
          <w:noProof/>
          <w:lang w:val="en-GB"/>
        </w:rPr>
        <w:t>87</w:t>
      </w:r>
      <w:r w:rsidRPr="00B626C4">
        <w:rPr>
          <w:noProof/>
          <w:lang w:val="en-GB"/>
        </w:rPr>
        <w:tab/>
      </w:r>
    </w:p>
    <w:p w14:paraId="09F57D37" w14:textId="344EB7B8" w:rsidR="004C1C49" w:rsidRPr="00B626C4" w:rsidRDefault="004C1C49"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t>D.</w:t>
      </w:r>
      <w:r w:rsidRPr="00B626C4">
        <w:rPr>
          <w:noProof/>
          <w:lang w:val="en-GB"/>
        </w:rPr>
        <w:tab/>
      </w:r>
      <w:r w:rsidR="00B626C4" w:rsidRPr="00B626C4">
        <w:rPr>
          <w:noProof/>
          <w:lang w:val="en-GB"/>
        </w:rPr>
        <w:t>Dysfunction in the judicial system</w:t>
      </w:r>
      <w:r w:rsidR="00A44354" w:rsidRPr="00B626C4">
        <w:rPr>
          <w:noProof/>
          <w:lang w:val="en-GB"/>
        </w:rPr>
        <w:tab/>
      </w:r>
      <w:r w:rsidR="00A44354" w:rsidRPr="00B626C4">
        <w:rPr>
          <w:noProof/>
          <w:lang w:val="en-GB"/>
        </w:rPr>
        <w:tab/>
        <w:t>139</w:t>
      </w:r>
    </w:p>
    <w:p w14:paraId="016B2DAD" w14:textId="32A58DF2" w:rsidR="006950EE" w:rsidRPr="00B626C4" w:rsidRDefault="00B73E42"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t>E</w:t>
      </w:r>
      <w:r w:rsidR="004F3B1A" w:rsidRPr="00B626C4">
        <w:rPr>
          <w:noProof/>
          <w:lang w:val="en-GB"/>
        </w:rPr>
        <w:t>.</w:t>
      </w:r>
      <w:r w:rsidR="004F3B1A" w:rsidRPr="00B626C4">
        <w:rPr>
          <w:noProof/>
          <w:lang w:val="en-GB"/>
        </w:rPr>
        <w:tab/>
      </w:r>
      <w:r w:rsidR="00B626C4" w:rsidRPr="00B626C4">
        <w:rPr>
          <w:noProof/>
          <w:lang w:val="en-GB"/>
        </w:rPr>
        <w:t>Violations of economic and social rights</w:t>
      </w:r>
      <w:r w:rsidR="00A73A05">
        <w:rPr>
          <w:noProof/>
          <w:lang w:val="en-GB"/>
        </w:rPr>
        <w:t>**</w:t>
      </w:r>
      <w:r w:rsidR="004F3B1A" w:rsidRPr="00B626C4">
        <w:rPr>
          <w:noProof/>
          <w:lang w:val="en-GB"/>
        </w:rPr>
        <w:tab/>
      </w:r>
      <w:r w:rsidR="004F3B1A" w:rsidRPr="00B626C4">
        <w:rPr>
          <w:noProof/>
          <w:lang w:val="en-GB"/>
        </w:rPr>
        <w:tab/>
      </w:r>
      <w:r w:rsidR="00A44354" w:rsidRPr="00B626C4">
        <w:rPr>
          <w:noProof/>
          <w:lang w:val="en-GB"/>
        </w:rPr>
        <w:t>173</w:t>
      </w:r>
      <w:r w:rsidR="004F3B1A" w:rsidRPr="00B626C4">
        <w:rPr>
          <w:noProof/>
          <w:lang w:val="en-GB"/>
        </w:rPr>
        <w:tab/>
      </w:r>
    </w:p>
    <w:p w14:paraId="3FE7B409" w14:textId="66E0DD5A"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004F3B1A" w:rsidRPr="00B626C4">
        <w:rPr>
          <w:noProof/>
          <w:lang w:val="en-GB"/>
        </w:rPr>
        <w:t>IV.</w:t>
      </w:r>
      <w:r w:rsidRPr="00B626C4">
        <w:rPr>
          <w:noProof/>
          <w:lang w:val="en-GB"/>
        </w:rPr>
        <w:tab/>
      </w:r>
      <w:r w:rsidR="00B626C4" w:rsidRPr="00B626C4">
        <w:rPr>
          <w:noProof/>
          <w:lang w:val="en-GB"/>
        </w:rPr>
        <w:t>International crimes</w:t>
      </w:r>
      <w:r w:rsidR="00C5736C">
        <w:rPr>
          <w:noProof/>
          <w:lang w:val="en-GB"/>
        </w:rPr>
        <w:t>**</w:t>
      </w:r>
      <w:r w:rsidRPr="00B626C4">
        <w:rPr>
          <w:noProof/>
          <w:lang w:val="en-GB"/>
        </w:rPr>
        <w:tab/>
      </w:r>
      <w:r w:rsidRPr="00B626C4">
        <w:rPr>
          <w:noProof/>
          <w:lang w:val="en-GB"/>
        </w:rPr>
        <w:tab/>
      </w:r>
      <w:r w:rsidR="00A44354" w:rsidRPr="00B626C4">
        <w:rPr>
          <w:noProof/>
          <w:lang w:val="en-GB"/>
        </w:rPr>
        <w:t>222</w:t>
      </w:r>
      <w:r w:rsidRPr="00B626C4">
        <w:rPr>
          <w:noProof/>
          <w:lang w:val="en-GB"/>
        </w:rPr>
        <w:tab/>
      </w:r>
    </w:p>
    <w:p w14:paraId="36F297A2" w14:textId="4000A4A7"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B626C4">
        <w:rPr>
          <w:noProof/>
          <w:lang w:val="en-GB"/>
        </w:rPr>
        <w:t>A.</w:t>
      </w:r>
      <w:r w:rsidRPr="00B626C4">
        <w:rPr>
          <w:noProof/>
          <w:lang w:val="en-GB"/>
        </w:rPr>
        <w:tab/>
      </w:r>
      <w:r w:rsidR="00B626C4" w:rsidRPr="00B626C4">
        <w:rPr>
          <w:noProof/>
          <w:lang w:val="en-GB"/>
        </w:rPr>
        <w:t>Constituent elements and types of crimes against humanity</w:t>
      </w:r>
      <w:r w:rsidR="00C5736C">
        <w:rPr>
          <w:noProof/>
          <w:lang w:val="en-GB"/>
        </w:rPr>
        <w:t>**</w:t>
      </w:r>
      <w:r w:rsidR="00A44354" w:rsidRPr="00B626C4">
        <w:rPr>
          <w:noProof/>
          <w:lang w:val="en-GB"/>
        </w:rPr>
        <w:tab/>
      </w:r>
      <w:r w:rsidR="00A44354" w:rsidRPr="00B626C4">
        <w:rPr>
          <w:noProof/>
          <w:lang w:val="en-GB"/>
        </w:rPr>
        <w:tab/>
        <w:t>223</w:t>
      </w:r>
    </w:p>
    <w:p w14:paraId="13AFFDF1" w14:textId="02C9B103" w:rsidR="006950EE" w:rsidRPr="00C5736C"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C5736C">
        <w:rPr>
          <w:noProof/>
          <w:lang w:val="en-GB"/>
        </w:rPr>
        <w:t>B.</w:t>
      </w:r>
      <w:r w:rsidRPr="00C5736C">
        <w:rPr>
          <w:noProof/>
          <w:lang w:val="en-GB"/>
        </w:rPr>
        <w:tab/>
      </w:r>
      <w:r w:rsidR="00B626C4" w:rsidRPr="00C5736C">
        <w:rPr>
          <w:noProof/>
          <w:lang w:val="en-GB"/>
        </w:rPr>
        <w:t>Individual responsibility</w:t>
      </w:r>
      <w:r w:rsidR="00C5736C" w:rsidRPr="00C5736C">
        <w:rPr>
          <w:noProof/>
          <w:lang w:val="en-GB"/>
        </w:rPr>
        <w:t>**</w:t>
      </w:r>
      <w:r w:rsidRPr="00C5736C">
        <w:rPr>
          <w:noProof/>
          <w:lang w:val="en-GB"/>
        </w:rPr>
        <w:tab/>
      </w:r>
      <w:r w:rsidRPr="00C5736C">
        <w:rPr>
          <w:noProof/>
          <w:lang w:val="en-GB"/>
        </w:rPr>
        <w:tab/>
      </w:r>
      <w:r w:rsidR="00A44354" w:rsidRPr="00C5736C">
        <w:rPr>
          <w:noProof/>
          <w:lang w:val="en-GB"/>
        </w:rPr>
        <w:t>224</w:t>
      </w:r>
      <w:r w:rsidRPr="00C5736C">
        <w:rPr>
          <w:noProof/>
          <w:lang w:val="en-GB"/>
        </w:rPr>
        <w:tab/>
      </w:r>
    </w:p>
    <w:p w14:paraId="61ADC317" w14:textId="707F14A1" w:rsidR="006950EE" w:rsidRPr="00B626C4" w:rsidRDefault="00A87B3C" w:rsidP="00A87B3C">
      <w:pPr>
        <w:tabs>
          <w:tab w:val="right" w:pos="850"/>
          <w:tab w:val="left" w:pos="1134"/>
          <w:tab w:val="left" w:pos="1559"/>
          <w:tab w:val="left" w:pos="1984"/>
          <w:tab w:val="left" w:leader="dot" w:pos="7654"/>
          <w:tab w:val="right" w:pos="8929"/>
          <w:tab w:val="right" w:pos="9639"/>
        </w:tabs>
        <w:spacing w:after="120"/>
        <w:ind w:left="1134" w:hanging="1134"/>
        <w:rPr>
          <w:noProof/>
          <w:lang w:val="en-GB"/>
        </w:rPr>
      </w:pPr>
      <w:r w:rsidRPr="00C5736C">
        <w:rPr>
          <w:noProof/>
          <w:lang w:val="en-GB"/>
        </w:rPr>
        <w:tab/>
      </w:r>
      <w:r w:rsidR="004F3B1A" w:rsidRPr="00B626C4">
        <w:rPr>
          <w:noProof/>
          <w:lang w:val="en-GB"/>
        </w:rPr>
        <w:t>V.</w:t>
      </w:r>
      <w:r w:rsidRPr="00B626C4">
        <w:rPr>
          <w:noProof/>
          <w:lang w:val="en-GB"/>
        </w:rPr>
        <w:tab/>
      </w:r>
      <w:r w:rsidR="00B626C4" w:rsidRPr="00B626C4">
        <w:rPr>
          <w:noProof/>
          <w:lang w:val="en-GB"/>
        </w:rPr>
        <w:t>Adequate measures to protect the civilian population and pre</w:t>
      </w:r>
      <w:r w:rsidR="001A590B">
        <w:rPr>
          <w:noProof/>
          <w:lang w:val="en-GB"/>
        </w:rPr>
        <w:t>vent the recurrence of conflict</w:t>
      </w:r>
      <w:r w:rsidR="009C52DF" w:rsidRPr="00B626C4">
        <w:rPr>
          <w:noProof/>
          <w:lang w:val="en-GB"/>
        </w:rPr>
        <w:t>s</w:t>
      </w:r>
      <w:r w:rsidR="009C52DF" w:rsidRPr="00B626C4">
        <w:rPr>
          <w:noProof/>
          <w:lang w:val="en-GB"/>
        </w:rPr>
        <w:tab/>
      </w:r>
      <w:r w:rsidR="00A44354" w:rsidRPr="00B626C4">
        <w:rPr>
          <w:noProof/>
          <w:lang w:val="en-GB"/>
        </w:rPr>
        <w:t>225</w:t>
      </w:r>
      <w:r w:rsidRPr="00B626C4">
        <w:rPr>
          <w:noProof/>
          <w:lang w:val="en-GB"/>
        </w:rPr>
        <w:tab/>
      </w:r>
    </w:p>
    <w:p w14:paraId="62224091" w14:textId="049633B8"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B626C4">
        <w:rPr>
          <w:noProof/>
          <w:lang w:val="en-GB"/>
        </w:rPr>
        <w:t>A.</w:t>
      </w:r>
      <w:r w:rsidRPr="00B626C4">
        <w:rPr>
          <w:noProof/>
          <w:lang w:val="en-GB"/>
        </w:rPr>
        <w:tab/>
      </w:r>
      <w:r w:rsidR="00B626C4" w:rsidRPr="00B626C4">
        <w:rPr>
          <w:noProof/>
          <w:lang w:val="en-GB"/>
        </w:rPr>
        <w:t>Adequate protection measures for the Burundian civilian population</w:t>
      </w:r>
      <w:r w:rsidRPr="00B626C4">
        <w:rPr>
          <w:noProof/>
          <w:lang w:val="en-GB"/>
        </w:rPr>
        <w:tab/>
      </w:r>
      <w:r w:rsidRPr="00B626C4">
        <w:rPr>
          <w:noProof/>
          <w:lang w:val="en-GB"/>
        </w:rPr>
        <w:tab/>
      </w:r>
      <w:r w:rsidR="00A44354" w:rsidRPr="00B626C4">
        <w:rPr>
          <w:noProof/>
          <w:lang w:val="en-GB"/>
        </w:rPr>
        <w:t>228</w:t>
      </w:r>
      <w:r w:rsidRPr="00B626C4">
        <w:rPr>
          <w:noProof/>
          <w:lang w:val="en-GB"/>
        </w:rPr>
        <w:tab/>
      </w:r>
    </w:p>
    <w:p w14:paraId="5367CB0F" w14:textId="011799BC"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B626C4">
        <w:rPr>
          <w:noProof/>
          <w:lang w:val="en-GB"/>
        </w:rPr>
        <w:t>B.</w:t>
      </w:r>
      <w:r w:rsidRPr="00B626C4">
        <w:rPr>
          <w:noProof/>
          <w:lang w:val="en-GB"/>
        </w:rPr>
        <w:tab/>
      </w:r>
      <w:r w:rsidR="00B626C4" w:rsidRPr="00B626C4">
        <w:rPr>
          <w:noProof/>
          <w:lang w:val="en-GB"/>
        </w:rPr>
        <w:t>Adequate measures to preven</w:t>
      </w:r>
      <w:r w:rsidR="001A590B">
        <w:rPr>
          <w:noProof/>
          <w:lang w:val="en-GB"/>
        </w:rPr>
        <w:t>t the recurrence of cris</w:t>
      </w:r>
      <w:r w:rsidR="00B626C4" w:rsidRPr="00B626C4">
        <w:rPr>
          <w:noProof/>
          <w:lang w:val="en-GB"/>
        </w:rPr>
        <w:t xml:space="preserve">es in </w:t>
      </w:r>
      <w:r w:rsidR="006950EE" w:rsidRPr="00B626C4">
        <w:rPr>
          <w:noProof/>
          <w:lang w:val="en-GB"/>
        </w:rPr>
        <w:t>Burundi</w:t>
      </w:r>
      <w:r w:rsidRPr="00B626C4">
        <w:rPr>
          <w:noProof/>
          <w:lang w:val="en-GB"/>
        </w:rPr>
        <w:tab/>
      </w:r>
      <w:r w:rsidRPr="00B626C4">
        <w:rPr>
          <w:noProof/>
          <w:lang w:val="en-GB"/>
        </w:rPr>
        <w:tab/>
      </w:r>
      <w:r w:rsidR="00A44354" w:rsidRPr="00B626C4">
        <w:rPr>
          <w:noProof/>
          <w:lang w:val="en-GB"/>
        </w:rPr>
        <w:t>236</w:t>
      </w:r>
      <w:r w:rsidRPr="00B626C4">
        <w:rPr>
          <w:noProof/>
          <w:lang w:val="en-GB"/>
        </w:rPr>
        <w:tab/>
      </w:r>
    </w:p>
    <w:p w14:paraId="50E64E86" w14:textId="2A7090C7" w:rsidR="006950EE" w:rsidRPr="00C5736C"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006950EE" w:rsidRPr="00C5736C">
        <w:rPr>
          <w:noProof/>
          <w:lang w:val="en-GB"/>
        </w:rPr>
        <w:t>VI.</w:t>
      </w:r>
      <w:r w:rsidRPr="00C5736C">
        <w:rPr>
          <w:noProof/>
          <w:lang w:val="en-GB"/>
        </w:rPr>
        <w:tab/>
      </w:r>
      <w:r w:rsidR="006950EE" w:rsidRPr="00C5736C">
        <w:rPr>
          <w:noProof/>
          <w:lang w:val="en-GB"/>
        </w:rPr>
        <w:t>C</w:t>
      </w:r>
      <w:r w:rsidR="009C52DF" w:rsidRPr="00C5736C">
        <w:rPr>
          <w:noProof/>
          <w:lang w:val="en-GB"/>
        </w:rPr>
        <w:t xml:space="preserve">onclusions </w:t>
      </w:r>
      <w:r w:rsidR="00AD259D" w:rsidRPr="00C5736C">
        <w:rPr>
          <w:noProof/>
          <w:lang w:val="en-GB"/>
        </w:rPr>
        <w:t>and</w:t>
      </w:r>
      <w:r w:rsidR="009C52DF" w:rsidRPr="00C5736C">
        <w:rPr>
          <w:noProof/>
          <w:lang w:val="en-GB"/>
        </w:rPr>
        <w:t xml:space="preserve"> recommendations</w:t>
      </w:r>
      <w:r w:rsidR="00C5736C" w:rsidRPr="00C5736C">
        <w:rPr>
          <w:noProof/>
          <w:lang w:val="en-GB"/>
        </w:rPr>
        <w:t>**</w:t>
      </w:r>
      <w:r w:rsidRPr="00C5736C">
        <w:rPr>
          <w:noProof/>
          <w:lang w:val="en-GB"/>
        </w:rPr>
        <w:tab/>
      </w:r>
      <w:r w:rsidRPr="00C5736C">
        <w:rPr>
          <w:noProof/>
          <w:lang w:val="en-GB"/>
        </w:rPr>
        <w:tab/>
      </w:r>
      <w:r w:rsidR="00A44354" w:rsidRPr="00C5736C">
        <w:rPr>
          <w:noProof/>
          <w:lang w:val="en-GB"/>
        </w:rPr>
        <w:t>250</w:t>
      </w:r>
      <w:r w:rsidRPr="00C5736C">
        <w:rPr>
          <w:noProof/>
          <w:lang w:val="en-GB"/>
        </w:rPr>
        <w:tab/>
      </w:r>
    </w:p>
    <w:p w14:paraId="2E5F5AA0" w14:textId="49673FF6" w:rsidR="006950EE" w:rsidRPr="00C5736C"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C5736C">
        <w:rPr>
          <w:noProof/>
          <w:lang w:val="en-GB"/>
        </w:rPr>
        <w:tab/>
      </w:r>
      <w:r w:rsidR="006950EE" w:rsidRPr="00C5736C">
        <w:rPr>
          <w:noProof/>
          <w:lang w:val="en-GB"/>
        </w:rPr>
        <w:t>VII.</w:t>
      </w:r>
      <w:r w:rsidRPr="00C5736C">
        <w:rPr>
          <w:noProof/>
          <w:lang w:val="en-GB"/>
        </w:rPr>
        <w:tab/>
      </w:r>
      <w:r w:rsidR="006950EE" w:rsidRPr="00C5736C">
        <w:rPr>
          <w:noProof/>
          <w:lang w:val="en-GB"/>
        </w:rPr>
        <w:t>A</w:t>
      </w:r>
      <w:r w:rsidR="009C52DF" w:rsidRPr="00C5736C">
        <w:rPr>
          <w:noProof/>
          <w:lang w:val="en-GB"/>
        </w:rPr>
        <w:t>nnexes</w:t>
      </w:r>
      <w:r w:rsidR="00C5736C" w:rsidRPr="00C5736C">
        <w:rPr>
          <w:noProof/>
          <w:lang w:val="en-GB"/>
        </w:rPr>
        <w:t>**</w:t>
      </w:r>
      <w:r w:rsidR="00A44354" w:rsidRPr="00C5736C">
        <w:rPr>
          <w:noProof/>
          <w:lang w:val="en-GB"/>
        </w:rPr>
        <w:tab/>
      </w:r>
      <w:r w:rsidR="006B41E9" w:rsidRPr="00C5736C">
        <w:rPr>
          <w:noProof/>
          <w:lang w:val="en-GB"/>
        </w:rPr>
        <w:tab/>
      </w:r>
      <w:r w:rsidR="00A44354" w:rsidRPr="00C5736C">
        <w:rPr>
          <w:noProof/>
          <w:lang w:val="en-GB"/>
        </w:rPr>
        <w:t>255</w:t>
      </w:r>
    </w:p>
    <w:p w14:paraId="1B246DD7" w14:textId="23F5EC88" w:rsidR="006950EE" w:rsidRPr="00B626C4" w:rsidRDefault="00A44354" w:rsidP="00A87B3C">
      <w:pPr>
        <w:tabs>
          <w:tab w:val="right" w:pos="850"/>
          <w:tab w:val="left" w:pos="1134"/>
          <w:tab w:val="left" w:pos="1559"/>
          <w:tab w:val="left" w:pos="1984"/>
          <w:tab w:val="left" w:leader="dot" w:pos="7654"/>
          <w:tab w:val="right" w:pos="8929"/>
          <w:tab w:val="right" w:pos="9639"/>
        </w:tabs>
        <w:spacing w:after="120"/>
        <w:rPr>
          <w:noProof/>
          <w:lang w:val="en-GB"/>
        </w:rPr>
      </w:pPr>
      <w:r w:rsidRPr="00C5736C">
        <w:rPr>
          <w:noProof/>
          <w:lang w:val="en-GB"/>
        </w:rPr>
        <w:tab/>
      </w:r>
      <w:r w:rsidRPr="00C5736C">
        <w:rPr>
          <w:noProof/>
          <w:lang w:val="en-GB"/>
        </w:rPr>
        <w:tab/>
      </w:r>
      <w:r w:rsidRPr="00B626C4">
        <w:rPr>
          <w:noProof/>
          <w:lang w:val="en-GB"/>
        </w:rPr>
        <w:t>I</w:t>
      </w:r>
      <w:r w:rsidR="00A87B3C" w:rsidRPr="00B626C4">
        <w:rPr>
          <w:noProof/>
          <w:lang w:val="en-GB"/>
        </w:rPr>
        <w:t>.</w:t>
      </w:r>
      <w:r w:rsidR="00A87B3C" w:rsidRPr="00B626C4">
        <w:rPr>
          <w:noProof/>
          <w:lang w:val="en-GB"/>
        </w:rPr>
        <w:tab/>
      </w:r>
      <w:r w:rsidR="00B626C4" w:rsidRPr="00B626C4">
        <w:rPr>
          <w:noProof/>
          <w:lang w:val="en-GB"/>
        </w:rPr>
        <w:t>Map of Burundi**</w:t>
      </w:r>
      <w:r w:rsidR="007226AC" w:rsidRPr="00B626C4">
        <w:rPr>
          <w:noProof/>
          <w:lang w:val="en-GB"/>
        </w:rPr>
        <w:tab/>
      </w:r>
      <w:r w:rsidR="007226AC" w:rsidRPr="00B626C4">
        <w:rPr>
          <w:noProof/>
          <w:lang w:val="en-GB"/>
        </w:rPr>
        <w:tab/>
      </w:r>
      <w:r w:rsidRPr="00B626C4">
        <w:rPr>
          <w:noProof/>
          <w:lang w:val="en-GB"/>
        </w:rPr>
        <w:t>255</w:t>
      </w:r>
      <w:r w:rsidR="007226AC" w:rsidRPr="00B626C4">
        <w:rPr>
          <w:noProof/>
          <w:lang w:val="en-GB"/>
        </w:rPr>
        <w:tab/>
      </w:r>
    </w:p>
    <w:p w14:paraId="5F96900B" w14:textId="508611E0" w:rsidR="006950EE" w:rsidRPr="00B626C4" w:rsidRDefault="00A44354"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t>II</w:t>
      </w:r>
      <w:r w:rsidR="00A87B3C" w:rsidRPr="00B626C4">
        <w:rPr>
          <w:noProof/>
          <w:lang w:val="en-GB"/>
        </w:rPr>
        <w:t>.</w:t>
      </w:r>
      <w:r w:rsidR="00A87B3C" w:rsidRPr="00B626C4">
        <w:rPr>
          <w:noProof/>
          <w:lang w:val="en-GB"/>
        </w:rPr>
        <w:tab/>
      </w:r>
      <w:r w:rsidR="00B626C4">
        <w:rPr>
          <w:noProof/>
          <w:lang w:val="en-GB"/>
        </w:rPr>
        <w:t>R</w:t>
      </w:r>
      <w:r w:rsidR="00B626C4" w:rsidRPr="00B626C4">
        <w:rPr>
          <w:noProof/>
          <w:lang w:val="en-GB"/>
        </w:rPr>
        <w:t xml:space="preserve">ecommendations made by the Commission </w:t>
      </w:r>
      <w:r w:rsidR="00B626C4">
        <w:rPr>
          <w:noProof/>
          <w:lang w:val="en-GB"/>
        </w:rPr>
        <w:t>i</w:t>
      </w:r>
      <w:r w:rsidR="00867C19" w:rsidRPr="00B626C4">
        <w:rPr>
          <w:noProof/>
          <w:lang w:val="en-GB"/>
        </w:rPr>
        <w:t>n 2017</w:t>
      </w:r>
      <w:r w:rsidR="00C5736C">
        <w:rPr>
          <w:noProof/>
          <w:lang w:val="en-GB"/>
        </w:rPr>
        <w:t>**</w:t>
      </w:r>
      <w:r w:rsidR="007226AC" w:rsidRPr="00B626C4">
        <w:rPr>
          <w:noProof/>
          <w:lang w:val="en-GB"/>
        </w:rPr>
        <w:tab/>
      </w:r>
      <w:r w:rsidR="007226AC" w:rsidRPr="00B626C4">
        <w:rPr>
          <w:noProof/>
          <w:lang w:val="en-GB"/>
        </w:rPr>
        <w:tab/>
      </w:r>
      <w:r w:rsidRPr="00B626C4">
        <w:rPr>
          <w:noProof/>
          <w:lang w:val="en-GB"/>
        </w:rPr>
        <w:t>256</w:t>
      </w:r>
      <w:r w:rsidR="007226AC" w:rsidRPr="00B626C4">
        <w:rPr>
          <w:noProof/>
          <w:lang w:val="en-GB"/>
        </w:rPr>
        <w:tab/>
      </w:r>
    </w:p>
    <w:p w14:paraId="202DE14E" w14:textId="77777777" w:rsidR="00C5736C" w:rsidRDefault="00A44354"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r w:rsidRPr="00B626C4">
        <w:rPr>
          <w:noProof/>
          <w:lang w:val="en-GB"/>
        </w:rPr>
        <w:t>III</w:t>
      </w:r>
      <w:r w:rsidR="009D66E6" w:rsidRPr="00B626C4">
        <w:rPr>
          <w:noProof/>
          <w:lang w:val="en-GB"/>
        </w:rPr>
        <w:t>.</w:t>
      </w:r>
      <w:r w:rsidR="009D66E6" w:rsidRPr="00B626C4">
        <w:rPr>
          <w:noProof/>
          <w:lang w:val="en-GB"/>
        </w:rPr>
        <w:tab/>
      </w:r>
      <w:r w:rsidR="00B626C4" w:rsidRPr="00B626C4">
        <w:rPr>
          <w:noProof/>
          <w:lang w:val="en-GB"/>
        </w:rPr>
        <w:t>Correspondence with the Government of Burundi</w:t>
      </w:r>
      <w:r w:rsidR="00C5736C">
        <w:rPr>
          <w:noProof/>
          <w:lang w:val="en-GB"/>
        </w:rPr>
        <w:t>**</w:t>
      </w:r>
      <w:r w:rsidR="009D66E6" w:rsidRPr="00B626C4">
        <w:rPr>
          <w:noProof/>
          <w:lang w:val="en-GB"/>
        </w:rPr>
        <w:tab/>
      </w:r>
      <w:r w:rsidRPr="00B626C4">
        <w:rPr>
          <w:noProof/>
          <w:lang w:val="en-GB"/>
        </w:rPr>
        <w:tab/>
        <w:t>263</w:t>
      </w:r>
    </w:p>
    <w:p w14:paraId="44454141"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295456F3"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47966C8D"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4754E2D8"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565D99B7"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64AA7830"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4D773361"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0CA940FF"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6942339A" w14:textId="77777777" w:rsidR="00C5736C" w:rsidRPr="001033BF" w:rsidRDefault="00C5736C" w:rsidP="00C5736C">
      <w:pPr>
        <w:suppressAutoHyphens w:val="0"/>
        <w:spacing w:line="240" w:lineRule="auto"/>
        <w:rPr>
          <w:lang w:val="en-GB"/>
        </w:rPr>
      </w:pPr>
    </w:p>
    <w:p w14:paraId="024F831E" w14:textId="44D2CE6D" w:rsidR="00C5736C" w:rsidRPr="00C5736C" w:rsidRDefault="00C5736C" w:rsidP="00C5736C">
      <w:pPr>
        <w:suppressAutoHyphens w:val="0"/>
        <w:spacing w:line="240" w:lineRule="auto"/>
        <w:rPr>
          <w:lang w:val="en-GB"/>
        </w:rPr>
      </w:pPr>
      <w:r w:rsidRPr="00C5736C">
        <w:rPr>
          <w:lang w:val="en-GB"/>
        </w:rPr>
        <w:t>__________________________________</w:t>
      </w:r>
    </w:p>
    <w:p w14:paraId="3F65D97C" w14:textId="77777777" w:rsidR="00C5736C" w:rsidRPr="00C5736C" w:rsidRDefault="00C5736C" w:rsidP="00C5736C">
      <w:pPr>
        <w:suppressAutoHyphens w:val="0"/>
        <w:spacing w:line="240" w:lineRule="auto"/>
        <w:rPr>
          <w:lang w:val="en-GB"/>
        </w:rPr>
      </w:pPr>
      <w:r w:rsidRPr="00C5736C">
        <w:rPr>
          <w:lang w:val="en-GB"/>
        </w:rPr>
        <w:t xml:space="preserve"> </w:t>
      </w:r>
    </w:p>
    <w:p w14:paraId="2E20E604" w14:textId="2572A603" w:rsidR="006950EE" w:rsidRPr="00B626C4" w:rsidRDefault="00C5736C" w:rsidP="00C5736C">
      <w:pPr>
        <w:tabs>
          <w:tab w:val="right" w:pos="850"/>
          <w:tab w:val="left" w:pos="1134"/>
          <w:tab w:val="left" w:pos="1559"/>
          <w:tab w:val="left" w:pos="1984"/>
          <w:tab w:val="left" w:leader="dot" w:pos="7654"/>
          <w:tab w:val="right" w:pos="8929"/>
          <w:tab w:val="right" w:pos="9639"/>
        </w:tabs>
        <w:spacing w:after="120"/>
        <w:rPr>
          <w:noProof/>
          <w:lang w:val="en-GB"/>
        </w:rPr>
      </w:pPr>
      <w:r w:rsidRPr="00C5736C">
        <w:rPr>
          <w:lang w:val="en-GB"/>
        </w:rPr>
        <w:t xml:space="preserve">** Available in this translated version </w:t>
      </w:r>
    </w:p>
    <w:p w14:paraId="3F24F022" w14:textId="544EF5A6" w:rsidR="006950EE" w:rsidRPr="00C5736C" w:rsidRDefault="006950EE" w:rsidP="006950EE">
      <w:pPr>
        <w:pStyle w:val="HMG"/>
        <w:rPr>
          <w:lang w:val="en-GB"/>
        </w:rPr>
      </w:pPr>
      <w:r w:rsidRPr="00B626C4">
        <w:rPr>
          <w:lang w:val="en-GB"/>
        </w:rPr>
        <w:lastRenderedPageBreak/>
        <w:tab/>
      </w:r>
      <w:r w:rsidRPr="00B626C4">
        <w:rPr>
          <w:lang w:val="en-GB"/>
        </w:rPr>
        <w:tab/>
      </w:r>
      <w:r w:rsidRPr="00C5736C">
        <w:rPr>
          <w:lang w:val="en-GB"/>
        </w:rPr>
        <w:t>Acronyms</w:t>
      </w:r>
    </w:p>
    <w:p w14:paraId="071D298A" w14:textId="38B3B5A8" w:rsidR="006950EE" w:rsidRPr="00B95C3A" w:rsidRDefault="006950EE" w:rsidP="006950EE">
      <w:pPr>
        <w:pStyle w:val="SingleTxtG"/>
        <w:rPr>
          <w:lang w:val="en-GB"/>
        </w:rPr>
      </w:pPr>
      <w:r w:rsidRPr="00B95C3A">
        <w:rPr>
          <w:lang w:val="en-GB"/>
        </w:rPr>
        <w:t>API</w:t>
      </w:r>
      <w:r w:rsidRPr="00B95C3A">
        <w:rPr>
          <w:lang w:val="en-GB"/>
        </w:rPr>
        <w:tab/>
      </w:r>
      <w:r w:rsidRPr="00B95C3A">
        <w:rPr>
          <w:lang w:val="en-GB"/>
        </w:rPr>
        <w:tab/>
      </w:r>
      <w:r w:rsidRPr="00B95C3A">
        <w:rPr>
          <w:lang w:val="en-GB"/>
        </w:rPr>
        <w:tab/>
      </w:r>
      <w:r w:rsidR="00193B9C" w:rsidRPr="00B95C3A">
        <w:rPr>
          <w:lang w:val="en-GB"/>
        </w:rPr>
        <w:t>Support for the Protection of I</w:t>
      </w:r>
      <w:r w:rsidRPr="00B95C3A">
        <w:rPr>
          <w:lang w:val="en-GB"/>
        </w:rPr>
        <w:t xml:space="preserve">nstitutions </w:t>
      </w:r>
    </w:p>
    <w:p w14:paraId="04CF36CD" w14:textId="3B00E91C" w:rsidR="006950EE" w:rsidRPr="00B95C3A" w:rsidRDefault="006950EE" w:rsidP="006950EE">
      <w:pPr>
        <w:pStyle w:val="SingleTxtG"/>
        <w:ind w:left="2829" w:hanging="1695"/>
        <w:rPr>
          <w:lang w:val="fr-FR"/>
        </w:rPr>
      </w:pPr>
      <w:r w:rsidRPr="00B95C3A">
        <w:rPr>
          <w:lang w:val="fr-FR"/>
        </w:rPr>
        <w:t>APRODH</w:t>
      </w:r>
      <w:r w:rsidRPr="00B95C3A">
        <w:rPr>
          <w:lang w:val="fr-FR"/>
        </w:rPr>
        <w:tab/>
      </w:r>
      <w:r w:rsidRPr="00B95C3A">
        <w:rPr>
          <w:lang w:val="fr-FR"/>
        </w:rPr>
        <w:tab/>
        <w:t xml:space="preserve">Association pour la protection des droits de l’homme </w:t>
      </w:r>
      <w:r w:rsidR="00AD259D" w:rsidRPr="00B95C3A">
        <w:rPr>
          <w:lang w:val="fr-FR"/>
        </w:rPr>
        <w:t>and</w:t>
      </w:r>
      <w:r w:rsidRPr="00B95C3A">
        <w:rPr>
          <w:lang w:val="fr-FR"/>
        </w:rPr>
        <w:t xml:space="preserve"> des personnes détenues</w:t>
      </w:r>
    </w:p>
    <w:p w14:paraId="1B8587A1" w14:textId="77777777" w:rsidR="00A30EF6" w:rsidRPr="00B95C3A" w:rsidRDefault="00A30EF6" w:rsidP="00A30EF6">
      <w:pPr>
        <w:pStyle w:val="SingleTxtG"/>
        <w:rPr>
          <w:lang w:val="fr-FR"/>
        </w:rPr>
      </w:pPr>
      <w:r w:rsidRPr="00B95C3A">
        <w:rPr>
          <w:lang w:val="fr-FR"/>
        </w:rPr>
        <w:t>AU</w:t>
      </w:r>
      <w:r w:rsidRPr="00B95C3A">
        <w:rPr>
          <w:lang w:val="fr-FR"/>
        </w:rPr>
        <w:tab/>
      </w:r>
      <w:r w:rsidRPr="00B95C3A">
        <w:rPr>
          <w:lang w:val="fr-FR"/>
        </w:rPr>
        <w:tab/>
      </w:r>
      <w:r w:rsidRPr="00B95C3A">
        <w:rPr>
          <w:lang w:val="fr-FR"/>
        </w:rPr>
        <w:tab/>
        <w:t xml:space="preserve">African Union  </w:t>
      </w:r>
    </w:p>
    <w:p w14:paraId="40C0EBC0" w14:textId="447E93C8" w:rsidR="00193B9C" w:rsidRPr="00B95C3A" w:rsidRDefault="006950EE" w:rsidP="006950EE">
      <w:pPr>
        <w:pStyle w:val="SingleTxtG"/>
        <w:rPr>
          <w:lang w:val="fr-FR"/>
        </w:rPr>
      </w:pPr>
      <w:r w:rsidRPr="00B95C3A">
        <w:rPr>
          <w:lang w:val="fr-FR"/>
        </w:rPr>
        <w:t>BAE</w:t>
      </w:r>
      <w:r w:rsidRPr="00B95C3A">
        <w:rPr>
          <w:lang w:val="fr-FR"/>
        </w:rPr>
        <w:tab/>
      </w:r>
      <w:r w:rsidRPr="00B95C3A">
        <w:rPr>
          <w:lang w:val="fr-FR"/>
        </w:rPr>
        <w:tab/>
      </w:r>
      <w:r w:rsidRPr="00B95C3A">
        <w:rPr>
          <w:lang w:val="fr-FR"/>
        </w:rPr>
        <w:tab/>
      </w:r>
      <w:r w:rsidR="00193B9C" w:rsidRPr="00B95C3A">
        <w:rPr>
          <w:lang w:val="fr-FR"/>
        </w:rPr>
        <w:t>Anti-riot Brigade</w:t>
      </w:r>
    </w:p>
    <w:p w14:paraId="7A0EE26D" w14:textId="47D13A93" w:rsidR="006950EE" w:rsidRPr="00B95C3A" w:rsidRDefault="006950EE" w:rsidP="006950EE">
      <w:pPr>
        <w:pStyle w:val="SingleTxtG"/>
        <w:rPr>
          <w:lang w:val="fr-FR"/>
        </w:rPr>
      </w:pPr>
      <w:r w:rsidRPr="00B95C3A">
        <w:rPr>
          <w:lang w:val="fr-FR"/>
        </w:rPr>
        <w:t>BGC</w:t>
      </w:r>
      <w:r w:rsidRPr="00B95C3A">
        <w:rPr>
          <w:lang w:val="fr-FR"/>
        </w:rPr>
        <w:tab/>
      </w:r>
      <w:r w:rsidRPr="00B95C3A">
        <w:rPr>
          <w:lang w:val="fr-FR"/>
        </w:rPr>
        <w:tab/>
      </w:r>
      <w:r w:rsidRPr="00B95C3A">
        <w:rPr>
          <w:lang w:val="fr-FR"/>
        </w:rPr>
        <w:tab/>
        <w:t xml:space="preserve">Bataillon de génie de combat </w:t>
      </w:r>
    </w:p>
    <w:p w14:paraId="281161DD" w14:textId="2B8CC975" w:rsidR="006950EE" w:rsidRPr="00B95C3A" w:rsidRDefault="00193B9C" w:rsidP="006950EE">
      <w:pPr>
        <w:pStyle w:val="SingleTxtG"/>
        <w:rPr>
          <w:lang w:val="en-GB"/>
        </w:rPr>
      </w:pPr>
      <w:r w:rsidRPr="00B95C3A">
        <w:rPr>
          <w:lang w:val="en-GB"/>
        </w:rPr>
        <w:t>BINUB</w:t>
      </w:r>
      <w:r w:rsidR="006950EE" w:rsidRPr="00B95C3A">
        <w:rPr>
          <w:lang w:val="en-GB"/>
        </w:rPr>
        <w:t xml:space="preserve"> </w:t>
      </w:r>
      <w:r w:rsidR="006950EE" w:rsidRPr="00B95C3A">
        <w:rPr>
          <w:lang w:val="en-GB"/>
        </w:rPr>
        <w:tab/>
      </w:r>
      <w:r w:rsidR="006950EE" w:rsidRPr="00B95C3A">
        <w:rPr>
          <w:lang w:val="en-GB"/>
        </w:rPr>
        <w:tab/>
      </w:r>
      <w:r w:rsidRPr="00B95C3A">
        <w:rPr>
          <w:lang w:val="en-GB"/>
        </w:rPr>
        <w:t>United Nations Integrated Office in Burundi</w:t>
      </w:r>
      <w:r w:rsidR="006950EE" w:rsidRPr="00B95C3A">
        <w:rPr>
          <w:lang w:val="en-GB"/>
        </w:rPr>
        <w:t xml:space="preserve"> </w:t>
      </w:r>
    </w:p>
    <w:p w14:paraId="3DE43546" w14:textId="750C39B5" w:rsidR="006950EE" w:rsidRPr="00B95C3A" w:rsidRDefault="006950EE" w:rsidP="006950EE">
      <w:pPr>
        <w:pStyle w:val="SingleTxtG"/>
        <w:rPr>
          <w:lang w:val="en-GB"/>
        </w:rPr>
      </w:pPr>
      <w:r w:rsidRPr="00B95C3A">
        <w:rPr>
          <w:lang w:val="en-GB"/>
        </w:rPr>
        <w:t>BSPI</w:t>
      </w:r>
      <w:r w:rsidRPr="00B95C3A">
        <w:rPr>
          <w:lang w:val="en-GB"/>
        </w:rPr>
        <w:tab/>
      </w:r>
      <w:r w:rsidRPr="00B95C3A">
        <w:rPr>
          <w:lang w:val="en-GB"/>
        </w:rPr>
        <w:tab/>
      </w:r>
      <w:r w:rsidRPr="00B95C3A">
        <w:rPr>
          <w:lang w:val="en-GB"/>
        </w:rPr>
        <w:tab/>
      </w:r>
      <w:r w:rsidR="00193B9C" w:rsidRPr="00B95C3A">
        <w:rPr>
          <w:lang w:val="en-GB"/>
        </w:rPr>
        <w:t>Special Brigade for the Protection of I</w:t>
      </w:r>
      <w:r w:rsidRPr="00B95C3A">
        <w:rPr>
          <w:lang w:val="en-GB"/>
        </w:rPr>
        <w:t xml:space="preserve">nstitutions </w:t>
      </w:r>
    </w:p>
    <w:p w14:paraId="76DC9E09" w14:textId="3D17871B" w:rsidR="006950EE" w:rsidRPr="00B95C3A" w:rsidRDefault="004F5C22" w:rsidP="006950EE">
      <w:pPr>
        <w:pStyle w:val="SingleTxtG"/>
        <w:rPr>
          <w:lang w:val="en-GB"/>
        </w:rPr>
      </w:pPr>
      <w:r w:rsidRPr="00B95C3A">
        <w:rPr>
          <w:lang w:val="en-GB"/>
        </w:rPr>
        <w:t>ACHPR</w:t>
      </w:r>
      <w:r w:rsidR="006950EE" w:rsidRPr="00B95C3A">
        <w:rPr>
          <w:lang w:val="en-GB"/>
        </w:rPr>
        <w:tab/>
      </w:r>
      <w:r w:rsidR="006950EE" w:rsidRPr="00B95C3A">
        <w:rPr>
          <w:lang w:val="en-GB"/>
        </w:rPr>
        <w:tab/>
      </w:r>
      <w:r w:rsidRPr="00B95C3A">
        <w:rPr>
          <w:lang w:val="en-GB"/>
        </w:rPr>
        <w:t>African Charter on Huuman and People’s Rights</w:t>
      </w:r>
    </w:p>
    <w:p w14:paraId="08A7B6C9" w14:textId="704A2775" w:rsidR="006950EE" w:rsidRPr="00B95C3A" w:rsidRDefault="004F5C22" w:rsidP="006950EE">
      <w:pPr>
        <w:pStyle w:val="SingleTxtG"/>
        <w:rPr>
          <w:lang w:val="en-GB"/>
        </w:rPr>
      </w:pPr>
      <w:r w:rsidRPr="00B95C3A">
        <w:rPr>
          <w:lang w:val="en-GB"/>
        </w:rPr>
        <w:t>EAC</w:t>
      </w:r>
      <w:r w:rsidR="006950EE" w:rsidRPr="00B95C3A">
        <w:rPr>
          <w:lang w:val="en-GB"/>
        </w:rPr>
        <w:tab/>
      </w:r>
      <w:r w:rsidR="006950EE" w:rsidRPr="00B95C3A">
        <w:rPr>
          <w:lang w:val="en-GB"/>
        </w:rPr>
        <w:tab/>
      </w:r>
      <w:r w:rsidR="006950EE" w:rsidRPr="00B95C3A">
        <w:rPr>
          <w:lang w:val="en-GB"/>
        </w:rPr>
        <w:tab/>
      </w:r>
      <w:r w:rsidRPr="00B95C3A">
        <w:rPr>
          <w:lang w:val="en-GB"/>
        </w:rPr>
        <w:t>East African Community</w:t>
      </w:r>
      <w:r w:rsidR="006950EE" w:rsidRPr="00B95C3A">
        <w:rPr>
          <w:lang w:val="en-GB"/>
        </w:rPr>
        <w:t xml:space="preserve"> </w:t>
      </w:r>
    </w:p>
    <w:p w14:paraId="251BE5B5" w14:textId="3B61474E" w:rsidR="006950EE" w:rsidRPr="00B95C3A" w:rsidRDefault="006950EE" w:rsidP="006950EE">
      <w:pPr>
        <w:pStyle w:val="SingleTxtG"/>
        <w:ind w:left="2835" w:hanging="1689"/>
        <w:rPr>
          <w:lang w:val="en-GB"/>
        </w:rPr>
      </w:pPr>
      <w:r w:rsidRPr="00B95C3A">
        <w:rPr>
          <w:lang w:val="en-GB"/>
        </w:rPr>
        <w:t>C</w:t>
      </w:r>
      <w:r w:rsidR="004F5C22" w:rsidRPr="00B95C3A">
        <w:rPr>
          <w:lang w:val="en-GB"/>
        </w:rPr>
        <w:t>A</w:t>
      </w:r>
      <w:r w:rsidRPr="00B95C3A">
        <w:rPr>
          <w:lang w:val="en-GB"/>
        </w:rPr>
        <w:t>T</w:t>
      </w:r>
      <w:r w:rsidRPr="00B95C3A">
        <w:rPr>
          <w:lang w:val="en-GB"/>
        </w:rPr>
        <w:tab/>
      </w:r>
      <w:r w:rsidRPr="00B95C3A">
        <w:rPr>
          <w:lang w:val="en-GB"/>
        </w:rPr>
        <w:tab/>
      </w:r>
      <w:r w:rsidR="004F5C22" w:rsidRPr="00B95C3A">
        <w:rPr>
          <w:lang w:val="en-GB"/>
        </w:rPr>
        <w:t>Convention against Torture and Other Cruel, Inhuman or Degrading Treatment or Punishment</w:t>
      </w:r>
    </w:p>
    <w:p w14:paraId="3A481C6F" w14:textId="4A43D037" w:rsidR="006950EE" w:rsidRPr="00B95C3A" w:rsidRDefault="001C52FB" w:rsidP="006950EE">
      <w:pPr>
        <w:pStyle w:val="SingleTxtG"/>
        <w:rPr>
          <w:lang w:val="en-GB"/>
        </w:rPr>
      </w:pPr>
      <w:r w:rsidRPr="00B95C3A">
        <w:rPr>
          <w:lang w:val="en-GB"/>
        </w:rPr>
        <w:t>CRC</w:t>
      </w:r>
      <w:r w:rsidR="006950EE" w:rsidRPr="00B95C3A">
        <w:rPr>
          <w:lang w:val="en-GB"/>
        </w:rPr>
        <w:tab/>
      </w:r>
      <w:r w:rsidR="006950EE" w:rsidRPr="00B95C3A">
        <w:rPr>
          <w:lang w:val="en-GB"/>
        </w:rPr>
        <w:tab/>
      </w:r>
      <w:r w:rsidR="006950EE" w:rsidRPr="00B95C3A">
        <w:rPr>
          <w:lang w:val="en-GB"/>
        </w:rPr>
        <w:tab/>
      </w:r>
      <w:r w:rsidRPr="00B95C3A">
        <w:rPr>
          <w:lang w:val="en-GB"/>
        </w:rPr>
        <w:t xml:space="preserve">Convention on the Rights of the Child </w:t>
      </w:r>
    </w:p>
    <w:p w14:paraId="7B779354" w14:textId="0FCFF6F8" w:rsidR="006950EE" w:rsidRPr="00B95C3A" w:rsidRDefault="001C52FB" w:rsidP="006950EE">
      <w:pPr>
        <w:pStyle w:val="SingleTxtG"/>
        <w:rPr>
          <w:lang w:val="en-GB"/>
        </w:rPr>
      </w:pPr>
      <w:r w:rsidRPr="00B95C3A">
        <w:rPr>
          <w:lang w:val="en-GB"/>
        </w:rPr>
        <w:t>CRPD</w:t>
      </w:r>
      <w:r w:rsidR="006950EE" w:rsidRPr="00B95C3A">
        <w:rPr>
          <w:lang w:val="en-GB"/>
        </w:rPr>
        <w:tab/>
      </w:r>
      <w:r w:rsidR="006950EE" w:rsidRPr="00B95C3A">
        <w:rPr>
          <w:lang w:val="en-GB"/>
        </w:rPr>
        <w:tab/>
      </w:r>
      <w:r w:rsidR="006950EE" w:rsidRPr="00B95C3A">
        <w:rPr>
          <w:lang w:val="en-GB"/>
        </w:rPr>
        <w:tab/>
      </w:r>
      <w:r w:rsidRPr="00B95C3A">
        <w:rPr>
          <w:lang w:val="en-GB"/>
        </w:rPr>
        <w:t xml:space="preserve">Convention on the Rights of Persons with Disabilities </w:t>
      </w:r>
    </w:p>
    <w:p w14:paraId="355C08E2" w14:textId="0562CE49" w:rsidR="006950EE" w:rsidRPr="00B95C3A" w:rsidRDefault="006950EE" w:rsidP="006950EE">
      <w:pPr>
        <w:pStyle w:val="SingleTxtG"/>
        <w:ind w:left="2829" w:hanging="1695"/>
        <w:rPr>
          <w:lang w:val="en-GB"/>
        </w:rPr>
      </w:pPr>
      <w:r w:rsidRPr="00B95C3A">
        <w:rPr>
          <w:lang w:val="en-GB"/>
        </w:rPr>
        <w:t>C</w:t>
      </w:r>
      <w:r w:rsidR="001C52FB" w:rsidRPr="00B95C3A">
        <w:rPr>
          <w:lang w:val="en-GB"/>
        </w:rPr>
        <w:t>DAW</w:t>
      </w:r>
      <w:r w:rsidRPr="00B95C3A">
        <w:rPr>
          <w:lang w:val="en-GB"/>
        </w:rPr>
        <w:tab/>
      </w:r>
      <w:r w:rsidR="001C52FB" w:rsidRPr="00B95C3A">
        <w:rPr>
          <w:lang w:val="en-GB"/>
        </w:rPr>
        <w:t xml:space="preserve">Convention on the Elimination of All Forms of Discrimination </w:t>
      </w:r>
      <w:r w:rsidR="00193B9C" w:rsidRPr="00B95C3A">
        <w:rPr>
          <w:lang w:val="en-GB"/>
        </w:rPr>
        <w:t>against</w:t>
      </w:r>
      <w:r w:rsidR="001C52FB" w:rsidRPr="00B95C3A">
        <w:rPr>
          <w:lang w:val="en-GB"/>
        </w:rPr>
        <w:t xml:space="preserve"> Women</w:t>
      </w:r>
    </w:p>
    <w:p w14:paraId="13DC4D33" w14:textId="77777777" w:rsidR="001C52FB" w:rsidRPr="00B95C3A" w:rsidRDefault="006950EE" w:rsidP="001C52FB">
      <w:pPr>
        <w:pStyle w:val="SingleTxtG"/>
        <w:rPr>
          <w:lang w:val="en-GB"/>
        </w:rPr>
      </w:pPr>
      <w:r w:rsidRPr="00B95C3A">
        <w:rPr>
          <w:lang w:val="en-GB"/>
        </w:rPr>
        <w:t>CEPGL</w:t>
      </w:r>
      <w:r w:rsidRPr="00B95C3A">
        <w:rPr>
          <w:lang w:val="en-GB"/>
        </w:rPr>
        <w:tab/>
      </w:r>
      <w:r w:rsidRPr="00B95C3A">
        <w:rPr>
          <w:lang w:val="en-GB"/>
        </w:rPr>
        <w:tab/>
      </w:r>
      <w:r w:rsidR="001C52FB" w:rsidRPr="00B95C3A">
        <w:rPr>
          <w:lang w:val="en-GB"/>
        </w:rPr>
        <w:t>Economic Community of the Great Lakes Countries</w:t>
      </w:r>
    </w:p>
    <w:p w14:paraId="38A33C0D" w14:textId="3F8A5CCA" w:rsidR="006950EE" w:rsidRPr="00B95C3A" w:rsidRDefault="00193B9C" w:rsidP="00193B9C">
      <w:pPr>
        <w:pStyle w:val="SingleTxtG"/>
        <w:ind w:left="2829" w:hanging="1695"/>
        <w:rPr>
          <w:lang w:val="en-GB"/>
        </w:rPr>
      </w:pPr>
      <w:r w:rsidRPr="00B95C3A">
        <w:rPr>
          <w:lang w:val="en-GB"/>
        </w:rPr>
        <w:t xml:space="preserve">CERD </w:t>
      </w:r>
      <w:r w:rsidRPr="00B95C3A">
        <w:rPr>
          <w:lang w:val="en-GB"/>
        </w:rPr>
        <w:tab/>
      </w:r>
      <w:r w:rsidRPr="00B95C3A">
        <w:rPr>
          <w:lang w:val="en-GB"/>
        </w:rPr>
        <w:tab/>
        <w:t>Convention on the Elimination of all Forms of Racial Discrimination.</w:t>
      </w:r>
    </w:p>
    <w:p w14:paraId="69439E67" w14:textId="265A2A8A" w:rsidR="006950EE" w:rsidRPr="00B95C3A" w:rsidRDefault="001C52FB" w:rsidP="006950EE">
      <w:pPr>
        <w:pStyle w:val="SingleTxtG"/>
        <w:rPr>
          <w:lang w:val="en-GB"/>
        </w:rPr>
      </w:pPr>
      <w:r w:rsidRPr="00B95C3A">
        <w:rPr>
          <w:lang w:val="en-GB"/>
        </w:rPr>
        <w:t>ICGLR</w:t>
      </w:r>
      <w:r w:rsidR="006950EE" w:rsidRPr="00B95C3A">
        <w:rPr>
          <w:lang w:val="en-GB"/>
        </w:rPr>
        <w:tab/>
      </w:r>
      <w:r w:rsidR="006950EE" w:rsidRPr="00B95C3A">
        <w:rPr>
          <w:lang w:val="en-GB"/>
        </w:rPr>
        <w:tab/>
      </w:r>
      <w:r w:rsidRPr="00B95C3A">
        <w:rPr>
          <w:lang w:val="en-GB"/>
        </w:rPr>
        <w:t>International Conference on the Great Lakes Region</w:t>
      </w:r>
    </w:p>
    <w:p w14:paraId="6220D3E5" w14:textId="550F0142" w:rsidR="006950EE" w:rsidRPr="00B95C3A" w:rsidRDefault="001C52FB" w:rsidP="006950EE">
      <w:pPr>
        <w:pStyle w:val="SingleTxtG"/>
        <w:rPr>
          <w:lang w:val="en-GB"/>
        </w:rPr>
      </w:pPr>
      <w:r w:rsidRPr="00B95C3A">
        <w:rPr>
          <w:lang w:val="en-GB"/>
        </w:rPr>
        <w:t>EACJ</w:t>
      </w:r>
      <w:r w:rsidR="006950EE" w:rsidRPr="00B95C3A">
        <w:rPr>
          <w:lang w:val="en-GB"/>
        </w:rPr>
        <w:tab/>
      </w:r>
      <w:r w:rsidR="006950EE" w:rsidRPr="00B95C3A">
        <w:rPr>
          <w:lang w:val="en-GB"/>
        </w:rPr>
        <w:tab/>
      </w:r>
      <w:r w:rsidR="006950EE" w:rsidRPr="00B95C3A">
        <w:rPr>
          <w:lang w:val="en-GB"/>
        </w:rPr>
        <w:tab/>
      </w:r>
      <w:r w:rsidRPr="00B95C3A">
        <w:rPr>
          <w:lang w:val="en-GB"/>
        </w:rPr>
        <w:t>East African Court of Justice</w:t>
      </w:r>
    </w:p>
    <w:p w14:paraId="206DE969" w14:textId="341EA1D2" w:rsidR="006950EE" w:rsidRPr="00B95C3A" w:rsidRDefault="006950EE" w:rsidP="006950EE">
      <w:pPr>
        <w:pStyle w:val="SingleTxtG"/>
        <w:ind w:left="2829" w:hanging="1695"/>
        <w:rPr>
          <w:lang w:val="fr-FR"/>
        </w:rPr>
      </w:pPr>
      <w:r w:rsidRPr="00B95C3A">
        <w:rPr>
          <w:lang w:val="fr-FR"/>
        </w:rPr>
        <w:t>CNARED</w:t>
      </w:r>
      <w:r w:rsidRPr="00B95C3A">
        <w:rPr>
          <w:lang w:val="fr-FR"/>
        </w:rPr>
        <w:tab/>
      </w:r>
      <w:r w:rsidRPr="00B95C3A">
        <w:rPr>
          <w:lang w:val="fr-FR"/>
        </w:rPr>
        <w:tab/>
        <w:t xml:space="preserve">Conseil national pour le respect de l’accord d’Arusha </w:t>
      </w:r>
      <w:r w:rsidR="00AD259D" w:rsidRPr="00B95C3A">
        <w:rPr>
          <w:lang w:val="fr-FR"/>
        </w:rPr>
        <w:t>and</w:t>
      </w:r>
      <w:r w:rsidRPr="00B95C3A">
        <w:rPr>
          <w:lang w:val="fr-FR"/>
        </w:rPr>
        <w:t xml:space="preserve"> la restauration d’un Etat de droit au Burundi</w:t>
      </w:r>
    </w:p>
    <w:p w14:paraId="33A0263B" w14:textId="4B617C25" w:rsidR="006950EE" w:rsidRPr="00B95C3A" w:rsidRDefault="006950EE" w:rsidP="006950EE">
      <w:pPr>
        <w:pStyle w:val="SingleTxtG"/>
        <w:rPr>
          <w:lang w:val="fr-FR"/>
        </w:rPr>
      </w:pPr>
      <w:r w:rsidRPr="00B95C3A">
        <w:rPr>
          <w:lang w:val="fr-FR"/>
        </w:rPr>
        <w:t>CNC</w:t>
      </w:r>
      <w:r w:rsidRPr="00B95C3A">
        <w:rPr>
          <w:lang w:val="fr-FR"/>
        </w:rPr>
        <w:tab/>
      </w:r>
      <w:r w:rsidRPr="00B95C3A">
        <w:rPr>
          <w:lang w:val="fr-FR"/>
        </w:rPr>
        <w:tab/>
      </w:r>
      <w:r w:rsidRPr="00B95C3A">
        <w:rPr>
          <w:lang w:val="fr-FR"/>
        </w:rPr>
        <w:tab/>
      </w:r>
      <w:r w:rsidR="001C52FB" w:rsidRPr="00B95C3A">
        <w:rPr>
          <w:lang w:val="fr-FR"/>
        </w:rPr>
        <w:t xml:space="preserve">National Communication Council </w:t>
      </w:r>
    </w:p>
    <w:p w14:paraId="21E76B0B" w14:textId="77777777" w:rsidR="006950EE" w:rsidRPr="00B95C3A" w:rsidRDefault="006950EE" w:rsidP="006950EE">
      <w:pPr>
        <w:pStyle w:val="SingleTxtG"/>
        <w:ind w:left="2829" w:hanging="1695"/>
        <w:rPr>
          <w:lang w:val="fr-FR"/>
        </w:rPr>
      </w:pPr>
      <w:r w:rsidRPr="00B95C3A">
        <w:rPr>
          <w:lang w:val="fr-FR"/>
        </w:rPr>
        <w:t xml:space="preserve">CNDD-FDD </w:t>
      </w:r>
      <w:r w:rsidRPr="00B95C3A">
        <w:rPr>
          <w:lang w:val="fr-FR"/>
        </w:rPr>
        <w:tab/>
      </w:r>
      <w:r w:rsidRPr="00B95C3A">
        <w:rPr>
          <w:lang w:val="fr-FR"/>
        </w:rPr>
        <w:tab/>
        <w:t xml:space="preserve">Conseil national pour la défense de la démocratie-Forces de défense de la démocratie </w:t>
      </w:r>
      <w:r w:rsidRPr="00B95C3A">
        <w:rPr>
          <w:lang w:val="fr-FR"/>
        </w:rPr>
        <w:tab/>
      </w:r>
    </w:p>
    <w:p w14:paraId="46025505" w14:textId="77777777" w:rsidR="006950EE" w:rsidRPr="00B95C3A" w:rsidRDefault="006950EE" w:rsidP="006950EE">
      <w:pPr>
        <w:pStyle w:val="SingleTxtG"/>
        <w:rPr>
          <w:lang w:val="fr-FR"/>
        </w:rPr>
      </w:pPr>
      <w:r w:rsidRPr="00B95C3A">
        <w:rPr>
          <w:lang w:val="fr-FR"/>
        </w:rPr>
        <w:t>CNDI</w:t>
      </w:r>
      <w:r w:rsidRPr="00B95C3A">
        <w:rPr>
          <w:lang w:val="fr-FR"/>
        </w:rPr>
        <w:tab/>
      </w:r>
      <w:r w:rsidRPr="00B95C3A">
        <w:rPr>
          <w:lang w:val="fr-FR"/>
        </w:rPr>
        <w:tab/>
      </w:r>
      <w:r w:rsidRPr="00B95C3A">
        <w:rPr>
          <w:lang w:val="fr-FR"/>
        </w:rPr>
        <w:tab/>
        <w:t>Commission nationale pour le dialogue inter-Burundais</w:t>
      </w:r>
    </w:p>
    <w:p w14:paraId="62847A5B" w14:textId="079E9FBD" w:rsidR="006950EE" w:rsidRPr="00B95C3A" w:rsidRDefault="006950EE" w:rsidP="006950EE">
      <w:pPr>
        <w:pStyle w:val="SingleTxtG"/>
        <w:rPr>
          <w:lang w:val="en-GB"/>
        </w:rPr>
      </w:pPr>
      <w:r w:rsidRPr="00B95C3A">
        <w:rPr>
          <w:lang w:val="en-GB"/>
        </w:rPr>
        <w:t>CNIDH</w:t>
      </w:r>
      <w:r w:rsidRPr="00B95C3A">
        <w:rPr>
          <w:lang w:val="en-GB"/>
        </w:rPr>
        <w:tab/>
      </w:r>
      <w:r w:rsidRPr="00B95C3A">
        <w:rPr>
          <w:lang w:val="en-GB"/>
        </w:rPr>
        <w:tab/>
      </w:r>
      <w:r w:rsidR="00A30EF6" w:rsidRPr="00B95C3A">
        <w:rPr>
          <w:lang w:val="en-GB"/>
        </w:rPr>
        <w:t>Independent National Commission for Human Rights</w:t>
      </w:r>
    </w:p>
    <w:p w14:paraId="0F56D139" w14:textId="2E92F4E2" w:rsidR="006950EE" w:rsidRPr="00C5736C" w:rsidRDefault="00A30EF6" w:rsidP="006950EE">
      <w:pPr>
        <w:pStyle w:val="SingleTxtG"/>
        <w:rPr>
          <w:lang w:val="en-GB"/>
        </w:rPr>
      </w:pPr>
      <w:r w:rsidRPr="00C5736C">
        <w:rPr>
          <w:lang w:val="en-GB"/>
        </w:rPr>
        <w:t>ICC</w:t>
      </w:r>
      <w:r w:rsidR="006950EE" w:rsidRPr="00C5736C">
        <w:rPr>
          <w:lang w:val="en-GB"/>
        </w:rPr>
        <w:tab/>
      </w:r>
      <w:r w:rsidR="006950EE" w:rsidRPr="00C5736C">
        <w:rPr>
          <w:lang w:val="en-GB"/>
        </w:rPr>
        <w:tab/>
      </w:r>
      <w:r w:rsidR="006950EE" w:rsidRPr="00C5736C">
        <w:rPr>
          <w:lang w:val="en-GB"/>
        </w:rPr>
        <w:tab/>
      </w:r>
      <w:r w:rsidRPr="00C5736C">
        <w:rPr>
          <w:lang w:val="en-GB"/>
        </w:rPr>
        <w:t>International Criminal Court</w:t>
      </w:r>
    </w:p>
    <w:p w14:paraId="10A53B38" w14:textId="7DF79003" w:rsidR="006950EE" w:rsidRPr="00B95C3A" w:rsidRDefault="006950EE" w:rsidP="006950EE">
      <w:pPr>
        <w:pStyle w:val="SingleTxtG"/>
        <w:rPr>
          <w:lang w:val="en-GB"/>
        </w:rPr>
      </w:pPr>
      <w:r w:rsidRPr="00B95C3A">
        <w:rPr>
          <w:lang w:val="en-GB"/>
        </w:rPr>
        <w:t>EINUB</w:t>
      </w:r>
      <w:r w:rsidRPr="00B95C3A">
        <w:rPr>
          <w:lang w:val="en-GB"/>
        </w:rPr>
        <w:tab/>
      </w:r>
      <w:r w:rsidRPr="00B95C3A">
        <w:rPr>
          <w:lang w:val="en-GB"/>
        </w:rPr>
        <w:tab/>
      </w:r>
      <w:r w:rsidR="00B072EC" w:rsidRPr="00B95C3A">
        <w:rPr>
          <w:lang w:val="en-GB"/>
        </w:rPr>
        <w:t xml:space="preserve">United Nations Independent Investigation </w:t>
      </w:r>
      <w:r w:rsidR="00571323" w:rsidRPr="00B95C3A">
        <w:rPr>
          <w:lang w:val="en-GB"/>
        </w:rPr>
        <w:t>on</w:t>
      </w:r>
      <w:r w:rsidRPr="00B95C3A">
        <w:rPr>
          <w:lang w:val="en-GB"/>
        </w:rPr>
        <w:t xml:space="preserve"> Burundi</w:t>
      </w:r>
    </w:p>
    <w:p w14:paraId="54E60410" w14:textId="4B2C2599" w:rsidR="00A30EF6" w:rsidRPr="00B95C3A" w:rsidRDefault="00A30EF6" w:rsidP="006950EE">
      <w:pPr>
        <w:pStyle w:val="SingleTxtG"/>
        <w:rPr>
          <w:lang w:val="en-GB"/>
        </w:rPr>
      </w:pPr>
      <w:r w:rsidRPr="00B95C3A">
        <w:rPr>
          <w:lang w:val="en-GB"/>
        </w:rPr>
        <w:t>EU</w:t>
      </w:r>
      <w:r w:rsidRPr="00B95C3A">
        <w:rPr>
          <w:lang w:val="en-GB"/>
        </w:rPr>
        <w:tab/>
      </w:r>
      <w:r w:rsidRPr="00B95C3A">
        <w:rPr>
          <w:lang w:val="en-GB"/>
        </w:rPr>
        <w:tab/>
      </w:r>
      <w:r w:rsidRPr="00B95C3A">
        <w:rPr>
          <w:lang w:val="en-GB"/>
        </w:rPr>
        <w:tab/>
        <w:t>European Union</w:t>
      </w:r>
    </w:p>
    <w:p w14:paraId="2DDDA012" w14:textId="66BBC138" w:rsidR="006950EE" w:rsidRPr="00B95C3A" w:rsidRDefault="006950EE" w:rsidP="006950EE">
      <w:pPr>
        <w:pStyle w:val="SingleTxtG"/>
        <w:rPr>
          <w:lang w:val="en-GB"/>
        </w:rPr>
      </w:pPr>
      <w:r w:rsidRPr="00B95C3A">
        <w:rPr>
          <w:lang w:val="en-GB"/>
        </w:rPr>
        <w:t>FAB</w:t>
      </w:r>
      <w:r w:rsidRPr="00B95C3A">
        <w:rPr>
          <w:lang w:val="en-GB"/>
        </w:rPr>
        <w:tab/>
      </w:r>
      <w:r w:rsidRPr="00B95C3A">
        <w:rPr>
          <w:lang w:val="en-GB"/>
        </w:rPr>
        <w:tab/>
      </w:r>
      <w:r w:rsidRPr="00B95C3A">
        <w:rPr>
          <w:lang w:val="en-GB"/>
        </w:rPr>
        <w:tab/>
      </w:r>
      <w:r w:rsidR="00B072EC" w:rsidRPr="00B95C3A">
        <w:rPr>
          <w:lang w:val="en-GB"/>
        </w:rPr>
        <w:t>Burundian Armed Forces</w:t>
      </w:r>
    </w:p>
    <w:p w14:paraId="2A52AC61" w14:textId="28F5C339" w:rsidR="006950EE" w:rsidRPr="00B95C3A" w:rsidRDefault="006950EE" w:rsidP="006950EE">
      <w:pPr>
        <w:pStyle w:val="SingleTxtG"/>
        <w:rPr>
          <w:lang w:val="en-GB"/>
        </w:rPr>
      </w:pPr>
      <w:r w:rsidRPr="00B95C3A">
        <w:rPr>
          <w:lang w:val="en-GB"/>
        </w:rPr>
        <w:t>FDNB</w:t>
      </w:r>
      <w:r w:rsidRPr="00B95C3A">
        <w:rPr>
          <w:lang w:val="en-GB"/>
        </w:rPr>
        <w:tab/>
      </w:r>
      <w:r w:rsidRPr="00B95C3A">
        <w:rPr>
          <w:lang w:val="en-GB"/>
        </w:rPr>
        <w:tab/>
      </w:r>
      <w:r w:rsidRPr="00B95C3A">
        <w:rPr>
          <w:lang w:val="en-GB"/>
        </w:rPr>
        <w:tab/>
      </w:r>
      <w:r w:rsidR="00B072EC" w:rsidRPr="00B95C3A">
        <w:rPr>
          <w:lang w:val="en-GB"/>
        </w:rPr>
        <w:t>National Defense Forces of Burundi</w:t>
      </w:r>
    </w:p>
    <w:p w14:paraId="40ABD6E9" w14:textId="77777777" w:rsidR="006950EE" w:rsidRPr="00B95C3A" w:rsidRDefault="006950EE" w:rsidP="006950EE">
      <w:pPr>
        <w:pStyle w:val="SingleTxtG"/>
        <w:rPr>
          <w:lang w:val="fr-FR"/>
        </w:rPr>
      </w:pPr>
      <w:r w:rsidRPr="00B95C3A">
        <w:rPr>
          <w:lang w:val="fr-FR"/>
        </w:rPr>
        <w:t>FOREBU</w:t>
      </w:r>
      <w:r w:rsidRPr="00B95C3A">
        <w:rPr>
          <w:lang w:val="fr-FR"/>
        </w:rPr>
        <w:tab/>
      </w:r>
      <w:r w:rsidRPr="00B95C3A">
        <w:rPr>
          <w:lang w:val="fr-FR"/>
        </w:rPr>
        <w:tab/>
        <w:t>Forces républicaines du Burundi</w:t>
      </w:r>
    </w:p>
    <w:p w14:paraId="1B608209" w14:textId="77777777" w:rsidR="006950EE" w:rsidRPr="00B95C3A" w:rsidRDefault="006950EE" w:rsidP="006950EE">
      <w:pPr>
        <w:pStyle w:val="SingleTxtG"/>
        <w:rPr>
          <w:lang w:val="fr-FR"/>
        </w:rPr>
      </w:pPr>
      <w:r w:rsidRPr="00B95C3A">
        <w:rPr>
          <w:lang w:val="fr-FR"/>
        </w:rPr>
        <w:t>FNL</w:t>
      </w:r>
      <w:r w:rsidRPr="00B95C3A">
        <w:rPr>
          <w:lang w:val="fr-FR"/>
        </w:rPr>
        <w:tab/>
      </w:r>
      <w:r w:rsidRPr="00B95C3A">
        <w:rPr>
          <w:lang w:val="fr-FR"/>
        </w:rPr>
        <w:tab/>
      </w:r>
      <w:r w:rsidRPr="00B95C3A">
        <w:rPr>
          <w:lang w:val="fr-FR"/>
        </w:rPr>
        <w:tab/>
        <w:t xml:space="preserve">Forces nationales de libération </w:t>
      </w:r>
    </w:p>
    <w:p w14:paraId="6069617E" w14:textId="77777777" w:rsidR="006950EE" w:rsidRPr="00C5736C" w:rsidRDefault="006950EE" w:rsidP="006950EE">
      <w:pPr>
        <w:pStyle w:val="SingleTxtG"/>
        <w:rPr>
          <w:lang w:val="en-GB"/>
        </w:rPr>
      </w:pPr>
      <w:r w:rsidRPr="00C5736C">
        <w:rPr>
          <w:lang w:val="en-GB"/>
        </w:rPr>
        <w:t xml:space="preserve">GMIR </w:t>
      </w:r>
      <w:r w:rsidRPr="00C5736C">
        <w:rPr>
          <w:lang w:val="en-GB"/>
        </w:rPr>
        <w:tab/>
      </w:r>
      <w:r w:rsidRPr="00C5736C">
        <w:rPr>
          <w:lang w:val="en-GB"/>
        </w:rPr>
        <w:tab/>
        <w:t xml:space="preserve">Groupe mobile d’intervention rapide </w:t>
      </w:r>
    </w:p>
    <w:p w14:paraId="386E40DA" w14:textId="317D01D4" w:rsidR="00B072EC" w:rsidRPr="00B95C3A" w:rsidRDefault="00B072EC" w:rsidP="00B072EC">
      <w:pPr>
        <w:pStyle w:val="SingleTxtG"/>
        <w:ind w:left="2829" w:hanging="1695"/>
        <w:rPr>
          <w:lang w:val="en-GB"/>
        </w:rPr>
      </w:pPr>
      <w:r w:rsidRPr="00B95C3A">
        <w:rPr>
          <w:lang w:val="en-GB"/>
        </w:rPr>
        <w:t>OHCHR</w:t>
      </w:r>
      <w:r w:rsidRPr="00B95C3A">
        <w:rPr>
          <w:lang w:val="en-GB"/>
        </w:rPr>
        <w:tab/>
      </w:r>
      <w:r w:rsidRPr="00B95C3A">
        <w:rPr>
          <w:lang w:val="en-GB"/>
        </w:rPr>
        <w:tab/>
        <w:t>Office of the United Nations High-Commissioner for human rights</w:t>
      </w:r>
    </w:p>
    <w:p w14:paraId="0D6AC6CF" w14:textId="530F6492" w:rsidR="006950EE" w:rsidRPr="00B95C3A" w:rsidRDefault="006950EE" w:rsidP="006950EE">
      <w:pPr>
        <w:pStyle w:val="SingleTxtG"/>
        <w:rPr>
          <w:lang w:val="en-GB"/>
        </w:rPr>
      </w:pPr>
      <w:r w:rsidRPr="00B95C3A">
        <w:rPr>
          <w:lang w:val="en-GB"/>
        </w:rPr>
        <w:t>MENUB</w:t>
      </w:r>
      <w:r w:rsidRPr="00B95C3A">
        <w:rPr>
          <w:lang w:val="en-GB"/>
        </w:rPr>
        <w:tab/>
      </w:r>
      <w:r w:rsidRPr="00B95C3A">
        <w:rPr>
          <w:lang w:val="en-GB"/>
        </w:rPr>
        <w:tab/>
      </w:r>
      <w:r w:rsidR="00B072EC" w:rsidRPr="00B95C3A">
        <w:rPr>
          <w:lang w:val="en-GB"/>
        </w:rPr>
        <w:t xml:space="preserve">United Nations </w:t>
      </w:r>
      <w:r w:rsidRPr="00B95C3A">
        <w:rPr>
          <w:lang w:val="en-GB"/>
        </w:rPr>
        <w:t xml:space="preserve">Mission </w:t>
      </w:r>
      <w:r w:rsidR="00B072EC" w:rsidRPr="00B95C3A">
        <w:rPr>
          <w:lang w:val="en-GB"/>
        </w:rPr>
        <w:t xml:space="preserve">in </w:t>
      </w:r>
      <w:r w:rsidRPr="00B95C3A">
        <w:rPr>
          <w:lang w:val="en-GB"/>
        </w:rPr>
        <w:t>Burundi</w:t>
      </w:r>
    </w:p>
    <w:p w14:paraId="5459ADB8" w14:textId="348C0A52" w:rsidR="006950EE" w:rsidRPr="00B95C3A" w:rsidRDefault="006950EE" w:rsidP="006950EE">
      <w:pPr>
        <w:pStyle w:val="SingleTxtG"/>
        <w:rPr>
          <w:lang w:val="fr-FR"/>
        </w:rPr>
      </w:pPr>
      <w:r w:rsidRPr="00B95C3A">
        <w:rPr>
          <w:lang w:val="fr-FR"/>
        </w:rPr>
        <w:t>MSD</w:t>
      </w:r>
      <w:r w:rsidRPr="00B95C3A">
        <w:rPr>
          <w:lang w:val="fr-FR"/>
        </w:rPr>
        <w:tab/>
      </w:r>
      <w:r w:rsidRPr="00B95C3A">
        <w:rPr>
          <w:lang w:val="fr-FR"/>
        </w:rPr>
        <w:tab/>
      </w:r>
      <w:r w:rsidRPr="00B95C3A">
        <w:rPr>
          <w:lang w:val="fr-FR"/>
        </w:rPr>
        <w:tab/>
        <w:t xml:space="preserve">Mouvement pour la solidarité </w:t>
      </w:r>
      <w:r w:rsidR="00AD259D" w:rsidRPr="00B95C3A">
        <w:rPr>
          <w:lang w:val="fr-FR"/>
        </w:rPr>
        <w:t>and</w:t>
      </w:r>
      <w:r w:rsidRPr="00B95C3A">
        <w:rPr>
          <w:lang w:val="fr-FR"/>
        </w:rPr>
        <w:t xml:space="preserve"> le développement</w:t>
      </w:r>
    </w:p>
    <w:p w14:paraId="0B42E979" w14:textId="77777777" w:rsidR="00B072EC" w:rsidRPr="00B95C3A" w:rsidRDefault="00B072EC" w:rsidP="00B072EC">
      <w:pPr>
        <w:pStyle w:val="SingleTxtG"/>
        <w:rPr>
          <w:lang w:val="en-GB"/>
        </w:rPr>
      </w:pPr>
      <w:r w:rsidRPr="00B95C3A">
        <w:rPr>
          <w:lang w:val="en-GB"/>
        </w:rPr>
        <w:lastRenderedPageBreak/>
        <w:t>NGO</w:t>
      </w:r>
      <w:r w:rsidRPr="00B95C3A">
        <w:rPr>
          <w:lang w:val="en-GB"/>
        </w:rPr>
        <w:tab/>
      </w:r>
      <w:r w:rsidRPr="00B95C3A">
        <w:rPr>
          <w:lang w:val="en-GB"/>
        </w:rPr>
        <w:tab/>
      </w:r>
      <w:r w:rsidRPr="00B95C3A">
        <w:rPr>
          <w:lang w:val="en-GB"/>
        </w:rPr>
        <w:tab/>
        <w:t xml:space="preserve">Non-Governmental Organisation </w:t>
      </w:r>
    </w:p>
    <w:p w14:paraId="7A34056D" w14:textId="4D2AFB21" w:rsidR="006950EE" w:rsidRPr="00B95C3A" w:rsidRDefault="00B072EC" w:rsidP="006950EE">
      <w:pPr>
        <w:pStyle w:val="SingleTxtG"/>
        <w:rPr>
          <w:lang w:val="en-GB"/>
        </w:rPr>
      </w:pPr>
      <w:r w:rsidRPr="00B95C3A">
        <w:rPr>
          <w:lang w:val="en-GB"/>
        </w:rPr>
        <w:t>ICCPR</w:t>
      </w:r>
      <w:r w:rsidR="006950EE" w:rsidRPr="00B95C3A">
        <w:rPr>
          <w:lang w:val="en-GB"/>
        </w:rPr>
        <w:tab/>
      </w:r>
      <w:r w:rsidR="006950EE" w:rsidRPr="00B95C3A">
        <w:rPr>
          <w:lang w:val="en-GB"/>
        </w:rPr>
        <w:tab/>
      </w:r>
      <w:r w:rsidRPr="00B95C3A">
        <w:rPr>
          <w:lang w:val="en-GB"/>
        </w:rPr>
        <w:t>International Covenant on Civil and Political Rights</w:t>
      </w:r>
    </w:p>
    <w:p w14:paraId="38C1180A" w14:textId="45999EDC" w:rsidR="006950EE" w:rsidRPr="00C5736C" w:rsidRDefault="00B072EC" w:rsidP="00CC7B6C">
      <w:pPr>
        <w:pStyle w:val="SingleTxtG"/>
        <w:ind w:left="2829" w:hanging="1695"/>
        <w:rPr>
          <w:lang w:val="en-GB"/>
        </w:rPr>
      </w:pPr>
      <w:r w:rsidRPr="00C5736C">
        <w:rPr>
          <w:lang w:val="en-GB"/>
        </w:rPr>
        <w:t>ICESCR</w:t>
      </w:r>
      <w:r w:rsidR="006950EE" w:rsidRPr="00C5736C">
        <w:rPr>
          <w:lang w:val="en-GB"/>
        </w:rPr>
        <w:tab/>
      </w:r>
      <w:r w:rsidR="001C52FB" w:rsidRPr="00C5736C">
        <w:rPr>
          <w:lang w:val="en-GB"/>
        </w:rPr>
        <w:t>International Covenant on Economic, Social and Cultural Rights</w:t>
      </w:r>
      <w:r w:rsidR="00CC7B6C" w:rsidRPr="00C5736C">
        <w:rPr>
          <w:lang w:val="en-GB"/>
        </w:rPr>
        <w:tab/>
      </w:r>
    </w:p>
    <w:p w14:paraId="7424B744" w14:textId="77777777" w:rsidR="00B072EC" w:rsidRPr="00B95C3A" w:rsidRDefault="006950EE" w:rsidP="006950EE">
      <w:pPr>
        <w:pStyle w:val="SingleTxtG"/>
        <w:rPr>
          <w:lang w:val="fr-FR"/>
        </w:rPr>
      </w:pPr>
      <w:r w:rsidRPr="00B95C3A">
        <w:rPr>
          <w:lang w:val="fr-FR"/>
        </w:rPr>
        <w:t>PNB</w:t>
      </w:r>
      <w:r w:rsidRPr="00B95C3A">
        <w:rPr>
          <w:lang w:val="fr-FR"/>
        </w:rPr>
        <w:tab/>
      </w:r>
      <w:r w:rsidRPr="00B95C3A">
        <w:rPr>
          <w:lang w:val="fr-FR"/>
        </w:rPr>
        <w:tab/>
      </w:r>
      <w:r w:rsidRPr="00B95C3A">
        <w:rPr>
          <w:lang w:val="fr-FR"/>
        </w:rPr>
        <w:tab/>
      </w:r>
      <w:r w:rsidR="00B072EC" w:rsidRPr="00B95C3A">
        <w:rPr>
          <w:lang w:val="fr-FR"/>
        </w:rPr>
        <w:t xml:space="preserve">Burundian National Police </w:t>
      </w:r>
    </w:p>
    <w:p w14:paraId="16EAA01D" w14:textId="622658AC" w:rsidR="006950EE" w:rsidRPr="00B95C3A" w:rsidRDefault="006950EE" w:rsidP="006950EE">
      <w:pPr>
        <w:pStyle w:val="SingleTxtG"/>
        <w:rPr>
          <w:lang w:val="fr-FR"/>
        </w:rPr>
      </w:pPr>
      <w:r w:rsidRPr="00B95C3A">
        <w:rPr>
          <w:lang w:val="fr-FR"/>
        </w:rPr>
        <w:t>RED-Tabara</w:t>
      </w:r>
      <w:r w:rsidRPr="00B95C3A">
        <w:rPr>
          <w:lang w:val="fr-FR"/>
        </w:rPr>
        <w:tab/>
      </w:r>
      <w:r w:rsidRPr="00B95C3A">
        <w:rPr>
          <w:lang w:val="fr-FR"/>
        </w:rPr>
        <w:tab/>
        <w:t>Résistance pour un état de droit - Tabara</w:t>
      </w:r>
    </w:p>
    <w:p w14:paraId="666D1F27" w14:textId="77777777" w:rsidR="001C52FB" w:rsidRPr="00B95C3A" w:rsidRDefault="006950EE" w:rsidP="006950EE">
      <w:pPr>
        <w:pStyle w:val="SingleTxtG"/>
        <w:rPr>
          <w:lang w:val="fr-FR"/>
        </w:rPr>
      </w:pPr>
      <w:r w:rsidRPr="00B95C3A">
        <w:rPr>
          <w:lang w:val="fr-FR"/>
        </w:rPr>
        <w:t>SNR</w:t>
      </w:r>
      <w:r w:rsidRPr="00B95C3A">
        <w:rPr>
          <w:lang w:val="fr-FR"/>
        </w:rPr>
        <w:tab/>
      </w:r>
      <w:r w:rsidRPr="00B95C3A">
        <w:rPr>
          <w:lang w:val="fr-FR"/>
        </w:rPr>
        <w:tab/>
      </w:r>
      <w:r w:rsidRPr="00B95C3A">
        <w:rPr>
          <w:lang w:val="fr-FR"/>
        </w:rPr>
        <w:tab/>
      </w:r>
      <w:r w:rsidR="001C52FB" w:rsidRPr="00B95C3A">
        <w:rPr>
          <w:lang w:val="fr-FR"/>
        </w:rPr>
        <w:t xml:space="preserve">National Intelligence Service </w:t>
      </w:r>
    </w:p>
    <w:p w14:paraId="048C09A7" w14:textId="1438E9C6" w:rsidR="006950EE" w:rsidRPr="00B95C3A" w:rsidRDefault="006950EE" w:rsidP="006950EE">
      <w:pPr>
        <w:pStyle w:val="SingleTxtG"/>
        <w:rPr>
          <w:lang w:val="fr-FR"/>
        </w:rPr>
      </w:pPr>
      <w:r w:rsidRPr="00B95C3A">
        <w:rPr>
          <w:lang w:val="fr-FR"/>
        </w:rPr>
        <w:t>UPD-Zigamibanga</w:t>
      </w:r>
      <w:r w:rsidRPr="00B95C3A">
        <w:rPr>
          <w:lang w:val="fr-FR"/>
        </w:rPr>
        <w:tab/>
        <w:t xml:space="preserve">Union pour la paix </w:t>
      </w:r>
      <w:r w:rsidR="00AD259D" w:rsidRPr="00B95C3A">
        <w:rPr>
          <w:lang w:val="fr-FR"/>
        </w:rPr>
        <w:t>and</w:t>
      </w:r>
      <w:r w:rsidRPr="00B95C3A">
        <w:rPr>
          <w:lang w:val="fr-FR"/>
        </w:rPr>
        <w:t xml:space="preserve"> le développement-Zigamibanga</w:t>
      </w:r>
    </w:p>
    <w:p w14:paraId="0F8EFEE6" w14:textId="579490E3" w:rsidR="007217DF" w:rsidRPr="00B95C3A" w:rsidRDefault="006950EE" w:rsidP="00AB211A">
      <w:pPr>
        <w:pStyle w:val="HChG"/>
        <w:ind w:left="851" w:hanging="142"/>
        <w:rPr>
          <w:rFonts w:asciiTheme="majorBidi" w:hAnsiTheme="majorBidi" w:cstheme="majorBidi"/>
          <w:lang w:val="fr-FR"/>
        </w:rPr>
      </w:pPr>
      <w:r w:rsidRPr="00B95C3A">
        <w:rPr>
          <w:lang w:val="fr-FR"/>
        </w:rPr>
        <w:br w:type="page"/>
      </w:r>
    </w:p>
    <w:p w14:paraId="69200864" w14:textId="77777777" w:rsidR="00F35CB9" w:rsidRPr="007158E9" w:rsidRDefault="00A87D33" w:rsidP="00F35CB9">
      <w:pPr>
        <w:pStyle w:val="HChG"/>
        <w:rPr>
          <w:lang w:val="en-GB"/>
        </w:rPr>
      </w:pPr>
      <w:r w:rsidRPr="007D6C17">
        <w:rPr>
          <w:color w:val="1F497D" w:themeColor="text2"/>
          <w:lang w:val="fr-FR"/>
        </w:rPr>
        <w:lastRenderedPageBreak/>
        <w:tab/>
      </w:r>
      <w:r w:rsidR="00F35CB9" w:rsidRPr="007158E9">
        <w:rPr>
          <w:lang w:val="en-GB"/>
        </w:rPr>
        <w:t>III.</w:t>
      </w:r>
      <w:r w:rsidR="00F35CB9" w:rsidRPr="007158E9">
        <w:rPr>
          <w:lang w:val="en-GB"/>
        </w:rPr>
        <w:tab/>
        <w:t>Human rights situation</w:t>
      </w:r>
    </w:p>
    <w:p w14:paraId="0CEECCC8" w14:textId="77777777" w:rsidR="00F35CB9" w:rsidRPr="007158E9" w:rsidRDefault="00F35CB9" w:rsidP="00F35CB9">
      <w:pPr>
        <w:pStyle w:val="SingleTxtG"/>
        <w:tabs>
          <w:tab w:val="left" w:pos="1701"/>
        </w:tabs>
        <w:ind w:right="567"/>
        <w:rPr>
          <w:lang w:val="en-GB"/>
        </w:rPr>
      </w:pPr>
      <w:r w:rsidRPr="007158E9">
        <w:rPr>
          <w:lang w:val="en-GB"/>
        </w:rPr>
        <w:t>216.</w:t>
      </w:r>
      <w:r w:rsidRPr="007158E9">
        <w:rPr>
          <w:lang w:val="en-GB"/>
        </w:rPr>
        <w:tab/>
        <w:t>This section covers results of investigations conducted by the Commission since the renewal of its mandate in Septembre 2017. It should be read as a continuation of the first report of the Commission which focused mainly on the human rigthts violations in 2015 and 2016. The present part covers the human rights violations in 2017 and 2018, with the exception of the chapter on economic and social rights which looks at the evolution of the situation in this area since 2015, an aspect that the Commission did not have sufficient time to study in detail during its first mandate. The chapter on the dysfunctions in the judicial system provides an in-depth study of the judicial system in Burundi, whose problems date back to before 2015, but have since worsened.</w:t>
      </w:r>
    </w:p>
    <w:p w14:paraId="4032D013" w14:textId="77777777" w:rsidR="00F35CB9" w:rsidRPr="007158E9" w:rsidRDefault="00F35CB9" w:rsidP="00F35CB9">
      <w:pPr>
        <w:pStyle w:val="H1G"/>
      </w:pPr>
      <w:r w:rsidRPr="007158E9">
        <w:tab/>
        <w:t>A.</w:t>
      </w:r>
      <w:r w:rsidRPr="007158E9">
        <w:tab/>
        <w:t>Main trends in 2017 and 2018</w:t>
      </w:r>
    </w:p>
    <w:p w14:paraId="78654450" w14:textId="154FA26C" w:rsidR="00F35CB9" w:rsidRPr="007158E9" w:rsidRDefault="00F35CB9" w:rsidP="00F35CB9">
      <w:pPr>
        <w:pStyle w:val="SingleTxtG"/>
        <w:tabs>
          <w:tab w:val="left" w:pos="1701"/>
        </w:tabs>
        <w:ind w:right="567"/>
        <w:rPr>
          <w:lang w:val="en-GB"/>
        </w:rPr>
      </w:pPr>
      <w:r w:rsidRPr="007158E9">
        <w:rPr>
          <w:lang w:val="en-GB"/>
        </w:rPr>
        <w:t>217.</w:t>
      </w:r>
      <w:r w:rsidRPr="007158E9">
        <w:rPr>
          <w:lang w:val="en-GB"/>
        </w:rPr>
        <w:tab/>
        <w:t>The Commission found that the main human rights violations documented since the political crisis began in April 2015, namely cases of summary execution, disappearance and enforced disappearance, arbitrary arrest and detention, torture and ill-treatment, and sexual violence</w:t>
      </w:r>
      <w:r w:rsidR="00233BBF">
        <w:rPr>
          <w:lang w:val="en-GB"/>
        </w:rPr>
        <w:t>,</w:t>
      </w:r>
      <w:r w:rsidRPr="007158E9">
        <w:rPr>
          <w:sz w:val="18"/>
          <w:vertAlign w:val="superscript"/>
          <w:lang w:val="en-GB"/>
        </w:rPr>
        <w:footnoteReference w:id="3"/>
      </w:r>
      <w:r w:rsidRPr="007158E9">
        <w:rPr>
          <w:lang w:val="en-GB"/>
        </w:rPr>
        <w:t xml:space="preserve"> have persisted in 2017 and 2018. As in the past, most of the victims of these violations are opponents of the Government and/or of the ruling party (the Conseil national pour la défense de la démocratie-Forces pour la défense de la démocratie – CNDD-FDD) or persons who are perceived as such, including members of opposition political parties (particularly the Forces nationales de libération, led by Agathon Rwasa, and the Mouvement pour la solidarité et la démocratie); supporters of armed opposition groups; Burundians trying to flee the country and therefore suspected of joining such groups; or journalists or </w:t>
      </w:r>
      <w:r w:rsidR="00233BBF">
        <w:rPr>
          <w:lang w:val="en-GB"/>
        </w:rPr>
        <w:t>members of civil society organis</w:t>
      </w:r>
      <w:r w:rsidRPr="007158E9">
        <w:rPr>
          <w:lang w:val="en-GB"/>
        </w:rPr>
        <w:t>ations.</w:t>
      </w:r>
    </w:p>
    <w:p w14:paraId="5FFAA1FA" w14:textId="3889D113" w:rsidR="00F35CB9" w:rsidRPr="007158E9" w:rsidRDefault="00F35CB9" w:rsidP="00F35CB9">
      <w:pPr>
        <w:pStyle w:val="SingleTxtG"/>
        <w:ind w:right="567"/>
        <w:rPr>
          <w:lang w:val="en-GB"/>
        </w:rPr>
      </w:pPr>
      <w:r w:rsidRPr="007158E9">
        <w:rPr>
          <w:lang w:val="en-GB"/>
        </w:rPr>
        <w:t>218.</w:t>
      </w:r>
      <w:r w:rsidRPr="007158E9">
        <w:rPr>
          <w:lang w:val="en-GB"/>
        </w:rPr>
        <w:tab/>
        <w:t>The violations have had lasting psychological and physical effects on the victims. Those that have been committed primarily against men, including arbitrary detention, enforced disappearance and summary execution, have had multiple consequences for the victims’ families. In the words of a widow interviewed by the Commission: “</w:t>
      </w:r>
      <w:r w:rsidRPr="007158E9">
        <w:rPr>
          <w:i/>
          <w:lang w:val="en-GB"/>
        </w:rPr>
        <w:t>A household without a man is very vulnerable</w:t>
      </w:r>
      <w:r w:rsidRPr="007158E9">
        <w:rPr>
          <w:lang w:val="en-GB"/>
        </w:rPr>
        <w:t>”</w:t>
      </w:r>
      <w:r w:rsidR="00233BBF">
        <w:rPr>
          <w:lang w:val="en-GB"/>
        </w:rPr>
        <w:t>.</w:t>
      </w:r>
      <w:r w:rsidRPr="007158E9">
        <w:rPr>
          <w:vertAlign w:val="superscript"/>
          <w:lang w:val="en-GB"/>
        </w:rPr>
        <w:footnoteReference w:id="4"/>
      </w:r>
      <w:r w:rsidRPr="007158E9">
        <w:rPr>
          <w:lang w:val="en-GB"/>
        </w:rPr>
        <w:t xml:space="preserve"> Several women gave account of violence, including sexual violence</w:t>
      </w:r>
      <w:r w:rsidR="00663F81">
        <w:rPr>
          <w:lang w:val="en-GB"/>
        </w:rPr>
        <w:t>,</w:t>
      </w:r>
      <w:r w:rsidRPr="007158E9">
        <w:rPr>
          <w:vertAlign w:val="superscript"/>
          <w:lang w:val="en-GB"/>
        </w:rPr>
        <w:footnoteReference w:id="5"/>
      </w:r>
      <w:r w:rsidRPr="007158E9">
        <w:rPr>
          <w:lang w:val="en-GB"/>
        </w:rPr>
        <w:t xml:space="preserve"> which at times did not spare their children, in that the latter either endured or witnessed the violence. Often the spouses or other members of the family were threatened, including death threats or threats of harassment and attacks targeting their household. The resulting fear and trauma were compounded by the anguish on the fate of their relatives, especially in cases of enforced disappearance, as well as in cases of spouses who found themselves as head of household, the challenge of providing for their family’s needs. In addition to the impact of losing a spouse, wives often face harassment, threats or violence on the part of the alleged perpetrators and are unable to meet the basic needs of their families.</w:t>
      </w:r>
    </w:p>
    <w:p w14:paraId="2D24E9D5" w14:textId="1A7D7280" w:rsidR="00F35CB9" w:rsidRPr="007158E9" w:rsidRDefault="00F35CB9" w:rsidP="00F35CB9">
      <w:pPr>
        <w:pStyle w:val="SingleTxtG"/>
        <w:ind w:right="567"/>
        <w:rPr>
          <w:lang w:val="en-GB"/>
        </w:rPr>
      </w:pPr>
      <w:r w:rsidRPr="007158E9">
        <w:rPr>
          <w:lang w:val="en-GB"/>
        </w:rPr>
        <w:tab/>
        <w:t>219.</w:t>
      </w:r>
      <w:r w:rsidRPr="007158E9">
        <w:rPr>
          <w:lang w:val="en-GB"/>
        </w:rPr>
        <w:tab/>
        <w:t xml:space="preserve">Before and during the campaign to amend the Constitution, CNDD-FDD and its youth league, the Imbonerakure, stepped up their efforts to recruit members from among the general public. These efforts focused in particular on Burundians — even those who were apolitical — who had refused or been unable to register to vote and on those who had not paid their contribution for the 2020 elections. These trends are further limiting freedom of expression in a country whose main independent media </w:t>
      </w:r>
      <w:r w:rsidR="00233BBF">
        <w:rPr>
          <w:lang w:val="en-GB"/>
        </w:rPr>
        <w:t>outlets and human rights organis</w:t>
      </w:r>
      <w:r w:rsidRPr="007158E9">
        <w:rPr>
          <w:lang w:val="en-GB"/>
        </w:rPr>
        <w:t>ations have been banned. Those that continue to operate in the country have been subjected to restrictions, threats and persecution</w:t>
      </w:r>
      <w:r w:rsidR="00233BBF">
        <w:rPr>
          <w:lang w:val="en-GB"/>
        </w:rPr>
        <w:t>.</w:t>
      </w:r>
      <w:r w:rsidRPr="007158E9">
        <w:rPr>
          <w:sz w:val="18"/>
          <w:vertAlign w:val="superscript"/>
          <w:lang w:val="en-GB"/>
        </w:rPr>
        <w:footnoteReference w:id="6"/>
      </w:r>
    </w:p>
    <w:p w14:paraId="7C2B6D70" w14:textId="0A296097" w:rsidR="00F35CB9" w:rsidRPr="007158E9" w:rsidRDefault="00F35CB9" w:rsidP="00F35CB9">
      <w:pPr>
        <w:pStyle w:val="SingleTxtG"/>
        <w:tabs>
          <w:tab w:val="left" w:pos="1701"/>
        </w:tabs>
        <w:ind w:right="567"/>
        <w:rPr>
          <w:lang w:val="en-GB"/>
        </w:rPr>
      </w:pPr>
      <w:r w:rsidRPr="007158E9">
        <w:rPr>
          <w:lang w:val="en-GB"/>
        </w:rPr>
        <w:t>220.</w:t>
      </w:r>
      <w:r w:rsidRPr="007158E9">
        <w:rPr>
          <w:lang w:val="en-GB"/>
        </w:rPr>
        <w:tab/>
        <w:t xml:space="preserve">This climate of disregard for human rights continues to be fomented by repeated instances in which hatred and violence have been advocated by the authorities, including </w:t>
      </w:r>
      <w:r w:rsidRPr="007158E9">
        <w:rPr>
          <w:lang w:val="en-GB"/>
        </w:rPr>
        <w:lastRenderedPageBreak/>
        <w:t>the Head of State and members of CNDD-FDD</w:t>
      </w:r>
      <w:r w:rsidR="00663F81">
        <w:rPr>
          <w:lang w:val="en-GB"/>
        </w:rPr>
        <w:t>,</w:t>
      </w:r>
      <w:r w:rsidRPr="007158E9">
        <w:rPr>
          <w:sz w:val="18"/>
          <w:vertAlign w:val="superscript"/>
          <w:lang w:val="en-GB"/>
        </w:rPr>
        <w:footnoteReference w:id="7"/>
      </w:r>
      <w:r w:rsidRPr="007158E9">
        <w:rPr>
          <w:sz w:val="18"/>
          <w:vertAlign w:val="superscript"/>
          <w:lang w:val="en-GB"/>
        </w:rPr>
        <w:t xml:space="preserve"> </w:t>
      </w:r>
      <w:r w:rsidRPr="007158E9">
        <w:rPr>
          <w:lang w:val="en-GB"/>
        </w:rPr>
        <w:t>and by an overall context of impunity exacerbated by the lack of an independent and properly functioning judicial system, as well as a lack of public trust in the latter</w:t>
      </w:r>
      <w:r w:rsidR="00663F81">
        <w:rPr>
          <w:lang w:val="en-GB"/>
        </w:rPr>
        <w:t>.</w:t>
      </w:r>
      <w:r w:rsidRPr="007158E9">
        <w:rPr>
          <w:sz w:val="18"/>
          <w:vertAlign w:val="superscript"/>
          <w:lang w:val="en-GB"/>
        </w:rPr>
        <w:footnoteReference w:id="8"/>
      </w:r>
      <w:r w:rsidRPr="007158E9">
        <w:rPr>
          <w:lang w:val="en-GB"/>
        </w:rPr>
        <w:t xml:space="preserve"> This environment has also had a direct impact on the enjoyment of economic and social rights, given that a growing share of the population has unmet needs, primarily in the areas of health, nutrition, water, hygiene and sanitation, as a result of increased financial pressure from the authorities and CNDD-FDD. Whereas Burundi was formerly a developing country, it is now once again in a state of humanitarian emergency. In some cases, Burundians are deprived of their rights</w:t>
      </w:r>
      <w:r w:rsidR="00233BBF" w:rsidRPr="00233BBF">
        <w:rPr>
          <w:lang w:val="en-GB"/>
        </w:rPr>
        <w:t xml:space="preserve"> </w:t>
      </w:r>
      <w:r w:rsidR="00233BBF" w:rsidRPr="007158E9">
        <w:rPr>
          <w:lang w:val="en-GB"/>
        </w:rPr>
        <w:t>for political reasons</w:t>
      </w:r>
      <w:r w:rsidRPr="007158E9">
        <w:rPr>
          <w:lang w:val="en-GB"/>
        </w:rPr>
        <w:t>, such as the right to education</w:t>
      </w:r>
      <w:r w:rsidR="00233BBF">
        <w:rPr>
          <w:lang w:val="en-GB"/>
        </w:rPr>
        <w:t>.</w:t>
      </w:r>
      <w:r w:rsidRPr="007158E9">
        <w:rPr>
          <w:sz w:val="18"/>
          <w:vertAlign w:val="superscript"/>
          <w:lang w:val="en-GB"/>
        </w:rPr>
        <w:footnoteReference w:id="9"/>
      </w:r>
    </w:p>
    <w:p w14:paraId="29125275" w14:textId="77777777" w:rsidR="00F35CB9" w:rsidRPr="007158E9" w:rsidRDefault="00F35CB9" w:rsidP="00F35CB9">
      <w:pPr>
        <w:pStyle w:val="H1G"/>
      </w:pPr>
      <w:r w:rsidRPr="007158E9">
        <w:tab/>
        <w:t>B.</w:t>
      </w:r>
      <w:r w:rsidRPr="007158E9">
        <w:tab/>
        <w:t>Responsability</w:t>
      </w:r>
    </w:p>
    <w:p w14:paraId="3EF21437" w14:textId="77777777" w:rsidR="00F35CB9" w:rsidRPr="007158E9" w:rsidRDefault="00F35CB9" w:rsidP="00F35CB9">
      <w:pPr>
        <w:pStyle w:val="H23G"/>
        <w:rPr>
          <w:lang w:val="en-GB"/>
        </w:rPr>
      </w:pPr>
      <w:r w:rsidRPr="007158E9">
        <w:rPr>
          <w:lang w:val="en-GB"/>
        </w:rPr>
        <w:tab/>
        <w:t>1.</w:t>
      </w:r>
      <w:r w:rsidRPr="007158E9">
        <w:rPr>
          <w:lang w:val="en-GB"/>
        </w:rPr>
        <w:tab/>
        <w:t>Responsability of the Burundian State</w:t>
      </w:r>
    </w:p>
    <w:p w14:paraId="67FE6748" w14:textId="77777777" w:rsidR="00F35CB9" w:rsidRPr="007158E9" w:rsidRDefault="00F35CB9" w:rsidP="00F35CB9">
      <w:pPr>
        <w:pStyle w:val="SingleTxtG"/>
        <w:ind w:right="567"/>
        <w:rPr>
          <w:lang w:val="en-GB"/>
        </w:rPr>
      </w:pPr>
      <w:r w:rsidRPr="007158E9">
        <w:rPr>
          <w:lang w:val="en-GB"/>
        </w:rPr>
        <w:tab/>
        <w:t>221.</w:t>
      </w:r>
      <w:r w:rsidRPr="007158E9">
        <w:rPr>
          <w:lang w:val="en-GB"/>
        </w:rPr>
        <w:tab/>
        <w:t xml:space="preserve">Under international human rights law, States have a threefold obligation to respect, protect and fulfil human rights, including both civil and political rights and economic and social rights. </w:t>
      </w:r>
    </w:p>
    <w:p w14:paraId="25CD252D"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Obligation to respect</w:t>
      </w:r>
    </w:p>
    <w:p w14:paraId="4A17F807" w14:textId="37D37B33" w:rsidR="00F35CB9" w:rsidRPr="007158E9" w:rsidRDefault="00F35CB9" w:rsidP="00F35CB9">
      <w:pPr>
        <w:pStyle w:val="SingleTxtG"/>
        <w:ind w:right="567"/>
        <w:rPr>
          <w:lang w:val="en-GB"/>
        </w:rPr>
      </w:pPr>
      <w:r w:rsidRPr="007158E9">
        <w:rPr>
          <w:lang w:val="en-GB"/>
        </w:rPr>
        <w:tab/>
        <w:t>222.</w:t>
      </w:r>
      <w:r w:rsidRPr="007158E9">
        <w:rPr>
          <w:lang w:val="en-GB"/>
        </w:rPr>
        <w:tab/>
        <w:t>The obligation to respect human rights requires States, their agents and persons acting under their control to refrain from actively violating the rights of individuals</w:t>
      </w:r>
      <w:r w:rsidR="00233BBF">
        <w:rPr>
          <w:lang w:val="en-GB"/>
        </w:rPr>
        <w:t>.</w:t>
      </w:r>
      <w:r w:rsidRPr="007158E9">
        <w:rPr>
          <w:sz w:val="18"/>
          <w:vertAlign w:val="superscript"/>
          <w:lang w:val="en-GB"/>
        </w:rPr>
        <w:footnoteReference w:id="10"/>
      </w:r>
      <w:r w:rsidRPr="007158E9">
        <w:rPr>
          <w:lang w:val="en-GB"/>
        </w:rPr>
        <w:t xml:space="preserve"> </w:t>
      </w:r>
    </w:p>
    <w:p w14:paraId="149305BA" w14:textId="77777777" w:rsidR="00F35CB9" w:rsidRPr="007158E9" w:rsidRDefault="00F35CB9" w:rsidP="00F35CB9">
      <w:pPr>
        <w:pStyle w:val="H56G"/>
        <w:rPr>
          <w:b/>
          <w:lang w:val="en-GB"/>
        </w:rPr>
      </w:pPr>
      <w:r w:rsidRPr="007158E9">
        <w:rPr>
          <w:lang w:val="en-GB"/>
        </w:rPr>
        <w:tab/>
      </w:r>
      <w:r w:rsidRPr="007158E9">
        <w:rPr>
          <w:b/>
          <w:lang w:val="en-GB"/>
        </w:rPr>
        <w:t>(i)</w:t>
      </w:r>
      <w:r w:rsidRPr="007158E9">
        <w:rPr>
          <w:b/>
          <w:lang w:val="en-GB"/>
        </w:rPr>
        <w:tab/>
        <w:t>Responsibility of the State for the conduct of its organs</w:t>
      </w:r>
    </w:p>
    <w:p w14:paraId="674F7A99" w14:textId="3D987D70" w:rsidR="00F35CB9" w:rsidRPr="007158E9" w:rsidRDefault="00F35CB9" w:rsidP="00F35CB9">
      <w:pPr>
        <w:pStyle w:val="SingleTxtG"/>
        <w:tabs>
          <w:tab w:val="left" w:pos="1701"/>
        </w:tabs>
        <w:ind w:right="567"/>
        <w:rPr>
          <w:lang w:val="en-GB"/>
        </w:rPr>
      </w:pPr>
      <w:r w:rsidRPr="007158E9">
        <w:rPr>
          <w:lang w:val="en-GB"/>
        </w:rPr>
        <w:t>223.</w:t>
      </w:r>
      <w:r w:rsidRPr="007158E9">
        <w:rPr>
          <w:lang w:val="en-GB"/>
        </w:rPr>
        <w:tab/>
        <w:t>As in its previous report</w:t>
      </w:r>
      <w:r w:rsidR="00233BBF">
        <w:rPr>
          <w:lang w:val="en-GB"/>
        </w:rPr>
        <w:t>,</w:t>
      </w:r>
      <w:r w:rsidRPr="007158E9">
        <w:rPr>
          <w:sz w:val="18"/>
          <w:vertAlign w:val="superscript"/>
          <w:lang w:val="en-GB"/>
        </w:rPr>
        <w:footnoteReference w:id="11"/>
      </w:r>
      <w:r w:rsidRPr="007158E9">
        <w:rPr>
          <w:lang w:val="en-GB"/>
        </w:rPr>
        <w:t xml:space="preserve"> </w:t>
      </w:r>
      <w:r w:rsidR="00233BBF">
        <w:rPr>
          <w:lang w:val="en-GB"/>
        </w:rPr>
        <w:t>t</w:t>
      </w:r>
      <w:r w:rsidRPr="007158E9">
        <w:rPr>
          <w:lang w:val="en-GB"/>
        </w:rPr>
        <w:t>he Commission found that members of the National Intelligence Service (SNR) and the police, including high-ranking officials, were involved in the commission of a large number of human rights violations in 2017 and 2018 in Burundi</w:t>
      </w:r>
      <w:r w:rsidR="00AA20B6">
        <w:rPr>
          <w:lang w:val="en-GB"/>
        </w:rPr>
        <w:t>.</w:t>
      </w:r>
      <w:r w:rsidRPr="007158E9">
        <w:rPr>
          <w:sz w:val="18"/>
          <w:vertAlign w:val="superscript"/>
          <w:lang w:val="en-GB"/>
        </w:rPr>
        <w:footnoteReference w:id="12"/>
      </w:r>
      <w:r w:rsidRPr="007158E9">
        <w:rPr>
          <w:lang w:val="en-GB"/>
        </w:rPr>
        <w:t xml:space="preserve"> These violations include extrajudicial executions, forced disappearance, arbitrary arrests and detentions, torture and other cruel, inhumane and degrading treatment and sexual violence</w:t>
      </w:r>
      <w:r w:rsidR="00AA20B6">
        <w:rPr>
          <w:lang w:val="en-GB"/>
        </w:rPr>
        <w:t>.</w:t>
      </w:r>
      <w:r w:rsidRPr="007158E9">
        <w:rPr>
          <w:sz w:val="18"/>
          <w:vertAlign w:val="superscript"/>
          <w:lang w:val="en-GB"/>
        </w:rPr>
        <w:footnoteReference w:id="13"/>
      </w:r>
    </w:p>
    <w:p w14:paraId="6F1F2B1A" w14:textId="77777777" w:rsidR="00F35CB9" w:rsidRPr="007158E9" w:rsidRDefault="00F35CB9" w:rsidP="00F35CB9">
      <w:pPr>
        <w:pStyle w:val="SingleTxtG"/>
        <w:ind w:right="567"/>
        <w:rPr>
          <w:lang w:val="en-GB"/>
        </w:rPr>
      </w:pPr>
      <w:r w:rsidRPr="007158E9">
        <w:rPr>
          <w:lang w:val="en-GB"/>
        </w:rPr>
        <w:t>224.</w:t>
      </w:r>
      <w:r w:rsidRPr="007158E9">
        <w:rPr>
          <w:lang w:val="en-GB"/>
        </w:rPr>
        <w:tab/>
        <w:t xml:space="preserve">The Commission continued to receive information on the allegations of human rights violations perpetrated by high ranking officials of the SNR. Generally, SNR agents remain, whatever their hierarchical ranking, amongst the main perpetrators of the human rights violations in Burundi, specifically of extrajudicial executions, enforced disappearances, arbitrary arrests and detentions and torture. They are still an essential part of the repressive apparatus, from Bujumbura to the local level, which was setup from April 2015 with the aim of silencing every voice contrary to the Government and/or the CNDD-FDD. </w:t>
      </w:r>
    </w:p>
    <w:p w14:paraId="19C57763" w14:textId="6E8C2637" w:rsidR="00F35CB9" w:rsidRPr="007158E9" w:rsidRDefault="00F35CB9" w:rsidP="00F35CB9">
      <w:pPr>
        <w:pStyle w:val="SingleTxtG"/>
        <w:tabs>
          <w:tab w:val="left" w:pos="1701"/>
        </w:tabs>
        <w:ind w:right="567"/>
        <w:rPr>
          <w:lang w:val="en-GB"/>
        </w:rPr>
      </w:pPr>
      <w:r w:rsidRPr="007158E9">
        <w:rPr>
          <w:lang w:val="en-GB"/>
        </w:rPr>
        <w:t>225.</w:t>
      </w:r>
      <w:r w:rsidRPr="007158E9">
        <w:rPr>
          <w:lang w:val="en-GB"/>
        </w:rPr>
        <w:tab/>
        <w:t xml:space="preserve">Police agents also continue to play an active role in the recruitment of the population and the persecution of political opponents to the Governement and CNDD-FDD, or persons perceived as such. Unlike 2015 and 2016, the information collected by the Commission </w:t>
      </w:r>
      <w:r w:rsidRPr="007158E9">
        <w:rPr>
          <w:lang w:val="en-GB"/>
        </w:rPr>
        <w:lastRenderedPageBreak/>
        <w:t>during the second term of its mandate did not make it possible to identify the police units that are more active than others in the commission of human rights violations</w:t>
      </w:r>
      <w:r w:rsidR="00AA20B6">
        <w:rPr>
          <w:lang w:val="en-GB"/>
        </w:rPr>
        <w:t>.</w:t>
      </w:r>
      <w:r w:rsidRPr="007158E9">
        <w:rPr>
          <w:sz w:val="18"/>
          <w:vertAlign w:val="superscript"/>
          <w:lang w:val="en-GB"/>
        </w:rPr>
        <w:footnoteReference w:id="14"/>
      </w:r>
    </w:p>
    <w:p w14:paraId="4781DD04" w14:textId="7C402799" w:rsidR="00F35CB9" w:rsidRPr="007158E9" w:rsidRDefault="00F35CB9" w:rsidP="00F35CB9">
      <w:pPr>
        <w:pStyle w:val="SingleTxtG"/>
        <w:ind w:right="567"/>
        <w:rPr>
          <w:lang w:val="en-GB"/>
        </w:rPr>
      </w:pPr>
      <w:r w:rsidRPr="007158E9">
        <w:rPr>
          <w:lang w:val="en-GB"/>
        </w:rPr>
        <w:tab/>
        <w:t>226.</w:t>
      </w:r>
      <w:r w:rsidRPr="007158E9">
        <w:rPr>
          <w:lang w:val="en-GB"/>
        </w:rPr>
        <w:tab/>
        <w:t xml:space="preserve">The Commission has, however, received </w:t>
      </w:r>
      <w:r w:rsidR="00AA20B6">
        <w:rPr>
          <w:lang w:val="en-GB"/>
        </w:rPr>
        <w:t xml:space="preserve">very few </w:t>
      </w:r>
      <w:r w:rsidRPr="007158E9">
        <w:rPr>
          <w:lang w:val="en-GB"/>
        </w:rPr>
        <w:t xml:space="preserve">information implicating members of the army in the Commission of human rights violations in 2017 and 2018, contrary to previous years. Some witnesses continued </w:t>
      </w:r>
      <w:r w:rsidR="00AA20B6">
        <w:rPr>
          <w:lang w:val="en-GB"/>
        </w:rPr>
        <w:t>neverthekess</w:t>
      </w:r>
      <w:r w:rsidRPr="007158E9">
        <w:rPr>
          <w:lang w:val="en-GB"/>
        </w:rPr>
        <w:t xml:space="preserve"> to </w:t>
      </w:r>
      <w:r w:rsidR="00AA20B6">
        <w:rPr>
          <w:lang w:val="en-GB"/>
        </w:rPr>
        <w:t>stress</w:t>
      </w:r>
      <w:r w:rsidRPr="007158E9">
        <w:rPr>
          <w:lang w:val="en-GB"/>
        </w:rPr>
        <w:t xml:space="preserve"> the role of some high-ranking officials and army officers in the repressive appararatus and who, in that context, maintain close ties with Imbonerakure</w:t>
      </w:r>
      <w:r w:rsidR="00AA20B6">
        <w:rPr>
          <w:lang w:val="en-GB"/>
        </w:rPr>
        <w:t>.</w:t>
      </w:r>
      <w:r w:rsidRPr="007158E9">
        <w:rPr>
          <w:sz w:val="18"/>
          <w:vertAlign w:val="superscript"/>
          <w:lang w:val="en-GB"/>
        </w:rPr>
        <w:footnoteReference w:id="15"/>
      </w:r>
    </w:p>
    <w:p w14:paraId="5C08CA4D" w14:textId="6312A352" w:rsidR="00F35CB9" w:rsidRPr="00AA20B6" w:rsidRDefault="00F35CB9" w:rsidP="00F35CB9">
      <w:pPr>
        <w:pStyle w:val="SingleTxtG"/>
        <w:ind w:right="567"/>
        <w:rPr>
          <w:lang w:val="en-GB"/>
        </w:rPr>
      </w:pPr>
      <w:r w:rsidRPr="007158E9">
        <w:rPr>
          <w:lang w:val="en-GB"/>
        </w:rPr>
        <w:tab/>
        <w:t>227.</w:t>
      </w:r>
      <w:r w:rsidRPr="007158E9">
        <w:rPr>
          <w:lang w:val="en-GB"/>
        </w:rPr>
        <w:tab/>
        <w:t>Administrative authorities have also committed or given orders to commit human rights violations, in</w:t>
      </w:r>
      <w:r w:rsidR="00AA20B6">
        <w:rPr>
          <w:lang w:val="en-GB"/>
        </w:rPr>
        <w:t xml:space="preserve"> particular </w:t>
      </w:r>
      <w:r w:rsidRPr="007158E9">
        <w:rPr>
          <w:lang w:val="en-GB"/>
        </w:rPr>
        <w:t>ar</w:t>
      </w:r>
      <w:r w:rsidR="00AA20B6">
        <w:rPr>
          <w:lang w:val="en-GB"/>
        </w:rPr>
        <w:t xml:space="preserve">bitrary arrest and detention </w:t>
      </w:r>
      <w:r w:rsidRPr="00AA20B6">
        <w:rPr>
          <w:lang w:val="en-GB"/>
        </w:rPr>
        <w:t>and ill treatment.</w:t>
      </w:r>
    </w:p>
    <w:p w14:paraId="5845E2BC" w14:textId="711861A9" w:rsidR="00F35CB9" w:rsidRPr="007158E9" w:rsidRDefault="00F35CB9" w:rsidP="00F35CB9">
      <w:pPr>
        <w:pStyle w:val="SingleTxtG"/>
        <w:ind w:right="567"/>
        <w:rPr>
          <w:lang w:val="en-GB"/>
        </w:rPr>
      </w:pPr>
      <w:r w:rsidRPr="00AA20B6">
        <w:rPr>
          <w:lang w:val="en-GB"/>
        </w:rPr>
        <w:tab/>
      </w:r>
      <w:r w:rsidRPr="007158E9">
        <w:rPr>
          <w:lang w:val="en-GB"/>
        </w:rPr>
        <w:t>228.</w:t>
      </w:r>
      <w:r w:rsidRPr="007158E9">
        <w:rPr>
          <w:lang w:val="en-GB"/>
        </w:rPr>
        <w:tab/>
        <w:t>In addition, the Government has imposed additional taxes and contributions, in</w:t>
      </w:r>
      <w:r w:rsidR="00AA20B6">
        <w:rPr>
          <w:lang w:val="en-GB"/>
        </w:rPr>
        <w:t xml:space="preserve"> particular </w:t>
      </w:r>
      <w:r w:rsidRPr="007158E9">
        <w:rPr>
          <w:lang w:val="en-GB"/>
        </w:rPr>
        <w:t>for the 2020 elections</w:t>
      </w:r>
      <w:r w:rsidR="00AA20B6">
        <w:rPr>
          <w:lang w:val="en-GB"/>
        </w:rPr>
        <w:t>,</w:t>
      </w:r>
      <w:r w:rsidRPr="007158E9">
        <w:rPr>
          <w:sz w:val="18"/>
          <w:vertAlign w:val="superscript"/>
          <w:lang w:val="en-GB"/>
        </w:rPr>
        <w:footnoteReference w:id="16"/>
      </w:r>
      <w:r w:rsidRPr="007158E9">
        <w:rPr>
          <w:lang w:val="en-GB"/>
        </w:rPr>
        <w:t xml:space="preserve"> and has thereby exacerbated poverty</w:t>
      </w:r>
      <w:r w:rsidR="00AA20B6">
        <w:rPr>
          <w:lang w:val="en-GB"/>
        </w:rPr>
        <w:t>,</w:t>
      </w:r>
      <w:r w:rsidRPr="007158E9">
        <w:rPr>
          <w:lang w:val="en-GB"/>
        </w:rPr>
        <w:t xml:space="preserve"> and </w:t>
      </w:r>
      <w:r w:rsidR="00AA20B6">
        <w:rPr>
          <w:lang w:val="en-GB"/>
        </w:rPr>
        <w:t xml:space="preserve">in doing so, </w:t>
      </w:r>
      <w:r w:rsidRPr="007158E9">
        <w:rPr>
          <w:lang w:val="en-GB"/>
        </w:rPr>
        <w:t>violated the obligation of the State to take appropriate measures to ensure that all persons have an adequate standard of living for themselves and their families</w:t>
      </w:r>
      <w:r w:rsidR="009A4761">
        <w:rPr>
          <w:lang w:val="en-GB"/>
        </w:rPr>
        <w:t>.</w:t>
      </w:r>
      <w:r w:rsidRPr="007158E9">
        <w:rPr>
          <w:vertAlign w:val="superscript"/>
          <w:lang w:val="en-GB"/>
        </w:rPr>
        <w:footnoteReference w:id="17"/>
      </w:r>
      <w:r w:rsidRPr="007158E9">
        <w:rPr>
          <w:lang w:val="en-GB"/>
        </w:rPr>
        <w:t xml:space="preserve"> Discrimination by State agents based on whether or not individuals belong to CNDD-FDD has had an impact on specific rights, such as the right to education, and on employment in the civil service and in public and public-private enterprises</w:t>
      </w:r>
      <w:r w:rsidR="00AA20B6">
        <w:rPr>
          <w:lang w:val="en-GB"/>
        </w:rPr>
        <w:t>.</w:t>
      </w:r>
      <w:r w:rsidRPr="007158E9">
        <w:rPr>
          <w:sz w:val="18"/>
          <w:vertAlign w:val="superscript"/>
          <w:lang w:val="en-GB"/>
        </w:rPr>
        <w:footnoteReference w:id="18"/>
      </w:r>
      <w:r w:rsidRPr="007158E9">
        <w:rPr>
          <w:lang w:val="en-GB"/>
        </w:rPr>
        <w:t xml:space="preserve"> </w:t>
      </w:r>
    </w:p>
    <w:p w14:paraId="0C181C51" w14:textId="77777777" w:rsidR="00F35CB9" w:rsidRPr="007158E9" w:rsidRDefault="00F35CB9" w:rsidP="00F35CB9">
      <w:pPr>
        <w:pStyle w:val="H56G"/>
        <w:rPr>
          <w:b/>
          <w:lang w:val="en-GB"/>
        </w:rPr>
      </w:pPr>
      <w:r w:rsidRPr="007158E9">
        <w:rPr>
          <w:lang w:val="en-GB"/>
        </w:rPr>
        <w:tab/>
      </w:r>
      <w:r w:rsidRPr="007158E9">
        <w:rPr>
          <w:b/>
          <w:lang w:val="en-GB"/>
        </w:rPr>
        <w:t>(ii)</w:t>
      </w:r>
      <w:r w:rsidRPr="007158E9">
        <w:rPr>
          <w:b/>
          <w:lang w:val="en-GB"/>
        </w:rPr>
        <w:tab/>
        <w:t xml:space="preserve">Responsibility of the State for the conduct of the Imbonerakure </w:t>
      </w:r>
    </w:p>
    <w:p w14:paraId="140316FC" w14:textId="510BB88F" w:rsidR="00F35CB9" w:rsidRPr="007158E9" w:rsidRDefault="00F35CB9" w:rsidP="00F35CB9">
      <w:pPr>
        <w:pStyle w:val="SingleTxtG"/>
        <w:ind w:right="567"/>
        <w:rPr>
          <w:lang w:val="en-GB"/>
        </w:rPr>
      </w:pPr>
      <w:r w:rsidRPr="007158E9">
        <w:rPr>
          <w:lang w:val="en-GB"/>
        </w:rPr>
        <w:tab/>
        <w:t>229.</w:t>
      </w:r>
      <w:r w:rsidRPr="007158E9">
        <w:rPr>
          <w:lang w:val="en-GB"/>
        </w:rPr>
        <w:tab/>
        <w:t>The information gathered, in particular from former members of the Imbonerakure and CNDD-FDD, confirms that the role of the Imbonerakure is growing in an overall context of recruitment among the general public and persecution of political opponents and persons perceived as such. The referendum campaign has given rise to numerous violations by Imbonerakure, who, acting either alone or in the presence of law enforcement officers, conducted checks to verify whether persons of voting age ha</w:t>
      </w:r>
      <w:r w:rsidR="008719F7">
        <w:rPr>
          <w:lang w:val="en-GB"/>
        </w:rPr>
        <w:t>d</w:t>
      </w:r>
      <w:r w:rsidRPr="007158E9">
        <w:rPr>
          <w:lang w:val="en-GB"/>
        </w:rPr>
        <w:t>registered and whether they ha</w:t>
      </w:r>
      <w:r w:rsidR="008719F7">
        <w:rPr>
          <w:lang w:val="en-GB"/>
        </w:rPr>
        <w:t>d</w:t>
      </w:r>
      <w:r w:rsidRPr="007158E9">
        <w:rPr>
          <w:lang w:val="en-GB"/>
        </w:rPr>
        <w:t xml:space="preserve"> paid their contributions for the 2020 elections</w:t>
      </w:r>
      <w:r w:rsidR="006A46FB">
        <w:rPr>
          <w:lang w:val="en-GB"/>
        </w:rPr>
        <w:t>.</w:t>
      </w:r>
      <w:r w:rsidRPr="007158E9">
        <w:rPr>
          <w:sz w:val="18"/>
          <w:vertAlign w:val="superscript"/>
          <w:lang w:val="en-GB"/>
        </w:rPr>
        <w:footnoteReference w:id="19"/>
      </w:r>
      <w:r w:rsidRPr="007158E9">
        <w:rPr>
          <w:lang w:val="en-GB"/>
        </w:rPr>
        <w:t xml:space="preserve"> These checks have often served as a pretext for various human rights violations and abuses</w:t>
      </w:r>
      <w:r w:rsidR="006A46FB">
        <w:rPr>
          <w:lang w:val="en-GB"/>
        </w:rPr>
        <w:t>,</w:t>
      </w:r>
      <w:r w:rsidRPr="007158E9">
        <w:rPr>
          <w:lang w:val="en-GB"/>
        </w:rPr>
        <w:t xml:space="preserve"> including extortion</w:t>
      </w:r>
      <w:r w:rsidR="006A46FB">
        <w:rPr>
          <w:lang w:val="en-GB"/>
        </w:rPr>
        <w:t>.</w:t>
      </w:r>
      <w:r w:rsidRPr="007158E9">
        <w:rPr>
          <w:sz w:val="18"/>
          <w:vertAlign w:val="superscript"/>
          <w:lang w:val="en-GB"/>
        </w:rPr>
        <w:footnoteReference w:id="20"/>
      </w:r>
      <w:r w:rsidRPr="007158E9">
        <w:rPr>
          <w:lang w:val="en-GB"/>
        </w:rPr>
        <w:t xml:space="preserve"> Forced recruitment into the Imbonerakure and/or CNDD-FDD has also reportedly been stepped up targeting members of opposition political parties or persons with no political affiliation. They also gave rise to violations, including threats, arbitrary arrest, torture and ill treatment, summary execution and kidnapping</w:t>
      </w:r>
      <w:r w:rsidR="006A46FB">
        <w:rPr>
          <w:lang w:val="en-GB"/>
        </w:rPr>
        <w:t>.</w:t>
      </w:r>
      <w:r w:rsidRPr="007158E9">
        <w:rPr>
          <w:sz w:val="18"/>
          <w:vertAlign w:val="superscript"/>
          <w:lang w:val="en-GB"/>
        </w:rPr>
        <w:footnoteReference w:id="21"/>
      </w:r>
      <w:r w:rsidRPr="007158E9">
        <w:rPr>
          <w:lang w:val="en-GB"/>
        </w:rPr>
        <w:t xml:space="preserve"> </w:t>
      </w:r>
    </w:p>
    <w:p w14:paraId="559586EE" w14:textId="5287EFCE" w:rsidR="00F35CB9" w:rsidRPr="007158E9" w:rsidRDefault="00F35CB9" w:rsidP="00F35CB9">
      <w:pPr>
        <w:pStyle w:val="SingleTxtG"/>
        <w:ind w:right="567"/>
        <w:rPr>
          <w:lang w:val="en-GB"/>
        </w:rPr>
      </w:pPr>
      <w:r w:rsidRPr="007158E9">
        <w:rPr>
          <w:lang w:val="en-GB"/>
        </w:rPr>
        <w:tab/>
        <w:t>230.</w:t>
      </w:r>
      <w:r w:rsidRPr="007158E9">
        <w:rPr>
          <w:lang w:val="en-GB"/>
        </w:rPr>
        <w:tab/>
        <w:t>The increase in these activities and the wider latitude being left to the Imbonerakure demonstrate their collusion with formal and informal structures of State repression. The fact that Imbonerakure are members of the “</w:t>
      </w:r>
      <w:r w:rsidR="008719F7">
        <w:rPr>
          <w:lang w:val="en-GB"/>
        </w:rPr>
        <w:t>mixed</w:t>
      </w:r>
      <w:r w:rsidRPr="007158E9">
        <w:rPr>
          <w:lang w:val="en-GB"/>
        </w:rPr>
        <w:t xml:space="preserve"> </w:t>
      </w:r>
      <w:r w:rsidR="008719F7" w:rsidRPr="007158E9">
        <w:rPr>
          <w:lang w:val="en-GB"/>
        </w:rPr>
        <w:t xml:space="preserve">committees </w:t>
      </w:r>
      <w:r w:rsidR="008719F7">
        <w:rPr>
          <w:lang w:val="en-GB"/>
        </w:rPr>
        <w:t xml:space="preserve">for </w:t>
      </w:r>
      <w:r w:rsidRPr="007158E9">
        <w:rPr>
          <w:lang w:val="en-GB"/>
        </w:rPr>
        <w:t>human security”, created by decree in 2014</w:t>
      </w:r>
      <w:r w:rsidR="009A4761">
        <w:rPr>
          <w:lang w:val="en-GB"/>
        </w:rPr>
        <w:t>,</w:t>
      </w:r>
      <w:r w:rsidRPr="007158E9">
        <w:rPr>
          <w:sz w:val="18"/>
          <w:vertAlign w:val="superscript"/>
          <w:lang w:val="en-GB"/>
        </w:rPr>
        <w:footnoteReference w:id="22"/>
      </w:r>
      <w:r w:rsidRPr="007158E9">
        <w:rPr>
          <w:lang w:val="en-GB"/>
        </w:rPr>
        <w:t xml:space="preserve"> along with representatives of the administration and the police, indicates that they are acknowledged to play a role in the security apparatus</w:t>
      </w:r>
      <w:r w:rsidR="008719F7">
        <w:rPr>
          <w:lang w:val="en-GB"/>
        </w:rPr>
        <w:t>.</w:t>
      </w:r>
      <w:r w:rsidRPr="007158E9">
        <w:rPr>
          <w:vertAlign w:val="superscript"/>
          <w:lang w:val="en-GB"/>
        </w:rPr>
        <w:footnoteReference w:id="23"/>
      </w:r>
      <w:r w:rsidRPr="007158E9">
        <w:rPr>
          <w:lang w:val="en-GB"/>
        </w:rPr>
        <w:t xml:space="preserve"> With the consent of local governments, Imbonerakure have been used as auxiliaries or substitutes for law enforcement in the country’s interior, where such forces have a reduced presence</w:t>
      </w:r>
      <w:r w:rsidR="008719F7">
        <w:rPr>
          <w:lang w:val="en-GB"/>
        </w:rPr>
        <w:t>.</w:t>
      </w:r>
      <w:r w:rsidRPr="007158E9">
        <w:rPr>
          <w:vertAlign w:val="superscript"/>
          <w:lang w:val="en-GB"/>
        </w:rPr>
        <w:footnoteReference w:id="24"/>
      </w:r>
      <w:r w:rsidRPr="007158E9">
        <w:rPr>
          <w:lang w:val="en-GB"/>
        </w:rPr>
        <w:t xml:space="preserve"> Some testimonies have even indicated that </w:t>
      </w:r>
      <w:r w:rsidR="008719F7">
        <w:rPr>
          <w:lang w:val="en-GB"/>
        </w:rPr>
        <w:t xml:space="preserve">during some </w:t>
      </w:r>
      <w:r w:rsidRPr="007158E9">
        <w:rPr>
          <w:lang w:val="en-GB"/>
        </w:rPr>
        <w:t>police operations against opponents</w:t>
      </w:r>
      <w:r w:rsidR="008719F7">
        <w:rPr>
          <w:lang w:val="en-GB"/>
        </w:rPr>
        <w:t>, Imbonerkure had taken cpmmand over the police.</w:t>
      </w:r>
      <w:r w:rsidRPr="007158E9">
        <w:rPr>
          <w:vertAlign w:val="superscript"/>
          <w:lang w:val="en-GB"/>
        </w:rPr>
        <w:footnoteReference w:id="25"/>
      </w:r>
      <w:r w:rsidRPr="007158E9">
        <w:rPr>
          <w:lang w:val="en-GB"/>
        </w:rPr>
        <w:t xml:space="preserve"> </w:t>
      </w:r>
      <w:r w:rsidR="008719F7">
        <w:rPr>
          <w:lang w:val="en-GB"/>
        </w:rPr>
        <w:t xml:space="preserve">Few testimonies also </w:t>
      </w:r>
      <w:r w:rsidR="008719F7">
        <w:rPr>
          <w:lang w:val="en-GB"/>
        </w:rPr>
        <w:lastRenderedPageBreak/>
        <w:t>indicate that in a few places, Im</w:t>
      </w:r>
      <w:r w:rsidRPr="007158E9">
        <w:rPr>
          <w:lang w:val="en-GB"/>
        </w:rPr>
        <w:t xml:space="preserve">bonerakure </w:t>
      </w:r>
      <w:r w:rsidR="008719F7">
        <w:rPr>
          <w:lang w:val="en-GB"/>
        </w:rPr>
        <w:t>carried out some judicial functions, such as s</w:t>
      </w:r>
      <w:r w:rsidRPr="007158E9">
        <w:rPr>
          <w:lang w:val="en-GB"/>
        </w:rPr>
        <w:t>ettling conflicts or deciding on a person’s culpability even when it is in contradiction with the judge’s decision</w:t>
      </w:r>
      <w:r w:rsidR="008719F7">
        <w:rPr>
          <w:lang w:val="en-GB"/>
        </w:rPr>
        <w:t>.</w:t>
      </w:r>
      <w:r w:rsidRPr="007158E9">
        <w:rPr>
          <w:sz w:val="18"/>
          <w:vertAlign w:val="superscript"/>
          <w:lang w:val="en-GB"/>
        </w:rPr>
        <w:footnoteReference w:id="26"/>
      </w:r>
    </w:p>
    <w:p w14:paraId="646639F1" w14:textId="7AFEA08D" w:rsidR="00F35CB9" w:rsidRPr="007158E9" w:rsidRDefault="00F35CB9" w:rsidP="00F35CB9">
      <w:pPr>
        <w:pStyle w:val="SingleTxtG"/>
        <w:ind w:right="567"/>
        <w:rPr>
          <w:lang w:val="en-GB"/>
        </w:rPr>
      </w:pPr>
      <w:r w:rsidRPr="007158E9">
        <w:rPr>
          <w:lang w:val="en-GB"/>
        </w:rPr>
        <w:tab/>
        <w:t>231.</w:t>
      </w:r>
      <w:r w:rsidRPr="007158E9">
        <w:rPr>
          <w:lang w:val="en-GB"/>
        </w:rPr>
        <w:tab/>
        <w:t>The Commission is thus in a position to establish the responsibility of the Burundian State for wrongful acts committed by Imbonerakure in four contexts: when their conduct is acknowledged and adopted by agents of the State</w:t>
      </w:r>
      <w:r w:rsidR="00700736">
        <w:rPr>
          <w:lang w:val="en-GB"/>
        </w:rPr>
        <w:t>,</w:t>
      </w:r>
      <w:r w:rsidRPr="007158E9">
        <w:rPr>
          <w:vertAlign w:val="superscript"/>
          <w:lang w:val="en-GB"/>
        </w:rPr>
        <w:footnoteReference w:id="27"/>
      </w:r>
      <w:r w:rsidRPr="007158E9">
        <w:rPr>
          <w:lang w:val="en-GB"/>
        </w:rPr>
        <w:t xml:space="preserve"> when they act on the instructions or under the direction of the latter</w:t>
      </w:r>
      <w:r w:rsidR="00700736">
        <w:rPr>
          <w:lang w:val="en-GB"/>
        </w:rPr>
        <w:t>,</w:t>
      </w:r>
      <w:r w:rsidRPr="007158E9">
        <w:rPr>
          <w:vertAlign w:val="superscript"/>
          <w:lang w:val="en-GB"/>
        </w:rPr>
        <w:footnoteReference w:id="28"/>
      </w:r>
      <w:r w:rsidRPr="007158E9">
        <w:rPr>
          <w:lang w:val="en-GB"/>
        </w:rPr>
        <w:t xml:space="preserve"> when they act in “complete dependence” on or under the “effective control” of such agents.</w:t>
      </w:r>
    </w:p>
    <w:p w14:paraId="40C9B874" w14:textId="328F0488" w:rsidR="00F35CB9" w:rsidRPr="007158E9" w:rsidRDefault="00F35CB9" w:rsidP="00F35CB9">
      <w:pPr>
        <w:pStyle w:val="SingleTxtG"/>
        <w:ind w:right="567"/>
        <w:rPr>
          <w:lang w:val="en-GB"/>
        </w:rPr>
      </w:pPr>
      <w:r w:rsidRPr="007158E9">
        <w:rPr>
          <w:lang w:val="en-GB"/>
        </w:rPr>
        <w:t>232.</w:t>
      </w:r>
      <w:r w:rsidRPr="007158E9">
        <w:rPr>
          <w:lang w:val="en-GB"/>
        </w:rPr>
        <w:tab/>
        <w:t>Imbonerakure have continued to make arrests on their own initiative, often with violence, and to hand over the persons apprehended to the police or the National Intelligence Service. The detention of such persons by law enforcement</w:t>
      </w:r>
      <w:r w:rsidRPr="007158E9">
        <w:rPr>
          <w:sz w:val="18"/>
          <w:vertAlign w:val="superscript"/>
          <w:lang w:val="en-GB"/>
        </w:rPr>
        <w:footnoteReference w:id="29"/>
      </w:r>
      <w:r w:rsidRPr="007158E9">
        <w:rPr>
          <w:lang w:val="en-GB"/>
        </w:rPr>
        <w:t xml:space="preserve"> shows that the latter have adopted the conduct of such Imbonerakure. This acknowledgement is also demonstrated by the fact that no measures have been taken </w:t>
      </w:r>
      <w:r w:rsidR="00700736">
        <w:rPr>
          <w:lang w:val="en-GB"/>
        </w:rPr>
        <w:t xml:space="preserve">by the State of Burundi or its represtatives </w:t>
      </w:r>
      <w:r w:rsidRPr="007158E9">
        <w:rPr>
          <w:lang w:val="en-GB"/>
        </w:rPr>
        <w:t xml:space="preserve">to put a stop to such conduct </w:t>
      </w:r>
      <w:r w:rsidR="00700736">
        <w:rPr>
          <w:lang w:val="en-GB"/>
        </w:rPr>
        <w:t xml:space="preserve">that </w:t>
      </w:r>
      <w:r w:rsidRPr="007158E9">
        <w:rPr>
          <w:lang w:val="en-GB"/>
        </w:rPr>
        <w:t xml:space="preserve">they </w:t>
      </w:r>
      <w:r w:rsidR="00700736">
        <w:rPr>
          <w:lang w:val="en-GB"/>
        </w:rPr>
        <w:t>are</w:t>
      </w:r>
      <w:r w:rsidRPr="007158E9">
        <w:rPr>
          <w:lang w:val="en-GB"/>
        </w:rPr>
        <w:t xml:space="preserve"> </w:t>
      </w:r>
      <w:r w:rsidR="00700736">
        <w:rPr>
          <w:lang w:val="en-GB"/>
        </w:rPr>
        <w:t xml:space="preserve">fully </w:t>
      </w:r>
      <w:r w:rsidRPr="007158E9">
        <w:rPr>
          <w:lang w:val="en-GB"/>
        </w:rPr>
        <w:t>aware of or ha</w:t>
      </w:r>
      <w:r w:rsidR="00700736">
        <w:rPr>
          <w:lang w:val="en-GB"/>
        </w:rPr>
        <w:t>ve</w:t>
      </w:r>
      <w:r w:rsidRPr="007158E9">
        <w:rPr>
          <w:lang w:val="en-GB"/>
        </w:rPr>
        <w:t xml:space="preserve"> witnessed</w:t>
      </w:r>
      <w:r w:rsidR="00700736">
        <w:rPr>
          <w:lang w:val="en-GB"/>
        </w:rPr>
        <w:t>.</w:t>
      </w:r>
      <w:r w:rsidRPr="007158E9">
        <w:rPr>
          <w:sz w:val="18"/>
          <w:vertAlign w:val="superscript"/>
          <w:lang w:val="en-GB"/>
        </w:rPr>
        <w:footnoteReference w:id="30"/>
      </w:r>
    </w:p>
    <w:p w14:paraId="15B6152E" w14:textId="1EDAF370" w:rsidR="00F35CB9" w:rsidRPr="007158E9" w:rsidRDefault="00F35CB9" w:rsidP="00F35CB9">
      <w:pPr>
        <w:pStyle w:val="SingleTxtG"/>
        <w:ind w:right="567"/>
        <w:rPr>
          <w:lang w:val="en-GB"/>
        </w:rPr>
      </w:pPr>
      <w:r w:rsidRPr="007158E9">
        <w:rPr>
          <w:lang w:val="en-GB"/>
        </w:rPr>
        <w:tab/>
        <w:t>233.</w:t>
      </w:r>
      <w:r w:rsidRPr="007158E9">
        <w:rPr>
          <w:lang w:val="en-GB"/>
        </w:rPr>
        <w:tab/>
        <w:t>Imbonerakure have continued to act on the orders of officials, including high-ranking officials, of the National Intelligence Service, the police and the Office of the President as well as local administrative authorities</w:t>
      </w:r>
      <w:r w:rsidR="00700736">
        <w:rPr>
          <w:lang w:val="en-GB"/>
        </w:rPr>
        <w:t>.</w:t>
      </w:r>
      <w:r w:rsidRPr="007158E9">
        <w:rPr>
          <w:sz w:val="18"/>
          <w:vertAlign w:val="superscript"/>
          <w:lang w:val="en-GB"/>
        </w:rPr>
        <w:footnoteReference w:id="31"/>
      </w:r>
      <w:r w:rsidRPr="007158E9">
        <w:rPr>
          <w:lang w:val="en-GB"/>
        </w:rPr>
        <w:t xml:space="preserve"> Some have taken part in law enforcement operations or operations against opponents</w:t>
      </w:r>
      <w:r w:rsidR="00700736">
        <w:rPr>
          <w:lang w:val="en-GB"/>
        </w:rPr>
        <w:t>,</w:t>
      </w:r>
      <w:r w:rsidRPr="007158E9">
        <w:rPr>
          <w:sz w:val="18"/>
          <w:vertAlign w:val="superscript"/>
          <w:lang w:val="en-GB"/>
        </w:rPr>
        <w:footnoteReference w:id="32"/>
      </w:r>
      <w:r w:rsidRPr="007158E9">
        <w:rPr>
          <w:lang w:val="en-GB"/>
        </w:rPr>
        <w:t xml:space="preserve"> acting alongside police or intelligence officers and in some cases wearing the same uniforms or carrying the same weapons as the defence and security forces. Such conduct by Imbonerakure has even taken place in prisons, such as the Mpimba prison in Bujumbura, and in police holding cells</w:t>
      </w:r>
      <w:r w:rsidR="00700736">
        <w:rPr>
          <w:lang w:val="en-GB"/>
        </w:rPr>
        <w:t>.</w:t>
      </w:r>
      <w:r w:rsidRPr="007158E9">
        <w:rPr>
          <w:sz w:val="18"/>
          <w:vertAlign w:val="superscript"/>
          <w:lang w:val="en-GB"/>
        </w:rPr>
        <w:footnoteReference w:id="33"/>
      </w:r>
      <w:r w:rsidRPr="007158E9">
        <w:rPr>
          <w:lang w:val="en-GB"/>
        </w:rPr>
        <w:t xml:space="preserve"> Some incarcerated Imbonerakure assume the functions of “</w:t>
      </w:r>
      <w:r w:rsidRPr="007158E9">
        <w:rPr>
          <w:i/>
          <w:lang w:val="en-GB"/>
        </w:rPr>
        <w:t>capita généraux”</w:t>
      </w:r>
      <w:r w:rsidRPr="007158E9">
        <w:rPr>
          <w:lang w:val="en-GB"/>
        </w:rPr>
        <w:t xml:space="preserve"> and, as such, are in charge of the security within the prisons</w:t>
      </w:r>
      <w:r w:rsidR="00700736">
        <w:rPr>
          <w:lang w:val="en-GB"/>
        </w:rPr>
        <w:t>.</w:t>
      </w:r>
      <w:r w:rsidRPr="007158E9">
        <w:rPr>
          <w:vertAlign w:val="superscript"/>
          <w:lang w:val="en-GB"/>
        </w:rPr>
        <w:footnoteReference w:id="34"/>
      </w:r>
    </w:p>
    <w:p w14:paraId="055753CA" w14:textId="1341423C" w:rsidR="00F35CB9" w:rsidRPr="007158E9" w:rsidRDefault="00F35CB9" w:rsidP="00F35CB9">
      <w:pPr>
        <w:pStyle w:val="SingleTxtG"/>
        <w:ind w:right="567"/>
        <w:rPr>
          <w:lang w:val="en-GB"/>
        </w:rPr>
      </w:pPr>
      <w:r w:rsidRPr="007158E9">
        <w:rPr>
          <w:lang w:val="en-GB"/>
        </w:rPr>
        <w:tab/>
        <w:t>234.</w:t>
      </w:r>
      <w:r w:rsidRPr="007158E9">
        <w:rPr>
          <w:lang w:val="en-GB"/>
        </w:rPr>
        <w:tab/>
        <w:t>The growing role and freedom of action of the Imbonerakure are entirely dependent on the discretion of State power structures and on the impunity accorded by the latter. To demonstrate the “complete dependence” of an organization on the State, international jurisprudence nonetheless requires the existence of a particularly great degree of control, as shown, for example, by the provision of considerable military and financial support and systematic alignment with State policy</w:t>
      </w:r>
      <w:r w:rsidR="00852E8F">
        <w:rPr>
          <w:lang w:val="en-GB"/>
        </w:rPr>
        <w:t>.</w:t>
      </w:r>
      <w:r w:rsidRPr="007158E9">
        <w:rPr>
          <w:vertAlign w:val="superscript"/>
          <w:lang w:val="en-GB"/>
        </w:rPr>
        <w:footnoteReference w:id="35"/>
      </w:r>
      <w:r w:rsidRPr="007158E9">
        <w:rPr>
          <w:lang w:val="en-GB"/>
        </w:rPr>
        <w:t xml:space="preserve"> In this connection, witness statements confirm that a group of “demobilized” soldiers, subsequently joined by Imbonerakure, was created in 2006 and has since been trained, armed and remunerated by the former Administrator-General of the National Intelligence Service</w:t>
      </w:r>
      <w:r w:rsidR="00852E8F">
        <w:rPr>
          <w:lang w:val="en-GB"/>
        </w:rPr>
        <w:t>.</w:t>
      </w:r>
      <w:r w:rsidRPr="007158E9">
        <w:rPr>
          <w:sz w:val="18"/>
          <w:vertAlign w:val="superscript"/>
          <w:lang w:val="en-GB"/>
        </w:rPr>
        <w:footnoteReference w:id="36"/>
      </w:r>
      <w:r w:rsidRPr="007158E9">
        <w:rPr>
          <w:lang w:val="en-GB"/>
        </w:rPr>
        <w:t xml:space="preserve"> Following the killing of that official in 2015, the group was supplemented by new members selected and used by officials of the National Intelligence Service, the police and the army to conduct operations, including summary executions and targeted disappearances</w:t>
      </w:r>
      <w:r w:rsidR="00852E8F">
        <w:rPr>
          <w:lang w:val="en-GB"/>
        </w:rPr>
        <w:t>.</w:t>
      </w:r>
      <w:r w:rsidRPr="007158E9">
        <w:rPr>
          <w:sz w:val="18"/>
          <w:vertAlign w:val="superscript"/>
          <w:lang w:val="en-GB"/>
        </w:rPr>
        <w:footnoteReference w:id="37"/>
      </w:r>
      <w:r w:rsidRPr="007158E9">
        <w:rPr>
          <w:lang w:val="en-GB"/>
        </w:rPr>
        <w:t xml:space="preserve"> Witness accounts also mentioned remunerations that were received as salaries or paid upon completion of the tasks</w:t>
      </w:r>
      <w:r w:rsidR="00852E8F">
        <w:rPr>
          <w:lang w:val="en-GB"/>
        </w:rPr>
        <w:t>.</w:t>
      </w:r>
      <w:r w:rsidRPr="007158E9">
        <w:rPr>
          <w:vertAlign w:val="superscript"/>
          <w:lang w:val="en-GB"/>
        </w:rPr>
        <w:footnoteReference w:id="38"/>
      </w:r>
      <w:r w:rsidRPr="007158E9">
        <w:rPr>
          <w:lang w:val="en-GB"/>
        </w:rPr>
        <w:t xml:space="preserve"> On the basis of this information, the Commission is of the view that the group is acting in complete dependence on the Burundian State. </w:t>
      </w:r>
    </w:p>
    <w:p w14:paraId="02362A34" w14:textId="00ECB745" w:rsidR="00F35CB9" w:rsidRPr="007158E9" w:rsidRDefault="00F35CB9" w:rsidP="00F35CB9">
      <w:pPr>
        <w:pStyle w:val="SingleTxtG"/>
        <w:ind w:right="567"/>
        <w:rPr>
          <w:lang w:val="en-GB"/>
        </w:rPr>
      </w:pPr>
      <w:r w:rsidRPr="007158E9">
        <w:rPr>
          <w:lang w:val="en-GB"/>
        </w:rPr>
        <w:tab/>
        <w:t>235.</w:t>
      </w:r>
      <w:r w:rsidRPr="007158E9">
        <w:rPr>
          <w:lang w:val="en-GB"/>
        </w:rPr>
        <w:tab/>
        <w:t xml:space="preserve">The Commission remains convinced that the Imbonerakure often operate under the “effective control” of the Burundian State. International jurisprudence requires that such </w:t>
      </w:r>
      <w:r w:rsidRPr="007158E9">
        <w:rPr>
          <w:lang w:val="en-GB"/>
        </w:rPr>
        <w:lastRenderedPageBreak/>
        <w:t>control be demonstrated in each case through the planning and organi</w:t>
      </w:r>
      <w:r w:rsidR="00852E8F">
        <w:rPr>
          <w:lang w:val="en-GB"/>
        </w:rPr>
        <w:t>s</w:t>
      </w:r>
      <w:r w:rsidRPr="007158E9">
        <w:rPr>
          <w:lang w:val="en-GB"/>
        </w:rPr>
        <w:t>ation of operations, the issuance of orders or the provision of equipment by the State</w:t>
      </w:r>
      <w:r w:rsidR="00852E8F">
        <w:rPr>
          <w:lang w:val="en-GB"/>
        </w:rPr>
        <w:t>.</w:t>
      </w:r>
      <w:r w:rsidRPr="007158E9">
        <w:rPr>
          <w:vertAlign w:val="superscript"/>
          <w:lang w:val="en-GB"/>
        </w:rPr>
        <w:footnoteReference w:id="39"/>
      </w:r>
      <w:r w:rsidRPr="007158E9">
        <w:rPr>
          <w:lang w:val="en-GB"/>
        </w:rPr>
        <w:t xml:space="preserve"> In relation to the first element, the Commission received information, including from former State agents and Imbonerakure, on meetings at the local level between SNR, police and ruling party officials and/or Imbonerakure, during which persons to be arrested or disappeared</w:t>
      </w:r>
      <w:r w:rsidRPr="007158E9">
        <w:rPr>
          <w:sz w:val="18"/>
          <w:vertAlign w:val="superscript"/>
          <w:lang w:val="en-GB"/>
        </w:rPr>
        <w:footnoteReference w:id="40"/>
      </w:r>
      <w:r w:rsidRPr="007158E9">
        <w:rPr>
          <w:lang w:val="en-GB"/>
        </w:rPr>
        <w:t xml:space="preserve"> are identified – mainly political opponents or persons likely to oppose the Government or CNDD-FDD. Some witnesses mentioned the existence of census aimed at identifying opponents ahead of the referendum and the 2020 elections</w:t>
      </w:r>
      <w:r w:rsidR="00852E8F">
        <w:rPr>
          <w:lang w:val="en-GB"/>
        </w:rPr>
        <w:t>,</w:t>
      </w:r>
      <w:r w:rsidRPr="007158E9">
        <w:rPr>
          <w:sz w:val="18"/>
          <w:vertAlign w:val="superscript"/>
          <w:lang w:val="en-GB"/>
        </w:rPr>
        <w:footnoteReference w:id="41"/>
      </w:r>
      <w:r w:rsidRPr="007158E9">
        <w:rPr>
          <w:lang w:val="en-GB"/>
        </w:rPr>
        <w:t xml:space="preserve"> </w:t>
      </w:r>
      <w:r w:rsidR="00852E8F">
        <w:rPr>
          <w:lang w:val="en-GB"/>
        </w:rPr>
        <w:t>and</w:t>
      </w:r>
      <w:r w:rsidRPr="007158E9">
        <w:rPr>
          <w:lang w:val="en-GB"/>
        </w:rPr>
        <w:t xml:space="preserve"> even </w:t>
      </w:r>
      <w:r w:rsidR="00852E8F">
        <w:rPr>
          <w:lang w:val="en-GB"/>
        </w:rPr>
        <w:t xml:space="preserve">of </w:t>
      </w:r>
      <w:r w:rsidRPr="007158E9">
        <w:rPr>
          <w:lang w:val="en-GB"/>
        </w:rPr>
        <w:t>an operation previously known as “Safisha” (i.e. “to clean” in Kirundi) and renamed today « Gutakara » (i.e. “to be lost” or “to kill”)</w:t>
      </w:r>
      <w:r w:rsidR="00852E8F">
        <w:rPr>
          <w:lang w:val="en-GB"/>
        </w:rPr>
        <w:t>, which is</w:t>
      </w:r>
      <w:r w:rsidRPr="007158E9">
        <w:rPr>
          <w:lang w:val="en-GB"/>
        </w:rPr>
        <w:t xml:space="preserve"> aimed at eliminating opponents</w:t>
      </w:r>
      <w:r w:rsidR="00852E8F">
        <w:rPr>
          <w:lang w:val="en-GB"/>
        </w:rPr>
        <w:t>.</w:t>
      </w:r>
      <w:r w:rsidRPr="007158E9">
        <w:rPr>
          <w:sz w:val="18"/>
          <w:vertAlign w:val="superscript"/>
          <w:lang w:val="en-GB"/>
        </w:rPr>
        <w:footnoteReference w:id="42"/>
      </w:r>
      <w:r w:rsidRPr="007158E9">
        <w:rPr>
          <w:lang w:val="en-GB"/>
        </w:rPr>
        <w:t xml:space="preserve"> As mentioned above</w:t>
      </w:r>
      <w:r w:rsidR="00852E8F">
        <w:rPr>
          <w:lang w:val="en-GB"/>
        </w:rPr>
        <w:t>,</w:t>
      </w:r>
      <w:r w:rsidRPr="007158E9">
        <w:rPr>
          <w:sz w:val="18"/>
          <w:vertAlign w:val="superscript"/>
          <w:lang w:val="en-GB"/>
        </w:rPr>
        <w:footnoteReference w:id="43"/>
      </w:r>
      <w:r w:rsidRPr="007158E9">
        <w:rPr>
          <w:lang w:val="en-GB"/>
        </w:rPr>
        <w:t xml:space="preserve"> Imbonerakure acted, in several cases, on the orders and supervision of State agents. In addition, witness accounts mentioned the distribution of weapons and/or military equipment to Imbonerakure</w:t>
      </w:r>
      <w:r w:rsidRPr="007158E9">
        <w:rPr>
          <w:sz w:val="18"/>
          <w:vertAlign w:val="superscript"/>
          <w:lang w:val="en-GB"/>
        </w:rPr>
        <w:footnoteReference w:id="44"/>
      </w:r>
      <w:r w:rsidRPr="007158E9">
        <w:rPr>
          <w:lang w:val="en-GB"/>
        </w:rPr>
        <w:t xml:space="preserve"> up until 2018. Several witnesses also highlighted the fact that Imbonerakure wear military attire and boots</w:t>
      </w:r>
      <w:r w:rsidRPr="007158E9">
        <w:rPr>
          <w:sz w:val="18"/>
          <w:vertAlign w:val="superscript"/>
          <w:lang w:val="en-GB"/>
        </w:rPr>
        <w:footnoteReference w:id="45"/>
      </w:r>
      <w:r w:rsidRPr="007158E9">
        <w:rPr>
          <w:lang w:val="en-GB"/>
        </w:rPr>
        <w:t xml:space="preserve"> and sometimes carry firearms</w:t>
      </w:r>
      <w:r w:rsidRPr="007158E9">
        <w:rPr>
          <w:sz w:val="18"/>
          <w:vertAlign w:val="superscript"/>
          <w:lang w:val="en-GB"/>
        </w:rPr>
        <w:footnoteReference w:id="46"/>
      </w:r>
      <w:r w:rsidRPr="007158E9">
        <w:rPr>
          <w:lang w:val="en-GB"/>
        </w:rPr>
        <w:t>. Some Imbonerakure also received phones, SIM cards, and phone credits in order to inform CNDD-FDD and SNR officials on the activities of the opponents and to identify amongst them those that should be apprehended</w:t>
      </w:r>
      <w:r w:rsidR="00852E8F">
        <w:rPr>
          <w:lang w:val="en-GB"/>
        </w:rPr>
        <w:t>.</w:t>
      </w:r>
      <w:r w:rsidRPr="007158E9">
        <w:rPr>
          <w:sz w:val="18"/>
          <w:vertAlign w:val="superscript"/>
          <w:lang w:val="en-GB"/>
        </w:rPr>
        <w:footnoteReference w:id="47"/>
      </w:r>
      <w:r w:rsidRPr="007158E9">
        <w:rPr>
          <w:lang w:val="en-GB"/>
        </w:rPr>
        <w:t xml:space="preserve"> WhatsApp groups continued to be used to that end</w:t>
      </w:r>
      <w:r w:rsidRPr="007158E9">
        <w:rPr>
          <w:sz w:val="18"/>
          <w:vertAlign w:val="superscript"/>
          <w:lang w:val="en-GB"/>
        </w:rPr>
        <w:footnoteReference w:id="48"/>
      </w:r>
      <w:r w:rsidRPr="007158E9">
        <w:rPr>
          <w:lang w:val="en-GB"/>
        </w:rPr>
        <w:t>. These various statements suggest a level of cont</w:t>
      </w:r>
      <w:r w:rsidR="00401549">
        <w:rPr>
          <w:lang w:val="en-GB"/>
        </w:rPr>
        <w:t xml:space="preserve">rol exercised by the Burundian </w:t>
      </w:r>
      <w:r w:rsidR="00852E8F">
        <w:rPr>
          <w:lang w:val="en-GB"/>
        </w:rPr>
        <w:t>S</w:t>
      </w:r>
      <w:r w:rsidRPr="007158E9">
        <w:rPr>
          <w:lang w:val="en-GB"/>
        </w:rPr>
        <w:t>tate on certain Imbonerakure that could qualify as “effective control”.</w:t>
      </w:r>
    </w:p>
    <w:p w14:paraId="72FDBABE" w14:textId="01D223F0" w:rsidR="00F35CB9" w:rsidRPr="007158E9" w:rsidRDefault="00F35CB9" w:rsidP="00F35CB9">
      <w:pPr>
        <w:pStyle w:val="SingleTxtG"/>
        <w:ind w:right="567"/>
        <w:rPr>
          <w:lang w:val="en-GB"/>
        </w:rPr>
      </w:pPr>
      <w:r w:rsidRPr="007158E9">
        <w:rPr>
          <w:lang w:val="en-GB"/>
        </w:rPr>
        <w:tab/>
        <w:t>236.</w:t>
      </w:r>
      <w:r w:rsidRPr="007158E9">
        <w:rPr>
          <w:lang w:val="en-GB"/>
        </w:rPr>
        <w:tab/>
        <w:t>However, to date, international judges have issued rulings only in cases involving entities acting outside the territory of the State in question</w:t>
      </w:r>
      <w:r w:rsidR="00401549">
        <w:rPr>
          <w:lang w:val="en-GB"/>
        </w:rPr>
        <w:t>.</w:t>
      </w:r>
      <w:r w:rsidRPr="007158E9">
        <w:rPr>
          <w:sz w:val="18"/>
          <w:vertAlign w:val="superscript"/>
          <w:lang w:val="en-GB"/>
        </w:rPr>
        <w:footnoteReference w:id="49"/>
      </w:r>
      <w:r w:rsidRPr="007158E9">
        <w:rPr>
          <w:lang w:val="en-GB"/>
        </w:rPr>
        <w:t xml:space="preserve"> In such cases, the State must have exercised direct control in order to be held accountable. The Imbonerakure, however, are committing wrongful acts on Burundian territory. The State thus has more means at its disposal, in particular of a legislative, judicial and financial nature, for putting an end to their activities or, on the contrary, for promoting them through its action or deliberate inaction. It is therefore in a position to exercise </w:t>
      </w:r>
      <w:r w:rsidRPr="007158E9">
        <w:rPr>
          <w:i/>
          <w:lang w:val="en-GB"/>
        </w:rPr>
        <w:t>overall</w:t>
      </w:r>
      <w:r w:rsidRPr="007158E9">
        <w:rPr>
          <w:lang w:val="en-GB"/>
        </w:rPr>
        <w:t xml:space="preserve"> effective control over the Imbonerakure. Given that the Imbonerakure have been involved in a wide range of activities, including some within the purview of the Government; have in a number of cases acted autonomously but with a freedom of action afforded by the authorities; and have continued to enjoy near-total impunity, the Commission is of the view that the Burundian State is responsible for the wrongful acts committed by the Imbonerakure, since it exercises overall effective control. Therefore, under international law, the Burundian State may be held accountable for all human rights violations attributable to the Imbonerakure. </w:t>
      </w:r>
    </w:p>
    <w:p w14:paraId="0AF21187" w14:textId="02938C57" w:rsidR="00F35CB9" w:rsidRPr="007158E9" w:rsidRDefault="00F35CB9" w:rsidP="00F35CB9">
      <w:pPr>
        <w:pStyle w:val="SingleTxtG"/>
        <w:ind w:right="567"/>
        <w:rPr>
          <w:lang w:val="en-GB"/>
        </w:rPr>
      </w:pPr>
      <w:r w:rsidRPr="007158E9">
        <w:rPr>
          <w:lang w:val="en-GB"/>
        </w:rPr>
        <w:tab/>
        <w:t>237.</w:t>
      </w:r>
      <w:r w:rsidRPr="007158E9">
        <w:rPr>
          <w:lang w:val="en-GB"/>
        </w:rPr>
        <w:tab/>
        <w:t>From that perspective, it should be noted that the Commission received information indicating that Imbonerakure were detained in state prisons, not bec</w:t>
      </w:r>
      <w:r w:rsidR="00401549">
        <w:rPr>
          <w:lang w:val="en-GB"/>
        </w:rPr>
        <w:t>a</w:t>
      </w:r>
      <w:r w:rsidRPr="007158E9">
        <w:rPr>
          <w:lang w:val="en-GB"/>
        </w:rPr>
        <w:t>us</w:t>
      </w:r>
      <w:r w:rsidR="00401549">
        <w:rPr>
          <w:lang w:val="en-GB"/>
        </w:rPr>
        <w:t>e</w:t>
      </w:r>
      <w:r w:rsidRPr="007158E9">
        <w:rPr>
          <w:lang w:val="en-GB"/>
        </w:rPr>
        <w:t xml:space="preserve"> of exactions they committed, nor as a result of a judicial process, but as </w:t>
      </w:r>
      <w:r w:rsidR="00401549">
        <w:rPr>
          <w:lang w:val="en-GB"/>
        </w:rPr>
        <w:t xml:space="preserve">an </w:t>
      </w:r>
      <w:r w:rsidRPr="007158E9">
        <w:rPr>
          <w:lang w:val="en-GB"/>
        </w:rPr>
        <w:t>internal disciplina</w:t>
      </w:r>
      <w:r w:rsidR="00401549">
        <w:rPr>
          <w:lang w:val="en-GB"/>
        </w:rPr>
        <w:t>ry sanction.</w:t>
      </w:r>
      <w:r w:rsidRPr="007158E9">
        <w:rPr>
          <w:sz w:val="18"/>
          <w:vertAlign w:val="superscript"/>
          <w:lang w:val="en-GB"/>
        </w:rPr>
        <w:footnoteReference w:id="50"/>
      </w:r>
      <w:r w:rsidRPr="007158E9">
        <w:rPr>
          <w:lang w:val="en-GB"/>
        </w:rPr>
        <w:t xml:space="preserve"> This priva</w:t>
      </w:r>
      <w:r w:rsidR="00401549">
        <w:rPr>
          <w:lang w:val="en-GB"/>
        </w:rPr>
        <w:t>te use of cells subject to the S</w:t>
      </w:r>
      <w:r w:rsidRPr="007158E9">
        <w:rPr>
          <w:lang w:val="en-GB"/>
        </w:rPr>
        <w:t>tate authority shows not only the collusion that exists today between Imbonerakure and the Burundian State, but also that sanctions are possible against Imbonerakure</w:t>
      </w:r>
      <w:r w:rsidR="00401549">
        <w:rPr>
          <w:lang w:val="en-GB"/>
        </w:rPr>
        <w:t>. In that regard, the Burundian S</w:t>
      </w:r>
      <w:r w:rsidRPr="007158E9">
        <w:rPr>
          <w:lang w:val="en-GB"/>
        </w:rPr>
        <w:t xml:space="preserve">tate; through its agents; </w:t>
      </w:r>
      <w:r w:rsidRPr="007158E9">
        <w:rPr>
          <w:lang w:val="en-GB"/>
        </w:rPr>
        <w:lastRenderedPageBreak/>
        <w:t xml:space="preserve">could very well arrest and detain Imbonerakure who commit human rights violations, in the same way that it allows Imbonerakure to use cells to sanction some of their members by depriving them a freedom. Considering that information, the impunity that Imbonerakure enjoy today in Burundi, appear as anything but fortuitous. In addition, as noted, an increasingly active role has been given to Imbonerakure, including </w:t>
      </w:r>
      <w:r w:rsidR="00401549">
        <w:rPr>
          <w:lang w:val="en-GB"/>
        </w:rPr>
        <w:t>new tasks entrusted to them by S</w:t>
      </w:r>
      <w:r w:rsidRPr="007158E9">
        <w:rPr>
          <w:lang w:val="en-GB"/>
        </w:rPr>
        <w:t>tate agents.</w:t>
      </w:r>
    </w:p>
    <w:p w14:paraId="03970DE3" w14:textId="77777777" w:rsidR="00F35CB9" w:rsidRPr="007158E9" w:rsidRDefault="00F35CB9" w:rsidP="00F35CB9">
      <w:pPr>
        <w:pStyle w:val="H4G"/>
        <w:rPr>
          <w:b/>
          <w:i w:val="0"/>
          <w:lang w:val="en-GB"/>
        </w:rPr>
      </w:pPr>
      <w:r w:rsidRPr="007158E9">
        <w:rPr>
          <w:b/>
          <w:i w:val="0"/>
          <w:lang w:val="en-GB"/>
        </w:rPr>
        <w:tab/>
        <w:t>(b)</w:t>
      </w:r>
      <w:r w:rsidRPr="007158E9">
        <w:rPr>
          <w:b/>
          <w:i w:val="0"/>
          <w:lang w:val="en-GB"/>
        </w:rPr>
        <w:tab/>
        <w:t>Obligation to protect</w:t>
      </w:r>
    </w:p>
    <w:p w14:paraId="54FC6686" w14:textId="78BEBD72" w:rsidR="00F35CB9" w:rsidRPr="007158E9" w:rsidRDefault="00F35CB9" w:rsidP="00F35CB9">
      <w:pPr>
        <w:pStyle w:val="SingleTxtG"/>
        <w:ind w:right="567"/>
        <w:rPr>
          <w:lang w:val="en-GB"/>
        </w:rPr>
      </w:pPr>
      <w:r w:rsidRPr="007158E9">
        <w:rPr>
          <w:lang w:val="en-GB"/>
        </w:rPr>
        <w:tab/>
        <w:t>238.</w:t>
      </w:r>
      <w:r w:rsidRPr="007158E9">
        <w:rPr>
          <w:lang w:val="en-GB"/>
        </w:rPr>
        <w:tab/>
        <w:t xml:space="preserve">Under </w:t>
      </w:r>
      <w:r w:rsidR="00401549">
        <w:rPr>
          <w:lang w:val="en-GB"/>
        </w:rPr>
        <w:t>international human rights l</w:t>
      </w:r>
      <w:r w:rsidRPr="007158E9">
        <w:rPr>
          <w:lang w:val="en-GB"/>
        </w:rPr>
        <w:t>aw, the State has a duty to protect the human rights of persons under its jurisdiction, in particular when it knows or should have known of violations or abuses committed by third partie</w:t>
      </w:r>
      <w:r w:rsidR="00401549">
        <w:rPr>
          <w:lang w:val="en-GB"/>
        </w:rPr>
        <w:t>s.</w:t>
      </w:r>
      <w:r w:rsidRPr="007158E9">
        <w:rPr>
          <w:sz w:val="18"/>
          <w:vertAlign w:val="superscript"/>
          <w:lang w:val="en-GB"/>
        </w:rPr>
        <w:footnoteReference w:id="51"/>
      </w:r>
      <w:r w:rsidRPr="007158E9">
        <w:rPr>
          <w:lang w:val="en-GB"/>
        </w:rPr>
        <w:t xml:space="preserve"> By allowing its agents and/or Imbonerakure who are responsible for such acts to go unpunished, including by not conducting investigations or initiating proceedings against them, the Burundian State is failing to meet its obligation to protect. By not taking action to combat impunity and not undertaking a thorough reform of its judicial system</w:t>
      </w:r>
      <w:r w:rsidR="00401549">
        <w:rPr>
          <w:lang w:val="en-GB"/>
        </w:rPr>
        <w:t>,</w:t>
      </w:r>
      <w:r w:rsidRPr="007158E9">
        <w:rPr>
          <w:sz w:val="18"/>
          <w:vertAlign w:val="superscript"/>
          <w:lang w:val="en-GB"/>
        </w:rPr>
        <w:footnoteReference w:id="52"/>
      </w:r>
      <w:r w:rsidRPr="007158E9">
        <w:rPr>
          <w:lang w:val="en-GB"/>
        </w:rPr>
        <w:t xml:space="preserve"> the Burundian State is encouraging the repeated commission of human rights violations and abuses. </w:t>
      </w:r>
    </w:p>
    <w:p w14:paraId="71F61132" w14:textId="77777777" w:rsidR="00F35CB9" w:rsidRPr="007158E9" w:rsidRDefault="00F35CB9" w:rsidP="00F35CB9">
      <w:pPr>
        <w:pStyle w:val="H4G"/>
        <w:rPr>
          <w:b/>
          <w:i w:val="0"/>
          <w:lang w:val="en-GB"/>
        </w:rPr>
      </w:pPr>
      <w:r w:rsidRPr="007158E9">
        <w:rPr>
          <w:b/>
          <w:i w:val="0"/>
          <w:lang w:val="en-GB"/>
        </w:rPr>
        <w:tab/>
        <w:t>(c)</w:t>
      </w:r>
      <w:r w:rsidRPr="007158E9">
        <w:rPr>
          <w:b/>
          <w:i w:val="0"/>
          <w:lang w:val="en-GB"/>
        </w:rPr>
        <w:tab/>
        <w:t>Obligation to fulfill</w:t>
      </w:r>
    </w:p>
    <w:p w14:paraId="07FEA84C" w14:textId="35F31C52" w:rsidR="00F35CB9" w:rsidRPr="007158E9" w:rsidRDefault="00F35CB9" w:rsidP="00F35CB9">
      <w:pPr>
        <w:pStyle w:val="SingleTxtG"/>
        <w:ind w:right="567"/>
        <w:rPr>
          <w:lang w:val="en-GB"/>
        </w:rPr>
      </w:pPr>
      <w:r w:rsidRPr="007158E9">
        <w:rPr>
          <w:lang w:val="en-GB"/>
        </w:rPr>
        <w:tab/>
        <w:t>239.</w:t>
      </w:r>
      <w:r w:rsidRPr="007158E9">
        <w:rPr>
          <w:lang w:val="en-GB"/>
        </w:rPr>
        <w:tab/>
        <w:t xml:space="preserve">The State is also required to implement human rights. This obligation is stipulated in article 2 (2) of the International Covenant on Civil and Political Rights which provides that “where not already provided for by existing legislative or other measures, each State </w:t>
      </w:r>
      <w:r w:rsidR="00401549">
        <w:rPr>
          <w:lang w:val="en-GB"/>
        </w:rPr>
        <w:t>p</w:t>
      </w:r>
      <w:r w:rsidRPr="007158E9">
        <w:rPr>
          <w:lang w:val="en-GB"/>
        </w:rPr>
        <w:t>arty to the present Covenant undertakes to take the necessary steps, in accordance with its constitutional processes and with the provisions of the present Covenant, to adopt such laws or other measures as may be necessary to give effect to the rights recognized in the present Covenant”. From this perspective, the Commission is concerned by the fact that some recently adopted laws in Burundi do not allow the full realisation o</w:t>
      </w:r>
      <w:r w:rsidR="00401549">
        <w:rPr>
          <w:lang w:val="en-GB"/>
        </w:rPr>
        <w:t>f human rights, namely the new Criminal Procedure C</w:t>
      </w:r>
      <w:r w:rsidRPr="007158E9">
        <w:rPr>
          <w:lang w:val="en-GB"/>
        </w:rPr>
        <w:t>ode promulagated in May 2018 which revised the old Code which also contained problematic provisions</w:t>
      </w:r>
      <w:r w:rsidR="009A4761">
        <w:rPr>
          <w:lang w:val="en-GB"/>
        </w:rPr>
        <w:t>.</w:t>
      </w:r>
      <w:r w:rsidRPr="007158E9">
        <w:rPr>
          <w:sz w:val="18"/>
          <w:vertAlign w:val="superscript"/>
          <w:lang w:val="en-GB"/>
        </w:rPr>
        <w:footnoteReference w:id="53"/>
      </w:r>
    </w:p>
    <w:p w14:paraId="4F8B2C46" w14:textId="5CE6D732" w:rsidR="00F35CB9" w:rsidRPr="007158E9" w:rsidRDefault="00F35CB9" w:rsidP="00F35CB9">
      <w:pPr>
        <w:pStyle w:val="SingleTxtG"/>
        <w:ind w:right="567"/>
        <w:rPr>
          <w:lang w:val="en-GB"/>
        </w:rPr>
      </w:pPr>
      <w:r w:rsidRPr="007158E9">
        <w:rPr>
          <w:lang w:val="en-GB"/>
        </w:rPr>
        <w:tab/>
        <w:t>240.</w:t>
      </w:r>
      <w:r w:rsidRPr="007158E9">
        <w:rPr>
          <w:lang w:val="en-GB"/>
        </w:rPr>
        <w:tab/>
        <w:t>The International Covenant on Economic, Social and Cultural Rights requires State parties to take steps to the maximum of their available resources with a view to achieving progressively the full realization of the rights recognized therein</w:t>
      </w:r>
      <w:r w:rsidR="00401549">
        <w:rPr>
          <w:lang w:val="en-GB"/>
        </w:rPr>
        <w:t>.</w:t>
      </w:r>
      <w:r w:rsidRPr="007158E9">
        <w:rPr>
          <w:sz w:val="18"/>
          <w:vertAlign w:val="superscript"/>
          <w:lang w:val="en-GB"/>
        </w:rPr>
        <w:footnoteReference w:id="54"/>
      </w:r>
      <w:r w:rsidRPr="007158E9">
        <w:rPr>
          <w:lang w:val="en-GB"/>
        </w:rPr>
        <w:t xml:space="preserve"> The fact that international assistance to Burundi has decreased since 2015 as a result of violations of civil and political rights does not relieve the Burundian State of its obligation to devote the maximum of its available resources to the realization of economic and social rights. Yet</w:t>
      </w:r>
      <w:r w:rsidR="009A4761">
        <w:rPr>
          <w:lang w:val="en-GB"/>
        </w:rPr>
        <w:t>,</w:t>
      </w:r>
      <w:r w:rsidRPr="007158E9">
        <w:rPr>
          <w:lang w:val="en-GB"/>
        </w:rPr>
        <w:t xml:space="preserve"> the Commission has noted that the country’s domestic resources are oriented more towards defence and security expenditures and that there are many </w:t>
      </w:r>
      <w:r w:rsidR="00401549">
        <w:rPr>
          <w:lang w:val="en-GB"/>
        </w:rPr>
        <w:t xml:space="preserve">tax </w:t>
      </w:r>
      <w:r w:rsidRPr="007158E9">
        <w:rPr>
          <w:lang w:val="en-GB"/>
        </w:rPr>
        <w:t>exemptions</w:t>
      </w:r>
      <w:r w:rsidR="00BC4292">
        <w:rPr>
          <w:lang w:val="en-GB"/>
        </w:rPr>
        <w:t>.</w:t>
      </w:r>
      <w:r w:rsidRPr="007158E9">
        <w:rPr>
          <w:sz w:val="18"/>
          <w:vertAlign w:val="superscript"/>
          <w:lang w:val="en-GB"/>
        </w:rPr>
        <w:footnoteReference w:id="55"/>
      </w:r>
      <w:r w:rsidRPr="007158E9">
        <w:rPr>
          <w:lang w:val="en-GB"/>
        </w:rPr>
        <w:t xml:space="preserve"> The Commission has also received information on the misappropriation and </w:t>
      </w:r>
      <w:r w:rsidR="009A4761">
        <w:rPr>
          <w:lang w:val="en-GB"/>
        </w:rPr>
        <w:t>grabbing</w:t>
      </w:r>
      <w:r w:rsidRPr="007158E9">
        <w:rPr>
          <w:lang w:val="en-GB"/>
        </w:rPr>
        <w:t xml:space="preserve"> of public property by senior officials in a country that is experiencing a humanitarian crisis and in </w:t>
      </w:r>
      <w:r w:rsidR="00BC4292">
        <w:rPr>
          <w:lang w:val="en-GB"/>
        </w:rPr>
        <w:t>which much of the population does not fully</w:t>
      </w:r>
      <w:r w:rsidRPr="007158E9">
        <w:rPr>
          <w:lang w:val="en-GB"/>
        </w:rPr>
        <w:t xml:space="preserve"> enjoy the right to food</w:t>
      </w:r>
      <w:r w:rsidR="00BC4292">
        <w:rPr>
          <w:lang w:val="en-GB"/>
        </w:rPr>
        <w:t>.</w:t>
      </w:r>
      <w:r w:rsidRPr="007158E9">
        <w:rPr>
          <w:sz w:val="18"/>
          <w:vertAlign w:val="superscript"/>
          <w:lang w:val="en-GB"/>
        </w:rPr>
        <w:footnoteReference w:id="56"/>
      </w:r>
      <w:r w:rsidRPr="007158E9">
        <w:rPr>
          <w:lang w:val="en-GB"/>
        </w:rPr>
        <w:t xml:space="preserve"> </w:t>
      </w:r>
    </w:p>
    <w:p w14:paraId="292E49E8" w14:textId="77777777" w:rsidR="00F35CB9" w:rsidRPr="007158E9" w:rsidRDefault="00F35CB9" w:rsidP="00F35CB9">
      <w:pPr>
        <w:pStyle w:val="H23G"/>
        <w:rPr>
          <w:lang w:val="en-GB"/>
        </w:rPr>
      </w:pPr>
      <w:r w:rsidRPr="007158E9">
        <w:rPr>
          <w:lang w:val="en-GB"/>
        </w:rPr>
        <w:tab/>
        <w:t>2.</w:t>
      </w:r>
      <w:r w:rsidRPr="007158E9">
        <w:rPr>
          <w:lang w:val="en-GB"/>
        </w:rPr>
        <w:tab/>
        <w:t>Responsibility of armed groups and opposition political parties</w:t>
      </w:r>
    </w:p>
    <w:p w14:paraId="6FD5FFE7" w14:textId="793F6875" w:rsidR="00F35CB9" w:rsidRPr="007158E9" w:rsidRDefault="00F35CB9" w:rsidP="00F35CB9">
      <w:pPr>
        <w:pStyle w:val="SingleTxtG"/>
        <w:ind w:right="567"/>
        <w:rPr>
          <w:lang w:val="en-GB"/>
        </w:rPr>
      </w:pPr>
      <w:r w:rsidRPr="007158E9">
        <w:rPr>
          <w:lang w:val="en-GB"/>
        </w:rPr>
        <w:tab/>
        <w:t>241.</w:t>
      </w:r>
      <w:r w:rsidRPr="007158E9">
        <w:rPr>
          <w:lang w:val="en-GB"/>
        </w:rPr>
        <w:tab/>
        <w:t xml:space="preserve">The existence of armed groups at the border continues to pose a threat to the country’s civilian population. To the Commission’s knowledge, none of these groups claimed responsibility for an attack on Burundian soil in 2017 or 2018. Because the </w:t>
      </w:r>
      <w:r w:rsidRPr="007158E9">
        <w:rPr>
          <w:lang w:val="en-GB"/>
        </w:rPr>
        <w:lastRenderedPageBreak/>
        <w:t xml:space="preserve">Commission has not had access to victims and the Government has repeatedly refused to hand over evidence, the Commission has been unable to corroborate the information it has received on the involvement of armed groups in human rights </w:t>
      </w:r>
      <w:r w:rsidR="008D4490">
        <w:rPr>
          <w:lang w:val="en-GB"/>
        </w:rPr>
        <w:t>abuses</w:t>
      </w:r>
      <w:r w:rsidRPr="007158E9">
        <w:rPr>
          <w:lang w:val="en-GB"/>
        </w:rPr>
        <w:t xml:space="preserve"> in Burundi since 2015. In particular, it has not been able to identify the group responsible for the killing of at least 24 persons on 11 May 2018 in the commune</w:t>
      </w:r>
      <w:r w:rsidR="008D4490">
        <w:rPr>
          <w:lang w:val="en-GB"/>
        </w:rPr>
        <w:t xml:space="preserve"> of Buganda, p</w:t>
      </w:r>
      <w:r w:rsidRPr="007158E9">
        <w:rPr>
          <w:lang w:val="en-GB"/>
        </w:rPr>
        <w:t>rovince of Cibitoke. The findings of the investigation carried out by the Burundian authorities have not yet been released.</w:t>
      </w:r>
    </w:p>
    <w:p w14:paraId="7FC72AB7" w14:textId="0EFA3BA5" w:rsidR="00F35CB9" w:rsidRPr="007158E9" w:rsidRDefault="00F35CB9" w:rsidP="00F35CB9">
      <w:pPr>
        <w:pStyle w:val="SingleTxtG"/>
        <w:ind w:right="567"/>
        <w:rPr>
          <w:lang w:val="en-GB"/>
        </w:rPr>
      </w:pPr>
      <w:r w:rsidRPr="007158E9">
        <w:rPr>
          <w:lang w:val="en-GB"/>
        </w:rPr>
        <w:tab/>
        <w:t>242.</w:t>
      </w:r>
      <w:r w:rsidRPr="007158E9">
        <w:rPr>
          <w:lang w:val="en-GB"/>
        </w:rPr>
        <w:tab/>
        <w:t xml:space="preserve">The lack of acces of the Commission to the victims of human rights </w:t>
      </w:r>
      <w:r w:rsidR="008D4490">
        <w:rPr>
          <w:lang w:val="en-GB"/>
        </w:rPr>
        <w:t>abuses</w:t>
      </w:r>
      <w:r w:rsidRPr="007158E9">
        <w:rPr>
          <w:lang w:val="en-GB"/>
        </w:rPr>
        <w:t xml:space="preserve"> by armed opposition groups is not due to the impossibility in which the the Commission finds itself in accessing the Burundian territory, but more to the fact that the victims are, for the most part, close to the authorities who hold functions in the State apparatus or within CNDD-FDD. Given the categorical refusal of the Government to cooperate with the Commission, these victims do not seek to enter into contact or to share information with the latter. </w:t>
      </w:r>
    </w:p>
    <w:p w14:paraId="16BE9A9B" w14:textId="7FF148DA" w:rsidR="00F35CB9" w:rsidRPr="007158E9" w:rsidRDefault="00F35CB9" w:rsidP="00F35CB9">
      <w:pPr>
        <w:pStyle w:val="SingleTxtG"/>
        <w:ind w:right="567"/>
        <w:rPr>
          <w:lang w:val="en-GB"/>
        </w:rPr>
      </w:pPr>
      <w:r w:rsidRPr="007158E9">
        <w:rPr>
          <w:lang w:val="en-GB"/>
        </w:rPr>
        <w:tab/>
        <w:t>243.</w:t>
      </w:r>
      <w:r w:rsidRPr="007158E9">
        <w:rPr>
          <w:lang w:val="en-GB"/>
        </w:rPr>
        <w:tab/>
        <w:t>Furthermore, the Commission has detected certain calls for armed struggle or that could amount for incitement to hatred and violence by leaders of opposition political</w:t>
      </w:r>
      <w:r w:rsidR="00C95CE1">
        <w:rPr>
          <w:lang w:val="en-GB"/>
        </w:rPr>
        <w:t>.</w:t>
      </w:r>
      <w:r w:rsidRPr="007158E9">
        <w:rPr>
          <w:sz w:val="18"/>
          <w:vertAlign w:val="superscript"/>
          <w:lang w:val="en-GB"/>
        </w:rPr>
        <w:footnoteReference w:id="57"/>
      </w:r>
    </w:p>
    <w:p w14:paraId="293DE3FB" w14:textId="77777777" w:rsidR="00F35CB9" w:rsidRPr="007158E9" w:rsidRDefault="00F35CB9" w:rsidP="00F35CB9">
      <w:pPr>
        <w:pStyle w:val="H1G"/>
      </w:pPr>
      <w:r w:rsidRPr="007158E9">
        <w:tab/>
        <w:t>C.</w:t>
      </w:r>
      <w:r w:rsidRPr="007158E9">
        <w:tab/>
        <w:t>Violations of civil and political rights</w:t>
      </w:r>
    </w:p>
    <w:p w14:paraId="465FEC73" w14:textId="77777777" w:rsidR="00F35CB9" w:rsidRPr="007158E9" w:rsidRDefault="00F35CB9" w:rsidP="00F35CB9">
      <w:pPr>
        <w:pStyle w:val="H23G"/>
        <w:rPr>
          <w:lang w:val="en-GB"/>
        </w:rPr>
      </w:pPr>
      <w:r w:rsidRPr="007158E9">
        <w:rPr>
          <w:lang w:val="en-GB"/>
        </w:rPr>
        <w:tab/>
        <w:t>1.</w:t>
      </w:r>
      <w:r w:rsidRPr="007158E9">
        <w:rPr>
          <w:lang w:val="en-GB"/>
        </w:rPr>
        <w:tab/>
        <w:t>Right to life</w:t>
      </w:r>
    </w:p>
    <w:p w14:paraId="68FED091"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Summary execution and other arbitrary deprivation of life</w:t>
      </w:r>
    </w:p>
    <w:p w14:paraId="12942DE2" w14:textId="440E8270" w:rsidR="00F35CB9" w:rsidRPr="007158E9" w:rsidRDefault="00F35CB9" w:rsidP="00F35CB9">
      <w:pPr>
        <w:pStyle w:val="SingleTxtG"/>
        <w:ind w:right="567"/>
        <w:rPr>
          <w:lang w:val="en-GB"/>
        </w:rPr>
      </w:pPr>
      <w:r w:rsidRPr="007158E9">
        <w:rPr>
          <w:lang w:val="en-GB"/>
        </w:rPr>
        <w:tab/>
        <w:t>244.</w:t>
      </w:r>
      <w:r w:rsidRPr="007158E9">
        <w:rPr>
          <w:lang w:val="en-GB"/>
        </w:rPr>
        <w:tab/>
        <w:t>In its previous report</w:t>
      </w:r>
      <w:r w:rsidR="00C95CE1">
        <w:rPr>
          <w:lang w:val="en-GB"/>
        </w:rPr>
        <w:t>,</w:t>
      </w:r>
      <w:r w:rsidRPr="007158E9">
        <w:rPr>
          <w:vertAlign w:val="superscript"/>
          <w:lang w:val="en-GB"/>
        </w:rPr>
        <w:footnoteReference w:id="58"/>
      </w:r>
      <w:r w:rsidRPr="007158E9">
        <w:rPr>
          <w:lang w:val="en-GB"/>
        </w:rPr>
        <w:t xml:space="preserve"> the Commission noted that a large number of arbitrary executions related to the political crisis was committed by diverse components of security and defense forces, namely SNR and police agents, most specifically specialised units such as the </w:t>
      </w:r>
      <w:r w:rsidRPr="007158E9">
        <w:rPr>
          <w:i/>
          <w:lang w:val="en-GB"/>
        </w:rPr>
        <w:t>Appui aux institutions</w:t>
      </w:r>
      <w:r w:rsidRPr="007158E9">
        <w:rPr>
          <w:lang w:val="en-GB"/>
        </w:rPr>
        <w:t xml:space="preserve"> (API) and the Anti-riot Brigade (BAE). Elements of the </w:t>
      </w:r>
      <w:r w:rsidR="00C95CE1">
        <w:rPr>
          <w:lang w:val="en-GB"/>
        </w:rPr>
        <w:t>A</w:t>
      </w:r>
      <w:r w:rsidRPr="007158E9">
        <w:rPr>
          <w:lang w:val="en-GB"/>
        </w:rPr>
        <w:t>rmy from the Combat Engineering Bataillon (camp Muzinda) ha</w:t>
      </w:r>
      <w:r w:rsidR="00C95CE1">
        <w:rPr>
          <w:lang w:val="en-GB"/>
        </w:rPr>
        <w:t>d</w:t>
      </w:r>
      <w:r w:rsidRPr="007158E9">
        <w:rPr>
          <w:lang w:val="en-GB"/>
        </w:rPr>
        <w:t xml:space="preserve"> also been identified as responsable for violations of the right to life. In several cases, these State </w:t>
      </w:r>
      <w:r w:rsidR="00C95CE1">
        <w:rPr>
          <w:lang w:val="en-GB"/>
        </w:rPr>
        <w:t>s</w:t>
      </w:r>
      <w:r w:rsidRPr="007158E9">
        <w:rPr>
          <w:lang w:val="en-GB"/>
        </w:rPr>
        <w:t>gents acted in conjunction with Imbonerakure.</w:t>
      </w:r>
    </w:p>
    <w:p w14:paraId="59B0FD75" w14:textId="6E162A01" w:rsidR="00F35CB9" w:rsidRPr="007158E9" w:rsidRDefault="00F35CB9" w:rsidP="00F35CB9">
      <w:pPr>
        <w:pStyle w:val="SingleTxtG"/>
        <w:ind w:right="567"/>
        <w:rPr>
          <w:lang w:val="en-GB"/>
        </w:rPr>
      </w:pPr>
      <w:r w:rsidRPr="007158E9">
        <w:rPr>
          <w:lang w:val="en-GB"/>
        </w:rPr>
        <w:tab/>
        <w:t>245.</w:t>
      </w:r>
      <w:r w:rsidRPr="007158E9">
        <w:rPr>
          <w:lang w:val="en-GB"/>
        </w:rPr>
        <w:tab/>
        <w:t xml:space="preserve">The Commission also observed the numerous death cases resulting from the indiscriminate and excessive use of lethal force during the operations of repressing the demonstrations against President Nkurunziza’s third term and during the security operations carried out in some neighborhoods in Bujumbura during the second half of 2015. The attempted </w:t>
      </w:r>
      <w:r w:rsidRPr="009A4761">
        <w:rPr>
          <w:i/>
          <w:lang w:val="en-GB"/>
        </w:rPr>
        <w:t>coup d’État</w:t>
      </w:r>
      <w:r w:rsidRPr="007158E9">
        <w:rPr>
          <w:lang w:val="en-GB"/>
        </w:rPr>
        <w:t xml:space="preserve"> of 13 May 2015 and the attacks on the military facilities in Bujumbura and its environs on 11 Decembre 2015 also gave rise to similar executions. Targeted killings </w:t>
      </w:r>
      <w:r w:rsidR="00C95CE1" w:rsidRPr="007158E9">
        <w:rPr>
          <w:lang w:val="en-GB"/>
        </w:rPr>
        <w:t xml:space="preserve">by State agents </w:t>
      </w:r>
      <w:r w:rsidRPr="007158E9">
        <w:rPr>
          <w:lang w:val="en-GB"/>
        </w:rPr>
        <w:t xml:space="preserve">of primarily </w:t>
      </w:r>
      <w:r w:rsidR="00C95CE1">
        <w:rPr>
          <w:lang w:val="en-GB"/>
        </w:rPr>
        <w:t xml:space="preserve">members of </w:t>
      </w:r>
      <w:r w:rsidRPr="007158E9">
        <w:rPr>
          <w:lang w:val="en-GB"/>
        </w:rPr>
        <w:t xml:space="preserve">opposition political parties, human right defenders or their relatives, as well as members of the former Burundian Armed Forces (“ex-FAB”) had also been documented, as well as cases of death in detention. </w:t>
      </w:r>
    </w:p>
    <w:p w14:paraId="75F860D8" w14:textId="77777777" w:rsidR="00F35CB9" w:rsidRPr="007158E9" w:rsidRDefault="00F35CB9" w:rsidP="00F35CB9">
      <w:pPr>
        <w:pStyle w:val="SingleTxtG"/>
        <w:ind w:right="567"/>
        <w:rPr>
          <w:lang w:val="en-GB"/>
        </w:rPr>
      </w:pPr>
      <w:r w:rsidRPr="007158E9">
        <w:rPr>
          <w:lang w:val="en-GB"/>
        </w:rPr>
        <w:tab/>
        <w:t>246.</w:t>
      </w:r>
      <w:r w:rsidRPr="007158E9">
        <w:rPr>
          <w:lang w:val="en-GB"/>
        </w:rPr>
        <w:tab/>
        <w:t>The Commission had noted that numerous dead bodies had been discovered in several provinces, presenting visible signs of homicide, buried without being identified and without conducting any investigation. The Commission had also received related allegations on the existense of mass graves used by the authorities to bury bodies of persons killed following the attacks of 11 Decembre 2015.</w:t>
      </w:r>
    </w:p>
    <w:p w14:paraId="54A83B86" w14:textId="2ED31E23" w:rsidR="00F35CB9" w:rsidRPr="007158E9" w:rsidRDefault="00F35CB9" w:rsidP="00F35CB9">
      <w:pPr>
        <w:pStyle w:val="SingleTxtG"/>
        <w:ind w:right="567"/>
        <w:rPr>
          <w:lang w:val="en-GB"/>
        </w:rPr>
      </w:pPr>
      <w:r w:rsidRPr="007158E9">
        <w:rPr>
          <w:lang w:val="en-GB"/>
        </w:rPr>
        <w:tab/>
        <w:t>247.</w:t>
      </w:r>
      <w:r w:rsidRPr="007158E9">
        <w:rPr>
          <w:lang w:val="en-GB"/>
        </w:rPr>
        <w:tab/>
        <w:t>Finally, the Commission had considered that the executions of the persons who opposed the Gouvernement by Imbonerakure acting on their own accord and outside of any control by State agents, constitute</w:t>
      </w:r>
      <w:r w:rsidR="00C95CE1">
        <w:rPr>
          <w:lang w:val="en-GB"/>
        </w:rPr>
        <w:t>d</w:t>
      </w:r>
      <w:r w:rsidRPr="007158E9">
        <w:rPr>
          <w:lang w:val="en-GB"/>
        </w:rPr>
        <w:t xml:space="preserve"> violations of the right to life. Furthermore, the Commission had also received information on several murders or assassinations</w:t>
      </w:r>
      <w:r w:rsidR="00C95CE1">
        <w:rPr>
          <w:lang w:val="en-GB"/>
        </w:rPr>
        <w:t xml:space="preserve"> – or attempted murders and assassinations - </w:t>
      </w:r>
      <w:r w:rsidRPr="007158E9">
        <w:rPr>
          <w:lang w:val="en-GB"/>
        </w:rPr>
        <w:t>targeting persons perceived as m</w:t>
      </w:r>
      <w:r w:rsidR="00C95CE1">
        <w:rPr>
          <w:lang w:val="en-GB"/>
        </w:rPr>
        <w:t>embers of the opposition by uni</w:t>
      </w:r>
      <w:r w:rsidRPr="007158E9">
        <w:rPr>
          <w:lang w:val="en-GB"/>
        </w:rPr>
        <w:t>de</w:t>
      </w:r>
      <w:r w:rsidR="00C95CE1">
        <w:rPr>
          <w:lang w:val="en-GB"/>
        </w:rPr>
        <w:t>ntified individuals;</w:t>
      </w:r>
      <w:r w:rsidRPr="007158E9">
        <w:rPr>
          <w:lang w:val="en-GB"/>
        </w:rPr>
        <w:t xml:space="preserve"> however the circumstances </w:t>
      </w:r>
      <w:r w:rsidR="00C95CE1">
        <w:rPr>
          <w:lang w:val="en-GB"/>
        </w:rPr>
        <w:t xml:space="preserve">in which they occurred gave reasonable grounds to </w:t>
      </w:r>
      <w:r w:rsidR="00C95CE1" w:rsidRPr="00995D82">
        <w:rPr>
          <w:i/>
          <w:lang w:val="en-GB"/>
        </w:rPr>
        <w:t>fear</w:t>
      </w:r>
      <w:r w:rsidR="00C95CE1">
        <w:rPr>
          <w:lang w:val="en-GB"/>
        </w:rPr>
        <w:t xml:space="preserve"> that </w:t>
      </w:r>
      <w:r w:rsidRPr="007158E9">
        <w:rPr>
          <w:lang w:val="en-GB"/>
        </w:rPr>
        <w:t>State agents</w:t>
      </w:r>
      <w:r w:rsidR="00C95CE1">
        <w:rPr>
          <w:lang w:val="en-GB"/>
        </w:rPr>
        <w:t xml:space="preserve"> had been involved</w:t>
      </w:r>
      <w:r w:rsidRPr="007158E9">
        <w:rPr>
          <w:lang w:val="en-GB"/>
        </w:rPr>
        <w:t xml:space="preserve">. Members of the </w:t>
      </w:r>
      <w:r w:rsidR="00995D82">
        <w:rPr>
          <w:lang w:val="en-GB"/>
        </w:rPr>
        <w:t xml:space="preserve">Government </w:t>
      </w:r>
      <w:r w:rsidRPr="007158E9">
        <w:rPr>
          <w:lang w:val="en-GB"/>
        </w:rPr>
        <w:t xml:space="preserve">or persons with connections to </w:t>
      </w:r>
      <w:r w:rsidR="00995D82">
        <w:rPr>
          <w:lang w:val="en-GB"/>
        </w:rPr>
        <w:t xml:space="preserve">it </w:t>
      </w:r>
      <w:r w:rsidRPr="007158E9">
        <w:rPr>
          <w:lang w:val="en-GB"/>
        </w:rPr>
        <w:t xml:space="preserve">and/or CNDD-FDD, as well as military and police personnel, SNR agents and Imbonerakure had also been assassinated or targets of attempted assassinations, but the Commission has not been able to identify the perpetrators. </w:t>
      </w:r>
    </w:p>
    <w:p w14:paraId="550063A9" w14:textId="23516FF4" w:rsidR="00F35CB9" w:rsidRPr="007158E9" w:rsidRDefault="00F35CB9" w:rsidP="00F35CB9">
      <w:pPr>
        <w:pStyle w:val="SingleTxtG"/>
        <w:ind w:right="567"/>
        <w:rPr>
          <w:lang w:val="en-GB"/>
        </w:rPr>
      </w:pPr>
      <w:r w:rsidRPr="007158E9">
        <w:rPr>
          <w:lang w:val="en-GB"/>
        </w:rPr>
        <w:lastRenderedPageBreak/>
        <w:t>248.</w:t>
      </w:r>
      <w:r w:rsidRPr="007158E9">
        <w:rPr>
          <w:lang w:val="en-GB"/>
        </w:rPr>
        <w:tab/>
        <w:t xml:space="preserve">Since 2017, the Commission has </w:t>
      </w:r>
      <w:r w:rsidR="00AA6BEF">
        <w:rPr>
          <w:lang w:val="en-GB"/>
        </w:rPr>
        <w:t xml:space="preserve">not </w:t>
      </w:r>
      <w:r w:rsidRPr="007158E9">
        <w:rPr>
          <w:lang w:val="en-GB"/>
        </w:rPr>
        <w:t xml:space="preserve">received information on the violations or attacks on the right to life on a large scale </w:t>
      </w:r>
      <w:r w:rsidR="002F5A6B">
        <w:rPr>
          <w:lang w:val="en-GB"/>
        </w:rPr>
        <w:t>like in</w:t>
      </w:r>
      <w:r w:rsidRPr="007158E9">
        <w:rPr>
          <w:lang w:val="en-GB"/>
        </w:rPr>
        <w:t xml:space="preserve"> 2015 and 2016, aside the massacre of at least 24 persons in the night of the 11 to 12 May 2018 in Buganda </w:t>
      </w:r>
      <w:r w:rsidR="002F5A6B">
        <w:rPr>
          <w:lang w:val="en-GB"/>
        </w:rPr>
        <w:t xml:space="preserve">commune </w:t>
      </w:r>
      <w:r w:rsidRPr="007158E9">
        <w:rPr>
          <w:lang w:val="en-GB"/>
        </w:rPr>
        <w:t>in Cibitoke province</w:t>
      </w:r>
      <w:r w:rsidR="009A4761">
        <w:rPr>
          <w:lang w:val="en-GB"/>
        </w:rPr>
        <w:t>.</w:t>
      </w:r>
      <w:r w:rsidRPr="007158E9">
        <w:rPr>
          <w:vertAlign w:val="superscript"/>
          <w:lang w:val="en-GB"/>
        </w:rPr>
        <w:footnoteReference w:id="59"/>
      </w:r>
      <w:r w:rsidRPr="007158E9">
        <w:rPr>
          <w:lang w:val="en-GB"/>
        </w:rPr>
        <w:t xml:space="preserve"> </w:t>
      </w:r>
      <w:r w:rsidR="002F5A6B">
        <w:rPr>
          <w:lang w:val="en-GB"/>
        </w:rPr>
        <w:t>It</w:t>
      </w:r>
      <w:r w:rsidRPr="007158E9">
        <w:rPr>
          <w:lang w:val="en-GB"/>
        </w:rPr>
        <w:t xml:space="preserve"> did not </w:t>
      </w:r>
      <w:r w:rsidR="002F5A6B">
        <w:rPr>
          <w:lang w:val="en-GB"/>
        </w:rPr>
        <w:t>get</w:t>
      </w:r>
      <w:r w:rsidRPr="007158E9">
        <w:rPr>
          <w:lang w:val="en-GB"/>
        </w:rPr>
        <w:t xml:space="preserve"> information </w:t>
      </w:r>
      <w:r w:rsidR="002F5A6B">
        <w:rPr>
          <w:lang w:val="en-GB"/>
        </w:rPr>
        <w:t>that p</w:t>
      </w:r>
      <w:r w:rsidRPr="007158E9">
        <w:rPr>
          <w:lang w:val="en-GB"/>
        </w:rPr>
        <w:t xml:space="preserve">olitical personalities close to </w:t>
      </w:r>
      <w:r w:rsidR="002F5A6B">
        <w:rPr>
          <w:lang w:val="en-GB"/>
        </w:rPr>
        <w:t xml:space="preserve">the Government and/or the CNDD-FDD, or </w:t>
      </w:r>
      <w:r w:rsidRPr="007158E9">
        <w:rPr>
          <w:lang w:val="en-GB"/>
        </w:rPr>
        <w:t>leaders of opposition political parties</w:t>
      </w:r>
      <w:r w:rsidR="002F5A6B">
        <w:rPr>
          <w:lang w:val="en-GB"/>
        </w:rPr>
        <w:t xml:space="preserve"> had been assassinated</w:t>
      </w:r>
      <w:r w:rsidRPr="007158E9">
        <w:rPr>
          <w:lang w:val="en-GB"/>
        </w:rPr>
        <w:t xml:space="preserve">.  </w:t>
      </w:r>
    </w:p>
    <w:p w14:paraId="0AFC3E63" w14:textId="43E17ED8" w:rsidR="00F35CB9" w:rsidRPr="007158E9" w:rsidRDefault="00F35CB9" w:rsidP="00F35CB9">
      <w:pPr>
        <w:pStyle w:val="SingleTxtG"/>
        <w:ind w:right="567"/>
        <w:rPr>
          <w:lang w:val="en-GB"/>
        </w:rPr>
      </w:pPr>
      <w:r w:rsidRPr="007158E9">
        <w:rPr>
          <w:lang w:val="en-GB"/>
        </w:rPr>
        <w:tab/>
        <w:t>249.</w:t>
      </w:r>
      <w:r w:rsidRPr="007158E9">
        <w:rPr>
          <w:lang w:val="en-GB"/>
        </w:rPr>
        <w:tab/>
        <w:t>H</w:t>
      </w:r>
      <w:r w:rsidR="002F5A6B">
        <w:rPr>
          <w:lang w:val="en-GB"/>
        </w:rPr>
        <w:t>owever, the Commission notes</w:t>
      </w:r>
      <w:r w:rsidRPr="007158E9">
        <w:rPr>
          <w:lang w:val="en-GB"/>
        </w:rPr>
        <w:t xml:space="preserve"> </w:t>
      </w:r>
      <w:r w:rsidR="002F5A6B">
        <w:rPr>
          <w:lang w:val="en-GB"/>
        </w:rPr>
        <w:t>that</w:t>
      </w:r>
      <w:r w:rsidRPr="007158E9">
        <w:rPr>
          <w:lang w:val="en-GB"/>
        </w:rPr>
        <w:t xml:space="preserve"> summary executions o</w:t>
      </w:r>
      <w:r w:rsidR="002F5A6B">
        <w:rPr>
          <w:lang w:val="en-GB"/>
        </w:rPr>
        <w:t xml:space="preserve">f opposition members persisted but </w:t>
      </w:r>
      <w:r w:rsidRPr="007158E9">
        <w:rPr>
          <w:lang w:val="en-GB"/>
        </w:rPr>
        <w:t xml:space="preserve">in a </w:t>
      </w:r>
      <w:r w:rsidR="002F5A6B" w:rsidRPr="007158E9">
        <w:rPr>
          <w:lang w:val="en-GB"/>
        </w:rPr>
        <w:t>concealed</w:t>
      </w:r>
      <w:r w:rsidRPr="007158E9">
        <w:rPr>
          <w:lang w:val="en-GB"/>
        </w:rPr>
        <w:t xml:space="preserve"> manner, which explains the </w:t>
      </w:r>
      <w:r w:rsidR="002F5A6B">
        <w:rPr>
          <w:lang w:val="en-GB"/>
        </w:rPr>
        <w:t xml:space="preserve">greater </w:t>
      </w:r>
      <w:r w:rsidRPr="007158E9">
        <w:rPr>
          <w:lang w:val="en-GB"/>
        </w:rPr>
        <w:t xml:space="preserve">difficulties encountered in documenting individual cases of summary execution </w:t>
      </w:r>
      <w:r w:rsidR="002F5A6B">
        <w:rPr>
          <w:lang w:val="en-GB"/>
        </w:rPr>
        <w:t xml:space="preserve">compared to </w:t>
      </w:r>
      <w:r w:rsidRPr="007158E9">
        <w:rPr>
          <w:lang w:val="en-GB"/>
        </w:rPr>
        <w:t>the first term of its mandate</w:t>
      </w:r>
      <w:r w:rsidR="002F5A6B">
        <w:rPr>
          <w:lang w:val="en-GB"/>
        </w:rPr>
        <w:t>.</w:t>
      </w:r>
      <w:r w:rsidRPr="007158E9">
        <w:rPr>
          <w:vertAlign w:val="superscript"/>
          <w:lang w:val="en-GB"/>
        </w:rPr>
        <w:footnoteReference w:id="60"/>
      </w:r>
      <w:r w:rsidRPr="007158E9">
        <w:rPr>
          <w:lang w:val="en-GB"/>
        </w:rPr>
        <w:t xml:space="preserve"> Furthermore, the Commission received credible information </w:t>
      </w:r>
      <w:r w:rsidR="002F5A6B" w:rsidRPr="007158E9">
        <w:rPr>
          <w:lang w:val="en-GB"/>
        </w:rPr>
        <w:t>including from former members of the State repressive apparatus, CNDD-FDD and defence and security forces</w:t>
      </w:r>
      <w:r w:rsidR="002F5A6B">
        <w:rPr>
          <w:lang w:val="en-GB"/>
        </w:rPr>
        <w:t>,</w:t>
      </w:r>
      <w:r w:rsidR="002F5A6B" w:rsidRPr="007158E9">
        <w:rPr>
          <w:lang w:val="en-GB"/>
        </w:rPr>
        <w:t xml:space="preserve"> </w:t>
      </w:r>
      <w:r w:rsidRPr="007158E9">
        <w:rPr>
          <w:lang w:val="en-GB"/>
        </w:rPr>
        <w:t>indicating that such executions have continued</w:t>
      </w:r>
      <w:r w:rsidR="002F5A6B">
        <w:rPr>
          <w:lang w:val="en-GB"/>
        </w:rPr>
        <w:t>. Lists of persons to eliminate</w:t>
      </w:r>
      <w:r w:rsidRPr="007158E9">
        <w:rPr>
          <w:lang w:val="en-GB"/>
        </w:rPr>
        <w:t xml:space="preserve"> for political reasons have been drawn by officials of CNDD-FDD and defence and security forces, notably SNR</w:t>
      </w:r>
      <w:r w:rsidR="002F5A6B">
        <w:rPr>
          <w:lang w:val="en-GB"/>
        </w:rPr>
        <w:t>.</w:t>
      </w:r>
      <w:r w:rsidRPr="007158E9">
        <w:rPr>
          <w:vertAlign w:val="superscript"/>
          <w:lang w:val="en-GB"/>
        </w:rPr>
        <w:footnoteReference w:id="61"/>
      </w:r>
      <w:r w:rsidRPr="007158E9">
        <w:rPr>
          <w:lang w:val="en-GB"/>
        </w:rPr>
        <w:t xml:space="preserve"> Wi</w:t>
      </w:r>
      <w:r w:rsidR="002F5A6B">
        <w:rPr>
          <w:lang w:val="en-GB"/>
        </w:rPr>
        <w:t>tness accounts of</w:t>
      </w:r>
      <w:r w:rsidRPr="007158E9">
        <w:rPr>
          <w:lang w:val="en-GB"/>
        </w:rPr>
        <w:t xml:space="preserve"> murders or assassinations of per</w:t>
      </w:r>
      <w:r w:rsidR="00D57541">
        <w:rPr>
          <w:lang w:val="en-GB"/>
        </w:rPr>
        <w:t xml:space="preserve">sons in troubling circumstances, as well as </w:t>
      </w:r>
      <w:r w:rsidRPr="007158E9">
        <w:rPr>
          <w:lang w:val="en-GB"/>
        </w:rPr>
        <w:t>the regular discovery of bodies bearing signs of violent death, combined with the few investigations that were opened by the authorities to identify the victims or find and prosecute the perpetrators of those crimes, provides reasonable grounds to the Commission to believe that summary executions remain a widespread practice in Burundi</w:t>
      </w:r>
      <w:r w:rsidR="00D57541">
        <w:rPr>
          <w:lang w:val="en-GB"/>
        </w:rPr>
        <w:t>.</w:t>
      </w:r>
      <w:r w:rsidRPr="007158E9">
        <w:rPr>
          <w:vertAlign w:val="superscript"/>
          <w:lang w:val="en-GB"/>
        </w:rPr>
        <w:footnoteReference w:id="62"/>
      </w:r>
    </w:p>
    <w:p w14:paraId="09F21656" w14:textId="77777777" w:rsidR="00F35CB9" w:rsidRPr="007158E9" w:rsidRDefault="00F35CB9" w:rsidP="00F35CB9">
      <w:pPr>
        <w:pStyle w:val="H56G"/>
        <w:rPr>
          <w:b/>
          <w:lang w:val="en-GB"/>
        </w:rPr>
      </w:pPr>
      <w:r w:rsidRPr="007158E9">
        <w:rPr>
          <w:lang w:val="en-GB"/>
        </w:rPr>
        <w:tab/>
      </w:r>
      <w:r w:rsidRPr="007158E9">
        <w:rPr>
          <w:b/>
          <w:lang w:val="en-GB"/>
        </w:rPr>
        <w:t>(i)</w:t>
      </w:r>
      <w:r w:rsidRPr="007158E9">
        <w:rPr>
          <w:b/>
          <w:lang w:val="en-GB"/>
        </w:rPr>
        <w:tab/>
        <w:t>Main victims</w:t>
      </w:r>
    </w:p>
    <w:p w14:paraId="274FA7D4" w14:textId="64BF3F8E" w:rsidR="00F35CB9" w:rsidRPr="007158E9" w:rsidRDefault="00F35CB9" w:rsidP="00F35CB9">
      <w:pPr>
        <w:pStyle w:val="SingleTxtG"/>
        <w:ind w:right="567"/>
        <w:rPr>
          <w:lang w:val="en-GB"/>
        </w:rPr>
      </w:pPr>
      <w:r w:rsidRPr="007158E9">
        <w:rPr>
          <w:lang w:val="en-GB"/>
        </w:rPr>
        <w:tab/>
        <w:t>250.</w:t>
      </w:r>
      <w:r w:rsidRPr="007158E9">
        <w:rPr>
          <w:lang w:val="en-GB"/>
        </w:rPr>
        <w:tab/>
        <w:t xml:space="preserve">Similar to other human rights violations during the period covered by the present report, the main victims executed or killed under conditions that </w:t>
      </w:r>
      <w:r w:rsidR="005E4610">
        <w:rPr>
          <w:lang w:val="en-GB"/>
        </w:rPr>
        <w:t>are likely to</w:t>
      </w:r>
      <w:r w:rsidRPr="007158E9">
        <w:rPr>
          <w:lang w:val="en-GB"/>
        </w:rPr>
        <w:t xml:space="preserve"> constitute cases of </w:t>
      </w:r>
      <w:r w:rsidR="005E4610">
        <w:rPr>
          <w:lang w:val="en-GB"/>
        </w:rPr>
        <w:t>summary</w:t>
      </w:r>
      <w:r w:rsidRPr="007158E9">
        <w:rPr>
          <w:lang w:val="en-GB"/>
        </w:rPr>
        <w:t xml:space="preserve"> execut</w:t>
      </w:r>
      <w:r w:rsidR="005E4610">
        <w:rPr>
          <w:lang w:val="en-GB"/>
        </w:rPr>
        <w:t xml:space="preserve">ion were </w:t>
      </w:r>
      <w:r w:rsidRPr="007158E9">
        <w:rPr>
          <w:lang w:val="en-GB"/>
        </w:rPr>
        <w:t>principally men perceived as members or supporters of opposition political parties, namely FNL</w:t>
      </w:r>
      <w:r w:rsidRPr="007158E9">
        <w:rPr>
          <w:vertAlign w:val="superscript"/>
          <w:lang w:val="en-GB"/>
        </w:rPr>
        <w:footnoteReference w:id="63"/>
      </w:r>
      <w:r w:rsidRPr="007158E9">
        <w:rPr>
          <w:lang w:val="en-GB"/>
        </w:rPr>
        <w:t xml:space="preserve"> and MSD</w:t>
      </w:r>
      <w:r w:rsidRPr="007158E9">
        <w:rPr>
          <w:vertAlign w:val="superscript"/>
          <w:lang w:val="en-GB"/>
        </w:rPr>
        <w:footnoteReference w:id="64"/>
      </w:r>
      <w:r w:rsidRPr="007158E9">
        <w:rPr>
          <w:lang w:val="en-GB"/>
        </w:rPr>
        <w:t xml:space="preserve">, </w:t>
      </w:r>
      <w:r w:rsidR="005E4610">
        <w:rPr>
          <w:lang w:val="en-GB"/>
        </w:rPr>
        <w:t>as well as</w:t>
      </w:r>
      <w:r w:rsidRPr="007158E9">
        <w:rPr>
          <w:lang w:val="en-GB"/>
        </w:rPr>
        <w:t xml:space="preserve"> individuals who had refused to join CNDD-FDD or to adhere to its politics, to register on the electrol lists ahead of the referendum or to pay contributions</w:t>
      </w:r>
      <w:r w:rsidR="005E4610">
        <w:rPr>
          <w:lang w:val="en-GB"/>
        </w:rPr>
        <w:t>.</w:t>
      </w:r>
      <w:r w:rsidRPr="007158E9">
        <w:rPr>
          <w:vertAlign w:val="superscript"/>
          <w:lang w:val="en-GB"/>
        </w:rPr>
        <w:footnoteReference w:id="65"/>
      </w:r>
    </w:p>
    <w:p w14:paraId="35E6278A" w14:textId="72E15CF9" w:rsidR="00F35CB9" w:rsidRPr="007158E9" w:rsidRDefault="00F35CB9" w:rsidP="00F35CB9">
      <w:pPr>
        <w:pStyle w:val="SingleTxtG"/>
        <w:ind w:right="567"/>
        <w:rPr>
          <w:lang w:val="en-GB"/>
        </w:rPr>
      </w:pPr>
      <w:r w:rsidRPr="007158E9">
        <w:rPr>
          <w:lang w:val="en-GB"/>
        </w:rPr>
        <w:tab/>
        <w:t>251.</w:t>
      </w:r>
      <w:r w:rsidRPr="007158E9">
        <w:rPr>
          <w:lang w:val="en-GB"/>
        </w:rPr>
        <w:tab/>
        <w:t xml:space="preserve">The Commission also received witness accounts, including from former members of Imbonerakure, indicating that some members of the youth league of the </w:t>
      </w:r>
      <w:r w:rsidR="005E4610">
        <w:rPr>
          <w:lang w:val="en-GB"/>
        </w:rPr>
        <w:t xml:space="preserve">ruling </w:t>
      </w:r>
      <w:r w:rsidRPr="007158E9">
        <w:rPr>
          <w:lang w:val="en-GB"/>
        </w:rPr>
        <w:t>party or other persons involved in human rights violations were killed to prevent them from speaking of their past actions, or because they were considered as deviating from the party line</w:t>
      </w:r>
      <w:r w:rsidR="005E4610">
        <w:rPr>
          <w:lang w:val="en-GB"/>
        </w:rPr>
        <w:t>.</w:t>
      </w:r>
      <w:r w:rsidRPr="007158E9">
        <w:rPr>
          <w:vertAlign w:val="superscript"/>
          <w:lang w:val="en-GB"/>
        </w:rPr>
        <w:footnoteReference w:id="66"/>
      </w:r>
    </w:p>
    <w:p w14:paraId="5987A376" w14:textId="77777777" w:rsidR="00F35CB9" w:rsidRPr="007158E9" w:rsidRDefault="00F35CB9" w:rsidP="00F35CB9">
      <w:pPr>
        <w:pStyle w:val="H56G"/>
        <w:rPr>
          <w:b/>
          <w:lang w:val="en-GB"/>
        </w:rPr>
      </w:pPr>
      <w:r w:rsidRPr="007158E9">
        <w:rPr>
          <w:b/>
          <w:lang w:val="en-GB"/>
        </w:rPr>
        <w:tab/>
        <w:t>(ii)</w:t>
      </w:r>
      <w:r w:rsidRPr="007158E9">
        <w:rPr>
          <w:b/>
          <w:lang w:val="en-GB"/>
        </w:rPr>
        <w:tab/>
        <w:t>Main perpetrators</w:t>
      </w:r>
    </w:p>
    <w:p w14:paraId="4396C6E6" w14:textId="052661E4" w:rsidR="00F35CB9" w:rsidRPr="007158E9" w:rsidRDefault="00F35CB9" w:rsidP="00F35CB9">
      <w:pPr>
        <w:pStyle w:val="SingleTxtG"/>
        <w:ind w:right="567"/>
        <w:rPr>
          <w:i/>
          <w:lang w:val="en-GB"/>
        </w:rPr>
      </w:pPr>
      <w:r w:rsidRPr="007158E9">
        <w:rPr>
          <w:lang w:val="en-GB"/>
        </w:rPr>
        <w:tab/>
        <w:t>252.</w:t>
      </w:r>
      <w:r w:rsidRPr="007158E9">
        <w:rPr>
          <w:lang w:val="en-GB"/>
        </w:rPr>
        <w:tab/>
        <w:t>SNR agents remain amongst the main State agents responsible for summary executions in 2017 and 2018</w:t>
      </w:r>
      <w:r w:rsidR="005E4610">
        <w:rPr>
          <w:lang w:val="en-GB"/>
        </w:rPr>
        <w:t>.</w:t>
      </w:r>
      <w:r w:rsidRPr="007158E9">
        <w:rPr>
          <w:vertAlign w:val="superscript"/>
          <w:lang w:val="en-GB"/>
        </w:rPr>
        <w:footnoteReference w:id="67"/>
      </w:r>
      <w:r w:rsidRPr="007158E9">
        <w:rPr>
          <w:lang w:val="en-GB"/>
        </w:rPr>
        <w:t xml:space="preserve"> They often acted in collaboration with police </w:t>
      </w:r>
      <w:r w:rsidR="005E4610">
        <w:rPr>
          <w:lang w:val="en-GB"/>
        </w:rPr>
        <w:t>officers</w:t>
      </w:r>
      <w:r w:rsidRPr="007158E9">
        <w:rPr>
          <w:lang w:val="en-GB"/>
        </w:rPr>
        <w:t>. In several cases, Imbonerakure collaborated with elements of the defence and security forces in the commission of summary executions</w:t>
      </w:r>
      <w:r w:rsidR="005E4610">
        <w:rPr>
          <w:lang w:val="en-GB"/>
        </w:rPr>
        <w:t>.</w:t>
      </w:r>
      <w:r w:rsidRPr="007158E9">
        <w:rPr>
          <w:vertAlign w:val="superscript"/>
          <w:lang w:val="en-GB"/>
        </w:rPr>
        <w:footnoteReference w:id="68"/>
      </w:r>
      <w:r w:rsidRPr="007158E9">
        <w:rPr>
          <w:lang w:val="en-GB"/>
        </w:rPr>
        <w:t xml:space="preserve"> A witness told the Commission about the conduct of a joint operation between Imbonerakure and a military:</w:t>
      </w:r>
    </w:p>
    <w:p w14:paraId="0A594804" w14:textId="566ECC5E" w:rsidR="00F35CB9" w:rsidRPr="007158E9" w:rsidRDefault="00F35CB9" w:rsidP="00F35CB9">
      <w:pPr>
        <w:pStyle w:val="SingleTxtG"/>
        <w:ind w:left="1701" w:right="567"/>
        <w:rPr>
          <w:i/>
          <w:lang w:val="en-GB"/>
        </w:rPr>
      </w:pPr>
      <w:r w:rsidRPr="007158E9">
        <w:rPr>
          <w:i/>
          <w:lang w:val="en-GB"/>
        </w:rPr>
        <w:tab/>
        <w:t xml:space="preserve">“[X] was assassinated on […] November 2017 […] It is [...], the head of Imbonerakure at [W] who killed him in collaboration with [...], a military […] The two came in the evening to [X], around 21 hours. They came in a Toyota Prado […] </w:t>
      </w:r>
      <w:r w:rsidRPr="007158E9">
        <w:rPr>
          <w:i/>
          <w:lang w:val="en-GB"/>
        </w:rPr>
        <w:lastRenderedPageBreak/>
        <w:t>they shot him at his home […] the perpetrators came to his home and called him by his name”</w:t>
      </w:r>
      <w:r w:rsidR="005E4610">
        <w:rPr>
          <w:i/>
          <w:lang w:val="en-GB"/>
        </w:rPr>
        <w:t>.</w:t>
      </w:r>
      <w:r w:rsidRPr="007158E9">
        <w:rPr>
          <w:vertAlign w:val="superscript"/>
          <w:lang w:val="en-GB"/>
        </w:rPr>
        <w:footnoteReference w:id="69"/>
      </w:r>
    </w:p>
    <w:p w14:paraId="1E2C687E" w14:textId="50F0F6DE" w:rsidR="00F35CB9" w:rsidRPr="007158E9" w:rsidRDefault="00F35CB9" w:rsidP="00F35CB9">
      <w:pPr>
        <w:pStyle w:val="SingleTxtG"/>
        <w:ind w:right="567"/>
        <w:rPr>
          <w:lang w:val="en-GB"/>
        </w:rPr>
      </w:pPr>
      <w:r w:rsidRPr="007158E9">
        <w:rPr>
          <w:lang w:val="en-GB"/>
        </w:rPr>
        <w:tab/>
        <w:t>253.</w:t>
      </w:r>
      <w:r w:rsidRPr="007158E9">
        <w:rPr>
          <w:lang w:val="en-GB"/>
        </w:rPr>
        <w:tab/>
        <w:t>The Commission also noted the increased involvement of Imbonerakure acting alone to identify the persons to kill and to summarily execute them</w:t>
      </w:r>
      <w:r w:rsidR="005E4610">
        <w:rPr>
          <w:lang w:val="en-GB"/>
        </w:rPr>
        <w:t>.</w:t>
      </w:r>
      <w:r w:rsidRPr="007158E9">
        <w:rPr>
          <w:vertAlign w:val="superscript"/>
          <w:lang w:val="en-GB"/>
        </w:rPr>
        <w:footnoteReference w:id="70"/>
      </w:r>
      <w:r w:rsidRPr="007158E9">
        <w:rPr>
          <w:lang w:val="en-GB"/>
        </w:rPr>
        <w:t xml:space="preserve"> A witness recounted the murder of a parent by Imbonerakure in the following words:</w:t>
      </w:r>
    </w:p>
    <w:p w14:paraId="28B1759A" w14:textId="3E4D360F" w:rsidR="00F35CB9" w:rsidRPr="007158E9" w:rsidRDefault="00F35CB9" w:rsidP="00F35CB9">
      <w:pPr>
        <w:pStyle w:val="SingleTxtG"/>
        <w:ind w:left="1701" w:right="567"/>
        <w:rPr>
          <w:lang w:val="en-GB"/>
        </w:rPr>
      </w:pPr>
      <w:r w:rsidRPr="007158E9">
        <w:rPr>
          <w:lang w:val="en-GB"/>
        </w:rPr>
        <w:tab/>
        <w:t>“</w:t>
      </w:r>
      <w:r w:rsidRPr="007158E9">
        <w:rPr>
          <w:i/>
          <w:lang w:val="en-GB"/>
        </w:rPr>
        <w:t>[A parent] […] who was a member of MSD was shot by unidentified Imbonerakure […] [in] 2017.  It was in the evening around 20 heures […] [He] was killed as he was buying</w:t>
      </w:r>
      <w:r w:rsidR="005E4610">
        <w:rPr>
          <w:i/>
          <w:lang w:val="en-GB"/>
        </w:rPr>
        <w:t xml:space="preserve"> telephone</w:t>
      </w:r>
      <w:r w:rsidRPr="007158E9">
        <w:rPr>
          <w:i/>
          <w:lang w:val="en-GB"/>
        </w:rPr>
        <w:t xml:space="preserve"> credits […] Imbonerakure […] were on foot […] they came close to him and shot him</w:t>
      </w:r>
      <w:r w:rsidRPr="007158E9">
        <w:rPr>
          <w:lang w:val="en-GB"/>
        </w:rPr>
        <w:t>”</w:t>
      </w:r>
      <w:r w:rsidR="005E4610">
        <w:rPr>
          <w:lang w:val="en-GB"/>
        </w:rPr>
        <w:t>.</w:t>
      </w:r>
      <w:r w:rsidRPr="007158E9">
        <w:rPr>
          <w:vertAlign w:val="superscript"/>
          <w:lang w:val="en-GB"/>
        </w:rPr>
        <w:footnoteReference w:id="71"/>
      </w:r>
    </w:p>
    <w:p w14:paraId="3AF967E4" w14:textId="01C8980A" w:rsidR="00F35CB9" w:rsidRPr="007158E9" w:rsidRDefault="00F35CB9" w:rsidP="00F35CB9">
      <w:pPr>
        <w:pStyle w:val="SingleTxtG"/>
        <w:ind w:right="567"/>
        <w:rPr>
          <w:lang w:val="en-GB"/>
        </w:rPr>
      </w:pPr>
      <w:r w:rsidRPr="007158E9">
        <w:rPr>
          <w:lang w:val="en-GB"/>
        </w:rPr>
        <w:tab/>
        <w:t>254.</w:t>
      </w:r>
      <w:r w:rsidRPr="007158E9">
        <w:rPr>
          <w:lang w:val="en-GB"/>
        </w:rPr>
        <w:tab/>
        <w:t>Witness accounts also mention the possible utilisation of detainees for missions outside the prisons to execute persons who are hostile to the leadership or other targeted persons</w:t>
      </w:r>
      <w:r w:rsidR="005E4610">
        <w:rPr>
          <w:lang w:val="en-GB"/>
        </w:rPr>
        <w:t>.</w:t>
      </w:r>
      <w:r w:rsidRPr="007158E9">
        <w:rPr>
          <w:vertAlign w:val="superscript"/>
          <w:lang w:val="en-GB"/>
        </w:rPr>
        <w:footnoteReference w:id="72"/>
      </w:r>
      <w:r w:rsidRPr="007158E9">
        <w:rPr>
          <w:lang w:val="en-GB"/>
        </w:rPr>
        <w:t xml:space="preserve"> The </w:t>
      </w:r>
      <w:r w:rsidRPr="007158E9">
        <w:rPr>
          <w:i/>
          <w:lang w:val="en-GB"/>
        </w:rPr>
        <w:t>capita généraux </w:t>
      </w:r>
      <w:r w:rsidRPr="007158E9">
        <w:rPr>
          <w:lang w:val="en-GB"/>
        </w:rPr>
        <w:t>would help with the identification of the most capable detainees for this type of mission and the SNR would inform the police and military agents on duty around the areas of operation so that they do not intervene. A witness s</w:t>
      </w:r>
      <w:r w:rsidR="005E4610">
        <w:rPr>
          <w:lang w:val="en-GB"/>
        </w:rPr>
        <w:t>tate</w:t>
      </w:r>
      <w:r w:rsidRPr="007158E9">
        <w:rPr>
          <w:lang w:val="en-GB"/>
        </w:rPr>
        <w:t>d:</w:t>
      </w:r>
    </w:p>
    <w:p w14:paraId="0D137298" w14:textId="78CC66B1" w:rsidR="00F35CB9" w:rsidRPr="007158E9" w:rsidRDefault="00F35CB9" w:rsidP="00F35CB9">
      <w:pPr>
        <w:pStyle w:val="SingleTxtG"/>
        <w:ind w:left="1701" w:right="567"/>
        <w:rPr>
          <w:lang w:val="en-GB"/>
        </w:rPr>
      </w:pPr>
      <w:r w:rsidRPr="007158E9">
        <w:rPr>
          <w:i/>
          <w:lang w:val="en-GB"/>
        </w:rPr>
        <w:tab/>
        <w:t>“To execute [X], it was prisoners who were sent […] It was a joint operation. [X] was killed the same day as [Y] He was in a bar. They called him. He came out and they killed him […] In principle, the prisoners move around with the help of Imbonerakure. The police and the army provide the necessary cover for the execution of the operation. In the specific case [of X] – and I repeat – prisoners were the executors. These prisoners are not nobodies, they have more experience than Imbonerakure. They are special prisonners: demobilised and former combattants</w:t>
      </w:r>
      <w:r w:rsidRPr="007158E9">
        <w:rPr>
          <w:lang w:val="en-GB"/>
        </w:rPr>
        <w:t>”</w:t>
      </w:r>
      <w:r w:rsidR="005E4610">
        <w:rPr>
          <w:lang w:val="en-GB"/>
        </w:rPr>
        <w:t>.</w:t>
      </w:r>
      <w:r w:rsidRPr="007158E9">
        <w:rPr>
          <w:vertAlign w:val="superscript"/>
          <w:lang w:val="en-GB"/>
        </w:rPr>
        <w:footnoteReference w:id="73"/>
      </w:r>
    </w:p>
    <w:p w14:paraId="3E1FDFC0" w14:textId="06731504" w:rsidR="00F35CB9" w:rsidRPr="007158E9" w:rsidRDefault="00F35CB9" w:rsidP="00F35CB9">
      <w:pPr>
        <w:pStyle w:val="SingleTxtG"/>
        <w:ind w:left="0" w:firstLine="567"/>
        <w:rPr>
          <w:b/>
          <w:lang w:val="en-GB"/>
        </w:rPr>
      </w:pPr>
      <w:r w:rsidRPr="007158E9">
        <w:rPr>
          <w:b/>
          <w:lang w:val="en-GB"/>
        </w:rPr>
        <w:t>(iii)</w:t>
      </w:r>
      <w:r w:rsidRPr="007158E9">
        <w:rPr>
          <w:b/>
          <w:lang w:val="en-GB"/>
        </w:rPr>
        <w:tab/>
        <w:t xml:space="preserve">Operating </w:t>
      </w:r>
      <w:r w:rsidR="005E4610">
        <w:rPr>
          <w:b/>
          <w:lang w:val="en-GB"/>
        </w:rPr>
        <w:t>m</w:t>
      </w:r>
      <w:r w:rsidRPr="007158E9">
        <w:rPr>
          <w:b/>
          <w:lang w:val="en-GB"/>
        </w:rPr>
        <w:t>ode</w:t>
      </w:r>
    </w:p>
    <w:p w14:paraId="67D79ADF" w14:textId="059BC5FA" w:rsidR="00F35CB9" w:rsidRPr="007158E9" w:rsidRDefault="00F35CB9" w:rsidP="00F35CB9">
      <w:pPr>
        <w:pStyle w:val="SingleTxtG"/>
        <w:ind w:right="567"/>
        <w:rPr>
          <w:lang w:val="en-GB"/>
        </w:rPr>
      </w:pPr>
      <w:r w:rsidRPr="007158E9">
        <w:rPr>
          <w:rFonts w:eastAsia="Calibri"/>
          <w:lang w:val="en-GB"/>
        </w:rPr>
        <w:t>255.</w:t>
      </w:r>
      <w:r w:rsidRPr="007158E9">
        <w:rPr>
          <w:rFonts w:eastAsia="Calibri"/>
          <w:lang w:val="en-GB"/>
        </w:rPr>
        <w:tab/>
        <w:t>Witnesses mentionned that the victims were mainly killed by being stabbed, targeted with a grenade, beaten to death, by gunshot or by strangulation</w:t>
      </w:r>
      <w:r w:rsidR="005E4610">
        <w:rPr>
          <w:rFonts w:eastAsia="Calibri"/>
          <w:lang w:val="en-GB"/>
        </w:rPr>
        <w:t>.</w:t>
      </w:r>
      <w:r w:rsidRPr="007158E9">
        <w:rPr>
          <w:rFonts w:eastAsia="Calibri"/>
          <w:vertAlign w:val="superscript"/>
          <w:lang w:val="en-GB"/>
        </w:rPr>
        <w:footnoteReference w:id="74"/>
      </w:r>
      <w:r w:rsidRPr="007158E9">
        <w:rPr>
          <w:lang w:val="en-GB"/>
        </w:rPr>
        <w:t xml:space="preserve"> In some cases, the targeted persons were killed in their home and their body left onsite or in the </w:t>
      </w:r>
      <w:r w:rsidR="005E4610" w:rsidRPr="007158E9">
        <w:rPr>
          <w:lang w:val="en-GB"/>
        </w:rPr>
        <w:t>vicinit</w:t>
      </w:r>
      <w:r w:rsidR="005E4610">
        <w:rPr>
          <w:lang w:val="en-GB"/>
        </w:rPr>
        <w:t>y.</w:t>
      </w:r>
      <w:r w:rsidRPr="007158E9">
        <w:rPr>
          <w:vertAlign w:val="superscript"/>
          <w:lang w:val="en-GB"/>
        </w:rPr>
        <w:footnoteReference w:id="75"/>
      </w:r>
      <w:r w:rsidRPr="007158E9">
        <w:rPr>
          <w:lang w:val="en-GB"/>
        </w:rPr>
        <w:t xml:space="preserve"> In other cases, the persons were executed after being taken </w:t>
      </w:r>
      <w:r w:rsidR="005E4610">
        <w:rPr>
          <w:lang w:val="en-GB"/>
        </w:rPr>
        <w:t>far away</w:t>
      </w:r>
      <w:r w:rsidRPr="007158E9">
        <w:rPr>
          <w:lang w:val="en-GB"/>
        </w:rPr>
        <w:t xml:space="preserve"> from their </w:t>
      </w:r>
      <w:r w:rsidR="005E4610">
        <w:rPr>
          <w:lang w:val="en-GB"/>
        </w:rPr>
        <w:t>home</w:t>
      </w:r>
      <w:r w:rsidRPr="007158E9">
        <w:rPr>
          <w:lang w:val="en-GB"/>
        </w:rPr>
        <w:t xml:space="preserve">, sometimes </w:t>
      </w:r>
      <w:r w:rsidR="005E4610">
        <w:rPr>
          <w:lang w:val="en-GB"/>
        </w:rPr>
        <w:t>to</w:t>
      </w:r>
      <w:r w:rsidRPr="007158E9">
        <w:rPr>
          <w:lang w:val="en-GB"/>
        </w:rPr>
        <w:t xml:space="preserve"> another province, and </w:t>
      </w:r>
      <w:r w:rsidR="005E4610">
        <w:rPr>
          <w:lang w:val="en-GB"/>
        </w:rPr>
        <w:t>some corpses</w:t>
      </w:r>
      <w:r w:rsidRPr="007158E9">
        <w:rPr>
          <w:lang w:val="en-GB"/>
        </w:rPr>
        <w:t xml:space="preserve"> continued to be thrown in the rivers after being weighed down with stones or to be buried in common</w:t>
      </w:r>
      <w:r w:rsidR="005E4610">
        <w:rPr>
          <w:lang w:val="en-GB"/>
        </w:rPr>
        <w:t xml:space="preserve"> graves (fosses communes), </w:t>
      </w:r>
      <w:r w:rsidR="003A42E6">
        <w:rPr>
          <w:lang w:val="en-GB"/>
        </w:rPr>
        <w:t xml:space="preserve">in particular </w:t>
      </w:r>
      <w:r w:rsidRPr="007158E9">
        <w:rPr>
          <w:lang w:val="en-GB"/>
        </w:rPr>
        <w:t>in forests</w:t>
      </w:r>
      <w:r w:rsidRPr="007158E9">
        <w:rPr>
          <w:vertAlign w:val="superscript"/>
          <w:lang w:val="en-GB"/>
        </w:rPr>
        <w:footnoteReference w:id="76"/>
      </w:r>
      <w:r w:rsidRPr="007158E9">
        <w:rPr>
          <w:lang w:val="en-GB"/>
        </w:rPr>
        <w:t>. A witness said:</w:t>
      </w:r>
    </w:p>
    <w:p w14:paraId="555D39D9" w14:textId="731BDFBE" w:rsidR="00F35CB9" w:rsidRPr="007158E9" w:rsidRDefault="00F35CB9" w:rsidP="00F35CB9">
      <w:pPr>
        <w:pStyle w:val="SingleTxtG"/>
        <w:ind w:left="1701" w:right="567"/>
        <w:rPr>
          <w:i/>
          <w:lang w:val="en-GB"/>
        </w:rPr>
      </w:pPr>
      <w:r w:rsidRPr="007158E9">
        <w:rPr>
          <w:i/>
          <w:lang w:val="en-GB"/>
        </w:rPr>
        <w:tab/>
        <w:t xml:space="preserve">“Imbonerakure attached […] men […] They were attached by the elbows behind the back, feet forward. Imbonerakure beat them seriously. One of them, agonising, was immediately thrown in the Rusizi </w:t>
      </w:r>
      <w:r w:rsidR="003A42E6">
        <w:rPr>
          <w:i/>
          <w:lang w:val="en-GB"/>
        </w:rPr>
        <w:t>River</w:t>
      </w:r>
      <w:r w:rsidRPr="007158E9">
        <w:rPr>
          <w:i/>
          <w:lang w:val="en-GB"/>
        </w:rPr>
        <w:t xml:space="preserve">. Another, who was requested to confess, ended up saying that he was going to say everything. He was nonetheless also thrown in the Rusizi </w:t>
      </w:r>
      <w:r w:rsidR="003A42E6">
        <w:rPr>
          <w:i/>
          <w:lang w:val="en-GB"/>
        </w:rPr>
        <w:t>River</w:t>
      </w:r>
      <w:r w:rsidRPr="007158E9">
        <w:rPr>
          <w:i/>
          <w:lang w:val="en-GB"/>
        </w:rPr>
        <w:t>”</w:t>
      </w:r>
      <w:r w:rsidR="003A42E6">
        <w:rPr>
          <w:i/>
          <w:lang w:val="en-GB"/>
        </w:rPr>
        <w:t>.</w:t>
      </w:r>
      <w:r w:rsidRPr="007158E9">
        <w:rPr>
          <w:vertAlign w:val="superscript"/>
          <w:lang w:val="en-GB"/>
        </w:rPr>
        <w:footnoteReference w:id="77"/>
      </w:r>
    </w:p>
    <w:p w14:paraId="748115B1" w14:textId="7B88B1C4" w:rsidR="00F35CB9" w:rsidRPr="007158E9" w:rsidRDefault="00F35CB9" w:rsidP="00F35CB9">
      <w:pPr>
        <w:pStyle w:val="SingleTxtG"/>
        <w:ind w:right="567"/>
        <w:rPr>
          <w:lang w:val="en-GB"/>
        </w:rPr>
      </w:pPr>
      <w:r w:rsidRPr="007158E9">
        <w:rPr>
          <w:lang w:val="en-GB"/>
        </w:rPr>
        <w:tab/>
        <w:t>256.</w:t>
      </w:r>
      <w:r w:rsidRPr="007158E9">
        <w:rPr>
          <w:lang w:val="en-GB"/>
        </w:rPr>
        <w:tab/>
        <w:t>Unidentified lifeless bodies continue to be found throughout the country and to be buried with no regard to legal formalitie</w:t>
      </w:r>
      <w:r w:rsidR="003A42E6">
        <w:rPr>
          <w:lang w:val="en-GB"/>
        </w:rPr>
        <w:t>s</w:t>
      </w:r>
      <w:r w:rsidRPr="007158E9">
        <w:rPr>
          <w:lang w:val="en-GB"/>
        </w:rPr>
        <w:t xml:space="preserve"> </w:t>
      </w:r>
      <w:r w:rsidR="003A42E6">
        <w:rPr>
          <w:lang w:val="en-GB"/>
        </w:rPr>
        <w:t>such as</w:t>
      </w:r>
      <w:r w:rsidRPr="007158E9">
        <w:rPr>
          <w:lang w:val="en-GB"/>
        </w:rPr>
        <w:t xml:space="preserve"> the opening of an independent investigation to </w:t>
      </w:r>
      <w:r w:rsidR="003A42E6">
        <w:rPr>
          <w:lang w:val="en-GB"/>
        </w:rPr>
        <w:t>establish the victim’s identity and</w:t>
      </w:r>
      <w:r w:rsidRPr="007158E9">
        <w:rPr>
          <w:lang w:val="en-GB"/>
        </w:rPr>
        <w:t xml:space="preserve"> the circumstances of death</w:t>
      </w:r>
      <w:r w:rsidR="003A42E6">
        <w:rPr>
          <w:lang w:val="en-GB"/>
        </w:rPr>
        <w:t>, and</w:t>
      </w:r>
      <w:r w:rsidRPr="007158E9">
        <w:rPr>
          <w:lang w:val="en-GB"/>
        </w:rPr>
        <w:t xml:space="preserve"> to look for the possible culprits. This reinforces the general impunity enjoyed by the perpetrators of human rights violations and is in itself a violation of the State to protect the right to life and to offer </w:t>
      </w:r>
      <w:r w:rsidR="003A42E6">
        <w:rPr>
          <w:lang w:val="en-GB"/>
        </w:rPr>
        <w:t>an effective</w:t>
      </w:r>
      <w:r w:rsidRPr="007158E9">
        <w:rPr>
          <w:lang w:val="en-GB"/>
        </w:rPr>
        <w:t xml:space="preserve"> </w:t>
      </w:r>
      <w:r w:rsidR="003A42E6">
        <w:rPr>
          <w:lang w:val="en-GB"/>
        </w:rPr>
        <w:t>remedy</w:t>
      </w:r>
      <w:r w:rsidRPr="007158E9">
        <w:rPr>
          <w:lang w:val="en-GB"/>
        </w:rPr>
        <w:t xml:space="preserve"> to the victims and their families</w:t>
      </w:r>
      <w:r w:rsidR="004D3965">
        <w:rPr>
          <w:lang w:val="en-GB"/>
        </w:rPr>
        <w:t>.</w:t>
      </w:r>
      <w:r w:rsidRPr="007158E9">
        <w:rPr>
          <w:vertAlign w:val="superscript"/>
          <w:lang w:val="en-GB"/>
        </w:rPr>
        <w:footnoteReference w:id="78"/>
      </w:r>
    </w:p>
    <w:p w14:paraId="172A1BAB" w14:textId="5471497A" w:rsidR="00F35CB9" w:rsidRPr="007158E9" w:rsidRDefault="00F35CB9" w:rsidP="004D3965">
      <w:pPr>
        <w:pStyle w:val="SingleTxtG"/>
        <w:ind w:right="567"/>
        <w:rPr>
          <w:rFonts w:eastAsia="Calibri"/>
          <w:lang w:val="en-GB"/>
        </w:rPr>
      </w:pPr>
      <w:r w:rsidRPr="007158E9">
        <w:rPr>
          <w:rFonts w:eastAsia="Calibri"/>
          <w:lang w:val="en-GB"/>
        </w:rPr>
        <w:lastRenderedPageBreak/>
        <w:tab/>
        <w:t>257.</w:t>
      </w:r>
      <w:r w:rsidRPr="007158E9">
        <w:rPr>
          <w:rFonts w:eastAsia="Calibri"/>
          <w:lang w:val="en-GB"/>
        </w:rPr>
        <w:tab/>
        <w:t xml:space="preserve">The Commission also received information indicating that SNR agents executed persons </w:t>
      </w:r>
      <w:r w:rsidR="004D3965" w:rsidRPr="007158E9">
        <w:rPr>
          <w:rFonts w:eastAsia="Calibri"/>
          <w:lang w:val="en-GB"/>
        </w:rPr>
        <w:t xml:space="preserve">detained </w:t>
      </w:r>
      <w:r w:rsidRPr="007158E9">
        <w:rPr>
          <w:rFonts w:eastAsia="Calibri"/>
          <w:lang w:val="en-GB"/>
        </w:rPr>
        <w:t xml:space="preserve">in secret detention </w:t>
      </w:r>
      <w:r w:rsidR="004D3965">
        <w:rPr>
          <w:rFonts w:eastAsia="Calibri"/>
          <w:lang w:val="en-GB"/>
        </w:rPr>
        <w:t>facilities</w:t>
      </w:r>
      <w:r w:rsidRPr="007158E9">
        <w:rPr>
          <w:rFonts w:eastAsia="Calibri"/>
          <w:lang w:val="en-GB"/>
        </w:rPr>
        <w:t>, such as a house situated in Kinindo (Bujumbura Mairie)</w:t>
      </w:r>
      <w:r w:rsidR="004D3965">
        <w:rPr>
          <w:rFonts w:eastAsia="Calibri"/>
          <w:lang w:val="en-GB"/>
        </w:rPr>
        <w:t>.</w:t>
      </w:r>
      <w:r w:rsidRPr="007158E9">
        <w:rPr>
          <w:vertAlign w:val="superscript"/>
          <w:lang w:val="en-GB"/>
        </w:rPr>
        <w:footnoteReference w:id="79"/>
      </w:r>
      <w:r w:rsidRPr="007158E9">
        <w:rPr>
          <w:rFonts w:eastAsia="Calibri"/>
          <w:lang w:val="en-GB"/>
        </w:rPr>
        <w:t xml:space="preserve"> </w:t>
      </w:r>
      <w:r w:rsidR="004D3965">
        <w:rPr>
          <w:rFonts w:eastAsia="Calibri"/>
          <w:lang w:val="en-GB"/>
        </w:rPr>
        <w:t>It was reported that m</w:t>
      </w:r>
      <w:r w:rsidRPr="007158E9">
        <w:rPr>
          <w:rFonts w:eastAsia="Calibri"/>
          <w:lang w:val="en-GB"/>
        </w:rPr>
        <w:t xml:space="preserve">en </w:t>
      </w:r>
      <w:r w:rsidR="004D3965">
        <w:rPr>
          <w:rFonts w:eastAsia="Calibri"/>
          <w:lang w:val="en-GB"/>
        </w:rPr>
        <w:t>might have been</w:t>
      </w:r>
      <w:r w:rsidRPr="007158E9">
        <w:rPr>
          <w:rFonts w:eastAsia="Calibri"/>
          <w:lang w:val="en-GB"/>
        </w:rPr>
        <w:t xml:space="preserve"> killed there in December 2016 by SNR agents. </w:t>
      </w:r>
      <w:r w:rsidR="004D3965">
        <w:rPr>
          <w:rFonts w:eastAsia="Calibri"/>
          <w:lang w:val="en-GB"/>
        </w:rPr>
        <w:t xml:space="preserve">After </w:t>
      </w:r>
      <w:r w:rsidRPr="007158E9">
        <w:rPr>
          <w:rFonts w:eastAsia="Calibri"/>
          <w:lang w:val="en-GB"/>
        </w:rPr>
        <w:t xml:space="preserve">these </w:t>
      </w:r>
      <w:r w:rsidR="004D3965">
        <w:rPr>
          <w:rFonts w:eastAsia="Calibri"/>
          <w:lang w:val="en-GB"/>
        </w:rPr>
        <w:t xml:space="preserve">alleged </w:t>
      </w:r>
      <w:r w:rsidRPr="007158E9">
        <w:rPr>
          <w:rFonts w:eastAsia="Calibri"/>
          <w:lang w:val="en-GB"/>
        </w:rPr>
        <w:t xml:space="preserve">murders, witnesses </w:t>
      </w:r>
      <w:r w:rsidR="004D3965">
        <w:rPr>
          <w:rFonts w:eastAsia="Calibri"/>
          <w:lang w:val="en-GB"/>
        </w:rPr>
        <w:t xml:space="preserve">had </w:t>
      </w:r>
      <w:r w:rsidRPr="007158E9">
        <w:rPr>
          <w:rFonts w:eastAsia="Calibri"/>
          <w:lang w:val="en-GB"/>
        </w:rPr>
        <w:t>observed blood flow</w:t>
      </w:r>
      <w:r w:rsidR="004D3965">
        <w:rPr>
          <w:rFonts w:eastAsia="Calibri"/>
          <w:lang w:val="en-GB"/>
        </w:rPr>
        <w:t>ing</w:t>
      </w:r>
      <w:r w:rsidRPr="007158E9">
        <w:rPr>
          <w:rFonts w:eastAsia="Calibri"/>
          <w:lang w:val="en-GB"/>
        </w:rPr>
        <w:t xml:space="preserve"> outside that house and a video showing the suspicious </w:t>
      </w:r>
      <w:r w:rsidR="004D3965">
        <w:rPr>
          <w:rFonts w:eastAsia="Calibri"/>
          <w:lang w:val="en-GB"/>
        </w:rPr>
        <w:t xml:space="preserve">blood </w:t>
      </w:r>
      <w:r w:rsidRPr="007158E9">
        <w:rPr>
          <w:rFonts w:eastAsia="Calibri"/>
          <w:lang w:val="en-GB"/>
        </w:rPr>
        <w:t>flows circulated on social media. The police spokesperson has nonetheless rejected these facts in a tweet</w:t>
      </w:r>
      <w:r w:rsidR="004D3965">
        <w:rPr>
          <w:rFonts w:eastAsia="Calibri"/>
          <w:lang w:val="en-GB"/>
        </w:rPr>
        <w:t>.</w:t>
      </w:r>
      <w:r w:rsidRPr="007158E9">
        <w:rPr>
          <w:rFonts w:eastAsia="Calibri"/>
          <w:vertAlign w:val="superscript"/>
          <w:lang w:val="en-GB"/>
        </w:rPr>
        <w:footnoteReference w:id="80"/>
      </w:r>
      <w:r w:rsidRPr="007158E9">
        <w:rPr>
          <w:rFonts w:eastAsia="Calibri"/>
          <w:lang w:val="en-GB"/>
        </w:rPr>
        <w:t xml:space="preserve"> Several sources confirmed to the Co</w:t>
      </w:r>
      <w:r w:rsidR="004D3965">
        <w:rPr>
          <w:rFonts w:eastAsia="Calibri"/>
          <w:lang w:val="en-GB"/>
        </w:rPr>
        <w:t>mmission that it wa</w:t>
      </w:r>
      <w:r w:rsidRPr="007158E9">
        <w:rPr>
          <w:rFonts w:eastAsia="Calibri"/>
          <w:lang w:val="en-GB"/>
        </w:rPr>
        <w:t>s human blood that flowed from the house through a wastewater drainage</w:t>
      </w:r>
      <w:r w:rsidR="004D3965">
        <w:rPr>
          <w:rFonts w:eastAsia="Calibri"/>
          <w:lang w:val="en-GB"/>
        </w:rPr>
        <w:t>.</w:t>
      </w:r>
      <w:r w:rsidRPr="007158E9">
        <w:rPr>
          <w:vertAlign w:val="superscript"/>
          <w:lang w:val="en-GB"/>
        </w:rPr>
        <w:footnoteReference w:id="81"/>
      </w:r>
    </w:p>
    <w:p w14:paraId="4574260B" w14:textId="36E82D95" w:rsidR="00F35CB9" w:rsidRPr="007158E9" w:rsidRDefault="00F35CB9" w:rsidP="00F35CB9">
      <w:pPr>
        <w:pStyle w:val="H4G"/>
        <w:rPr>
          <w:b/>
          <w:i w:val="0"/>
          <w:lang w:val="en-GB"/>
        </w:rPr>
      </w:pPr>
      <w:r w:rsidRPr="007158E9">
        <w:rPr>
          <w:b/>
          <w:i w:val="0"/>
          <w:lang w:val="en-GB"/>
        </w:rPr>
        <w:tab/>
        <w:t>(b)</w:t>
      </w:r>
      <w:r w:rsidRPr="007158E9">
        <w:rPr>
          <w:b/>
          <w:i w:val="0"/>
          <w:lang w:val="en-GB"/>
        </w:rPr>
        <w:tab/>
      </w:r>
      <w:r w:rsidRPr="007158E9">
        <w:rPr>
          <w:b/>
          <w:bCs/>
          <w:i w:val="0"/>
          <w:lang w:val="en-GB"/>
        </w:rPr>
        <w:t>Enforced disappearance</w:t>
      </w:r>
      <w:r w:rsidR="004D3965">
        <w:rPr>
          <w:b/>
          <w:bCs/>
          <w:i w:val="0"/>
          <w:lang w:val="en-GB"/>
        </w:rPr>
        <w:t>s</w:t>
      </w:r>
    </w:p>
    <w:p w14:paraId="13E4534F" w14:textId="6D7047F2" w:rsidR="00F35CB9" w:rsidRPr="007158E9" w:rsidRDefault="00F35CB9" w:rsidP="00F35CB9">
      <w:pPr>
        <w:pStyle w:val="SingleTxtG"/>
        <w:ind w:right="567"/>
        <w:rPr>
          <w:lang w:val="en-GB"/>
        </w:rPr>
      </w:pPr>
      <w:r w:rsidRPr="007158E9">
        <w:rPr>
          <w:lang w:val="en-GB"/>
        </w:rPr>
        <w:tab/>
        <w:t>258.</w:t>
      </w:r>
      <w:r w:rsidRPr="007158E9">
        <w:rPr>
          <w:lang w:val="en-GB"/>
        </w:rPr>
        <w:tab/>
        <w:t>In its last report</w:t>
      </w:r>
      <w:r w:rsidR="00E732BF">
        <w:rPr>
          <w:lang w:val="en-GB"/>
        </w:rPr>
        <w:t>,</w:t>
      </w:r>
      <w:r w:rsidRPr="007158E9">
        <w:rPr>
          <w:vertAlign w:val="superscript"/>
          <w:lang w:val="en-GB"/>
        </w:rPr>
        <w:footnoteReference w:id="82"/>
      </w:r>
      <w:r w:rsidRPr="007158E9">
        <w:rPr>
          <w:lang w:val="en-GB"/>
        </w:rPr>
        <w:t xml:space="preserve"> the Commission highlighted a context generally conducive to forced disappearance</w:t>
      </w:r>
      <w:r w:rsidR="007A188B">
        <w:rPr>
          <w:lang w:val="en-GB"/>
        </w:rPr>
        <w:t>s</w:t>
      </w:r>
      <w:r w:rsidRPr="007158E9">
        <w:rPr>
          <w:lang w:val="en-GB"/>
        </w:rPr>
        <w:t xml:space="preserve"> since 2015, especially in view of the conditions in which arrests were conducted by Burundian law enforcement bodies. The Commission distinguished between the cases</w:t>
      </w:r>
      <w:r w:rsidR="007A188B">
        <w:rPr>
          <w:lang w:val="en-GB"/>
        </w:rPr>
        <w:t xml:space="preserve"> for which</w:t>
      </w:r>
      <w:r w:rsidRPr="007158E9">
        <w:rPr>
          <w:lang w:val="en-GB"/>
        </w:rPr>
        <w:t xml:space="preserve"> it had “reasonable </w:t>
      </w:r>
      <w:r w:rsidR="007A188B">
        <w:rPr>
          <w:lang w:val="en-GB"/>
        </w:rPr>
        <w:t>grounds</w:t>
      </w:r>
      <w:r w:rsidRPr="007158E9">
        <w:rPr>
          <w:lang w:val="en-GB"/>
        </w:rPr>
        <w:t xml:space="preserve"> to believe” </w:t>
      </w:r>
      <w:r w:rsidR="00F10888">
        <w:rPr>
          <w:lang w:val="en-GB"/>
        </w:rPr>
        <w:t xml:space="preserve">they </w:t>
      </w:r>
      <w:r w:rsidRPr="007158E9">
        <w:rPr>
          <w:lang w:val="en-GB"/>
        </w:rPr>
        <w:t xml:space="preserve">amounted to enforced disappearance and those ones </w:t>
      </w:r>
      <w:r w:rsidR="007A188B">
        <w:rPr>
          <w:lang w:val="en-GB"/>
        </w:rPr>
        <w:t>for which</w:t>
      </w:r>
      <w:r w:rsidRPr="007158E9">
        <w:rPr>
          <w:lang w:val="en-GB"/>
        </w:rPr>
        <w:t xml:space="preserve"> it only had “reasonable </w:t>
      </w:r>
      <w:r w:rsidR="007A188B">
        <w:rPr>
          <w:lang w:val="en-GB"/>
        </w:rPr>
        <w:t>grounds</w:t>
      </w:r>
      <w:r w:rsidRPr="007158E9">
        <w:rPr>
          <w:lang w:val="en-GB"/>
        </w:rPr>
        <w:t xml:space="preserve"> to fear” </w:t>
      </w:r>
      <w:r w:rsidR="00F10888">
        <w:rPr>
          <w:lang w:val="en-GB"/>
        </w:rPr>
        <w:t>that it</w:t>
      </w:r>
      <w:r w:rsidRPr="007158E9">
        <w:rPr>
          <w:lang w:val="en-GB"/>
        </w:rPr>
        <w:t xml:space="preserve"> might be the case.</w:t>
      </w:r>
    </w:p>
    <w:p w14:paraId="395CB2F9" w14:textId="682EEDBA" w:rsidR="00F35CB9" w:rsidRPr="007158E9" w:rsidRDefault="00F35CB9" w:rsidP="00F35CB9">
      <w:pPr>
        <w:pStyle w:val="SingleTxtG"/>
        <w:ind w:right="567"/>
        <w:rPr>
          <w:lang w:val="en-GB"/>
        </w:rPr>
      </w:pPr>
      <w:r w:rsidRPr="007158E9">
        <w:rPr>
          <w:lang w:val="en-GB"/>
        </w:rPr>
        <w:tab/>
        <w:t>259.</w:t>
      </w:r>
      <w:r w:rsidRPr="007158E9">
        <w:rPr>
          <w:lang w:val="en-GB"/>
        </w:rPr>
        <w:tab/>
        <w:t>In the first category, the Commission had received information supporting the conclusion of the existence of elements included in the definition of enforced disappearance in Article 2 of the International Convention for the Protection of All Persons fro</w:t>
      </w:r>
      <w:r w:rsidR="007A188B">
        <w:rPr>
          <w:lang w:val="en-GB"/>
        </w:rPr>
        <w:t>m Enforced Disappearance, namely:</w:t>
      </w:r>
      <w:r w:rsidRPr="007158E9">
        <w:rPr>
          <w:lang w:val="en-GB"/>
        </w:rPr>
        <w:t xml:space="preserve">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missing person. From that perspective, the Commission considered that Augustin Hatungimana, Bernard Baranjoreje, Hugo Haramategeko, Jean Bigirimana and Pacifique Birikumana had been victims of enforced disappearance</w:t>
      </w:r>
      <w:r w:rsidR="007A188B">
        <w:rPr>
          <w:lang w:val="en-GB"/>
        </w:rPr>
        <w:t>s</w:t>
      </w:r>
      <w:r w:rsidRPr="007158E9">
        <w:rPr>
          <w:lang w:val="en-GB"/>
        </w:rPr>
        <w:t xml:space="preserve"> between 2015 and 2017.</w:t>
      </w:r>
    </w:p>
    <w:p w14:paraId="344AD9EB" w14:textId="117E1A48" w:rsidR="00F35CB9" w:rsidRPr="007158E9" w:rsidRDefault="00F35CB9" w:rsidP="00F35CB9">
      <w:pPr>
        <w:pStyle w:val="SingleTxtG"/>
        <w:ind w:right="567"/>
        <w:rPr>
          <w:lang w:val="en-GB"/>
        </w:rPr>
      </w:pPr>
      <w:r w:rsidRPr="007158E9">
        <w:rPr>
          <w:lang w:val="en-GB"/>
        </w:rPr>
        <w:tab/>
        <w:t>260.</w:t>
      </w:r>
      <w:r w:rsidRPr="007158E9">
        <w:rPr>
          <w:lang w:val="en-GB"/>
        </w:rPr>
        <w:tab/>
        <w:t xml:space="preserve">In other cases – notably those of Innocent Ndayikeza, Albert Dushime, Marie-Claudette Kwizera, Savin Nahindayi and Oscar Ntasano – the Commission had not been able to determine </w:t>
      </w:r>
      <w:r w:rsidR="007A188B">
        <w:rPr>
          <w:lang w:val="en-GB"/>
        </w:rPr>
        <w:t>that</w:t>
      </w:r>
      <w:r w:rsidRPr="007158E9">
        <w:rPr>
          <w:lang w:val="en-GB"/>
        </w:rPr>
        <w:t xml:space="preserve"> all elements of the definition of enforced disappearance</w:t>
      </w:r>
      <w:r w:rsidR="007A188B">
        <w:rPr>
          <w:lang w:val="en-GB"/>
        </w:rPr>
        <w:t xml:space="preserve"> were met</w:t>
      </w:r>
      <w:r w:rsidRPr="007158E9">
        <w:rPr>
          <w:lang w:val="en-GB"/>
        </w:rPr>
        <w:t xml:space="preserve">, but </w:t>
      </w:r>
      <w:r w:rsidR="007A188B">
        <w:rPr>
          <w:lang w:val="en-GB"/>
        </w:rPr>
        <w:t xml:space="preserve">that </w:t>
      </w:r>
      <w:r w:rsidRPr="007158E9">
        <w:rPr>
          <w:lang w:val="en-GB"/>
        </w:rPr>
        <w:t>nonetheless</w:t>
      </w:r>
      <w:r w:rsidR="007A188B">
        <w:rPr>
          <w:lang w:val="en-GB"/>
        </w:rPr>
        <w:t>, it had</w:t>
      </w:r>
      <w:r w:rsidRPr="007158E9">
        <w:rPr>
          <w:lang w:val="en-GB"/>
        </w:rPr>
        <w:t xml:space="preserve"> reasonable </w:t>
      </w:r>
      <w:r w:rsidR="007A188B">
        <w:rPr>
          <w:lang w:val="en-GB"/>
        </w:rPr>
        <w:t>grounds</w:t>
      </w:r>
      <w:r w:rsidRPr="007158E9">
        <w:rPr>
          <w:lang w:val="en-GB"/>
        </w:rPr>
        <w:t xml:space="preserve"> to </w:t>
      </w:r>
      <w:r w:rsidRPr="007A188B">
        <w:rPr>
          <w:i/>
          <w:lang w:val="en-GB"/>
        </w:rPr>
        <w:t>fear</w:t>
      </w:r>
      <w:r w:rsidRPr="007158E9">
        <w:rPr>
          <w:lang w:val="en-GB"/>
        </w:rPr>
        <w:t xml:space="preserve"> that the targeted persons had been victims of enforced disappearance</w:t>
      </w:r>
      <w:r w:rsidR="007A188B">
        <w:rPr>
          <w:lang w:val="en-GB"/>
        </w:rPr>
        <w:t>s</w:t>
      </w:r>
      <w:r w:rsidRPr="007158E9">
        <w:rPr>
          <w:lang w:val="en-GB"/>
        </w:rPr>
        <w:t xml:space="preserve"> because </w:t>
      </w:r>
      <w:r w:rsidR="007A188B">
        <w:rPr>
          <w:lang w:val="en-GB"/>
        </w:rPr>
        <w:t xml:space="preserve">of </w:t>
      </w:r>
      <w:r w:rsidRPr="007158E9">
        <w:rPr>
          <w:lang w:val="en-GB"/>
        </w:rPr>
        <w:t xml:space="preserve">their </w:t>
      </w:r>
      <w:r w:rsidR="007A188B">
        <w:rPr>
          <w:lang w:val="en-GB"/>
        </w:rPr>
        <w:t xml:space="preserve">specific </w:t>
      </w:r>
      <w:r w:rsidRPr="007158E9">
        <w:rPr>
          <w:lang w:val="en-GB"/>
        </w:rPr>
        <w:t>profile</w:t>
      </w:r>
      <w:r w:rsidR="007A188B">
        <w:rPr>
          <w:lang w:val="en-GB"/>
        </w:rPr>
        <w:t xml:space="preserve">, </w:t>
      </w:r>
      <w:r w:rsidRPr="007158E9">
        <w:rPr>
          <w:lang w:val="en-GB"/>
        </w:rPr>
        <w:t>the operating mode, the conditions and the context in which their disappearance took place, namely the overall context of no compliance to judicial guarantees during arrest and detention. Nevertheless, it should be noted that, since its last report, the Commission has collected new information on the case of Savin Nahindavyi</w:t>
      </w:r>
      <w:r w:rsidR="007A188B">
        <w:rPr>
          <w:lang w:val="en-GB"/>
        </w:rPr>
        <w:t>,</w:t>
      </w:r>
      <w:r w:rsidRPr="007158E9">
        <w:rPr>
          <w:vertAlign w:val="superscript"/>
          <w:lang w:val="en-GB"/>
        </w:rPr>
        <w:footnoteReference w:id="83"/>
      </w:r>
      <w:r w:rsidRPr="007158E9">
        <w:rPr>
          <w:lang w:val="en-GB"/>
        </w:rPr>
        <w:t xml:space="preserve"> which </w:t>
      </w:r>
      <w:r w:rsidR="007A188B">
        <w:rPr>
          <w:lang w:val="en-GB"/>
        </w:rPr>
        <w:t>give</w:t>
      </w:r>
      <w:r w:rsidRPr="007158E9">
        <w:rPr>
          <w:lang w:val="en-GB"/>
        </w:rPr>
        <w:t xml:space="preserve"> reasonable </w:t>
      </w:r>
      <w:r w:rsidR="007A188B">
        <w:rPr>
          <w:lang w:val="en-GB"/>
        </w:rPr>
        <w:t>ground</w:t>
      </w:r>
      <w:r w:rsidRPr="007158E9">
        <w:rPr>
          <w:lang w:val="en-GB"/>
        </w:rPr>
        <w:t xml:space="preserve"> to believe that the latter was a victim of enforced disappearance. According</w:t>
      </w:r>
      <w:r w:rsidR="007A188B">
        <w:rPr>
          <w:lang w:val="en-GB"/>
        </w:rPr>
        <w:t xml:space="preserve">ly, </w:t>
      </w:r>
      <w:r w:rsidRPr="007158E9">
        <w:rPr>
          <w:lang w:val="en-GB"/>
        </w:rPr>
        <w:t xml:space="preserve">Savin Nahindavyi was detained during several days in a secret place before being killed. A SNR officer subsequently got rid of his body in Bwiza (Bujumbura Mairie) with the help of local elected </w:t>
      </w:r>
      <w:r w:rsidR="00F10888">
        <w:rPr>
          <w:lang w:val="en-GB"/>
        </w:rPr>
        <w:t>officials.</w:t>
      </w:r>
      <w:r w:rsidRPr="007158E9">
        <w:rPr>
          <w:vertAlign w:val="superscript"/>
          <w:lang w:val="en-GB"/>
        </w:rPr>
        <w:footnoteReference w:id="84"/>
      </w:r>
    </w:p>
    <w:p w14:paraId="3696CF95" w14:textId="0FA79502" w:rsidR="00F35CB9" w:rsidRPr="007158E9" w:rsidRDefault="00F35CB9" w:rsidP="00F35CB9">
      <w:pPr>
        <w:pStyle w:val="SingleTxtG"/>
        <w:ind w:right="567"/>
        <w:rPr>
          <w:lang w:val="en-GB"/>
        </w:rPr>
      </w:pPr>
      <w:r w:rsidRPr="007158E9">
        <w:rPr>
          <w:lang w:val="en-GB"/>
        </w:rPr>
        <w:t>261.</w:t>
      </w:r>
      <w:r w:rsidRPr="007158E9">
        <w:rPr>
          <w:lang w:val="en-GB"/>
        </w:rPr>
        <w:tab/>
        <w:t xml:space="preserve">During the first term of its mandate, the Commission </w:t>
      </w:r>
      <w:r w:rsidR="007A188B">
        <w:rPr>
          <w:lang w:val="en-GB"/>
        </w:rPr>
        <w:t xml:space="preserve">had </w:t>
      </w:r>
      <w:r w:rsidRPr="007158E9">
        <w:rPr>
          <w:lang w:val="en-GB"/>
        </w:rPr>
        <w:t xml:space="preserve">collected information on cases of disappearance for which it had no sufficient </w:t>
      </w:r>
      <w:r w:rsidR="007A188B">
        <w:rPr>
          <w:lang w:val="en-GB"/>
        </w:rPr>
        <w:t>elements</w:t>
      </w:r>
      <w:r w:rsidRPr="007158E9">
        <w:rPr>
          <w:lang w:val="en-GB"/>
        </w:rPr>
        <w:t xml:space="preserve"> to </w:t>
      </w:r>
      <w:r w:rsidR="007A188B">
        <w:rPr>
          <w:lang w:val="en-GB"/>
        </w:rPr>
        <w:t>be in a position to find</w:t>
      </w:r>
      <w:r w:rsidRPr="007158E9">
        <w:rPr>
          <w:lang w:val="en-GB"/>
        </w:rPr>
        <w:t xml:space="preserve"> that there was </w:t>
      </w:r>
      <w:r w:rsidR="007A188B">
        <w:rPr>
          <w:lang w:val="en-GB"/>
        </w:rPr>
        <w:t>reasonable</w:t>
      </w:r>
      <w:r w:rsidRPr="007158E9">
        <w:rPr>
          <w:lang w:val="en-GB"/>
        </w:rPr>
        <w:t xml:space="preserve"> ground to believe or to fear that they </w:t>
      </w:r>
      <w:r w:rsidR="007A188B">
        <w:rPr>
          <w:lang w:val="en-GB"/>
        </w:rPr>
        <w:t>constituted cases of</w:t>
      </w:r>
      <w:r w:rsidRPr="007158E9">
        <w:rPr>
          <w:lang w:val="en-GB"/>
        </w:rPr>
        <w:t xml:space="preserve"> enforced disappearance</w:t>
      </w:r>
      <w:r w:rsidR="007A188B">
        <w:rPr>
          <w:lang w:val="en-GB"/>
        </w:rPr>
        <w:t>s</w:t>
      </w:r>
      <w:r w:rsidRPr="007158E9">
        <w:rPr>
          <w:lang w:val="en-GB"/>
        </w:rPr>
        <w:t xml:space="preserve">, including </w:t>
      </w:r>
      <w:r w:rsidR="007A188B">
        <w:rPr>
          <w:lang w:val="en-GB"/>
        </w:rPr>
        <w:t xml:space="preserve">some </w:t>
      </w:r>
      <w:r w:rsidRPr="007158E9">
        <w:rPr>
          <w:lang w:val="en-GB"/>
        </w:rPr>
        <w:t xml:space="preserve">cases of abduction by Imbonerakure in which the Commission was not able to </w:t>
      </w:r>
      <w:r w:rsidR="007A188B">
        <w:rPr>
          <w:lang w:val="en-GB"/>
        </w:rPr>
        <w:t>conclude that they had been committed with the</w:t>
      </w:r>
      <w:r w:rsidRPr="007158E9">
        <w:rPr>
          <w:lang w:val="en-GB"/>
        </w:rPr>
        <w:t xml:space="preserve"> permission, support or approval </w:t>
      </w:r>
      <w:r w:rsidR="007A188B">
        <w:rPr>
          <w:lang w:val="en-GB"/>
        </w:rPr>
        <w:t>of</w:t>
      </w:r>
      <w:r w:rsidRPr="007158E9">
        <w:rPr>
          <w:lang w:val="en-GB"/>
        </w:rPr>
        <w:t xml:space="preserve"> the Burundian authorities. </w:t>
      </w:r>
    </w:p>
    <w:p w14:paraId="52A65E58" w14:textId="60128A12" w:rsidR="00F35CB9" w:rsidRPr="007158E9" w:rsidRDefault="00F35CB9" w:rsidP="00F35CB9">
      <w:pPr>
        <w:pStyle w:val="SingleTxtG"/>
        <w:ind w:right="567"/>
        <w:rPr>
          <w:lang w:val="en-GB"/>
        </w:rPr>
      </w:pPr>
      <w:r w:rsidRPr="007158E9">
        <w:rPr>
          <w:lang w:val="en-GB"/>
        </w:rPr>
        <w:tab/>
        <w:t>262.</w:t>
      </w:r>
      <w:r w:rsidRPr="007158E9">
        <w:rPr>
          <w:lang w:val="en-GB"/>
        </w:rPr>
        <w:tab/>
        <w:t xml:space="preserve">In addition, the Commission </w:t>
      </w:r>
      <w:r w:rsidR="007A188B">
        <w:rPr>
          <w:lang w:val="en-GB"/>
        </w:rPr>
        <w:t xml:space="preserve">had </w:t>
      </w:r>
      <w:r w:rsidRPr="007158E9">
        <w:rPr>
          <w:lang w:val="en-GB"/>
        </w:rPr>
        <w:t xml:space="preserve">received information indicating that relatives of the missing persons were subjected to pressure, intimidation or threats by police or SNR officers or Imbonerakure, and in some cases, sums of money were requested by police and </w:t>
      </w:r>
      <w:r w:rsidRPr="007158E9">
        <w:rPr>
          <w:lang w:val="en-GB"/>
        </w:rPr>
        <w:lastRenderedPageBreak/>
        <w:t>SNR officers or persons posing as such, in exchange for information on the fate of the missing persons.</w:t>
      </w:r>
    </w:p>
    <w:p w14:paraId="537E404B" w14:textId="1F2615C0" w:rsidR="00F35CB9" w:rsidRPr="007158E9" w:rsidRDefault="00F10888" w:rsidP="00F35CB9">
      <w:pPr>
        <w:pStyle w:val="SingleTxtG"/>
        <w:ind w:right="567"/>
        <w:rPr>
          <w:lang w:val="en-GB"/>
        </w:rPr>
      </w:pPr>
      <w:r>
        <w:rPr>
          <w:lang w:val="en-GB"/>
        </w:rPr>
        <w:tab/>
        <w:t>263.</w:t>
      </w:r>
      <w:r>
        <w:rPr>
          <w:lang w:val="en-GB"/>
        </w:rPr>
        <w:tab/>
        <w:t>The Commission notes</w:t>
      </w:r>
      <w:r w:rsidR="00F35CB9" w:rsidRPr="007158E9">
        <w:rPr>
          <w:lang w:val="en-GB"/>
        </w:rPr>
        <w:t xml:space="preserve"> that since the renewal of its mandate in September 2017, the phenomenon of arbitrary arrest and detention, including in secret </w:t>
      </w:r>
      <w:r>
        <w:rPr>
          <w:lang w:val="en-GB"/>
        </w:rPr>
        <w:t>facilities,</w:t>
      </w:r>
      <w:r w:rsidR="00F35CB9" w:rsidRPr="007158E9">
        <w:rPr>
          <w:vertAlign w:val="superscript"/>
          <w:lang w:val="en-GB"/>
        </w:rPr>
        <w:footnoteReference w:id="85"/>
      </w:r>
      <w:r w:rsidR="00F35CB9" w:rsidRPr="007158E9">
        <w:rPr>
          <w:lang w:val="en-GB"/>
        </w:rPr>
        <w:t xml:space="preserve"> the concealment of bodies and the impunity prevailing in the country</w:t>
      </w:r>
      <w:r w:rsidR="00F35CB9" w:rsidRPr="007158E9">
        <w:rPr>
          <w:vertAlign w:val="superscript"/>
          <w:lang w:val="en-GB"/>
        </w:rPr>
        <w:footnoteReference w:id="86"/>
      </w:r>
      <w:r w:rsidR="00F35CB9" w:rsidRPr="007158E9">
        <w:rPr>
          <w:lang w:val="en-GB"/>
        </w:rPr>
        <w:t xml:space="preserve"> have continued to create a climate of secrecy that is conducive to cases of </w:t>
      </w:r>
      <w:r>
        <w:rPr>
          <w:lang w:val="en-GB"/>
        </w:rPr>
        <w:t xml:space="preserve">enforced </w:t>
      </w:r>
      <w:r w:rsidR="00F35CB9" w:rsidRPr="007158E9">
        <w:rPr>
          <w:lang w:val="en-GB"/>
        </w:rPr>
        <w:t xml:space="preserve">disappearance. Several witnesses and relatives of victims of enforced disappearance have confirmed that many persons </w:t>
      </w:r>
      <w:r>
        <w:rPr>
          <w:lang w:val="en-GB"/>
        </w:rPr>
        <w:t>abducted</w:t>
      </w:r>
      <w:r w:rsidR="00F35CB9" w:rsidRPr="007158E9">
        <w:rPr>
          <w:lang w:val="en-GB"/>
        </w:rPr>
        <w:t xml:space="preserve"> or arrested by law enforcement agents were later executed</w:t>
      </w:r>
      <w:r w:rsidR="00F35CB9" w:rsidRPr="007158E9">
        <w:rPr>
          <w:vertAlign w:val="superscript"/>
          <w:lang w:val="en-GB"/>
        </w:rPr>
        <w:footnoteReference w:id="87"/>
      </w:r>
      <w:r w:rsidR="00F35CB9" w:rsidRPr="007158E9">
        <w:rPr>
          <w:lang w:val="en-GB"/>
        </w:rPr>
        <w:t xml:space="preserve"> and, in some cases, their bodies were never found. </w:t>
      </w:r>
    </w:p>
    <w:p w14:paraId="2D754D6C" w14:textId="31E6B7F5" w:rsidR="00F35CB9" w:rsidRPr="007158E9" w:rsidRDefault="00F35CB9" w:rsidP="00F35CB9">
      <w:pPr>
        <w:pStyle w:val="SingleTxtG"/>
        <w:ind w:right="567"/>
        <w:rPr>
          <w:lang w:val="en-GB"/>
        </w:rPr>
      </w:pPr>
      <w:r w:rsidRPr="007158E9">
        <w:rPr>
          <w:lang w:val="en-GB"/>
        </w:rPr>
        <w:tab/>
        <w:t>264.</w:t>
      </w:r>
      <w:r w:rsidRPr="007158E9">
        <w:rPr>
          <w:lang w:val="en-GB"/>
        </w:rPr>
        <w:tab/>
        <w:t>The widespread climate of fear and the restrictions imposed on independent journalists and civil society organi</w:t>
      </w:r>
      <w:r w:rsidR="00F10888">
        <w:rPr>
          <w:lang w:val="en-GB"/>
        </w:rPr>
        <w:t>s</w:t>
      </w:r>
      <w:r w:rsidRPr="007158E9">
        <w:rPr>
          <w:lang w:val="en-GB"/>
        </w:rPr>
        <w:t xml:space="preserve">ations </w:t>
      </w:r>
      <w:r w:rsidR="00F10888">
        <w:rPr>
          <w:lang w:val="en-GB"/>
        </w:rPr>
        <w:t xml:space="preserve">further </w:t>
      </w:r>
      <w:r w:rsidRPr="007158E9">
        <w:rPr>
          <w:lang w:val="en-GB"/>
        </w:rPr>
        <w:t xml:space="preserve">exacerbate the </w:t>
      </w:r>
      <w:r w:rsidR="00F10888">
        <w:rPr>
          <w:lang w:val="en-GB"/>
        </w:rPr>
        <w:t>opacity</w:t>
      </w:r>
      <w:r w:rsidRPr="007158E9">
        <w:rPr>
          <w:lang w:val="en-GB"/>
        </w:rPr>
        <w:t xml:space="preserve"> that is conducive to enforced disappearance</w:t>
      </w:r>
      <w:r w:rsidR="00F10888">
        <w:rPr>
          <w:lang w:val="en-GB"/>
        </w:rPr>
        <w:t>s</w:t>
      </w:r>
      <w:r w:rsidRPr="007158E9">
        <w:rPr>
          <w:lang w:val="en-GB"/>
        </w:rPr>
        <w:t xml:space="preserve">. A witness who fled the country in 2018 </w:t>
      </w:r>
      <w:r w:rsidR="00F10888">
        <w:rPr>
          <w:lang w:val="en-GB"/>
        </w:rPr>
        <w:t>explaine</w:t>
      </w:r>
      <w:r w:rsidRPr="007158E9">
        <w:rPr>
          <w:lang w:val="en-GB"/>
        </w:rPr>
        <w:t>d:</w:t>
      </w:r>
    </w:p>
    <w:p w14:paraId="0827E95A" w14:textId="64DC09D9" w:rsidR="00F35CB9" w:rsidRPr="007158E9" w:rsidRDefault="00F35CB9" w:rsidP="00F35CB9">
      <w:pPr>
        <w:pStyle w:val="SingleTxtG"/>
        <w:ind w:left="1701" w:right="567"/>
        <w:rPr>
          <w:lang w:val="en-GB"/>
        </w:rPr>
      </w:pPr>
      <w:r w:rsidRPr="007158E9">
        <w:rPr>
          <w:lang w:val="en-GB"/>
        </w:rPr>
        <w:tab/>
        <w:t>“</w:t>
      </w:r>
      <w:r w:rsidRPr="007158E9">
        <w:rPr>
          <w:i/>
          <w:lang w:val="en-GB"/>
        </w:rPr>
        <w:t xml:space="preserve">When families </w:t>
      </w:r>
      <w:r w:rsidR="00F10888">
        <w:rPr>
          <w:i/>
          <w:lang w:val="en-GB"/>
        </w:rPr>
        <w:t>were able</w:t>
      </w:r>
      <w:r w:rsidRPr="007158E9">
        <w:rPr>
          <w:i/>
          <w:lang w:val="en-GB"/>
        </w:rPr>
        <w:t xml:space="preserve"> to report, investigations into the disappearances were carried out. But now, it is simply impossible. The soci</w:t>
      </w:r>
      <w:r w:rsidR="00574104">
        <w:rPr>
          <w:i/>
          <w:lang w:val="en-GB"/>
        </w:rPr>
        <w:t>ety has become muzzled by fear [</w:t>
      </w:r>
      <w:r w:rsidRPr="007158E9">
        <w:rPr>
          <w:i/>
          <w:lang w:val="en-GB"/>
        </w:rPr>
        <w:t>…</w:t>
      </w:r>
      <w:r w:rsidR="00574104">
        <w:rPr>
          <w:i/>
          <w:lang w:val="en-GB"/>
        </w:rPr>
        <w:t>]</w:t>
      </w:r>
      <w:r w:rsidRPr="007158E9">
        <w:rPr>
          <w:i/>
          <w:lang w:val="en-GB"/>
        </w:rPr>
        <w:t>. Today they only say that a person has been kidnapped, but they do not say by whom nor how. Even in the case of Léopold Habarugira</w:t>
      </w:r>
      <w:r w:rsidR="00F10888">
        <w:rPr>
          <w:i/>
          <w:lang w:val="en-GB"/>
        </w:rPr>
        <w:t>.</w:t>
      </w:r>
      <w:r w:rsidRPr="007158E9">
        <w:rPr>
          <w:vertAlign w:val="superscript"/>
          <w:lang w:val="en-GB"/>
        </w:rPr>
        <w:footnoteReference w:id="88"/>
      </w:r>
      <w:r w:rsidRPr="007158E9">
        <w:rPr>
          <w:i/>
          <w:lang w:val="en-GB"/>
        </w:rPr>
        <w:t xml:space="preserve"> He was taken in broad daylight as people were passing by in the neighbourhood. But no one dares talk about it; they are a</w:t>
      </w:r>
      <w:r w:rsidR="00F10888">
        <w:rPr>
          <w:i/>
          <w:lang w:val="en-GB"/>
        </w:rPr>
        <w:t>fraid</w:t>
      </w:r>
      <w:r w:rsidRPr="007158E9">
        <w:rPr>
          <w:i/>
          <w:lang w:val="en-GB"/>
        </w:rPr>
        <w:t>”</w:t>
      </w:r>
      <w:r w:rsidR="00F10888">
        <w:rPr>
          <w:i/>
          <w:lang w:val="en-GB"/>
        </w:rPr>
        <w:t>.</w:t>
      </w:r>
      <w:r w:rsidRPr="007158E9">
        <w:rPr>
          <w:vertAlign w:val="superscript"/>
          <w:lang w:val="en-GB"/>
        </w:rPr>
        <w:footnoteReference w:id="89"/>
      </w:r>
    </w:p>
    <w:p w14:paraId="7E2FCF40" w14:textId="447ED0C2" w:rsidR="00F35CB9" w:rsidRPr="007158E9" w:rsidRDefault="00F35CB9" w:rsidP="00F35CB9">
      <w:pPr>
        <w:pStyle w:val="SingleTxtG"/>
        <w:ind w:right="567"/>
        <w:rPr>
          <w:lang w:val="en-GB"/>
        </w:rPr>
      </w:pPr>
      <w:r w:rsidRPr="007158E9">
        <w:rPr>
          <w:lang w:val="en-GB"/>
        </w:rPr>
        <w:tab/>
        <w:t>265.</w:t>
      </w:r>
      <w:r w:rsidRPr="007158E9">
        <w:rPr>
          <w:lang w:val="en-GB"/>
        </w:rPr>
        <w:tab/>
        <w:t xml:space="preserve">The Commission used the same approach adopted in its previous report where it made a distinction between cases in which it has “reasonable grounds to </w:t>
      </w:r>
      <w:r w:rsidRPr="00040BB8">
        <w:rPr>
          <w:i/>
          <w:lang w:val="en-GB"/>
        </w:rPr>
        <w:t>believe</w:t>
      </w:r>
      <w:r w:rsidRPr="007158E9">
        <w:rPr>
          <w:lang w:val="en-GB"/>
        </w:rPr>
        <w:t xml:space="preserve">” that they are enforced disappearance and those in which it only has “reasonable grounds to </w:t>
      </w:r>
      <w:r w:rsidRPr="00040BB8">
        <w:rPr>
          <w:i/>
          <w:lang w:val="en-GB"/>
        </w:rPr>
        <w:t>fear</w:t>
      </w:r>
      <w:r w:rsidRPr="007158E9">
        <w:rPr>
          <w:lang w:val="en-GB"/>
        </w:rPr>
        <w:t xml:space="preserve">” this might be the case. The Commission also collected information on cases of disappearance for which sufficient details were not available for them to be included in either category. These include disappearances following arrests by police or SNR agents or </w:t>
      </w:r>
      <w:r w:rsidR="00F10888">
        <w:rPr>
          <w:lang w:val="en-GB"/>
        </w:rPr>
        <w:t>abductions</w:t>
      </w:r>
      <w:r w:rsidRPr="007158E9">
        <w:rPr>
          <w:lang w:val="en-GB"/>
        </w:rPr>
        <w:t xml:space="preserve"> </w:t>
      </w:r>
      <w:r w:rsidR="00F10888">
        <w:rPr>
          <w:lang w:val="en-GB"/>
        </w:rPr>
        <w:t>committed</w:t>
      </w:r>
      <w:r w:rsidRPr="007158E9">
        <w:rPr>
          <w:lang w:val="en-GB"/>
        </w:rPr>
        <w:t xml:space="preserve"> by Imbonerakure.</w:t>
      </w:r>
    </w:p>
    <w:p w14:paraId="0B2EB4E0" w14:textId="5DFD05E3" w:rsidR="00F35CB9" w:rsidRPr="007158E9" w:rsidRDefault="00F35CB9" w:rsidP="00F35CB9">
      <w:pPr>
        <w:pStyle w:val="H56G"/>
        <w:rPr>
          <w:b/>
          <w:lang w:val="en-GB"/>
        </w:rPr>
      </w:pPr>
      <w:r w:rsidRPr="007158E9">
        <w:rPr>
          <w:b/>
          <w:lang w:val="en-GB"/>
        </w:rPr>
        <w:tab/>
        <w:t>(i)</w:t>
      </w:r>
      <w:r w:rsidRPr="007158E9">
        <w:rPr>
          <w:b/>
          <w:lang w:val="en-GB"/>
        </w:rPr>
        <w:tab/>
        <w:t xml:space="preserve">Cases where there </w:t>
      </w:r>
      <w:r w:rsidR="00A212C5">
        <w:rPr>
          <w:b/>
          <w:lang w:val="en-GB"/>
        </w:rPr>
        <w:t>is</w:t>
      </w:r>
      <w:r w:rsidRPr="007158E9">
        <w:rPr>
          <w:b/>
          <w:lang w:val="en-GB"/>
        </w:rPr>
        <w:t xml:space="preserve"> </w:t>
      </w:r>
      <w:r w:rsidR="00F10888">
        <w:rPr>
          <w:b/>
          <w:lang w:val="en-GB"/>
        </w:rPr>
        <w:t>reasonable</w:t>
      </w:r>
      <w:r w:rsidRPr="007158E9">
        <w:rPr>
          <w:b/>
          <w:lang w:val="en-GB"/>
        </w:rPr>
        <w:t xml:space="preserve"> ground to </w:t>
      </w:r>
      <w:r w:rsidRPr="00040BB8">
        <w:rPr>
          <w:b/>
          <w:i/>
          <w:lang w:val="en-GB"/>
        </w:rPr>
        <w:t>believe</w:t>
      </w:r>
      <w:r w:rsidRPr="007158E9">
        <w:rPr>
          <w:b/>
          <w:lang w:val="en-GB"/>
        </w:rPr>
        <w:t xml:space="preserve"> that they are enforced disappearances</w:t>
      </w:r>
    </w:p>
    <w:p w14:paraId="19DDBB23" w14:textId="78CFA679" w:rsidR="00F35CB9" w:rsidRPr="007158E9" w:rsidRDefault="00F35CB9" w:rsidP="00F35CB9">
      <w:pPr>
        <w:pStyle w:val="SingleTxtG"/>
        <w:ind w:right="567"/>
        <w:rPr>
          <w:lang w:val="en-GB"/>
        </w:rPr>
      </w:pPr>
      <w:r w:rsidRPr="007158E9">
        <w:rPr>
          <w:lang w:val="en-GB"/>
        </w:rPr>
        <w:tab/>
        <w:t>266.</w:t>
      </w:r>
      <w:r w:rsidRPr="007158E9">
        <w:rPr>
          <w:lang w:val="en-GB"/>
        </w:rPr>
        <w:tab/>
        <w:t xml:space="preserve">The Commission collected </w:t>
      </w:r>
      <w:r w:rsidR="00F10888">
        <w:rPr>
          <w:lang w:val="en-GB"/>
        </w:rPr>
        <w:t>consistent</w:t>
      </w:r>
      <w:r w:rsidRPr="007158E9">
        <w:rPr>
          <w:lang w:val="en-GB"/>
        </w:rPr>
        <w:t xml:space="preserve"> information on disappearances that can be qualified as « enforced» as they happened after the victims, for the most part members of opposition political parties, were apprehended and detained by police and SNR agents. </w:t>
      </w:r>
    </w:p>
    <w:p w14:paraId="6A60E54F" w14:textId="77777777" w:rsidR="00F35CB9" w:rsidRPr="007158E9" w:rsidRDefault="00F35CB9" w:rsidP="00F35CB9">
      <w:pPr>
        <w:pStyle w:val="SingleTxtG"/>
        <w:rPr>
          <w:i/>
          <w:lang w:val="en-GB"/>
        </w:rPr>
      </w:pPr>
      <w:r w:rsidRPr="007158E9">
        <w:rPr>
          <w:lang w:val="en-GB"/>
        </w:rPr>
        <w:tab/>
      </w:r>
      <w:r w:rsidRPr="007158E9">
        <w:rPr>
          <w:i/>
          <w:lang w:val="en-GB"/>
        </w:rPr>
        <w:t>Léopold Habarugira</w:t>
      </w:r>
    </w:p>
    <w:p w14:paraId="2249FF5D" w14:textId="019487D0" w:rsidR="00F35CB9" w:rsidRPr="007158E9" w:rsidRDefault="00F35CB9" w:rsidP="00F35CB9">
      <w:pPr>
        <w:pStyle w:val="SingleTxtG"/>
        <w:ind w:right="567"/>
        <w:rPr>
          <w:lang w:val="en-GB"/>
        </w:rPr>
      </w:pPr>
      <w:r w:rsidRPr="007158E9">
        <w:rPr>
          <w:lang w:val="en-GB"/>
        </w:rPr>
        <w:tab/>
        <w:t>267.</w:t>
      </w:r>
      <w:r w:rsidRPr="007158E9">
        <w:rPr>
          <w:lang w:val="en-GB"/>
        </w:rPr>
        <w:tab/>
        <w:t>According to witness accounts collected by the Commission</w:t>
      </w:r>
      <w:r w:rsidR="00F10888">
        <w:rPr>
          <w:lang w:val="en-GB"/>
        </w:rPr>
        <w:t>,</w:t>
      </w:r>
      <w:r w:rsidRPr="007158E9">
        <w:rPr>
          <w:vertAlign w:val="superscript"/>
          <w:lang w:val="en-GB"/>
        </w:rPr>
        <w:footnoteReference w:id="90"/>
      </w:r>
      <w:r w:rsidRPr="007158E9">
        <w:rPr>
          <w:lang w:val="en-GB"/>
        </w:rPr>
        <w:t xml:space="preserve"> on 12 septembre 2017, early morning, in Gihosha neighborhood in Bujumbura Mairie, Léopold Habarugira, an official of the opposition parti </w:t>
      </w:r>
      <w:r w:rsidRPr="007158E9">
        <w:rPr>
          <w:i/>
          <w:lang w:val="en-GB"/>
        </w:rPr>
        <w:t>Union pour la paix and le développement</w:t>
      </w:r>
      <w:r w:rsidRPr="007158E9">
        <w:rPr>
          <w:lang w:val="en-GB"/>
        </w:rPr>
        <w:t xml:space="preserve"> (UPD)-</w:t>
      </w:r>
      <w:r w:rsidRPr="007158E9">
        <w:rPr>
          <w:i/>
          <w:lang w:val="en-GB"/>
        </w:rPr>
        <w:t>Zigamibanga</w:t>
      </w:r>
      <w:r w:rsidRPr="007158E9">
        <w:rPr>
          <w:vertAlign w:val="superscript"/>
          <w:lang w:val="en-GB"/>
        </w:rPr>
        <w:footnoteReference w:id="91"/>
      </w:r>
      <w:r w:rsidRPr="007158E9">
        <w:rPr>
          <w:lang w:val="en-GB"/>
        </w:rPr>
        <w:t xml:space="preserve">, was </w:t>
      </w:r>
      <w:r w:rsidR="00F10888">
        <w:rPr>
          <w:lang w:val="en-GB"/>
        </w:rPr>
        <w:t>abudcted</w:t>
      </w:r>
      <w:r w:rsidRPr="007158E9">
        <w:rPr>
          <w:lang w:val="en-GB"/>
        </w:rPr>
        <w:t xml:space="preserve"> as he was taking a walk. A car approached him and SNR as well as police agents, forced him into the car and took him to an unknown destination. No warrant was shown to the victim at the time of his arrest.</w:t>
      </w:r>
    </w:p>
    <w:p w14:paraId="0BD64956" w14:textId="77777777" w:rsidR="00F35CB9" w:rsidRPr="007158E9" w:rsidRDefault="00F35CB9" w:rsidP="00F35CB9">
      <w:pPr>
        <w:pStyle w:val="SingleTxtG"/>
        <w:ind w:right="567"/>
        <w:rPr>
          <w:lang w:val="en-GB"/>
        </w:rPr>
      </w:pPr>
      <w:r w:rsidRPr="007158E9">
        <w:rPr>
          <w:lang w:val="en-GB"/>
        </w:rPr>
        <w:tab/>
        <w:t>268.</w:t>
      </w:r>
      <w:r w:rsidRPr="007158E9">
        <w:rPr>
          <w:lang w:val="en-GB"/>
        </w:rPr>
        <w:tab/>
        <w:t>Léopold Habarugira’s relatives carried out searches, both in various detention centres as well as hospitals in the country, in vain. Before his disappearance, the victim had received information indicating that he was in danger. In 2016, he had narrowly escaped an assassination attempt by individuals on a motorbike.</w:t>
      </w:r>
    </w:p>
    <w:p w14:paraId="36C824B6" w14:textId="26BAF764" w:rsidR="00F35CB9" w:rsidRPr="007158E9" w:rsidRDefault="00F35CB9" w:rsidP="00F35CB9">
      <w:pPr>
        <w:pStyle w:val="SingleTxtG"/>
        <w:ind w:right="567"/>
        <w:rPr>
          <w:lang w:val="en-GB"/>
        </w:rPr>
      </w:pPr>
      <w:r w:rsidRPr="007158E9">
        <w:rPr>
          <w:lang w:val="en-GB"/>
        </w:rPr>
        <w:tab/>
        <w:t>269.</w:t>
      </w:r>
      <w:r w:rsidRPr="007158E9">
        <w:rPr>
          <w:lang w:val="en-GB"/>
        </w:rPr>
        <w:tab/>
        <w:t>According to information collected by the Commission, Léopold Habarugira was allegedly killed on the day of his arrest</w:t>
      </w:r>
      <w:r w:rsidR="00C47E44" w:rsidRPr="00C47E44">
        <w:rPr>
          <w:lang w:val="en-GB"/>
        </w:rPr>
        <w:t xml:space="preserve"> </w:t>
      </w:r>
      <w:r w:rsidR="00C47E44" w:rsidRPr="007158E9">
        <w:rPr>
          <w:lang w:val="en-GB"/>
        </w:rPr>
        <w:t>by SNR agents</w:t>
      </w:r>
      <w:r w:rsidR="00C47E44">
        <w:rPr>
          <w:lang w:val="en-GB"/>
        </w:rPr>
        <w:t>,</w:t>
      </w:r>
      <w:r w:rsidRPr="007158E9">
        <w:rPr>
          <w:lang w:val="en-GB"/>
        </w:rPr>
        <w:t xml:space="preserve"> in Gatumba, Bujumbura</w:t>
      </w:r>
      <w:r w:rsidRPr="007158E9" w:rsidDel="00550CEE">
        <w:rPr>
          <w:lang w:val="en-GB"/>
        </w:rPr>
        <w:t xml:space="preserve"> </w:t>
      </w:r>
      <w:r w:rsidRPr="007158E9">
        <w:rPr>
          <w:lang w:val="en-GB"/>
        </w:rPr>
        <w:t>province</w:t>
      </w:r>
      <w:r w:rsidR="00F10888">
        <w:rPr>
          <w:lang w:val="en-GB"/>
        </w:rPr>
        <w:t>,</w:t>
      </w:r>
      <w:r w:rsidRPr="007158E9">
        <w:rPr>
          <w:lang w:val="en-GB"/>
        </w:rPr>
        <w:t xml:space="preserve"> and </w:t>
      </w:r>
      <w:r w:rsidR="00F10888">
        <w:rPr>
          <w:lang w:val="en-GB"/>
        </w:rPr>
        <w:t xml:space="preserve">he was </w:t>
      </w:r>
      <w:r w:rsidRPr="007158E9">
        <w:rPr>
          <w:lang w:val="en-GB"/>
        </w:rPr>
        <w:t>buried in Ruyigi</w:t>
      </w:r>
      <w:r w:rsidRPr="007158E9" w:rsidDel="00550CEE">
        <w:rPr>
          <w:lang w:val="en-GB"/>
        </w:rPr>
        <w:t xml:space="preserve"> </w:t>
      </w:r>
      <w:r w:rsidRPr="007158E9">
        <w:rPr>
          <w:lang w:val="en-GB"/>
        </w:rPr>
        <w:t>province.</w:t>
      </w:r>
    </w:p>
    <w:p w14:paraId="373523FF" w14:textId="088F60C6" w:rsidR="00F35CB9" w:rsidRPr="007158E9" w:rsidRDefault="00F35CB9" w:rsidP="00F35CB9">
      <w:pPr>
        <w:pStyle w:val="SingleTxtG"/>
        <w:ind w:right="567"/>
        <w:rPr>
          <w:lang w:val="en-GB" w:eastAsia="en-GB"/>
        </w:rPr>
      </w:pPr>
      <w:r w:rsidRPr="007158E9">
        <w:rPr>
          <w:lang w:val="en-GB"/>
        </w:rPr>
        <w:lastRenderedPageBreak/>
        <w:tab/>
        <w:t>270.</w:t>
      </w:r>
      <w:r w:rsidRPr="007158E9">
        <w:rPr>
          <w:lang w:val="en-GB"/>
        </w:rPr>
        <w:tab/>
        <w:t>Two days after the disappearance of Léopold Habarugira, the police spokesperson announced that the police had not received any complaint on the matter</w:t>
      </w:r>
      <w:r w:rsidR="006C287D">
        <w:rPr>
          <w:lang w:val="en-GB"/>
        </w:rPr>
        <w:t>,</w:t>
      </w:r>
      <w:r w:rsidRPr="007158E9">
        <w:rPr>
          <w:vertAlign w:val="superscript"/>
          <w:lang w:val="en-GB"/>
        </w:rPr>
        <w:footnoteReference w:id="92"/>
      </w:r>
      <w:r w:rsidR="006C287D">
        <w:rPr>
          <w:lang w:val="en-GB"/>
        </w:rPr>
        <w:t xml:space="preserve"> which is contrary </w:t>
      </w:r>
      <w:r w:rsidRPr="007158E9">
        <w:rPr>
          <w:lang w:val="en-GB"/>
        </w:rPr>
        <w:t xml:space="preserve">to information collected by the Commission that indicate that a complaint was indeed made at the judicial police in Bujumbura, although the complaint was not followed through. </w:t>
      </w:r>
    </w:p>
    <w:p w14:paraId="0CB2CB3A" w14:textId="22C5D28B" w:rsidR="00F35CB9" w:rsidRPr="007158E9" w:rsidRDefault="00F35CB9" w:rsidP="00F35CB9">
      <w:pPr>
        <w:pStyle w:val="SingleTxtG"/>
        <w:ind w:right="567"/>
        <w:rPr>
          <w:lang w:val="en-GB" w:eastAsia="en-GB"/>
        </w:rPr>
      </w:pPr>
      <w:r w:rsidRPr="007158E9">
        <w:rPr>
          <w:rFonts w:eastAsia="Calibri"/>
          <w:lang w:val="en-GB"/>
        </w:rPr>
        <w:tab/>
        <w:t>271.</w:t>
      </w:r>
      <w:r w:rsidRPr="007158E9">
        <w:rPr>
          <w:rFonts w:eastAsia="Calibri"/>
          <w:lang w:val="en-GB"/>
        </w:rPr>
        <w:tab/>
        <w:t xml:space="preserve">Léopold Habarugira had allegedly a land conflict with the political party CNDD-FDD, as well as </w:t>
      </w:r>
      <w:r w:rsidR="006C287D">
        <w:rPr>
          <w:rFonts w:eastAsia="Calibri"/>
          <w:lang w:val="en-GB"/>
        </w:rPr>
        <w:t>disputes</w:t>
      </w:r>
      <w:r w:rsidRPr="007158E9">
        <w:rPr>
          <w:rFonts w:eastAsia="Calibri"/>
          <w:lang w:val="en-GB"/>
        </w:rPr>
        <w:t xml:space="preserve"> with government entities on a delivery contract for prefabricated homes.</w:t>
      </w:r>
    </w:p>
    <w:p w14:paraId="422B1E87" w14:textId="77777777" w:rsidR="00F35CB9" w:rsidRPr="007158E9" w:rsidRDefault="00F35CB9" w:rsidP="00F35CB9">
      <w:pPr>
        <w:pStyle w:val="SingleTxtG"/>
        <w:rPr>
          <w:i/>
          <w:lang w:val="en-GB"/>
        </w:rPr>
      </w:pPr>
      <w:r w:rsidRPr="007158E9">
        <w:rPr>
          <w:b/>
          <w:i/>
          <w:lang w:val="en-GB"/>
        </w:rPr>
        <w:tab/>
      </w:r>
      <w:r w:rsidRPr="007158E9">
        <w:rPr>
          <w:i/>
          <w:lang w:val="en-GB"/>
        </w:rPr>
        <w:t>Bukuru and Butoyi Shabani</w:t>
      </w:r>
    </w:p>
    <w:p w14:paraId="0B3EEC33" w14:textId="57AE71E8" w:rsidR="00F35CB9" w:rsidRPr="007158E9" w:rsidRDefault="00F35CB9" w:rsidP="00F35CB9">
      <w:pPr>
        <w:pStyle w:val="SingleTxtG"/>
        <w:ind w:right="567"/>
        <w:rPr>
          <w:lang w:val="en-GB"/>
        </w:rPr>
      </w:pPr>
      <w:r w:rsidRPr="007158E9">
        <w:rPr>
          <w:lang w:val="en-GB"/>
        </w:rPr>
        <w:tab/>
        <w:t>272.</w:t>
      </w:r>
      <w:r w:rsidRPr="007158E9">
        <w:rPr>
          <w:lang w:val="en-GB"/>
        </w:rPr>
        <w:tab/>
        <w:t>According to testimonies collected by the Commission</w:t>
      </w:r>
      <w:r w:rsidR="006C287D">
        <w:rPr>
          <w:lang w:val="en-GB"/>
        </w:rPr>
        <w:t>,</w:t>
      </w:r>
      <w:r w:rsidRPr="007158E9">
        <w:rPr>
          <w:vertAlign w:val="superscript"/>
          <w:lang w:val="en-GB"/>
        </w:rPr>
        <w:footnoteReference w:id="93"/>
      </w:r>
      <w:r w:rsidRPr="007158E9">
        <w:rPr>
          <w:lang w:val="en-GB"/>
        </w:rPr>
        <w:t xml:space="preserve"> in November 2016, the Shabani twins, Bukuru and Butoyi were arrested and taken to a private home guarded by police (PNB) agents located in Kinindo</w:t>
      </w:r>
      <w:r w:rsidR="006C287D">
        <w:rPr>
          <w:lang w:val="en-GB"/>
        </w:rPr>
        <w:t>,</w:t>
      </w:r>
      <w:r w:rsidRPr="007158E9">
        <w:rPr>
          <w:lang w:val="en-GB"/>
        </w:rPr>
        <w:t xml:space="preserve"> Bujumbura Mairie. They were detained in that house for about a month with other detainees placed under the control of SNR. During their detention, SNR and police agents – also assigned to SNR – </w:t>
      </w:r>
      <w:r w:rsidR="006C287D">
        <w:rPr>
          <w:lang w:val="en-GB"/>
        </w:rPr>
        <w:t>would have</w:t>
      </w:r>
      <w:r w:rsidRPr="007158E9">
        <w:rPr>
          <w:lang w:val="en-GB"/>
        </w:rPr>
        <w:t xml:space="preserve"> tortured them severely and repeatedly. It is </w:t>
      </w:r>
      <w:r w:rsidR="006C287D">
        <w:rPr>
          <w:lang w:val="en-GB"/>
        </w:rPr>
        <w:t>reported</w:t>
      </w:r>
      <w:r w:rsidRPr="007158E9">
        <w:rPr>
          <w:lang w:val="en-GB"/>
        </w:rPr>
        <w:t xml:space="preserve"> that they </w:t>
      </w:r>
      <w:r w:rsidR="006C287D">
        <w:rPr>
          <w:lang w:val="en-GB"/>
        </w:rPr>
        <w:t>would have been</w:t>
      </w:r>
      <w:r w:rsidRPr="007158E9">
        <w:rPr>
          <w:lang w:val="en-GB"/>
        </w:rPr>
        <w:t xml:space="preserve"> killed </w:t>
      </w:r>
      <w:r w:rsidR="006C287D">
        <w:rPr>
          <w:lang w:val="en-GB"/>
        </w:rPr>
        <w:t xml:space="preserve">later </w:t>
      </w:r>
      <w:r w:rsidRPr="007158E9">
        <w:rPr>
          <w:lang w:val="en-GB"/>
        </w:rPr>
        <w:t>by SNR agents.</w:t>
      </w:r>
    </w:p>
    <w:p w14:paraId="07F81B20" w14:textId="3603D781" w:rsidR="00F35CB9" w:rsidRPr="007158E9" w:rsidRDefault="00F35CB9" w:rsidP="00F35CB9">
      <w:pPr>
        <w:pStyle w:val="SingleTxtG"/>
        <w:ind w:right="567"/>
        <w:rPr>
          <w:lang w:val="en-GB"/>
        </w:rPr>
      </w:pPr>
      <w:r w:rsidRPr="007158E9">
        <w:rPr>
          <w:lang w:val="en-GB"/>
        </w:rPr>
        <w:tab/>
        <w:t>273.</w:t>
      </w:r>
      <w:r w:rsidRPr="007158E9">
        <w:rPr>
          <w:lang w:val="en-GB"/>
        </w:rPr>
        <w:tab/>
        <w:t xml:space="preserve">Witnesses reported that SNR was initially looking for Bukuru Shabani, accused of participating in the 2015 demonstrations as well as being a member of UPD-Zigamibanga and part of the rebellion. Because of his resemblance to his identical twin, Butoyi Shabani was inadvertently arrested and taken to </w:t>
      </w:r>
      <w:r w:rsidR="006C287D">
        <w:rPr>
          <w:lang w:val="en-GB"/>
        </w:rPr>
        <w:t>the</w:t>
      </w:r>
      <w:r w:rsidRPr="007158E9">
        <w:rPr>
          <w:lang w:val="en-GB"/>
        </w:rPr>
        <w:t xml:space="preserve"> private home in Kinindo that was used as a secret detention </w:t>
      </w:r>
      <w:r w:rsidR="006C287D">
        <w:rPr>
          <w:lang w:val="en-GB"/>
        </w:rPr>
        <w:t>facility</w:t>
      </w:r>
      <w:r w:rsidRPr="007158E9">
        <w:rPr>
          <w:lang w:val="en-GB"/>
        </w:rPr>
        <w:t>. When those who detained him realised they had the wrong twin, they arrested Bukuru Shaban</w:t>
      </w:r>
      <w:r w:rsidR="006C287D">
        <w:rPr>
          <w:lang w:val="en-GB"/>
        </w:rPr>
        <w:t>i without releasing his brother,</w:t>
      </w:r>
      <w:r w:rsidRPr="007158E9">
        <w:rPr>
          <w:lang w:val="en-GB"/>
        </w:rPr>
        <w:t xml:space="preserve"> for fear that the latter would denounce them, especially given that he was in bad shape following the beatings he had received.</w:t>
      </w:r>
    </w:p>
    <w:p w14:paraId="54354FC0" w14:textId="77777777" w:rsidR="00F35CB9" w:rsidRPr="007158E9" w:rsidRDefault="00F35CB9" w:rsidP="00F35CB9">
      <w:pPr>
        <w:pStyle w:val="SingleTxtG"/>
        <w:rPr>
          <w:i/>
          <w:lang w:val="en-GB"/>
        </w:rPr>
      </w:pPr>
      <w:r w:rsidRPr="007158E9">
        <w:rPr>
          <w:i/>
          <w:lang w:val="en-GB"/>
        </w:rPr>
        <w:tab/>
        <w:t>Évariste Nyandwi, alias « Matwi »</w:t>
      </w:r>
    </w:p>
    <w:p w14:paraId="1C414A46" w14:textId="2565407D" w:rsidR="00F35CB9" w:rsidRPr="007158E9" w:rsidRDefault="00F35CB9" w:rsidP="00F35CB9">
      <w:pPr>
        <w:pStyle w:val="SingleTxtG"/>
        <w:ind w:right="567"/>
        <w:rPr>
          <w:lang w:val="en-GB"/>
        </w:rPr>
      </w:pPr>
      <w:r w:rsidRPr="007158E9">
        <w:rPr>
          <w:lang w:val="en-GB"/>
        </w:rPr>
        <w:tab/>
        <w:t>274.</w:t>
      </w:r>
      <w:r w:rsidRPr="007158E9">
        <w:rPr>
          <w:lang w:val="en-GB"/>
        </w:rPr>
        <w:tab/>
        <w:t xml:space="preserve">The use of the house in Kinindo by the police and SNR as a secret detention center appeared in another case for which the Commission received </w:t>
      </w:r>
      <w:r w:rsidR="006C287D">
        <w:rPr>
          <w:lang w:val="en-GB"/>
        </w:rPr>
        <w:t>consistent</w:t>
      </w:r>
      <w:r w:rsidRPr="007158E9">
        <w:rPr>
          <w:lang w:val="en-GB"/>
        </w:rPr>
        <w:t xml:space="preserve"> information</w:t>
      </w:r>
      <w:r w:rsidR="006C287D">
        <w:rPr>
          <w:lang w:val="en-GB"/>
        </w:rPr>
        <w:t>.</w:t>
      </w:r>
      <w:r w:rsidRPr="007158E9">
        <w:rPr>
          <w:vertAlign w:val="superscript"/>
          <w:lang w:val="en-GB"/>
        </w:rPr>
        <w:footnoteReference w:id="94"/>
      </w:r>
    </w:p>
    <w:p w14:paraId="0FCB2AE3" w14:textId="6C2611B8" w:rsidR="00F35CB9" w:rsidRPr="007158E9" w:rsidRDefault="00F35CB9" w:rsidP="00F35CB9">
      <w:pPr>
        <w:pStyle w:val="SingleTxtG"/>
        <w:ind w:right="567"/>
        <w:rPr>
          <w:lang w:val="en-GB"/>
        </w:rPr>
      </w:pPr>
      <w:r w:rsidRPr="007158E9">
        <w:rPr>
          <w:lang w:val="en-GB"/>
        </w:rPr>
        <w:tab/>
        <w:t>275.</w:t>
      </w:r>
      <w:r w:rsidRPr="007158E9">
        <w:rPr>
          <w:lang w:val="en-GB"/>
        </w:rPr>
        <w:tab/>
        <w:t xml:space="preserve">In December 2016, personnel from the defence and security forces arrested a businessman named Évariste Nyandwi, alias « Matwi » in Rutana. On the day of his arrest, in the evening, Évariste Nyandwi was taken by SNR and police personnel from Rutana to the house in Kinindo, Bujumbura Mairie. There, he was severely and repeatedly beaten by a SNR officer as well as other SNR agents under his supervision before being executed by the latter at the </w:t>
      </w:r>
      <w:r w:rsidR="006C287D">
        <w:rPr>
          <w:lang w:val="en-GB"/>
        </w:rPr>
        <w:t>beginning</w:t>
      </w:r>
      <w:r w:rsidRPr="007158E9">
        <w:rPr>
          <w:lang w:val="en-GB"/>
        </w:rPr>
        <w:t xml:space="preserve"> of 2017. </w:t>
      </w:r>
    </w:p>
    <w:p w14:paraId="0038F693" w14:textId="42AB66B2" w:rsidR="00F35CB9" w:rsidRPr="007158E9" w:rsidRDefault="00F35CB9" w:rsidP="00F35CB9">
      <w:pPr>
        <w:pStyle w:val="SingleTxtG"/>
        <w:ind w:right="567"/>
        <w:rPr>
          <w:lang w:val="en-GB"/>
        </w:rPr>
      </w:pPr>
      <w:r w:rsidRPr="007158E9">
        <w:rPr>
          <w:lang w:val="en-GB"/>
        </w:rPr>
        <w:tab/>
        <w:t>276.</w:t>
      </w:r>
      <w:r w:rsidRPr="007158E9">
        <w:rPr>
          <w:lang w:val="en-GB"/>
        </w:rPr>
        <w:tab/>
        <w:t xml:space="preserve">Évariste Nyandwi was allegedly targeted because of a conflict with a high ranking official in the State apparatus </w:t>
      </w:r>
      <w:r w:rsidR="006C287D">
        <w:rPr>
          <w:lang w:val="en-GB"/>
        </w:rPr>
        <w:t>related</w:t>
      </w:r>
      <w:r w:rsidRPr="007158E9">
        <w:rPr>
          <w:lang w:val="en-GB"/>
        </w:rPr>
        <w:t xml:space="preserve"> to a public </w:t>
      </w:r>
      <w:r w:rsidR="006C287D">
        <w:rPr>
          <w:lang w:val="en-GB"/>
        </w:rPr>
        <w:t>contract</w:t>
      </w:r>
      <w:r w:rsidRPr="007158E9">
        <w:rPr>
          <w:lang w:val="en-GB"/>
        </w:rPr>
        <w:t xml:space="preserve"> won by the victim</w:t>
      </w:r>
      <w:r w:rsidRPr="007158E9">
        <w:rPr>
          <w:lang w:val="en-GB" w:eastAsia="en-GB"/>
        </w:rPr>
        <w:t>.</w:t>
      </w:r>
    </w:p>
    <w:p w14:paraId="24580A0B" w14:textId="77777777" w:rsidR="00F35CB9" w:rsidRPr="007158E9" w:rsidRDefault="00F35CB9" w:rsidP="00F35CB9">
      <w:pPr>
        <w:pStyle w:val="SingleTxtG"/>
        <w:ind w:right="567"/>
        <w:rPr>
          <w:lang w:val="en-GB" w:eastAsia="en-GB"/>
        </w:rPr>
      </w:pPr>
      <w:r w:rsidRPr="007158E9">
        <w:rPr>
          <w:lang w:val="en-GB" w:eastAsia="en-GB"/>
        </w:rPr>
        <w:t>277.</w:t>
      </w:r>
      <w:r w:rsidRPr="007158E9">
        <w:rPr>
          <w:lang w:val="en-GB" w:eastAsia="en-GB"/>
        </w:rPr>
        <w:tab/>
        <w:t>The Commission fears that several missing persons who are still being searched for by their relatives died in the house used as a place of secret detention in Kinindo.</w:t>
      </w:r>
    </w:p>
    <w:p w14:paraId="60861B04" w14:textId="77777777" w:rsidR="00F35CB9" w:rsidRPr="007158E9" w:rsidRDefault="00F35CB9" w:rsidP="00F35CB9">
      <w:pPr>
        <w:pStyle w:val="SingleTxtG"/>
        <w:rPr>
          <w:i/>
          <w:lang w:val="en-GB" w:eastAsia="en-GB"/>
        </w:rPr>
      </w:pPr>
      <w:r w:rsidRPr="007158E9">
        <w:rPr>
          <w:i/>
          <w:lang w:val="en-GB" w:eastAsia="en-GB"/>
        </w:rPr>
        <w:tab/>
        <w:t xml:space="preserve">Bonaventure Havyarimana, Égide Habonimana, Lionel Hafashimana, </w:t>
      </w:r>
      <w:r w:rsidRPr="007158E9">
        <w:rPr>
          <w:i/>
          <w:lang w:val="en-GB" w:eastAsia="en-GB"/>
        </w:rPr>
        <w:br/>
        <w:t>Emmanuel Nyabenda, and Bénius Mbanyenimanga</w:t>
      </w:r>
    </w:p>
    <w:p w14:paraId="13C75A92" w14:textId="09E177E1" w:rsidR="00F35CB9" w:rsidRPr="007158E9" w:rsidRDefault="00F35CB9" w:rsidP="00F35CB9">
      <w:pPr>
        <w:pStyle w:val="SingleTxtG"/>
        <w:ind w:right="567"/>
        <w:rPr>
          <w:lang w:val="en-GB" w:eastAsia="en-GB"/>
        </w:rPr>
      </w:pPr>
      <w:r w:rsidRPr="007158E9">
        <w:rPr>
          <w:lang w:val="en-GB"/>
        </w:rPr>
        <w:tab/>
        <w:t>278.</w:t>
      </w:r>
      <w:r w:rsidRPr="007158E9">
        <w:rPr>
          <w:lang w:val="en-GB"/>
        </w:rPr>
        <w:tab/>
        <w:t>According to testimonies collected by the Commission</w:t>
      </w:r>
      <w:r w:rsidR="006C287D">
        <w:rPr>
          <w:lang w:val="en-GB"/>
        </w:rPr>
        <w:t>,</w:t>
      </w:r>
      <w:r w:rsidRPr="007158E9">
        <w:rPr>
          <w:vertAlign w:val="superscript"/>
          <w:lang w:val="en-GB"/>
        </w:rPr>
        <w:footnoteReference w:id="95"/>
      </w:r>
      <w:r w:rsidRPr="007158E9">
        <w:rPr>
          <w:lang w:val="en-GB"/>
        </w:rPr>
        <w:t xml:space="preserve"> on 2 March 2018, </w:t>
      </w:r>
      <w:r w:rsidRPr="007158E9">
        <w:rPr>
          <w:lang w:val="en-GB" w:eastAsia="en-GB"/>
        </w:rPr>
        <w:t xml:space="preserve">Bonaventure Havyarimana, Égide Habonimana, Lionel Hafashimana, Emmanuel Nyabenda and Bénius Mbanyenimanga, all members of the opposition political party; </w:t>
      </w:r>
      <w:r w:rsidRPr="007158E9">
        <w:rPr>
          <w:i/>
          <w:lang w:val="en-GB" w:eastAsia="en-GB"/>
        </w:rPr>
        <w:t>Mouvement pour la solidarité and la démocratie (MSD)</w:t>
      </w:r>
      <w:r w:rsidRPr="007158E9">
        <w:rPr>
          <w:lang w:val="en-GB" w:eastAsia="en-GB"/>
        </w:rPr>
        <w:t xml:space="preserve">, were arrested as they were aboard a vehicle driven by an acquaintance near Brarudi in Bujumbura. Several vehicles </w:t>
      </w:r>
      <w:r w:rsidR="006C287D">
        <w:rPr>
          <w:lang w:val="en-GB" w:eastAsia="en-GB"/>
        </w:rPr>
        <w:t>with</w:t>
      </w:r>
      <w:r w:rsidRPr="007158E9">
        <w:rPr>
          <w:lang w:val="en-GB" w:eastAsia="en-GB"/>
        </w:rPr>
        <w:t xml:space="preserve"> SNR agents </w:t>
      </w:r>
      <w:r w:rsidR="006C287D">
        <w:rPr>
          <w:lang w:val="en-GB" w:eastAsia="en-GB"/>
        </w:rPr>
        <w:t xml:space="preserve">on board </w:t>
      </w:r>
      <w:r w:rsidRPr="007158E9">
        <w:rPr>
          <w:lang w:val="en-GB" w:eastAsia="en-GB"/>
        </w:rPr>
        <w:t xml:space="preserve">approached their vehicle and blocked </w:t>
      </w:r>
      <w:r w:rsidR="006C287D">
        <w:rPr>
          <w:lang w:val="en-GB" w:eastAsia="en-GB"/>
        </w:rPr>
        <w:t>it</w:t>
      </w:r>
      <w:r w:rsidRPr="007158E9">
        <w:rPr>
          <w:lang w:val="en-GB" w:eastAsia="en-GB"/>
        </w:rPr>
        <w:t xml:space="preserve"> before taking them to an unknown destination in their own vehicles.</w:t>
      </w:r>
    </w:p>
    <w:p w14:paraId="61EA5F04" w14:textId="5EE91067" w:rsidR="00F35CB9" w:rsidRPr="007158E9" w:rsidRDefault="00F35CB9" w:rsidP="00F35CB9">
      <w:pPr>
        <w:pStyle w:val="SingleTxtG"/>
        <w:ind w:right="567"/>
        <w:rPr>
          <w:lang w:val="en-GB" w:eastAsia="en-GB"/>
        </w:rPr>
      </w:pPr>
      <w:r w:rsidRPr="007158E9">
        <w:rPr>
          <w:lang w:val="en-GB" w:eastAsia="en-GB"/>
        </w:rPr>
        <w:tab/>
        <w:t>279.</w:t>
      </w:r>
      <w:r w:rsidRPr="007158E9">
        <w:rPr>
          <w:lang w:val="en-GB" w:eastAsia="en-GB"/>
        </w:rPr>
        <w:tab/>
        <w:t xml:space="preserve">The victims’ relatives carried out searches in all the detention centers in Burundi but were unsuccessful. Officials in those centers denied having detained them. SNR agents demanded a ransom of more than a million Burundian francs (567 </w:t>
      </w:r>
      <w:r w:rsidR="00040BB8">
        <w:rPr>
          <w:lang w:val="en-GB" w:eastAsia="en-GB"/>
        </w:rPr>
        <w:t>US</w:t>
      </w:r>
      <w:r w:rsidRPr="007158E9">
        <w:rPr>
          <w:lang w:val="en-GB" w:eastAsia="en-GB"/>
        </w:rPr>
        <w:t xml:space="preserve"> dollars) from the same relatives for their release. Despite the payment of this amount, Bonaventure </w:t>
      </w:r>
      <w:r w:rsidRPr="007158E9">
        <w:rPr>
          <w:lang w:val="en-GB" w:eastAsia="en-GB"/>
        </w:rPr>
        <w:lastRenderedPageBreak/>
        <w:t>Havyarimana, Égide Habonimana, Lionel Hafashimana, Emmanuel Nyabenda and Bénius Mbanyenimanga are still missing. Accor</w:t>
      </w:r>
      <w:r w:rsidR="006C287D">
        <w:rPr>
          <w:lang w:val="en-GB" w:eastAsia="en-GB"/>
        </w:rPr>
        <w:t>ding to some sources, they would have been killed by SNR agents</w:t>
      </w:r>
      <w:r w:rsidRPr="007158E9">
        <w:rPr>
          <w:lang w:val="en-GB" w:eastAsia="en-GB"/>
        </w:rPr>
        <w:t xml:space="preserve"> on the day </w:t>
      </w:r>
      <w:r w:rsidR="006C287D">
        <w:rPr>
          <w:lang w:val="en-GB" w:eastAsia="en-GB"/>
        </w:rPr>
        <w:t>they were</w:t>
      </w:r>
      <w:r w:rsidRPr="007158E9">
        <w:rPr>
          <w:lang w:val="en-GB" w:eastAsia="en-GB"/>
        </w:rPr>
        <w:t xml:space="preserve"> arrest</w:t>
      </w:r>
      <w:r w:rsidR="006C287D">
        <w:rPr>
          <w:lang w:val="en-GB" w:eastAsia="en-GB"/>
        </w:rPr>
        <w:t>ed</w:t>
      </w:r>
      <w:r w:rsidRPr="007158E9">
        <w:rPr>
          <w:lang w:val="en-GB" w:eastAsia="en-GB"/>
        </w:rPr>
        <w:t>.</w:t>
      </w:r>
    </w:p>
    <w:p w14:paraId="774BFD55" w14:textId="576B20B9" w:rsidR="00F35CB9" w:rsidRPr="007158E9" w:rsidRDefault="00F35CB9" w:rsidP="00F35CB9">
      <w:pPr>
        <w:pStyle w:val="H56G"/>
        <w:rPr>
          <w:b/>
          <w:lang w:val="en-GB" w:eastAsia="en-GB"/>
        </w:rPr>
      </w:pPr>
      <w:r w:rsidRPr="007158E9">
        <w:rPr>
          <w:lang w:val="en-GB" w:eastAsia="en-GB"/>
        </w:rPr>
        <w:tab/>
      </w:r>
      <w:r w:rsidRPr="007158E9">
        <w:rPr>
          <w:b/>
          <w:lang w:val="en-GB" w:eastAsia="en-GB"/>
        </w:rPr>
        <w:t>(ii)</w:t>
      </w:r>
      <w:r w:rsidRPr="007158E9">
        <w:rPr>
          <w:b/>
          <w:lang w:val="en-GB" w:eastAsia="en-GB"/>
        </w:rPr>
        <w:tab/>
      </w:r>
      <w:r w:rsidRPr="007158E9">
        <w:rPr>
          <w:b/>
          <w:lang w:val="en-GB"/>
        </w:rPr>
        <w:t xml:space="preserve">Cases where there </w:t>
      </w:r>
      <w:r w:rsidR="006853A1">
        <w:rPr>
          <w:b/>
          <w:lang w:val="en-GB"/>
        </w:rPr>
        <w:t>is</w:t>
      </w:r>
      <w:r w:rsidRPr="007158E9">
        <w:rPr>
          <w:b/>
          <w:lang w:val="en-GB"/>
        </w:rPr>
        <w:t xml:space="preserve"> </w:t>
      </w:r>
      <w:r w:rsidR="006C287D">
        <w:rPr>
          <w:b/>
          <w:lang w:val="en-GB"/>
        </w:rPr>
        <w:t>reasonable</w:t>
      </w:r>
      <w:r w:rsidRPr="007158E9">
        <w:rPr>
          <w:b/>
          <w:lang w:val="en-GB"/>
        </w:rPr>
        <w:t xml:space="preserve"> ground to </w:t>
      </w:r>
      <w:r w:rsidRPr="00040BB8">
        <w:rPr>
          <w:b/>
          <w:i/>
          <w:lang w:val="en-GB"/>
        </w:rPr>
        <w:t>fear</w:t>
      </w:r>
      <w:r w:rsidRPr="007158E9">
        <w:rPr>
          <w:b/>
          <w:lang w:val="en-GB"/>
        </w:rPr>
        <w:t xml:space="preserve"> that they </w:t>
      </w:r>
      <w:r w:rsidR="006C287D">
        <w:rPr>
          <w:b/>
          <w:lang w:val="en-GB"/>
        </w:rPr>
        <w:t>might be</w:t>
      </w:r>
      <w:r w:rsidRPr="007158E9">
        <w:rPr>
          <w:b/>
          <w:lang w:val="en-GB"/>
        </w:rPr>
        <w:t xml:space="preserve"> enforced disappearances</w:t>
      </w:r>
      <w:r w:rsidRPr="007158E9">
        <w:rPr>
          <w:b/>
          <w:lang w:val="en-GB" w:eastAsia="en-GB"/>
        </w:rPr>
        <w:t xml:space="preserve"> </w:t>
      </w:r>
    </w:p>
    <w:p w14:paraId="3942A0C3" w14:textId="2F935280" w:rsidR="00F35CB9" w:rsidRPr="007158E9" w:rsidRDefault="00F35CB9" w:rsidP="00F35CB9">
      <w:pPr>
        <w:pStyle w:val="SingleTxtG"/>
        <w:ind w:right="567"/>
        <w:rPr>
          <w:lang w:val="en-GB" w:eastAsia="en-GB"/>
        </w:rPr>
      </w:pPr>
      <w:r w:rsidRPr="007158E9">
        <w:rPr>
          <w:lang w:val="en-GB" w:eastAsia="en-GB"/>
        </w:rPr>
        <w:tab/>
        <w:t>280.</w:t>
      </w:r>
      <w:r w:rsidRPr="007158E9">
        <w:rPr>
          <w:lang w:val="en-GB" w:eastAsia="en-GB"/>
        </w:rPr>
        <w:tab/>
        <w:t xml:space="preserve">The Commission received information on other cases where some factors such as the profile of the victims and </w:t>
      </w:r>
      <w:r w:rsidR="00EC352C">
        <w:rPr>
          <w:lang w:val="en-GB" w:eastAsia="en-GB"/>
        </w:rPr>
        <w:t xml:space="preserve">of </w:t>
      </w:r>
      <w:r w:rsidRPr="007158E9">
        <w:rPr>
          <w:lang w:val="en-GB" w:eastAsia="en-GB"/>
        </w:rPr>
        <w:t xml:space="preserve">the presumed authors, the operating mode and the context, provide </w:t>
      </w:r>
      <w:r w:rsidR="005D6A04">
        <w:rPr>
          <w:lang w:val="en-GB" w:eastAsia="en-GB"/>
        </w:rPr>
        <w:t>reasonable</w:t>
      </w:r>
      <w:r w:rsidRPr="007158E9">
        <w:rPr>
          <w:lang w:val="en-GB" w:eastAsia="en-GB"/>
        </w:rPr>
        <w:t xml:space="preserve"> ground to fear that they </w:t>
      </w:r>
      <w:r w:rsidR="005D6A04">
        <w:rPr>
          <w:lang w:val="en-GB" w:eastAsia="en-GB"/>
        </w:rPr>
        <w:t>might consitute</w:t>
      </w:r>
      <w:r w:rsidRPr="007158E9">
        <w:rPr>
          <w:lang w:val="en-GB" w:eastAsia="en-GB"/>
        </w:rPr>
        <w:t xml:space="preserve"> </w:t>
      </w:r>
      <w:r w:rsidR="005D6A04">
        <w:rPr>
          <w:lang w:val="en-GB" w:eastAsia="en-GB"/>
        </w:rPr>
        <w:t>a case of</w:t>
      </w:r>
      <w:r w:rsidRPr="007158E9">
        <w:rPr>
          <w:lang w:val="en-GB" w:eastAsia="en-GB"/>
        </w:rPr>
        <w:t xml:space="preserve"> enforced disappearance.</w:t>
      </w:r>
    </w:p>
    <w:p w14:paraId="4C1E2E7C" w14:textId="77777777" w:rsidR="00F35CB9" w:rsidRPr="007158E9" w:rsidRDefault="00F35CB9" w:rsidP="00F35CB9">
      <w:pPr>
        <w:pStyle w:val="SingleTxtG"/>
        <w:rPr>
          <w:i/>
          <w:lang w:val="en-GB"/>
        </w:rPr>
      </w:pPr>
      <w:r w:rsidRPr="007158E9">
        <w:rPr>
          <w:b/>
          <w:i/>
          <w:lang w:val="en-GB"/>
        </w:rPr>
        <w:tab/>
      </w:r>
      <w:r w:rsidRPr="007158E9">
        <w:rPr>
          <w:i/>
          <w:lang w:val="en-GB"/>
        </w:rPr>
        <w:t>Gaston Cishahayo</w:t>
      </w:r>
    </w:p>
    <w:p w14:paraId="3CEA1620" w14:textId="3AC0759C" w:rsidR="00F35CB9" w:rsidRPr="007158E9" w:rsidRDefault="00F35CB9" w:rsidP="00F35CB9">
      <w:pPr>
        <w:pStyle w:val="SingleTxtG"/>
        <w:ind w:right="567"/>
        <w:rPr>
          <w:lang w:val="en-GB"/>
        </w:rPr>
      </w:pPr>
      <w:r w:rsidRPr="007158E9">
        <w:rPr>
          <w:lang w:val="en-GB"/>
        </w:rPr>
        <w:tab/>
        <w:t>281.</w:t>
      </w:r>
      <w:r w:rsidRPr="007158E9">
        <w:rPr>
          <w:lang w:val="en-GB"/>
        </w:rPr>
        <w:tab/>
        <w:t>According to information collected by the Commission</w:t>
      </w:r>
      <w:r w:rsidR="005D6A04">
        <w:rPr>
          <w:lang w:val="en-GB"/>
        </w:rPr>
        <w:t>,</w:t>
      </w:r>
      <w:r w:rsidRPr="007158E9">
        <w:rPr>
          <w:vertAlign w:val="superscript"/>
          <w:lang w:val="en-GB"/>
        </w:rPr>
        <w:footnoteReference w:id="96"/>
      </w:r>
      <w:r w:rsidRPr="007158E9">
        <w:rPr>
          <w:lang w:val="en-GB"/>
        </w:rPr>
        <w:t xml:space="preserve"> the </w:t>
      </w:r>
      <w:r w:rsidRPr="007158E9">
        <w:rPr>
          <w:i/>
          <w:lang w:val="en-GB"/>
        </w:rPr>
        <w:t>brigadier de police</w:t>
      </w:r>
      <w:r w:rsidRPr="007158E9">
        <w:rPr>
          <w:lang w:val="en-GB"/>
        </w:rPr>
        <w:t xml:space="preserve"> (police sergeant) Gaston Cishahayo has been missing since 19 October 2017. The victim is a former FNL combattant</w:t>
      </w:r>
      <w:r w:rsidRPr="007158E9">
        <w:rPr>
          <w:i/>
          <w:lang w:val="en-GB"/>
        </w:rPr>
        <w:t xml:space="preserve"> </w:t>
      </w:r>
      <w:r w:rsidRPr="007158E9">
        <w:rPr>
          <w:lang w:val="en-GB"/>
        </w:rPr>
        <w:t xml:space="preserve">who had joined the </w:t>
      </w:r>
      <w:r w:rsidR="005D6A04">
        <w:rPr>
          <w:lang w:val="en-GB"/>
        </w:rPr>
        <w:t>p</w:t>
      </w:r>
      <w:r w:rsidRPr="007158E9">
        <w:rPr>
          <w:lang w:val="en-GB"/>
        </w:rPr>
        <w:t>olice and</w:t>
      </w:r>
      <w:r w:rsidRPr="007158E9">
        <w:rPr>
          <w:i/>
          <w:lang w:val="en-GB"/>
        </w:rPr>
        <w:t xml:space="preserve"> </w:t>
      </w:r>
      <w:r w:rsidRPr="007158E9">
        <w:rPr>
          <w:lang w:val="en-GB"/>
        </w:rPr>
        <w:t xml:space="preserve">had been posted to the Muramvya police station at the time of the incident. On the day of his disappearance, Gaston Cishahayo went to a bar in Bugarama where he had an appointment in the afternoon. Towards 17:30, he was seen in the bar in the company of the person he was meeting </w:t>
      </w:r>
      <w:r w:rsidR="005D6A04">
        <w:rPr>
          <w:lang w:val="en-GB"/>
        </w:rPr>
        <w:t>and</w:t>
      </w:r>
      <w:r w:rsidRPr="007158E9">
        <w:rPr>
          <w:lang w:val="en-GB"/>
        </w:rPr>
        <w:t xml:space="preserve"> the SNR agent in charge of the province of Muramvya. Gaston Cishahayo left the bar</w:t>
      </w:r>
      <w:r w:rsidR="005D6A04">
        <w:rPr>
          <w:lang w:val="en-GB"/>
        </w:rPr>
        <w:t xml:space="preserve"> a bit</w:t>
      </w:r>
      <w:r w:rsidRPr="007158E9">
        <w:rPr>
          <w:lang w:val="en-GB"/>
        </w:rPr>
        <w:t xml:space="preserve"> later. He has not been seen since. </w:t>
      </w:r>
    </w:p>
    <w:p w14:paraId="7B5FA39C" w14:textId="1E593178" w:rsidR="00F35CB9" w:rsidRPr="007158E9" w:rsidRDefault="00F35CB9" w:rsidP="00F35CB9">
      <w:pPr>
        <w:pStyle w:val="SingleTxtG"/>
        <w:ind w:right="567"/>
        <w:rPr>
          <w:lang w:val="en-GB"/>
        </w:rPr>
      </w:pPr>
      <w:r w:rsidRPr="007158E9">
        <w:rPr>
          <w:lang w:val="en-GB"/>
        </w:rPr>
        <w:tab/>
        <w:t>282.</w:t>
      </w:r>
      <w:r w:rsidRPr="007158E9">
        <w:rPr>
          <w:lang w:val="en-GB"/>
        </w:rPr>
        <w:tab/>
        <w:t xml:space="preserve">The following day, on 20 October 2017, several written messages were sent from Gaston Cishahayo’s phone. These messages requested that no one </w:t>
      </w:r>
      <w:r w:rsidR="005D6A04">
        <w:rPr>
          <w:lang w:val="en-GB"/>
        </w:rPr>
        <w:t xml:space="preserve">should be </w:t>
      </w:r>
      <w:r w:rsidRPr="007158E9">
        <w:rPr>
          <w:lang w:val="en-GB"/>
        </w:rPr>
        <w:t>look</w:t>
      </w:r>
      <w:r w:rsidR="005D6A04">
        <w:rPr>
          <w:lang w:val="en-GB"/>
        </w:rPr>
        <w:t>ing</w:t>
      </w:r>
      <w:r w:rsidRPr="007158E9">
        <w:rPr>
          <w:lang w:val="en-GB"/>
        </w:rPr>
        <w:t xml:space="preserve"> for him as he had finally fled to Rwanda. The same day, calls were made from Gaston Cishahayo’s phone but no one was talking. Afterwards, his number was unresponsive. Still, on 20 October 2017, a police officer in Muramvya went to Gaston Cishahayo’s home, broke the lock of his r</w:t>
      </w:r>
      <w:r w:rsidR="005D6A04">
        <w:rPr>
          <w:lang w:val="en-GB"/>
        </w:rPr>
        <w:t>oom and took all his belongings,</w:t>
      </w:r>
      <w:r w:rsidRPr="007158E9">
        <w:rPr>
          <w:lang w:val="en-GB"/>
        </w:rPr>
        <w:t xml:space="preserve"> without any search warrant.</w:t>
      </w:r>
    </w:p>
    <w:p w14:paraId="1F149DA5" w14:textId="77777777" w:rsidR="00F35CB9" w:rsidRPr="007158E9" w:rsidRDefault="00F35CB9" w:rsidP="00F35CB9">
      <w:pPr>
        <w:pStyle w:val="SingleTxtG"/>
        <w:ind w:right="567"/>
        <w:rPr>
          <w:lang w:val="en-GB"/>
        </w:rPr>
      </w:pPr>
      <w:r w:rsidRPr="007158E9">
        <w:rPr>
          <w:lang w:val="en-GB"/>
        </w:rPr>
        <w:tab/>
        <w:t>283.</w:t>
      </w:r>
      <w:r w:rsidRPr="007158E9">
        <w:rPr>
          <w:lang w:val="en-GB"/>
        </w:rPr>
        <w:tab/>
        <w:t>On 21 October 2017, a police officer called the relatives of Gaston Cishahayo</w:t>
      </w:r>
      <w:r w:rsidRPr="007158E9" w:rsidDel="00487F06">
        <w:rPr>
          <w:lang w:val="en-GB"/>
        </w:rPr>
        <w:t xml:space="preserve"> </w:t>
      </w:r>
      <w:r w:rsidRPr="007158E9">
        <w:rPr>
          <w:lang w:val="en-GB"/>
        </w:rPr>
        <w:t xml:space="preserve">to tell them that he had left the country. According to the Commission’s sources, the various messages and calls received by the victim’s relatives were intended to mask the disappearance by pretending that he left the country. It was also indicated that a police officer in Muramvya might be in possession of one of Gaston Cishahayo’s mobile phones. </w:t>
      </w:r>
    </w:p>
    <w:p w14:paraId="74F09416" w14:textId="77777777" w:rsidR="00F35CB9" w:rsidRPr="007158E9" w:rsidRDefault="00F35CB9" w:rsidP="00F35CB9">
      <w:pPr>
        <w:pStyle w:val="SingleTxtG"/>
        <w:rPr>
          <w:rFonts w:eastAsia="Calibri"/>
          <w:i/>
          <w:lang w:val="en-GB"/>
        </w:rPr>
      </w:pPr>
      <w:r w:rsidRPr="007158E9">
        <w:rPr>
          <w:rFonts w:eastAsia="Calibri"/>
          <w:i/>
          <w:lang w:val="en-GB"/>
        </w:rPr>
        <w:tab/>
        <w:t xml:space="preserve">Jérémie Ntiranyibagira, Édouard Nshimirimana, Libère Nzeyimana and Libérate </w:t>
      </w:r>
      <w:r w:rsidRPr="007158E9">
        <w:rPr>
          <w:rFonts w:eastAsia="Calibri"/>
          <w:i/>
          <w:lang w:val="en-GB"/>
        </w:rPr>
        <w:tab/>
        <w:t>Nijimbere</w:t>
      </w:r>
    </w:p>
    <w:p w14:paraId="4C6E0554" w14:textId="7B6318A9" w:rsidR="00F35CB9" w:rsidRPr="007158E9" w:rsidRDefault="00F35CB9" w:rsidP="00F35CB9">
      <w:pPr>
        <w:pStyle w:val="SingleTxtG"/>
        <w:ind w:right="567"/>
        <w:rPr>
          <w:rFonts w:eastAsia="Calibri"/>
          <w:lang w:val="en-GB"/>
        </w:rPr>
      </w:pPr>
      <w:r w:rsidRPr="007158E9">
        <w:rPr>
          <w:rFonts w:eastAsia="Calibri"/>
          <w:lang w:val="en-GB"/>
        </w:rPr>
        <w:tab/>
        <w:t>284.</w:t>
      </w:r>
      <w:r w:rsidRPr="007158E9">
        <w:rPr>
          <w:rFonts w:eastAsia="Calibri"/>
          <w:lang w:val="en-GB"/>
        </w:rPr>
        <w:tab/>
        <w:t xml:space="preserve">On 21 October 2017, four members of the armed opposition group </w:t>
      </w:r>
      <w:r w:rsidRPr="007158E9">
        <w:rPr>
          <w:rFonts w:eastAsia="Calibri"/>
          <w:i/>
          <w:lang w:val="en-GB"/>
        </w:rPr>
        <w:t>Front Populaire du Burundi</w:t>
      </w:r>
      <w:r w:rsidRPr="007158E9">
        <w:rPr>
          <w:rFonts w:eastAsia="Calibri"/>
          <w:lang w:val="en-GB"/>
        </w:rPr>
        <w:t xml:space="preserve"> (FPB), Jérémie Ntiranyibagira, Édouard Nshimirimana, Libère Nzeyimana and Libérate Nijimbere, were allegedly arrested by officers of the Tanzanian Intelligence Service. According to witness accounts collected by the Commission</w:t>
      </w:r>
      <w:r w:rsidR="005D6A04">
        <w:rPr>
          <w:rFonts w:eastAsia="Calibri"/>
          <w:lang w:val="en-GB"/>
        </w:rPr>
        <w:t>,</w:t>
      </w:r>
      <w:r w:rsidRPr="007158E9">
        <w:rPr>
          <w:rFonts w:eastAsia="Calibri"/>
          <w:vertAlign w:val="superscript"/>
          <w:lang w:val="en-GB"/>
        </w:rPr>
        <w:footnoteReference w:id="97"/>
      </w:r>
      <w:r w:rsidRPr="007158E9">
        <w:rPr>
          <w:rFonts w:eastAsia="Calibri"/>
          <w:lang w:val="en-GB"/>
        </w:rPr>
        <w:t xml:space="preserve"> they were later handed over to the head of SNR in Muyinga province. They were then executed. The bodies of at least three of them transited through Muyinga town before being buried in a location that the Commission was unable to identify using the collected information.</w:t>
      </w:r>
    </w:p>
    <w:p w14:paraId="33CF52BD" w14:textId="672856AB" w:rsidR="00F35CB9" w:rsidRPr="007158E9" w:rsidRDefault="00F35CB9" w:rsidP="00F35CB9">
      <w:pPr>
        <w:pStyle w:val="SingleTxtG"/>
        <w:ind w:right="567"/>
        <w:rPr>
          <w:rFonts w:eastAsia="Calibri"/>
          <w:lang w:val="en-GB"/>
        </w:rPr>
      </w:pPr>
      <w:r w:rsidRPr="007158E9">
        <w:rPr>
          <w:rFonts w:eastAsia="Calibri"/>
          <w:lang w:val="en-GB"/>
        </w:rPr>
        <w:tab/>
        <w:t>285.</w:t>
      </w:r>
      <w:r w:rsidRPr="007158E9">
        <w:rPr>
          <w:rFonts w:eastAsia="Calibri"/>
          <w:lang w:val="en-GB"/>
        </w:rPr>
        <w:tab/>
        <w:t>On 8 November 2017, the United Nations Working Group on enforced or involuntary disappearance “informed the Government of Burundi of the cases of Libère Nzeyimana and Édouard Nshimirimana, who were allegedly kidnapped on 21 October 2017 in Muyinga and Ngara (United Republic of Tanzania) by Burundian and Tanzanian police officers”</w:t>
      </w:r>
      <w:r w:rsidR="00B831ED">
        <w:rPr>
          <w:rFonts w:eastAsia="Calibri"/>
          <w:lang w:val="en-GB"/>
        </w:rPr>
        <w:t>.</w:t>
      </w:r>
      <w:r w:rsidRPr="007158E9">
        <w:rPr>
          <w:rFonts w:eastAsia="Calibri"/>
          <w:vertAlign w:val="superscript"/>
          <w:lang w:val="en-GB"/>
        </w:rPr>
        <w:footnoteReference w:id="98"/>
      </w:r>
      <w:r w:rsidRPr="007158E9">
        <w:rPr>
          <w:rFonts w:eastAsia="Calibri"/>
          <w:lang w:val="en-GB"/>
        </w:rPr>
        <w:t xml:space="preserve"> To the knowledge of the Commission, the Burundian Government has not provided any feedback to the Working Group.  </w:t>
      </w:r>
    </w:p>
    <w:p w14:paraId="33A5F3BA" w14:textId="77777777" w:rsidR="00F35CB9" w:rsidRPr="007158E9" w:rsidRDefault="00F35CB9" w:rsidP="00F35CB9">
      <w:pPr>
        <w:pStyle w:val="SingleTxtG"/>
        <w:rPr>
          <w:i/>
          <w:lang w:val="en-GB"/>
        </w:rPr>
      </w:pPr>
      <w:r w:rsidRPr="007158E9">
        <w:rPr>
          <w:i/>
          <w:lang w:val="en-GB"/>
        </w:rPr>
        <w:tab/>
        <w:t>Aimé Aloys Manirakiza, alias « Musaga », and Eddy Nduwimana</w:t>
      </w:r>
    </w:p>
    <w:p w14:paraId="008402F6" w14:textId="0F399784" w:rsidR="00F35CB9" w:rsidRPr="007158E9" w:rsidRDefault="00F35CB9" w:rsidP="00F35CB9">
      <w:pPr>
        <w:pStyle w:val="SingleTxtG"/>
        <w:ind w:right="567"/>
        <w:rPr>
          <w:lang w:val="en-GB"/>
        </w:rPr>
      </w:pPr>
      <w:r w:rsidRPr="007158E9">
        <w:rPr>
          <w:lang w:val="en-GB"/>
        </w:rPr>
        <w:tab/>
        <w:t>286.</w:t>
      </w:r>
      <w:r w:rsidRPr="007158E9">
        <w:rPr>
          <w:lang w:val="en-GB"/>
        </w:rPr>
        <w:tab/>
        <w:t>According to information received by the Commission</w:t>
      </w:r>
      <w:r w:rsidR="005D6A04">
        <w:rPr>
          <w:lang w:val="en-GB"/>
        </w:rPr>
        <w:t>,</w:t>
      </w:r>
      <w:r w:rsidRPr="007158E9">
        <w:rPr>
          <w:vertAlign w:val="superscript"/>
          <w:lang w:val="en-GB"/>
        </w:rPr>
        <w:footnoteReference w:id="99"/>
      </w:r>
      <w:r w:rsidRPr="007158E9">
        <w:rPr>
          <w:lang w:val="en-GB"/>
        </w:rPr>
        <w:t xml:space="preserve"> Aimé Aloys Manirakiza, nicknamed « Musaga », an ex-FAB, resident of Kanyosha in Bujumbura Mairie</w:t>
      </w:r>
      <w:r w:rsidR="005D6A04">
        <w:rPr>
          <w:lang w:val="en-GB"/>
        </w:rPr>
        <w:t>,</w:t>
      </w:r>
      <w:r w:rsidRPr="007158E9">
        <w:rPr>
          <w:lang w:val="en-GB"/>
        </w:rPr>
        <w:t xml:space="preserve"> was an </w:t>
      </w:r>
      <w:r w:rsidRPr="007158E9">
        <w:rPr>
          <w:lang w:val="en-GB"/>
        </w:rPr>
        <w:lastRenderedPageBreak/>
        <w:t xml:space="preserve">Imbonerakure working in Musaga, who was allegedly involved in cases of human rights violations jointly with personnel – including high ranking officials – from the Office of the President, the </w:t>
      </w:r>
      <w:r w:rsidR="00B831ED">
        <w:rPr>
          <w:lang w:val="en-GB"/>
        </w:rPr>
        <w:t xml:space="preserve">National </w:t>
      </w:r>
      <w:r w:rsidRPr="007158E9">
        <w:rPr>
          <w:lang w:val="en-GB"/>
        </w:rPr>
        <w:t xml:space="preserve">Intelligence Service (SNR) and the </w:t>
      </w:r>
      <w:r w:rsidR="005D6A04">
        <w:rPr>
          <w:lang w:val="en-GB"/>
        </w:rPr>
        <w:t>A</w:t>
      </w:r>
      <w:r w:rsidRPr="007158E9">
        <w:rPr>
          <w:lang w:val="en-GB"/>
        </w:rPr>
        <w:t xml:space="preserve">rmy. In the afternoon of 25 May 2017, Aimé Aloys Manirakiza received a call from a person asking him to go to a certain location with Eddy Nduwimana, a 2015 demonstrator turned Imbonerakure, </w:t>
      </w:r>
      <w:r w:rsidR="005D6A04">
        <w:rPr>
          <w:lang w:val="en-GB"/>
        </w:rPr>
        <w:t xml:space="preserve">who was </w:t>
      </w:r>
      <w:r w:rsidRPr="007158E9">
        <w:rPr>
          <w:lang w:val="en-GB"/>
        </w:rPr>
        <w:t xml:space="preserve">used by SNR to conduct operations against opponents to CNDD-FDD. On </w:t>
      </w:r>
      <w:r w:rsidR="005D6A04">
        <w:rPr>
          <w:lang w:val="en-GB"/>
        </w:rPr>
        <w:t>their</w:t>
      </w:r>
      <w:r w:rsidRPr="007158E9">
        <w:rPr>
          <w:lang w:val="en-GB"/>
        </w:rPr>
        <w:t xml:space="preserve"> way to </w:t>
      </w:r>
      <w:r w:rsidR="005D6A04">
        <w:rPr>
          <w:lang w:val="en-GB"/>
        </w:rPr>
        <w:t>the meeting point</w:t>
      </w:r>
      <w:r w:rsidRPr="007158E9">
        <w:rPr>
          <w:lang w:val="en-GB"/>
        </w:rPr>
        <w:t xml:space="preserve">, Aimé Aloys Manirakiza and Eddy Nduwimana were allegedly apprehended in Kanyosha and taken by a police officer from API. They were never seen again. </w:t>
      </w:r>
    </w:p>
    <w:p w14:paraId="6372496B" w14:textId="0B66F13C" w:rsidR="00F35CB9" w:rsidRPr="007158E9" w:rsidRDefault="00F35CB9" w:rsidP="00F35CB9">
      <w:pPr>
        <w:pStyle w:val="SingleTxtG"/>
        <w:ind w:right="567"/>
        <w:rPr>
          <w:lang w:val="en-GB"/>
        </w:rPr>
      </w:pPr>
      <w:r w:rsidRPr="007158E9">
        <w:rPr>
          <w:lang w:val="en-GB"/>
        </w:rPr>
        <w:tab/>
        <w:t>287.</w:t>
      </w:r>
      <w:r w:rsidRPr="007158E9">
        <w:rPr>
          <w:lang w:val="en-GB"/>
        </w:rPr>
        <w:tab/>
        <w:t xml:space="preserve">Witness accounts collected by the Commission </w:t>
      </w:r>
      <w:r w:rsidR="005D6A04">
        <w:rPr>
          <w:lang w:val="en-GB"/>
        </w:rPr>
        <w:t>indicate that there was</w:t>
      </w:r>
      <w:r w:rsidRPr="007158E9">
        <w:rPr>
          <w:lang w:val="en-GB"/>
        </w:rPr>
        <w:t xml:space="preserve"> an internal conflict within Imbonerakure </w:t>
      </w:r>
      <w:r w:rsidR="005D6A04">
        <w:rPr>
          <w:lang w:val="en-GB"/>
        </w:rPr>
        <w:t xml:space="preserve">of </w:t>
      </w:r>
      <w:r w:rsidR="005D6A04" w:rsidRPr="007158E9">
        <w:rPr>
          <w:lang w:val="en-GB"/>
        </w:rPr>
        <w:t xml:space="preserve">Musaga </w:t>
      </w:r>
      <w:r w:rsidR="005D6A04">
        <w:rPr>
          <w:lang w:val="en-GB"/>
        </w:rPr>
        <w:t xml:space="preserve">about </w:t>
      </w:r>
      <w:r w:rsidR="005D6A04" w:rsidRPr="007158E9">
        <w:rPr>
          <w:lang w:val="en-GB"/>
        </w:rPr>
        <w:t xml:space="preserve">sharing </w:t>
      </w:r>
      <w:r w:rsidR="005D6A04">
        <w:rPr>
          <w:lang w:val="en-GB"/>
        </w:rPr>
        <w:t xml:space="preserve">the gains induced by </w:t>
      </w:r>
      <w:r w:rsidRPr="007158E9">
        <w:rPr>
          <w:lang w:val="en-GB"/>
        </w:rPr>
        <w:t xml:space="preserve">the fuel shortage. In this context, Aimé Aloys Manirakiza and Eddy Nduwimana </w:t>
      </w:r>
      <w:r w:rsidR="005D6A04">
        <w:rPr>
          <w:lang w:val="en-GB"/>
        </w:rPr>
        <w:t>would have been</w:t>
      </w:r>
      <w:r w:rsidRPr="007158E9">
        <w:rPr>
          <w:lang w:val="en-GB"/>
        </w:rPr>
        <w:t xml:space="preserve"> accused of killing two Imbonerakure with a grenade</w:t>
      </w:r>
      <w:r w:rsidR="005D6A04">
        <w:rPr>
          <w:lang w:val="en-GB"/>
        </w:rPr>
        <w:t xml:space="preserve"> and that would have been the reason for their </w:t>
      </w:r>
      <w:r w:rsidRPr="007158E9">
        <w:rPr>
          <w:lang w:val="en-GB"/>
        </w:rPr>
        <w:t>arrest and execution.</w:t>
      </w:r>
    </w:p>
    <w:p w14:paraId="3277749A" w14:textId="77777777" w:rsidR="00F35CB9" w:rsidRPr="007158E9" w:rsidRDefault="00F35CB9" w:rsidP="00F35CB9">
      <w:pPr>
        <w:pStyle w:val="H56G"/>
        <w:rPr>
          <w:b/>
          <w:lang w:val="en-GB" w:eastAsia="en-GB"/>
        </w:rPr>
      </w:pPr>
      <w:r w:rsidRPr="007158E9">
        <w:rPr>
          <w:lang w:val="en-GB" w:eastAsia="en-GB"/>
        </w:rPr>
        <w:tab/>
      </w:r>
      <w:r w:rsidRPr="007158E9">
        <w:rPr>
          <w:b/>
          <w:lang w:val="en-GB" w:eastAsia="en-GB"/>
        </w:rPr>
        <w:t>(iii)</w:t>
      </w:r>
      <w:r w:rsidRPr="007158E9">
        <w:rPr>
          <w:b/>
          <w:lang w:val="en-GB" w:eastAsia="en-GB"/>
        </w:rPr>
        <w:tab/>
        <w:t>Other cases of disappearance</w:t>
      </w:r>
    </w:p>
    <w:p w14:paraId="2BC0F803" w14:textId="353F2DDB" w:rsidR="00F35CB9" w:rsidRPr="007158E9" w:rsidRDefault="00F35CB9" w:rsidP="00F35CB9">
      <w:pPr>
        <w:pStyle w:val="SingleTxtG"/>
        <w:ind w:right="567"/>
        <w:rPr>
          <w:lang w:val="en-GB" w:eastAsia="en-GB"/>
        </w:rPr>
      </w:pPr>
      <w:r w:rsidRPr="007158E9">
        <w:rPr>
          <w:lang w:val="en-GB" w:eastAsia="en-GB"/>
        </w:rPr>
        <w:tab/>
        <w:t>288.</w:t>
      </w:r>
      <w:r w:rsidRPr="007158E9">
        <w:rPr>
          <w:lang w:val="en-GB" w:eastAsia="en-GB"/>
        </w:rPr>
        <w:tab/>
        <w:t xml:space="preserve">The Commission has also collected information on cases of disappearance for which, due to lack of detail that can be used to corroborate the </w:t>
      </w:r>
      <w:r w:rsidR="00BA04B9">
        <w:rPr>
          <w:lang w:val="en-GB" w:eastAsia="en-GB"/>
        </w:rPr>
        <w:t xml:space="preserve">elements </w:t>
      </w:r>
      <w:r w:rsidRPr="007158E9">
        <w:rPr>
          <w:lang w:val="en-GB" w:eastAsia="en-GB"/>
        </w:rPr>
        <w:t>obtained, it cannot conclude that the</w:t>
      </w:r>
      <w:r w:rsidR="00BA04B9">
        <w:rPr>
          <w:lang w:val="en-GB" w:eastAsia="en-GB"/>
        </w:rPr>
        <w:t>y</w:t>
      </w:r>
      <w:r w:rsidRPr="007158E9">
        <w:rPr>
          <w:lang w:val="en-GB" w:eastAsia="en-GB"/>
        </w:rPr>
        <w:t xml:space="preserve"> </w:t>
      </w:r>
      <w:r w:rsidR="00BA04B9">
        <w:rPr>
          <w:lang w:val="en-GB" w:eastAsia="en-GB"/>
        </w:rPr>
        <w:t>constituted</w:t>
      </w:r>
      <w:r w:rsidRPr="007158E9">
        <w:rPr>
          <w:lang w:val="en-GB" w:eastAsia="en-GB"/>
        </w:rPr>
        <w:t xml:space="preserve"> cases of enforced disappearance. However, these cases highlight a general context that is conducive to enforced disappearance</w:t>
      </w:r>
      <w:r w:rsidR="00BA04B9">
        <w:rPr>
          <w:lang w:val="en-GB" w:eastAsia="en-GB"/>
        </w:rPr>
        <w:t>s</w:t>
      </w:r>
      <w:r w:rsidRPr="007158E9">
        <w:rPr>
          <w:lang w:val="en-GB" w:eastAsia="en-GB"/>
        </w:rPr>
        <w:t xml:space="preserve">. In addition, the Commission was not able to corroborate these cases because the </w:t>
      </w:r>
      <w:r w:rsidRPr="007158E9">
        <w:rPr>
          <w:lang w:val="en-GB"/>
        </w:rPr>
        <w:t xml:space="preserve">documentation of cases of enforced disappearance requires in-depth research and thorough verification that, for the most part, can only be facilitated by the full cooperation with authorities in the concerned country. In particular, </w:t>
      </w:r>
      <w:r w:rsidR="00BA04B9">
        <w:rPr>
          <w:lang w:val="en-GB"/>
        </w:rPr>
        <w:t>it</w:t>
      </w:r>
      <w:r w:rsidRPr="007158E9">
        <w:rPr>
          <w:lang w:val="en-GB"/>
        </w:rPr>
        <w:t xml:space="preserve"> requires the possibility to access the detention </w:t>
      </w:r>
      <w:r w:rsidR="00BA04B9">
        <w:rPr>
          <w:lang w:val="en-GB"/>
        </w:rPr>
        <w:t>centers</w:t>
      </w:r>
      <w:r w:rsidRPr="007158E9">
        <w:rPr>
          <w:lang w:val="en-GB"/>
        </w:rPr>
        <w:t>, to solicit information from those</w:t>
      </w:r>
      <w:r w:rsidR="00BA04B9">
        <w:rPr>
          <w:lang w:val="en-GB"/>
        </w:rPr>
        <w:t>,</w:t>
      </w:r>
      <w:r w:rsidRPr="007158E9">
        <w:rPr>
          <w:lang w:val="en-GB"/>
        </w:rPr>
        <w:t xml:space="preserve"> who by virtue of their positions, have the responsibility to protect the detainees and </w:t>
      </w:r>
      <w:r w:rsidR="00BA04B9">
        <w:rPr>
          <w:lang w:val="en-GB"/>
        </w:rPr>
        <w:t xml:space="preserve">should </w:t>
      </w:r>
      <w:r w:rsidRPr="007158E9">
        <w:rPr>
          <w:lang w:val="en-GB"/>
        </w:rPr>
        <w:t xml:space="preserve">know their fate. The refusal of the Burundian Government to cooperate with the Commission has not allowed the latter to verify every case of disappearance brought to its attention. This can however be done by a body or an investigation mechanism that </w:t>
      </w:r>
      <w:r w:rsidR="00390D98">
        <w:rPr>
          <w:lang w:val="en-GB"/>
        </w:rPr>
        <w:t>would have</w:t>
      </w:r>
      <w:r w:rsidRPr="007158E9">
        <w:rPr>
          <w:lang w:val="en-GB"/>
        </w:rPr>
        <w:t xml:space="preserve"> access to the country.</w:t>
      </w:r>
    </w:p>
    <w:p w14:paraId="24F74A2E" w14:textId="6F85D3F7" w:rsidR="00F35CB9" w:rsidRPr="007158E9" w:rsidRDefault="00F35CB9" w:rsidP="00F35CB9">
      <w:pPr>
        <w:pStyle w:val="SingleTxtG"/>
        <w:ind w:right="567"/>
        <w:rPr>
          <w:rFonts w:eastAsia="Calibri"/>
          <w:lang w:val="en-GB"/>
        </w:rPr>
      </w:pPr>
      <w:r w:rsidRPr="007158E9">
        <w:rPr>
          <w:lang w:val="en-GB"/>
        </w:rPr>
        <w:tab/>
        <w:t>289.</w:t>
      </w:r>
      <w:r w:rsidRPr="007158E9">
        <w:rPr>
          <w:lang w:val="en-GB"/>
        </w:rPr>
        <w:tab/>
        <w:t xml:space="preserve">The </w:t>
      </w:r>
      <w:r w:rsidR="00390D98">
        <w:rPr>
          <w:lang w:val="en-GB"/>
        </w:rPr>
        <w:t xml:space="preserve">main </w:t>
      </w:r>
      <w:r w:rsidRPr="007158E9">
        <w:rPr>
          <w:lang w:val="en-GB"/>
        </w:rPr>
        <w:t>victims of these various cases of disappearance were, during the period covered by the present report, members of the opposition parties namely FNL, MSD, UPRONA and UPD</w:t>
      </w:r>
      <w:r w:rsidR="00390D98">
        <w:rPr>
          <w:lang w:val="en-GB"/>
        </w:rPr>
        <w:t>.</w:t>
      </w:r>
      <w:r w:rsidRPr="007158E9">
        <w:rPr>
          <w:vertAlign w:val="superscript"/>
          <w:lang w:val="en-GB"/>
        </w:rPr>
        <w:footnoteReference w:id="100"/>
      </w:r>
      <w:r w:rsidRPr="007158E9">
        <w:rPr>
          <w:lang w:val="en-GB"/>
        </w:rPr>
        <w:t xml:space="preserve"> The Commission also collected information on some cases in which the missing persons were Imbonerakure</w:t>
      </w:r>
      <w:r w:rsidR="00390D98">
        <w:rPr>
          <w:lang w:val="en-GB"/>
        </w:rPr>
        <w:t>.</w:t>
      </w:r>
      <w:r w:rsidRPr="007158E9">
        <w:rPr>
          <w:vertAlign w:val="superscript"/>
          <w:lang w:val="en-GB"/>
        </w:rPr>
        <w:footnoteReference w:id="101"/>
      </w:r>
      <w:r w:rsidRPr="007158E9">
        <w:rPr>
          <w:lang w:val="en-GB"/>
        </w:rPr>
        <w:t xml:space="preserve"> Some missing persons were targeted because of their refusal to join the political party CNDD-FDD</w:t>
      </w:r>
      <w:r w:rsidR="00390D98">
        <w:rPr>
          <w:lang w:val="en-GB"/>
        </w:rPr>
        <w:t>.</w:t>
      </w:r>
      <w:r w:rsidRPr="007158E9">
        <w:rPr>
          <w:vertAlign w:val="superscript"/>
          <w:lang w:val="en-GB"/>
        </w:rPr>
        <w:footnoteReference w:id="102"/>
      </w:r>
    </w:p>
    <w:p w14:paraId="3DE59E4D" w14:textId="7D31E6D0" w:rsidR="00F35CB9" w:rsidRPr="007158E9" w:rsidRDefault="00F35CB9" w:rsidP="00F35CB9">
      <w:pPr>
        <w:pStyle w:val="SingleTxtG"/>
        <w:ind w:right="567"/>
        <w:rPr>
          <w:lang w:val="en-GB"/>
        </w:rPr>
      </w:pPr>
      <w:r w:rsidRPr="007158E9">
        <w:rPr>
          <w:lang w:val="en-GB"/>
        </w:rPr>
        <w:tab/>
        <w:t>290.</w:t>
      </w:r>
      <w:r w:rsidRPr="007158E9">
        <w:rPr>
          <w:lang w:val="en-GB"/>
        </w:rPr>
        <w:tab/>
        <w:t>The perpetrators of disappearance brought to the Commission’s attention are mainly Imbonerakure</w:t>
      </w:r>
      <w:r w:rsidR="00390D98">
        <w:rPr>
          <w:lang w:val="en-GB"/>
        </w:rPr>
        <w:t>,</w:t>
      </w:r>
      <w:r w:rsidRPr="007158E9">
        <w:rPr>
          <w:vertAlign w:val="superscript"/>
          <w:lang w:val="en-GB"/>
        </w:rPr>
        <w:footnoteReference w:id="103"/>
      </w:r>
      <w:r w:rsidRPr="007158E9">
        <w:rPr>
          <w:lang w:val="en-GB"/>
        </w:rPr>
        <w:t xml:space="preserve"> as was the case in the first mandate. In some cases, Imbonerakure acted in collaboration with police agents</w:t>
      </w:r>
      <w:r w:rsidR="00390D98">
        <w:rPr>
          <w:lang w:val="en-GB"/>
        </w:rPr>
        <w:t>.</w:t>
      </w:r>
      <w:r w:rsidRPr="007158E9">
        <w:rPr>
          <w:vertAlign w:val="superscript"/>
          <w:lang w:val="en-GB"/>
        </w:rPr>
        <w:footnoteReference w:id="104"/>
      </w:r>
      <w:r w:rsidRPr="007158E9">
        <w:rPr>
          <w:lang w:val="en-GB"/>
        </w:rPr>
        <w:t xml:space="preserve"> </w:t>
      </w:r>
      <w:r w:rsidR="00390D98">
        <w:rPr>
          <w:lang w:val="en-GB"/>
        </w:rPr>
        <w:t>As</w:t>
      </w:r>
      <w:r w:rsidRPr="007158E9">
        <w:rPr>
          <w:lang w:val="en-GB"/>
        </w:rPr>
        <w:t xml:space="preserve"> the Commission </w:t>
      </w:r>
      <w:r w:rsidR="00390D98">
        <w:rPr>
          <w:lang w:val="en-GB"/>
        </w:rPr>
        <w:t>found</w:t>
      </w:r>
      <w:r w:rsidRPr="007158E9">
        <w:rPr>
          <w:lang w:val="en-GB"/>
        </w:rPr>
        <w:t xml:space="preserve"> in the present report that Imbonerakure are under the “effective control” of the Burundian State</w:t>
      </w:r>
      <w:r w:rsidR="00390D98">
        <w:rPr>
          <w:lang w:val="en-GB"/>
        </w:rPr>
        <w:t>,</w:t>
      </w:r>
      <w:r w:rsidRPr="007158E9">
        <w:rPr>
          <w:sz w:val="18"/>
          <w:vertAlign w:val="superscript"/>
          <w:lang w:val="en-GB"/>
        </w:rPr>
        <w:footnoteReference w:id="105"/>
      </w:r>
      <w:r w:rsidR="00390D98">
        <w:rPr>
          <w:lang w:val="en-GB"/>
        </w:rPr>
        <w:t xml:space="preserve"> a</w:t>
      </w:r>
      <w:r w:rsidRPr="007158E9">
        <w:rPr>
          <w:lang w:val="en-GB"/>
        </w:rPr>
        <w:t>ny detention by Imbonerakure, which would be denied by Burundian authorities after the latter have received reports by the victims’ relatives</w:t>
      </w:r>
      <w:r w:rsidR="00390D98">
        <w:rPr>
          <w:lang w:val="en-GB"/>
        </w:rPr>
        <w:t>,</w:t>
      </w:r>
      <w:r w:rsidRPr="007158E9">
        <w:rPr>
          <w:lang w:val="en-GB"/>
        </w:rPr>
        <w:t xml:space="preserve"> can be characterised as </w:t>
      </w:r>
      <w:r w:rsidR="00390D98">
        <w:rPr>
          <w:lang w:val="en-GB"/>
        </w:rPr>
        <w:t xml:space="preserve">a case of </w:t>
      </w:r>
      <w:r w:rsidRPr="007158E9">
        <w:rPr>
          <w:lang w:val="en-GB"/>
        </w:rPr>
        <w:t>enforced disappearance. However, as noted by the Commission</w:t>
      </w:r>
      <w:r w:rsidR="00390D98">
        <w:rPr>
          <w:lang w:val="en-GB"/>
        </w:rPr>
        <w:t>,</w:t>
      </w:r>
      <w:r w:rsidRPr="007158E9">
        <w:rPr>
          <w:sz w:val="18"/>
          <w:vertAlign w:val="superscript"/>
          <w:lang w:val="en-GB"/>
        </w:rPr>
        <w:footnoteReference w:id="106"/>
      </w:r>
      <w:r w:rsidRPr="007158E9">
        <w:rPr>
          <w:lang w:val="en-GB"/>
        </w:rPr>
        <w:t xml:space="preserve"> few relatives of missing persons actually request the authorities to open an investigation into the disappearance, </w:t>
      </w:r>
      <w:r w:rsidR="00390D98">
        <w:rPr>
          <w:lang w:val="en-GB"/>
        </w:rPr>
        <w:t>and thus</w:t>
      </w:r>
      <w:r w:rsidRPr="007158E9">
        <w:rPr>
          <w:lang w:val="en-GB"/>
        </w:rPr>
        <w:t xml:space="preserve"> authorities are rarely faced with their responsibilities. </w:t>
      </w:r>
    </w:p>
    <w:p w14:paraId="2CF6D6C7" w14:textId="0F5370D3" w:rsidR="00F35CB9" w:rsidRPr="007158E9" w:rsidRDefault="00F35CB9" w:rsidP="00F35CB9">
      <w:pPr>
        <w:pStyle w:val="SingleTxtG"/>
        <w:ind w:right="567"/>
        <w:rPr>
          <w:lang w:val="en-GB"/>
        </w:rPr>
      </w:pPr>
      <w:r w:rsidRPr="007158E9">
        <w:rPr>
          <w:lang w:val="en-GB"/>
        </w:rPr>
        <w:tab/>
        <w:t>291.</w:t>
      </w:r>
      <w:r w:rsidRPr="007158E9">
        <w:rPr>
          <w:lang w:val="en-GB"/>
        </w:rPr>
        <w:tab/>
        <w:t xml:space="preserve">For the most part, cases of disappearance imputable to Imbonerakure took place </w:t>
      </w:r>
      <w:r w:rsidR="00390D98">
        <w:rPr>
          <w:lang w:val="en-GB"/>
        </w:rPr>
        <w:t>at</w:t>
      </w:r>
      <w:r w:rsidRPr="007158E9">
        <w:rPr>
          <w:lang w:val="en-GB"/>
        </w:rPr>
        <w:t xml:space="preserve"> night</w:t>
      </w:r>
      <w:r w:rsidR="00390D98">
        <w:rPr>
          <w:lang w:val="en-GB"/>
        </w:rPr>
        <w:t>.</w:t>
      </w:r>
      <w:r w:rsidRPr="007158E9">
        <w:rPr>
          <w:vertAlign w:val="superscript"/>
          <w:lang w:val="en-GB"/>
        </w:rPr>
        <w:footnoteReference w:id="107"/>
      </w:r>
      <w:r w:rsidRPr="007158E9">
        <w:rPr>
          <w:lang w:val="en-GB"/>
        </w:rPr>
        <w:t xml:space="preserve"> Imbonerakure broke into their victims’ homes, assaulted them before taking them </w:t>
      </w:r>
      <w:r w:rsidRPr="007158E9">
        <w:rPr>
          <w:lang w:val="en-GB"/>
        </w:rPr>
        <w:lastRenderedPageBreak/>
        <w:t xml:space="preserve">to unknown destinations. In mosts cases, the neighbors did not even dare </w:t>
      </w:r>
      <w:r w:rsidR="00390D98">
        <w:rPr>
          <w:lang w:val="en-GB"/>
        </w:rPr>
        <w:t xml:space="preserve">to </w:t>
      </w:r>
      <w:r w:rsidRPr="007158E9">
        <w:rPr>
          <w:lang w:val="en-GB"/>
        </w:rPr>
        <w:t xml:space="preserve">intervene for fear of retaliation against themselves or their relatives. </w:t>
      </w:r>
    </w:p>
    <w:p w14:paraId="149A4BDD" w14:textId="3912051C" w:rsidR="00F35CB9" w:rsidRPr="007158E9" w:rsidRDefault="00F35CB9" w:rsidP="00F35CB9">
      <w:pPr>
        <w:pStyle w:val="SingleTxtG"/>
        <w:ind w:right="567"/>
        <w:rPr>
          <w:lang w:val="en-GB"/>
        </w:rPr>
      </w:pPr>
      <w:r w:rsidRPr="007158E9">
        <w:rPr>
          <w:lang w:val="en-GB"/>
        </w:rPr>
        <w:t>292.</w:t>
      </w:r>
      <w:r w:rsidRPr="007158E9">
        <w:rPr>
          <w:lang w:val="en-GB"/>
        </w:rPr>
        <w:tab/>
        <w:t xml:space="preserve">Several persons that the Commission spoke to describe Imbonerakure </w:t>
      </w:r>
      <w:r w:rsidR="00390D98">
        <w:rPr>
          <w:lang w:val="en-GB"/>
        </w:rPr>
        <w:t xml:space="preserve">who committed those </w:t>
      </w:r>
      <w:r w:rsidRPr="007158E9">
        <w:rPr>
          <w:lang w:val="en-GB"/>
        </w:rPr>
        <w:t>disappearance</w:t>
      </w:r>
      <w:r w:rsidR="00390D98">
        <w:rPr>
          <w:lang w:val="en-GB"/>
        </w:rPr>
        <w:t xml:space="preserve">s, </w:t>
      </w:r>
      <w:r w:rsidRPr="007158E9">
        <w:rPr>
          <w:lang w:val="en-GB"/>
        </w:rPr>
        <w:t>as individuals wearing long black coats</w:t>
      </w:r>
      <w:r w:rsidRPr="007158E9">
        <w:rPr>
          <w:vertAlign w:val="superscript"/>
          <w:lang w:val="en-GB"/>
        </w:rPr>
        <w:footnoteReference w:id="108"/>
      </w:r>
      <w:r w:rsidRPr="007158E9">
        <w:rPr>
          <w:lang w:val="en-GB"/>
        </w:rPr>
        <w:t xml:space="preserve"> and military boots</w:t>
      </w:r>
      <w:r w:rsidRPr="007158E9">
        <w:rPr>
          <w:vertAlign w:val="superscript"/>
          <w:lang w:val="en-GB"/>
        </w:rPr>
        <w:footnoteReference w:id="109"/>
      </w:r>
      <w:r w:rsidRPr="007158E9">
        <w:rPr>
          <w:lang w:val="en-GB"/>
        </w:rPr>
        <w:t>.</w:t>
      </w:r>
      <w:r w:rsidRPr="007158E9" w:rsidDel="00CC49F9">
        <w:rPr>
          <w:lang w:val="en-GB"/>
        </w:rPr>
        <w:t xml:space="preserve"> </w:t>
      </w:r>
      <w:r w:rsidRPr="007158E9">
        <w:rPr>
          <w:lang w:val="en-GB"/>
        </w:rPr>
        <w:t>Some ha</w:t>
      </w:r>
      <w:r w:rsidR="00390D98">
        <w:rPr>
          <w:lang w:val="en-GB"/>
        </w:rPr>
        <w:t xml:space="preserve">d </w:t>
      </w:r>
      <w:r w:rsidRPr="007158E9">
        <w:rPr>
          <w:lang w:val="en-GB"/>
        </w:rPr>
        <w:t>clubs or sticks</w:t>
      </w:r>
      <w:r w:rsidR="00390D98">
        <w:rPr>
          <w:lang w:val="en-GB"/>
        </w:rPr>
        <w:t>,</w:t>
      </w:r>
      <w:r w:rsidRPr="007158E9">
        <w:rPr>
          <w:vertAlign w:val="superscript"/>
          <w:lang w:val="en-GB"/>
        </w:rPr>
        <w:footnoteReference w:id="110"/>
      </w:r>
      <w:r w:rsidRPr="007158E9">
        <w:rPr>
          <w:lang w:val="en-GB"/>
        </w:rPr>
        <w:t xml:space="preserve"> others ha</w:t>
      </w:r>
      <w:r w:rsidR="00390D98">
        <w:rPr>
          <w:lang w:val="en-GB"/>
        </w:rPr>
        <w:t>d</w:t>
      </w:r>
      <w:r w:rsidRPr="007158E9">
        <w:rPr>
          <w:lang w:val="en-GB"/>
        </w:rPr>
        <w:t xml:space="preserve"> fire arms ranging from a simple handgun to a Kalachnikov</w:t>
      </w:r>
      <w:r w:rsidR="00390D98">
        <w:rPr>
          <w:lang w:val="en-GB"/>
        </w:rPr>
        <w:t>.</w:t>
      </w:r>
      <w:r w:rsidRPr="007158E9">
        <w:rPr>
          <w:vertAlign w:val="superscript"/>
          <w:lang w:val="en-GB"/>
        </w:rPr>
        <w:footnoteReference w:id="111"/>
      </w:r>
      <w:r w:rsidRPr="007158E9">
        <w:rPr>
          <w:lang w:val="en-GB"/>
        </w:rPr>
        <w:t xml:space="preserve"> These abductions were often perpetrated by groups of four to eight Imbonerakure</w:t>
      </w:r>
      <w:r w:rsidR="00390D98">
        <w:rPr>
          <w:lang w:val="en-GB"/>
        </w:rPr>
        <w:t>.</w:t>
      </w:r>
      <w:r w:rsidRPr="007158E9">
        <w:rPr>
          <w:vertAlign w:val="superscript"/>
          <w:lang w:val="en-GB"/>
        </w:rPr>
        <w:footnoteReference w:id="112"/>
      </w:r>
    </w:p>
    <w:p w14:paraId="7E5D2044" w14:textId="55CED05B" w:rsidR="00F35CB9" w:rsidRPr="007158E9" w:rsidRDefault="00F35CB9" w:rsidP="00F35CB9">
      <w:pPr>
        <w:pStyle w:val="H56G"/>
        <w:rPr>
          <w:b/>
          <w:lang w:val="en-GB"/>
        </w:rPr>
      </w:pPr>
      <w:r w:rsidRPr="007158E9">
        <w:rPr>
          <w:b/>
          <w:lang w:val="en-GB"/>
        </w:rPr>
        <w:tab/>
        <w:t>(iv)</w:t>
      </w:r>
      <w:r w:rsidRPr="007158E9">
        <w:rPr>
          <w:b/>
          <w:lang w:val="en-GB"/>
        </w:rPr>
        <w:tab/>
        <w:t>Impact</w:t>
      </w:r>
      <w:r w:rsidR="00390D98">
        <w:rPr>
          <w:b/>
          <w:lang w:val="en-GB"/>
        </w:rPr>
        <w:t>s</w:t>
      </w:r>
      <w:r w:rsidRPr="007158E9">
        <w:rPr>
          <w:b/>
          <w:lang w:val="en-GB"/>
        </w:rPr>
        <w:t xml:space="preserve"> on the families and relatives of the </w:t>
      </w:r>
      <w:r w:rsidR="00390D98">
        <w:rPr>
          <w:b/>
          <w:lang w:val="en-GB"/>
        </w:rPr>
        <w:t>disappeared</w:t>
      </w:r>
      <w:r w:rsidRPr="007158E9">
        <w:rPr>
          <w:b/>
          <w:lang w:val="en-GB"/>
        </w:rPr>
        <w:t xml:space="preserve"> persons</w:t>
      </w:r>
    </w:p>
    <w:p w14:paraId="55ABDFBE" w14:textId="2B3EF6BC" w:rsidR="00F35CB9" w:rsidRPr="007158E9" w:rsidRDefault="00F35CB9" w:rsidP="00F35CB9">
      <w:pPr>
        <w:pStyle w:val="SingleTxtG"/>
        <w:ind w:right="567"/>
        <w:rPr>
          <w:lang w:val="en-GB"/>
        </w:rPr>
      </w:pPr>
      <w:r w:rsidRPr="007158E9">
        <w:rPr>
          <w:lang w:val="en-GB"/>
        </w:rPr>
        <w:tab/>
        <w:t>293.</w:t>
      </w:r>
      <w:r w:rsidRPr="007158E9">
        <w:rPr>
          <w:lang w:val="en-GB"/>
        </w:rPr>
        <w:tab/>
        <w:t xml:space="preserve">Generally, relatives of the </w:t>
      </w:r>
      <w:r w:rsidR="00390D98">
        <w:rPr>
          <w:lang w:val="en-GB"/>
        </w:rPr>
        <w:t>disappeared</w:t>
      </w:r>
      <w:r w:rsidRPr="007158E9">
        <w:rPr>
          <w:lang w:val="en-GB"/>
        </w:rPr>
        <w:t xml:space="preserve"> do not file a complaint. Some cited fear as the main reason behind their reluctance to engage </w:t>
      </w:r>
      <w:r w:rsidR="00390D98">
        <w:rPr>
          <w:lang w:val="en-GB"/>
        </w:rPr>
        <w:t xml:space="preserve">with </w:t>
      </w:r>
      <w:r w:rsidRPr="007158E9">
        <w:rPr>
          <w:lang w:val="en-GB"/>
        </w:rPr>
        <w:t>authorities</w:t>
      </w:r>
      <w:r w:rsidR="00390D98">
        <w:rPr>
          <w:lang w:val="en-GB"/>
        </w:rPr>
        <w:t>.</w:t>
      </w:r>
      <w:r w:rsidRPr="007158E9">
        <w:rPr>
          <w:vertAlign w:val="superscript"/>
          <w:lang w:val="en-GB"/>
        </w:rPr>
        <w:footnoteReference w:id="113"/>
      </w:r>
      <w:r w:rsidRPr="007158E9">
        <w:rPr>
          <w:lang w:val="en-GB"/>
        </w:rPr>
        <w:t xml:space="preserve"> A witness testified:</w:t>
      </w:r>
    </w:p>
    <w:p w14:paraId="3DB34C6C" w14:textId="37511904" w:rsidR="00F35CB9" w:rsidRPr="007158E9" w:rsidRDefault="00F35CB9" w:rsidP="00F35CB9">
      <w:pPr>
        <w:pStyle w:val="SingleTxtG"/>
        <w:ind w:left="1701" w:right="567"/>
        <w:rPr>
          <w:rFonts w:eastAsia="Calibri"/>
          <w:lang w:val="en-GB"/>
        </w:rPr>
      </w:pPr>
      <w:r w:rsidRPr="007158E9">
        <w:rPr>
          <w:rFonts w:eastAsia="Calibri"/>
          <w:i/>
          <w:lang w:val="en-GB"/>
        </w:rPr>
        <w:tab/>
        <w:t>“We are afraid to file a complaint for our security. Nowadays, it is very difficult. Filing a complaint for disappearance with the police can be harmful”</w:t>
      </w:r>
      <w:r w:rsidR="00390D98">
        <w:rPr>
          <w:rFonts w:eastAsia="Calibri"/>
          <w:i/>
          <w:lang w:val="en-GB"/>
        </w:rPr>
        <w:t>.</w:t>
      </w:r>
      <w:r w:rsidRPr="007158E9">
        <w:rPr>
          <w:rFonts w:eastAsia="Calibri"/>
          <w:vertAlign w:val="superscript"/>
          <w:lang w:val="en-GB"/>
        </w:rPr>
        <w:footnoteReference w:id="114"/>
      </w:r>
    </w:p>
    <w:p w14:paraId="2287A141" w14:textId="07C85A15" w:rsidR="00F35CB9" w:rsidRPr="007158E9" w:rsidRDefault="00F35CB9" w:rsidP="00F35CB9">
      <w:pPr>
        <w:pStyle w:val="SingleTxtG"/>
        <w:ind w:right="567"/>
        <w:rPr>
          <w:lang w:val="en-GB"/>
        </w:rPr>
      </w:pPr>
      <w:r w:rsidRPr="007158E9">
        <w:rPr>
          <w:lang w:val="en-GB"/>
        </w:rPr>
        <w:tab/>
        <w:t>294.</w:t>
      </w:r>
      <w:r w:rsidRPr="007158E9">
        <w:rPr>
          <w:lang w:val="en-GB"/>
        </w:rPr>
        <w:tab/>
        <w:t>Others consider that filing a complaint would be pointless given how close the presumed perpetrators are to the authorities responsible for investigations</w:t>
      </w:r>
      <w:r w:rsidR="00390D98">
        <w:rPr>
          <w:lang w:val="en-GB"/>
        </w:rPr>
        <w:t>,</w:t>
      </w:r>
      <w:r w:rsidRPr="007158E9">
        <w:rPr>
          <w:vertAlign w:val="superscript"/>
          <w:lang w:val="en-GB"/>
        </w:rPr>
        <w:footnoteReference w:id="115"/>
      </w:r>
      <w:r w:rsidR="00390D98">
        <w:rPr>
          <w:lang w:val="en-GB"/>
        </w:rPr>
        <w:t xml:space="preserve"> and</w:t>
      </w:r>
      <w:r w:rsidRPr="007158E9">
        <w:rPr>
          <w:lang w:val="en-GB"/>
        </w:rPr>
        <w:t xml:space="preserve"> more generally, due to the absence of an independent judicial system</w:t>
      </w:r>
      <w:r w:rsidR="00390D98">
        <w:rPr>
          <w:lang w:val="en-GB"/>
        </w:rPr>
        <w:t>.</w:t>
      </w:r>
      <w:r w:rsidRPr="007158E9">
        <w:rPr>
          <w:vertAlign w:val="superscript"/>
          <w:lang w:val="en-GB"/>
        </w:rPr>
        <w:footnoteReference w:id="116"/>
      </w:r>
      <w:r w:rsidRPr="007158E9">
        <w:rPr>
          <w:lang w:val="en-GB"/>
        </w:rPr>
        <w:t xml:space="preserve"> A relative of a victim of enforced disappearance </w:t>
      </w:r>
      <w:r w:rsidR="00390D98">
        <w:rPr>
          <w:lang w:val="en-GB"/>
        </w:rPr>
        <w:t>explained</w:t>
      </w:r>
      <w:r w:rsidRPr="007158E9">
        <w:rPr>
          <w:lang w:val="en-GB"/>
        </w:rPr>
        <w:t>:</w:t>
      </w:r>
    </w:p>
    <w:p w14:paraId="4842022B" w14:textId="7BC3F019" w:rsidR="00F35CB9" w:rsidRPr="007158E9" w:rsidRDefault="00F35CB9" w:rsidP="00F35CB9">
      <w:pPr>
        <w:pStyle w:val="SingleTxtG"/>
        <w:ind w:left="1701" w:right="567"/>
        <w:rPr>
          <w:lang w:val="en-GB"/>
        </w:rPr>
      </w:pPr>
      <w:r w:rsidRPr="007158E9">
        <w:rPr>
          <w:i/>
          <w:lang w:val="en-GB"/>
        </w:rPr>
        <w:tab/>
        <w:t>“I did not approach a tribunal […] The judiciary is no longer independent. It is the voice of Imbonerakure that counts. I was not going to humiliate myself in front of an authority that is not independent. It would have been a waste of time”</w:t>
      </w:r>
      <w:r w:rsidR="00390D98">
        <w:rPr>
          <w:i/>
          <w:lang w:val="en-GB"/>
        </w:rPr>
        <w:t>.</w:t>
      </w:r>
      <w:r w:rsidRPr="007158E9">
        <w:rPr>
          <w:vertAlign w:val="superscript"/>
          <w:lang w:val="en-GB"/>
        </w:rPr>
        <w:footnoteReference w:id="117"/>
      </w:r>
    </w:p>
    <w:p w14:paraId="275A175F" w14:textId="77777777" w:rsidR="00F35CB9" w:rsidRPr="007158E9" w:rsidRDefault="00F35CB9" w:rsidP="00F35CB9">
      <w:pPr>
        <w:pStyle w:val="SingleTxtG"/>
        <w:ind w:right="567"/>
        <w:rPr>
          <w:lang w:val="en-GB"/>
        </w:rPr>
      </w:pPr>
      <w:r w:rsidRPr="007158E9">
        <w:rPr>
          <w:lang w:val="en-GB"/>
        </w:rPr>
        <w:tab/>
        <w:t>295.</w:t>
      </w:r>
      <w:r w:rsidRPr="007158E9">
        <w:rPr>
          <w:lang w:val="en-GB"/>
        </w:rPr>
        <w:tab/>
        <w:t>The same mistrust was expressed towards the police. The wife of a disappeared person confided:</w:t>
      </w:r>
    </w:p>
    <w:p w14:paraId="463F52A1" w14:textId="0778B2C1" w:rsidR="00F35CB9" w:rsidRPr="007158E9" w:rsidRDefault="00F35CB9" w:rsidP="00F35CB9">
      <w:pPr>
        <w:pStyle w:val="SingleTxtG"/>
        <w:ind w:left="1701" w:right="567"/>
        <w:rPr>
          <w:lang w:val="en-GB"/>
        </w:rPr>
      </w:pPr>
      <w:r w:rsidRPr="007158E9">
        <w:rPr>
          <w:i/>
          <w:lang w:val="en-GB"/>
        </w:rPr>
        <w:tab/>
        <w:t>“We looked for my husband in the neighbourhood, in the forest and rivers. We approached the police but they did nothing. I went to the police myself but they told me they did not have time to look for him”</w:t>
      </w:r>
      <w:r w:rsidR="00390D98">
        <w:rPr>
          <w:i/>
          <w:lang w:val="en-GB"/>
        </w:rPr>
        <w:t>.</w:t>
      </w:r>
      <w:r w:rsidRPr="007158E9">
        <w:rPr>
          <w:vertAlign w:val="superscript"/>
          <w:lang w:val="en-GB"/>
        </w:rPr>
        <w:footnoteReference w:id="118"/>
      </w:r>
    </w:p>
    <w:p w14:paraId="0651D065" w14:textId="414B1DA6" w:rsidR="00F35CB9" w:rsidRPr="007158E9" w:rsidRDefault="00F35CB9" w:rsidP="00F35CB9">
      <w:pPr>
        <w:pStyle w:val="SingleTxtG"/>
        <w:ind w:left="1701" w:right="567" w:firstLine="9"/>
        <w:rPr>
          <w:lang w:val="en-GB"/>
        </w:rPr>
      </w:pPr>
      <w:r w:rsidRPr="007158E9">
        <w:rPr>
          <w:lang w:val="en-GB"/>
        </w:rPr>
        <w:t>Another witness s</w:t>
      </w:r>
      <w:r w:rsidR="00390D98">
        <w:rPr>
          <w:lang w:val="en-GB"/>
        </w:rPr>
        <w:t>tate</w:t>
      </w:r>
      <w:r w:rsidRPr="007158E9">
        <w:rPr>
          <w:lang w:val="en-GB"/>
        </w:rPr>
        <w:t>d: “</w:t>
      </w:r>
      <w:r w:rsidRPr="007158E9">
        <w:rPr>
          <w:i/>
          <w:lang w:val="en-GB"/>
        </w:rPr>
        <w:t xml:space="preserve">In Burundi, a police officer will never criticise the </w:t>
      </w:r>
      <w:r w:rsidR="00390D98">
        <w:rPr>
          <w:i/>
          <w:lang w:val="en-GB"/>
        </w:rPr>
        <w:t>G</w:t>
      </w:r>
      <w:r w:rsidRPr="007158E9">
        <w:rPr>
          <w:i/>
          <w:lang w:val="en-GB"/>
        </w:rPr>
        <w:t>overnment in power nor an Imbonerakure</w:t>
      </w:r>
      <w:r w:rsidRPr="007158E9">
        <w:rPr>
          <w:lang w:val="en-GB"/>
        </w:rPr>
        <w:t>”</w:t>
      </w:r>
      <w:r w:rsidR="00390D98">
        <w:rPr>
          <w:lang w:val="en-GB"/>
        </w:rPr>
        <w:t>.</w:t>
      </w:r>
      <w:r w:rsidRPr="007158E9">
        <w:rPr>
          <w:vertAlign w:val="superscript"/>
          <w:lang w:val="en-GB"/>
        </w:rPr>
        <w:footnoteReference w:id="119"/>
      </w:r>
    </w:p>
    <w:p w14:paraId="0BB4675F" w14:textId="04EF8DE7" w:rsidR="00F35CB9" w:rsidRPr="007158E9" w:rsidRDefault="00F35CB9" w:rsidP="00F35CB9">
      <w:pPr>
        <w:pStyle w:val="SingleTxtG"/>
        <w:ind w:right="567"/>
        <w:rPr>
          <w:lang w:val="en-GB"/>
        </w:rPr>
      </w:pPr>
      <w:r w:rsidRPr="007158E9">
        <w:rPr>
          <w:lang w:val="en-GB"/>
        </w:rPr>
        <w:tab/>
        <w:t>296.</w:t>
      </w:r>
      <w:r w:rsidRPr="007158E9">
        <w:rPr>
          <w:lang w:val="en-GB"/>
        </w:rPr>
        <w:tab/>
        <w:t>In some cases, taking advantage of the laxity of the police and the judicial authorities, the perpetrators of enforced disappearance have attacked the victims’ relatives all the while threatening and intimidating them</w:t>
      </w:r>
      <w:r w:rsidR="00390D98">
        <w:rPr>
          <w:lang w:val="en-GB"/>
        </w:rPr>
        <w:t>.</w:t>
      </w:r>
      <w:r w:rsidRPr="007158E9">
        <w:rPr>
          <w:vertAlign w:val="superscript"/>
          <w:lang w:val="en-GB"/>
        </w:rPr>
        <w:footnoteReference w:id="120"/>
      </w:r>
      <w:r w:rsidRPr="007158E9">
        <w:rPr>
          <w:lang w:val="en-GB"/>
        </w:rPr>
        <w:t xml:space="preserve"> Often, the disappearance of the husband forced the wife and the children to flee the country and seek refuge in the neighbouring countries</w:t>
      </w:r>
      <w:r w:rsidR="00390D98">
        <w:rPr>
          <w:lang w:val="en-GB"/>
        </w:rPr>
        <w:t>.</w:t>
      </w:r>
      <w:r w:rsidRPr="007158E9">
        <w:rPr>
          <w:vertAlign w:val="superscript"/>
          <w:lang w:val="en-GB"/>
        </w:rPr>
        <w:footnoteReference w:id="121"/>
      </w:r>
      <w:r w:rsidRPr="007158E9">
        <w:rPr>
          <w:lang w:val="en-GB"/>
        </w:rPr>
        <w:t xml:space="preserve"> It should be noted that the Human Rights Committee considers that family members of the missing persons who have no news from the victims for extended periods of time are, due to the anguish from the uncertainty, </w:t>
      </w:r>
      <w:r w:rsidR="00FC6E40">
        <w:rPr>
          <w:lang w:val="en-GB"/>
        </w:rPr>
        <w:t xml:space="preserve">themselves </w:t>
      </w:r>
      <w:r w:rsidRPr="007158E9">
        <w:rPr>
          <w:lang w:val="en-GB"/>
        </w:rPr>
        <w:t>victims of torture or cruel, inhuman or degrading treatment</w:t>
      </w:r>
      <w:r w:rsidR="00FC6E40">
        <w:rPr>
          <w:lang w:val="en-GB"/>
        </w:rPr>
        <w:t>.</w:t>
      </w:r>
      <w:r w:rsidRPr="007158E9">
        <w:rPr>
          <w:sz w:val="18"/>
          <w:vertAlign w:val="superscript"/>
          <w:lang w:val="en-GB"/>
        </w:rPr>
        <w:footnoteReference w:id="122"/>
      </w:r>
    </w:p>
    <w:p w14:paraId="22EE4F3A" w14:textId="2C16E608" w:rsidR="00F35CB9" w:rsidRPr="007158E9" w:rsidRDefault="00F35CB9" w:rsidP="00F35CB9">
      <w:pPr>
        <w:pStyle w:val="H23G"/>
        <w:rPr>
          <w:lang w:val="en-GB"/>
        </w:rPr>
      </w:pPr>
      <w:r w:rsidRPr="007158E9">
        <w:rPr>
          <w:lang w:val="en-GB"/>
        </w:rPr>
        <w:tab/>
        <w:t>2.</w:t>
      </w:r>
      <w:r w:rsidRPr="007158E9">
        <w:rPr>
          <w:lang w:val="en-GB"/>
        </w:rPr>
        <w:tab/>
        <w:t xml:space="preserve">Right to </w:t>
      </w:r>
      <w:r w:rsidR="00AC4743">
        <w:rPr>
          <w:lang w:val="en-GB"/>
        </w:rPr>
        <w:t>l</w:t>
      </w:r>
      <w:r w:rsidRPr="007158E9">
        <w:rPr>
          <w:lang w:val="en-GB"/>
        </w:rPr>
        <w:t xml:space="preserve">iberty and </w:t>
      </w:r>
      <w:r w:rsidR="00AC4743">
        <w:rPr>
          <w:lang w:val="en-GB"/>
        </w:rPr>
        <w:t>s</w:t>
      </w:r>
      <w:r w:rsidRPr="007158E9">
        <w:rPr>
          <w:lang w:val="en-GB"/>
        </w:rPr>
        <w:t xml:space="preserve">ecurity of </w:t>
      </w:r>
      <w:r w:rsidR="00AC4743">
        <w:rPr>
          <w:lang w:val="en-GB"/>
        </w:rPr>
        <w:t>the p</w:t>
      </w:r>
      <w:r w:rsidRPr="007158E9">
        <w:rPr>
          <w:lang w:val="en-GB"/>
        </w:rPr>
        <w:t xml:space="preserve">erson </w:t>
      </w:r>
    </w:p>
    <w:p w14:paraId="2B6221E3" w14:textId="53E5789C" w:rsidR="00F35CB9" w:rsidRPr="007158E9" w:rsidRDefault="00F35CB9" w:rsidP="00F35CB9">
      <w:pPr>
        <w:pStyle w:val="SingleTxtG"/>
        <w:ind w:right="567"/>
        <w:rPr>
          <w:lang w:val="en-GB"/>
        </w:rPr>
      </w:pPr>
      <w:r w:rsidRPr="007158E9">
        <w:rPr>
          <w:lang w:val="en-GB"/>
        </w:rPr>
        <w:tab/>
        <w:t>297.</w:t>
      </w:r>
      <w:r w:rsidRPr="007158E9">
        <w:rPr>
          <w:lang w:val="en-GB"/>
        </w:rPr>
        <w:tab/>
        <w:t>In its previous report</w:t>
      </w:r>
      <w:r w:rsidR="00AC4743">
        <w:rPr>
          <w:lang w:val="en-GB"/>
        </w:rPr>
        <w:t>,</w:t>
      </w:r>
      <w:r w:rsidRPr="007158E9">
        <w:rPr>
          <w:vertAlign w:val="superscript"/>
          <w:lang w:val="en-GB"/>
        </w:rPr>
        <w:footnoteReference w:id="123"/>
      </w:r>
      <w:r w:rsidRPr="007158E9">
        <w:rPr>
          <w:lang w:val="en-GB"/>
        </w:rPr>
        <w:t xml:space="preserve"> the Commission noted that arbitrary arrests and detentions were the most common human rights violations amongst those that were documented in </w:t>
      </w:r>
      <w:r w:rsidRPr="007158E9">
        <w:rPr>
          <w:lang w:val="en-GB"/>
        </w:rPr>
        <w:lastRenderedPageBreak/>
        <w:t>Burundi since 2015, and most of them led to other violations, namely extrajudicial killings, enforced disappearance, torture and cruel, inhumane or degrading treatment and sexual violence.</w:t>
      </w:r>
    </w:p>
    <w:p w14:paraId="6EBAD5AF" w14:textId="7DC45693" w:rsidR="00F35CB9" w:rsidRPr="007158E9" w:rsidRDefault="00F35CB9" w:rsidP="00F35CB9">
      <w:pPr>
        <w:pStyle w:val="SingleTxtG"/>
        <w:ind w:right="567"/>
        <w:rPr>
          <w:lang w:val="en-GB"/>
        </w:rPr>
      </w:pPr>
      <w:r w:rsidRPr="007158E9">
        <w:rPr>
          <w:lang w:val="en-GB"/>
        </w:rPr>
        <w:t>298.</w:t>
      </w:r>
      <w:r w:rsidRPr="007158E9">
        <w:rPr>
          <w:lang w:val="en-GB"/>
        </w:rPr>
        <w:tab/>
        <w:t>The main victims of arbitrary arrests and detentions in 2015 and 2016 were members of the opposition</w:t>
      </w:r>
      <w:r w:rsidR="00AC4743" w:rsidRPr="00AC4743">
        <w:rPr>
          <w:lang w:val="en-GB"/>
        </w:rPr>
        <w:t xml:space="preserve"> </w:t>
      </w:r>
      <w:r w:rsidR="00AC4743" w:rsidRPr="007158E9">
        <w:rPr>
          <w:lang w:val="en-GB"/>
        </w:rPr>
        <w:t>to the Government</w:t>
      </w:r>
      <w:r w:rsidRPr="007158E9">
        <w:rPr>
          <w:lang w:val="en-GB"/>
        </w:rPr>
        <w:t>, suspected or actual, namely persons suspected, rightly or wrongly to be members or sympathisers of political parties or armed groups in the opposition or of having demonstrated against President Nkurunziza’s third term. Members of civil society organisations, journalists and human rights activists ha</w:t>
      </w:r>
      <w:r w:rsidR="00AC4743">
        <w:rPr>
          <w:lang w:val="en-GB"/>
        </w:rPr>
        <w:t>d</w:t>
      </w:r>
      <w:r w:rsidRPr="007158E9">
        <w:rPr>
          <w:lang w:val="en-GB"/>
        </w:rPr>
        <w:t xml:space="preserve"> also been arbitrarily arrested and detained. Ex-FAB as well as persons who ha</w:t>
      </w:r>
      <w:r w:rsidR="00AC4743">
        <w:rPr>
          <w:lang w:val="en-GB"/>
        </w:rPr>
        <w:t>d</w:t>
      </w:r>
      <w:r w:rsidRPr="007158E9">
        <w:rPr>
          <w:lang w:val="en-GB"/>
        </w:rPr>
        <w:t xml:space="preserve"> refused to adhere to CNDD-FDD or to give money to that party ha</w:t>
      </w:r>
      <w:r w:rsidR="00AC4743">
        <w:rPr>
          <w:lang w:val="en-GB"/>
        </w:rPr>
        <w:t>d</w:t>
      </w:r>
      <w:r w:rsidRPr="007158E9">
        <w:rPr>
          <w:lang w:val="en-GB"/>
        </w:rPr>
        <w:t xml:space="preserve"> also been targeted. In addition, several persons, especially young men, seem to have been arrested haphazardly during field operations by the defence and security forces in the so called « dissenting » neighbourhoods in Bujumbura, sometimes on the basis of their supposed ethnic group.</w:t>
      </w:r>
    </w:p>
    <w:p w14:paraId="10A47AB6" w14:textId="39C0EF17" w:rsidR="00F35CB9" w:rsidRPr="007158E9" w:rsidRDefault="00F35CB9" w:rsidP="00F35CB9">
      <w:pPr>
        <w:pStyle w:val="SingleTxtG"/>
        <w:ind w:right="567"/>
        <w:rPr>
          <w:lang w:val="en-GB"/>
        </w:rPr>
      </w:pPr>
      <w:r w:rsidRPr="007158E9">
        <w:rPr>
          <w:lang w:val="en-GB"/>
        </w:rPr>
        <w:tab/>
        <w:t>299.</w:t>
      </w:r>
      <w:r w:rsidRPr="007158E9">
        <w:rPr>
          <w:lang w:val="en-GB"/>
        </w:rPr>
        <w:tab/>
        <w:t>Police agents, especially those in specialised units such as the Unit for the Protection of Institutions (API), the Anti-riot Brigade (BAE) and the Rapid Intervention Mobile Group (GMIR), were the main perpetrators of these violations, often in collaboration with SNR agents and members of the army. Imbonerakure were present during arrests and some of them made arrests themselves.</w:t>
      </w:r>
    </w:p>
    <w:p w14:paraId="11044D65" w14:textId="06CBD5AD" w:rsidR="00F35CB9" w:rsidRPr="007158E9" w:rsidRDefault="00F35CB9" w:rsidP="00F35CB9">
      <w:pPr>
        <w:pStyle w:val="SingleTxtG"/>
        <w:ind w:right="567"/>
        <w:rPr>
          <w:lang w:val="en-GB"/>
        </w:rPr>
      </w:pPr>
      <w:r w:rsidRPr="007158E9">
        <w:rPr>
          <w:lang w:val="en-GB"/>
        </w:rPr>
        <w:t>300.</w:t>
      </w:r>
      <w:r w:rsidRPr="007158E9">
        <w:rPr>
          <w:lang w:val="en-GB"/>
        </w:rPr>
        <w:tab/>
        <w:t>The arrest were arbitrary because the required procedures were not respected and several persons were arrested for what appear as political motives. Their detentions, often within the SNR offices, had no legal bas</w:t>
      </w:r>
      <w:r w:rsidR="00AC4743">
        <w:rPr>
          <w:lang w:val="en-GB"/>
        </w:rPr>
        <w:t>is</w:t>
      </w:r>
      <w:r w:rsidRPr="007158E9">
        <w:rPr>
          <w:lang w:val="en-GB"/>
        </w:rPr>
        <w:t xml:space="preserve">, or the detainees were not afforded the applicable fundamental garanties. The statutory period for detention and preventive detention were regularly exceeded. In addition, several persons remained in detention after being acquitted by a </w:t>
      </w:r>
      <w:r w:rsidR="00AC4743">
        <w:rPr>
          <w:lang w:val="en-GB"/>
        </w:rPr>
        <w:t>t</w:t>
      </w:r>
      <w:r w:rsidRPr="007158E9">
        <w:rPr>
          <w:lang w:val="en-GB"/>
        </w:rPr>
        <w:t>ribunal or having completed their sentence. In some cases, persons were released against payment of substantial amounts of money to SNR agents, police and judicial officers and sometimes Imbonerakure.</w:t>
      </w:r>
    </w:p>
    <w:p w14:paraId="6D19D4C9" w14:textId="6A03C859" w:rsidR="00F35CB9" w:rsidRPr="007158E9" w:rsidRDefault="00F35CB9" w:rsidP="00F35CB9">
      <w:pPr>
        <w:pStyle w:val="SingleTxtG"/>
        <w:ind w:right="567"/>
        <w:rPr>
          <w:lang w:val="en-GB"/>
        </w:rPr>
      </w:pPr>
      <w:r w:rsidRPr="007158E9">
        <w:rPr>
          <w:lang w:val="en-GB"/>
        </w:rPr>
        <w:tab/>
        <w:t>301.</w:t>
      </w:r>
      <w:r w:rsidRPr="007158E9">
        <w:rPr>
          <w:lang w:val="en-GB"/>
        </w:rPr>
        <w:tab/>
        <w:t xml:space="preserve">Since the presentation of the </w:t>
      </w:r>
      <w:r w:rsidR="00AC4743">
        <w:rPr>
          <w:lang w:val="en-GB"/>
        </w:rPr>
        <w:t>report of the Commission</w:t>
      </w:r>
      <w:r w:rsidRPr="007158E9">
        <w:rPr>
          <w:lang w:val="en-GB"/>
        </w:rPr>
        <w:t xml:space="preserve">, other UN human rights mechanisms have analysed cases of arbitrary detention in Burundi. Since June 2017, the Working Group on </w:t>
      </w:r>
      <w:r w:rsidR="003B3118">
        <w:rPr>
          <w:lang w:val="en-GB"/>
        </w:rPr>
        <w:t>a</w:t>
      </w:r>
      <w:r w:rsidRPr="007158E9">
        <w:rPr>
          <w:lang w:val="en-GB"/>
        </w:rPr>
        <w:t xml:space="preserve">rbitrary </w:t>
      </w:r>
      <w:r w:rsidR="003B3118">
        <w:rPr>
          <w:lang w:val="en-GB"/>
        </w:rPr>
        <w:t>d</w:t>
      </w:r>
      <w:r w:rsidRPr="007158E9">
        <w:rPr>
          <w:lang w:val="en-GB"/>
        </w:rPr>
        <w:t xml:space="preserve">etention issued two opinions on Burundi. It noted that the detention of Elvis Arakaza, president of the </w:t>
      </w:r>
      <w:r w:rsidRPr="007158E9">
        <w:rPr>
          <w:i/>
          <w:lang w:val="en-GB"/>
        </w:rPr>
        <w:t>Mouvement pour la solidarité and la démocratie</w:t>
      </w:r>
      <w:r w:rsidRPr="007158E9">
        <w:rPr>
          <w:lang w:val="en-GB"/>
        </w:rPr>
        <w:t xml:space="preserve"> (MSD), in Bwiza and Jabe, detained since 14 Decembre 2015, was arbitrary because devoid of any legal base, founded on the fact that M. Arakaza was exercising his fundamental rights and freedoms and resulted in an unfair trial</w:t>
      </w:r>
      <w:r w:rsidR="003B3118">
        <w:rPr>
          <w:lang w:val="en-GB"/>
        </w:rPr>
        <w:t>.</w:t>
      </w:r>
      <w:r w:rsidRPr="007158E9">
        <w:rPr>
          <w:vertAlign w:val="superscript"/>
          <w:lang w:val="en-GB"/>
        </w:rPr>
        <w:footnoteReference w:id="124"/>
      </w:r>
      <w:r w:rsidRPr="007158E9">
        <w:rPr>
          <w:lang w:val="en-GB"/>
        </w:rPr>
        <w:t xml:space="preserve"> It also determined that the detention of 19 military officers; arrested in the context of attacks on military camps on 11 December 2015, was arbitrary as it was devoid of any legal basis, based on ethnic discrimination, and resulted in an unfair trial</w:t>
      </w:r>
      <w:r w:rsidR="003B3118">
        <w:rPr>
          <w:lang w:val="en-GB"/>
        </w:rPr>
        <w:t>.</w:t>
      </w:r>
      <w:r w:rsidRPr="007158E9">
        <w:rPr>
          <w:vertAlign w:val="superscript"/>
          <w:lang w:val="en-GB"/>
        </w:rPr>
        <w:footnoteReference w:id="125"/>
      </w:r>
      <w:r w:rsidRPr="007158E9">
        <w:rPr>
          <w:lang w:val="en-GB"/>
        </w:rPr>
        <w:t xml:space="preserve"> On 28 July 2017, an urgent appeal was sent to several Human Rights Council Special Procedures with regards to the detention of Germain Rukuki, an employee of the Burundian Association of Catholic Lawyers (</w:t>
      </w:r>
      <w:r w:rsidRPr="007158E9">
        <w:rPr>
          <w:i/>
          <w:lang w:val="en-GB"/>
        </w:rPr>
        <w:t>Association des juristes catholiques du Burundi</w:t>
      </w:r>
      <w:r w:rsidRPr="007158E9">
        <w:rPr>
          <w:lang w:val="en-GB"/>
        </w:rPr>
        <w:t>: AJCB)</w:t>
      </w:r>
      <w:r w:rsidR="003B3118">
        <w:rPr>
          <w:lang w:val="en-GB"/>
        </w:rPr>
        <w:t>.</w:t>
      </w:r>
      <w:r w:rsidRPr="007158E9">
        <w:rPr>
          <w:vertAlign w:val="superscript"/>
          <w:lang w:val="en-GB"/>
        </w:rPr>
        <w:footnoteReference w:id="126"/>
      </w:r>
      <w:r w:rsidRPr="007158E9">
        <w:rPr>
          <w:lang w:val="en-GB"/>
        </w:rPr>
        <w:t xml:space="preserve"> Lastly, on 19 December 2017, another urgent appeal was sent regarding the detention of Nestor Nibitanga, a former member of the Association for the protection of human rights and detainees (</w:t>
      </w:r>
      <w:r w:rsidRPr="007158E9">
        <w:rPr>
          <w:i/>
          <w:lang w:val="en-GB"/>
        </w:rPr>
        <w:t>Association pour la protection des droits humains and des personnes détenues</w:t>
      </w:r>
      <w:r w:rsidRPr="007158E9">
        <w:rPr>
          <w:lang w:val="en-GB"/>
        </w:rPr>
        <w:t>: APRODH)</w:t>
      </w:r>
      <w:r w:rsidR="003B3118">
        <w:rPr>
          <w:lang w:val="en-GB"/>
        </w:rPr>
        <w:t>.</w:t>
      </w:r>
      <w:r w:rsidRPr="007158E9">
        <w:rPr>
          <w:vertAlign w:val="superscript"/>
          <w:lang w:val="en-GB"/>
        </w:rPr>
        <w:footnoteReference w:id="127"/>
      </w:r>
      <w:r w:rsidRPr="007158E9">
        <w:rPr>
          <w:lang w:val="en-GB"/>
        </w:rPr>
        <w:t xml:space="preserve"> To the </w:t>
      </w:r>
      <w:r w:rsidRPr="007158E9">
        <w:rPr>
          <w:lang w:val="en-GB"/>
        </w:rPr>
        <w:lastRenderedPageBreak/>
        <w:t>Commission’s knowledge, the Burundian Government has not provided substantial answers to these urgent appeals</w:t>
      </w:r>
      <w:r w:rsidR="00816AA3">
        <w:rPr>
          <w:lang w:val="en-GB"/>
        </w:rPr>
        <w:t>.</w:t>
      </w:r>
      <w:r w:rsidRPr="007158E9">
        <w:rPr>
          <w:sz w:val="18"/>
          <w:vertAlign w:val="superscript"/>
          <w:lang w:val="en-GB"/>
        </w:rPr>
        <w:footnoteReference w:id="128"/>
      </w:r>
    </w:p>
    <w:p w14:paraId="13050C99" w14:textId="77777777" w:rsidR="00F35CB9" w:rsidRPr="007158E9" w:rsidRDefault="00F35CB9" w:rsidP="00F35CB9">
      <w:pPr>
        <w:pStyle w:val="SingleTxtG"/>
        <w:ind w:right="567"/>
        <w:rPr>
          <w:lang w:val="en-GB"/>
        </w:rPr>
      </w:pPr>
      <w:r w:rsidRPr="007158E9">
        <w:rPr>
          <w:lang w:val="en-GB"/>
        </w:rPr>
        <w:tab/>
        <w:t>302.</w:t>
      </w:r>
      <w:r w:rsidRPr="007158E9">
        <w:rPr>
          <w:lang w:val="en-GB"/>
        </w:rPr>
        <w:tab/>
        <w:t>In the present report, the Commission noted the persistence of cases of arrest since 2017 but to a lesser extent than in the past. These violations seem to have reached their climax during the repression of the protests against President Nkurunziza’s third term and in the wake of the 2015 major security incidents. As per the past, several victims of arbitrary arrest and detention, particularly men, were also victims of torture or ill treatment during their detention</w:t>
      </w:r>
      <w:r w:rsidRPr="007158E9">
        <w:rPr>
          <w:sz w:val="18"/>
          <w:vertAlign w:val="superscript"/>
          <w:lang w:val="en-GB"/>
        </w:rPr>
        <w:footnoteReference w:id="129"/>
      </w:r>
      <w:r w:rsidRPr="007158E9">
        <w:rPr>
          <w:lang w:val="en-GB"/>
        </w:rPr>
        <w:t xml:space="preserve"> and some persons were also victims of enforced disappearance</w:t>
      </w:r>
      <w:r w:rsidRPr="007158E9">
        <w:rPr>
          <w:vertAlign w:val="superscript"/>
          <w:lang w:val="en-GB"/>
        </w:rPr>
        <w:footnoteReference w:id="130"/>
      </w:r>
      <w:r w:rsidRPr="007158E9">
        <w:rPr>
          <w:lang w:val="en-GB"/>
        </w:rPr>
        <w:t>.</w:t>
      </w:r>
    </w:p>
    <w:p w14:paraId="43C0FA83"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 xml:space="preserve">Main victims of arbitrary arrest and detention </w:t>
      </w:r>
    </w:p>
    <w:p w14:paraId="5D573E84" w14:textId="6AA0C6D3" w:rsidR="00F35CB9" w:rsidRPr="007158E9" w:rsidRDefault="00816AA3" w:rsidP="00F35CB9">
      <w:pPr>
        <w:pStyle w:val="SingleTxtG"/>
        <w:ind w:right="567"/>
        <w:rPr>
          <w:lang w:val="en-GB"/>
        </w:rPr>
      </w:pPr>
      <w:r>
        <w:rPr>
          <w:lang w:val="en-GB"/>
        </w:rPr>
        <w:tab/>
        <w:t>303.</w:t>
      </w:r>
      <w:r>
        <w:rPr>
          <w:lang w:val="en-GB"/>
        </w:rPr>
        <w:tab/>
        <w:t>Some participants,</w:t>
      </w:r>
      <w:r w:rsidR="00F35CB9" w:rsidRPr="007158E9">
        <w:rPr>
          <w:lang w:val="en-GB"/>
        </w:rPr>
        <w:t xml:space="preserve"> actual or presumed</w:t>
      </w:r>
      <w:r>
        <w:rPr>
          <w:lang w:val="en-GB"/>
        </w:rPr>
        <w:t>,</w:t>
      </w:r>
      <w:r w:rsidR="00F35CB9" w:rsidRPr="007158E9">
        <w:rPr>
          <w:lang w:val="en-GB"/>
        </w:rPr>
        <w:t xml:space="preserve"> to the 2015 demonstrations or suspected </w:t>
      </w:r>
      <w:r>
        <w:rPr>
          <w:lang w:val="en-GB"/>
        </w:rPr>
        <w:t>supporters of the demonstrators</w:t>
      </w:r>
      <w:r w:rsidR="00F35CB9" w:rsidRPr="007158E9">
        <w:rPr>
          <w:lang w:val="en-GB"/>
        </w:rPr>
        <w:t xml:space="preserve"> </w:t>
      </w:r>
      <w:r>
        <w:rPr>
          <w:lang w:val="en-GB"/>
        </w:rPr>
        <w:t xml:space="preserve">who had been </w:t>
      </w:r>
      <w:r w:rsidR="00F35CB9" w:rsidRPr="007158E9">
        <w:rPr>
          <w:lang w:val="en-GB"/>
        </w:rPr>
        <w:t xml:space="preserve">arrested in 2015 and 2016, were </w:t>
      </w:r>
      <w:r>
        <w:rPr>
          <w:lang w:val="en-GB"/>
        </w:rPr>
        <w:t>still</w:t>
      </w:r>
      <w:r w:rsidR="00F35CB9" w:rsidRPr="007158E9">
        <w:rPr>
          <w:lang w:val="en-GB"/>
        </w:rPr>
        <w:t xml:space="preserve"> arbitrarily detained in 2017 and 2018</w:t>
      </w:r>
      <w:r w:rsidR="00B831ED">
        <w:rPr>
          <w:lang w:val="en-GB"/>
        </w:rPr>
        <w:t>.</w:t>
      </w:r>
      <w:r w:rsidR="00F35CB9" w:rsidRPr="007158E9">
        <w:rPr>
          <w:vertAlign w:val="superscript"/>
          <w:lang w:val="en-GB"/>
        </w:rPr>
        <w:footnoteReference w:id="131"/>
      </w:r>
      <w:r w:rsidR="00F35CB9" w:rsidRPr="007158E9">
        <w:rPr>
          <w:lang w:val="en-GB"/>
        </w:rPr>
        <w:t xml:space="preserve"> So</w:t>
      </w:r>
      <w:r>
        <w:rPr>
          <w:lang w:val="en-GB"/>
        </w:rPr>
        <w:t>me we</w:t>
      </w:r>
      <w:r w:rsidR="00F35CB9" w:rsidRPr="007158E9">
        <w:rPr>
          <w:lang w:val="en-GB"/>
        </w:rPr>
        <w:t xml:space="preserve">re serving their prison sentence following judgements pronounced at the end of unfair trials, particularly for “undermining the internal security of the State”. Others </w:t>
      </w:r>
      <w:r>
        <w:rPr>
          <w:lang w:val="en-GB"/>
        </w:rPr>
        <w:t>we</w:t>
      </w:r>
      <w:r w:rsidR="00F35CB9" w:rsidRPr="007158E9">
        <w:rPr>
          <w:lang w:val="en-GB"/>
        </w:rPr>
        <w:t xml:space="preserve">re still awaiting their trial. </w:t>
      </w:r>
    </w:p>
    <w:p w14:paraId="7706405E" w14:textId="49679513" w:rsidR="00F35CB9" w:rsidRPr="007158E9" w:rsidRDefault="00F35CB9" w:rsidP="00F35CB9">
      <w:pPr>
        <w:pStyle w:val="SingleTxtG"/>
        <w:ind w:right="567"/>
        <w:rPr>
          <w:lang w:val="en-GB"/>
        </w:rPr>
      </w:pPr>
      <w:r w:rsidRPr="007158E9">
        <w:rPr>
          <w:lang w:val="en-GB"/>
        </w:rPr>
        <w:tab/>
        <w:t>304.</w:t>
      </w:r>
      <w:r w:rsidRPr="007158E9">
        <w:rPr>
          <w:lang w:val="en-GB"/>
        </w:rPr>
        <w:tab/>
      </w:r>
      <w:r w:rsidR="00801C53">
        <w:rPr>
          <w:lang w:val="en-GB"/>
        </w:rPr>
        <w:t>I</w:t>
      </w:r>
      <w:r w:rsidR="00801C53" w:rsidRPr="007158E9">
        <w:rPr>
          <w:lang w:val="en-GB"/>
        </w:rPr>
        <w:t>n 2017 and 2018</w:t>
      </w:r>
      <w:r w:rsidR="00801C53">
        <w:rPr>
          <w:lang w:val="en-GB"/>
        </w:rPr>
        <w:t>, m</w:t>
      </w:r>
      <w:r w:rsidRPr="007158E9">
        <w:rPr>
          <w:lang w:val="en-GB"/>
        </w:rPr>
        <w:t>embers of opposition political parties, their sympathisers or any other person perceived as such, were the main victims of arbitrary arrests and detentions, especially in</w:t>
      </w:r>
      <w:r w:rsidR="00801C53">
        <w:rPr>
          <w:lang w:val="en-GB"/>
        </w:rPr>
        <w:t xml:space="preserve"> the contet of the preparation of</w:t>
      </w:r>
      <w:r w:rsidRPr="007158E9">
        <w:rPr>
          <w:lang w:val="en-GB"/>
        </w:rPr>
        <w:t xml:space="preserve"> the May 2018 referendum. They were accused of </w:t>
      </w:r>
      <w:r w:rsidR="00801C53">
        <w:rPr>
          <w:lang w:val="en-GB"/>
        </w:rPr>
        <w:t>trying</w:t>
      </w:r>
      <w:r w:rsidRPr="007158E9">
        <w:rPr>
          <w:lang w:val="en-GB"/>
        </w:rPr>
        <w:t xml:space="preserve"> to mobilise the population to oppose the constitutional </w:t>
      </w:r>
      <w:r w:rsidR="00986EAA">
        <w:rPr>
          <w:lang w:val="en-GB"/>
        </w:rPr>
        <w:t>revision</w:t>
      </w:r>
      <w:r w:rsidRPr="007158E9">
        <w:rPr>
          <w:lang w:val="en-GB"/>
        </w:rPr>
        <w:t xml:space="preserve">. Members of </w:t>
      </w:r>
      <w:r w:rsidR="00986EAA">
        <w:rPr>
          <w:lang w:val="en-GB"/>
        </w:rPr>
        <w:t xml:space="preserve">the </w:t>
      </w:r>
      <w:r w:rsidRPr="007158E9">
        <w:rPr>
          <w:lang w:val="en-GB"/>
        </w:rPr>
        <w:t>FNL</w:t>
      </w:r>
      <w:r w:rsidR="00986EAA">
        <w:rPr>
          <w:lang w:val="en-GB"/>
        </w:rPr>
        <w:t xml:space="preserve"> led by </w:t>
      </w:r>
      <w:r w:rsidRPr="007158E9">
        <w:rPr>
          <w:lang w:val="en-GB"/>
        </w:rPr>
        <w:t xml:space="preserve">Agathon Rwasa, active within the </w:t>
      </w:r>
      <w:r w:rsidRPr="007158E9">
        <w:rPr>
          <w:i/>
          <w:lang w:val="en-GB"/>
        </w:rPr>
        <w:t>Amizero y'Abarundi</w:t>
      </w:r>
      <w:r w:rsidRPr="007158E9">
        <w:rPr>
          <w:sz w:val="18"/>
          <w:vertAlign w:val="superscript"/>
          <w:lang w:val="en-GB"/>
        </w:rPr>
        <w:footnoteReference w:id="132"/>
      </w:r>
      <w:r w:rsidRPr="007158E9">
        <w:rPr>
          <w:lang w:val="en-GB"/>
        </w:rPr>
        <w:t xml:space="preserve"> coalition, were particularly targeted due to the </w:t>
      </w:r>
      <w:r w:rsidR="00986EAA">
        <w:rPr>
          <w:lang w:val="en-GB"/>
        </w:rPr>
        <w:t xml:space="preserve">call made by this </w:t>
      </w:r>
      <w:r w:rsidR="00986EAA" w:rsidRPr="007158E9">
        <w:rPr>
          <w:lang w:val="en-GB"/>
        </w:rPr>
        <w:t xml:space="preserve">coalition </w:t>
      </w:r>
      <w:r w:rsidRPr="007158E9">
        <w:rPr>
          <w:lang w:val="en-GB"/>
        </w:rPr>
        <w:t xml:space="preserve">to </w:t>
      </w:r>
      <w:r w:rsidR="00801C53">
        <w:rPr>
          <w:lang w:val="en-GB"/>
        </w:rPr>
        <w:t>vote “no” to</w:t>
      </w:r>
      <w:r w:rsidRPr="007158E9">
        <w:rPr>
          <w:lang w:val="en-GB"/>
        </w:rPr>
        <w:t xml:space="preserve"> the constitutional revi</w:t>
      </w:r>
      <w:r w:rsidR="00986EAA">
        <w:rPr>
          <w:lang w:val="en-GB"/>
        </w:rPr>
        <w:t>sion</w:t>
      </w:r>
      <w:r w:rsidR="00801C53">
        <w:rPr>
          <w:lang w:val="en-GB"/>
        </w:rPr>
        <w:t>.</w:t>
      </w:r>
      <w:r w:rsidRPr="007158E9">
        <w:rPr>
          <w:vertAlign w:val="superscript"/>
          <w:lang w:val="en-GB"/>
        </w:rPr>
        <w:footnoteReference w:id="133"/>
      </w:r>
      <w:r w:rsidRPr="007158E9">
        <w:rPr>
          <w:lang w:val="en-GB"/>
        </w:rPr>
        <w:t xml:space="preserve"> MSD members or sympathisers were also victims of such acts</w:t>
      </w:r>
      <w:r w:rsidR="00801C53">
        <w:rPr>
          <w:lang w:val="en-GB"/>
        </w:rPr>
        <w:t>,</w:t>
      </w:r>
      <w:r w:rsidRPr="007158E9">
        <w:rPr>
          <w:vertAlign w:val="superscript"/>
          <w:lang w:val="en-GB"/>
        </w:rPr>
        <w:footnoteReference w:id="134"/>
      </w:r>
      <w:r w:rsidRPr="007158E9">
        <w:rPr>
          <w:lang w:val="en-GB"/>
        </w:rPr>
        <w:t xml:space="preserve"> as their party </w:t>
      </w:r>
      <w:r w:rsidR="00801C53">
        <w:rPr>
          <w:lang w:val="en-GB"/>
        </w:rPr>
        <w:t>decided to</w:t>
      </w:r>
      <w:r w:rsidRPr="007158E9">
        <w:rPr>
          <w:lang w:val="en-GB"/>
        </w:rPr>
        <w:t xml:space="preserve"> boycott the referendum. A member of an opposition party testified: </w:t>
      </w:r>
    </w:p>
    <w:p w14:paraId="45E03E00" w14:textId="57F29D72" w:rsidR="00F35CB9" w:rsidRPr="007158E9" w:rsidRDefault="00574104" w:rsidP="00F35CB9">
      <w:pPr>
        <w:pStyle w:val="SingleTxtG"/>
        <w:ind w:left="1701" w:right="567"/>
        <w:rPr>
          <w:lang w:val="en-GB"/>
        </w:rPr>
      </w:pPr>
      <w:r>
        <w:rPr>
          <w:lang w:val="en-GB"/>
        </w:rPr>
        <w:tab/>
        <w:t>“</w:t>
      </w:r>
      <w:r w:rsidR="00F35CB9" w:rsidRPr="007158E9">
        <w:rPr>
          <w:lang w:val="en-GB"/>
        </w:rPr>
        <w:t> </w:t>
      </w:r>
      <w:r w:rsidR="00F35CB9" w:rsidRPr="007158E9">
        <w:rPr>
          <w:i/>
          <w:lang w:val="en-GB"/>
        </w:rPr>
        <w:t xml:space="preserve">I was campaigning for </w:t>
      </w:r>
      <w:r w:rsidR="00801C53">
        <w:rPr>
          <w:i/>
          <w:lang w:val="en-GB"/>
        </w:rPr>
        <w:t>the</w:t>
      </w:r>
      <w:r w:rsidR="00F35CB9" w:rsidRPr="007158E9">
        <w:rPr>
          <w:i/>
          <w:lang w:val="en-GB"/>
        </w:rPr>
        <w:t xml:space="preserve"> </w:t>
      </w:r>
      <w:r>
        <w:rPr>
          <w:i/>
          <w:lang w:val="en-GB"/>
        </w:rPr>
        <w:t>‘no’</w:t>
      </w:r>
      <w:r w:rsidR="00F35CB9" w:rsidRPr="007158E9">
        <w:rPr>
          <w:i/>
          <w:lang w:val="en-GB"/>
        </w:rPr>
        <w:t xml:space="preserve"> vote. Leaders of Imbonerakure […] continued to threaten me</w:t>
      </w:r>
      <w:r w:rsidR="00801C53">
        <w:rPr>
          <w:i/>
          <w:lang w:val="en-GB"/>
        </w:rPr>
        <w:t xml:space="preserve"> and </w:t>
      </w:r>
      <w:r w:rsidR="00F35CB9" w:rsidRPr="007158E9">
        <w:rPr>
          <w:i/>
          <w:lang w:val="en-GB"/>
        </w:rPr>
        <w:t>other</w:t>
      </w:r>
      <w:r w:rsidR="00801C53">
        <w:rPr>
          <w:i/>
          <w:lang w:val="en-GB"/>
        </w:rPr>
        <w:t xml:space="preserve"> person</w:t>
      </w:r>
      <w:r w:rsidR="00F35CB9" w:rsidRPr="007158E9">
        <w:rPr>
          <w:i/>
          <w:lang w:val="en-GB"/>
        </w:rPr>
        <w:t xml:space="preserve">s </w:t>
      </w:r>
      <w:r>
        <w:rPr>
          <w:i/>
          <w:lang w:val="en-GB"/>
        </w:rPr>
        <w:t>to join [CNDD-FDD] and to vote ‘</w:t>
      </w:r>
      <w:r w:rsidR="00F35CB9" w:rsidRPr="007158E9">
        <w:rPr>
          <w:i/>
          <w:lang w:val="en-GB"/>
        </w:rPr>
        <w:t>yes</w:t>
      </w:r>
      <w:r>
        <w:rPr>
          <w:i/>
          <w:lang w:val="en-GB"/>
        </w:rPr>
        <w:t>’</w:t>
      </w:r>
      <w:r w:rsidR="00F35CB9" w:rsidRPr="007158E9">
        <w:rPr>
          <w:i/>
          <w:lang w:val="en-GB"/>
        </w:rPr>
        <w:t xml:space="preserve"> </w:t>
      </w:r>
      <w:r w:rsidR="00801C53">
        <w:rPr>
          <w:i/>
          <w:lang w:val="en-GB"/>
        </w:rPr>
        <w:t>during</w:t>
      </w:r>
      <w:r w:rsidR="00F35CB9" w:rsidRPr="007158E9">
        <w:rPr>
          <w:i/>
          <w:lang w:val="en-GB"/>
        </w:rPr>
        <w:t xml:space="preserve"> the referendum. When they said that, I stayed calm and said: </w:t>
      </w:r>
      <w:r>
        <w:rPr>
          <w:i/>
          <w:lang w:val="en-GB"/>
        </w:rPr>
        <w:t>‘</w:t>
      </w:r>
      <w:r w:rsidR="00F35CB9" w:rsidRPr="007158E9">
        <w:rPr>
          <w:i/>
          <w:lang w:val="en-GB"/>
        </w:rPr>
        <w:t>We will see</w:t>
      </w:r>
      <w:r>
        <w:rPr>
          <w:i/>
          <w:lang w:val="en-GB"/>
        </w:rPr>
        <w:t>’</w:t>
      </w:r>
      <w:r w:rsidR="00F35CB9" w:rsidRPr="007158E9">
        <w:rPr>
          <w:i/>
          <w:lang w:val="en-GB"/>
        </w:rPr>
        <w:t xml:space="preserve">. [In] 2018, I was with the youth </w:t>
      </w:r>
      <w:r w:rsidR="00801C53">
        <w:rPr>
          <w:i/>
          <w:lang w:val="en-GB"/>
        </w:rPr>
        <w:t xml:space="preserve">league </w:t>
      </w:r>
      <w:r w:rsidR="00F35CB9" w:rsidRPr="007158E9">
        <w:rPr>
          <w:i/>
          <w:lang w:val="en-GB"/>
        </w:rPr>
        <w:t xml:space="preserve">[of the opposition party] […] Police agents arrested us […] and drove us to jail […] They accused us of holding an illegal meeting and of disrupting public order and security. We were planning to campaign for </w:t>
      </w:r>
      <w:r>
        <w:rPr>
          <w:i/>
          <w:lang w:val="en-GB"/>
        </w:rPr>
        <w:t>the ‘</w:t>
      </w:r>
      <w:r w:rsidR="00801C53">
        <w:rPr>
          <w:i/>
          <w:lang w:val="en-GB"/>
        </w:rPr>
        <w:t>no</w:t>
      </w:r>
      <w:r>
        <w:rPr>
          <w:i/>
          <w:lang w:val="en-GB"/>
        </w:rPr>
        <w:t>’.”</w:t>
      </w:r>
      <w:r w:rsidR="00F35CB9" w:rsidRPr="007158E9">
        <w:rPr>
          <w:vertAlign w:val="superscript"/>
          <w:lang w:val="en-GB"/>
        </w:rPr>
        <w:footnoteReference w:id="135"/>
      </w:r>
    </w:p>
    <w:p w14:paraId="46B7568C" w14:textId="1F43BA8C" w:rsidR="00F35CB9" w:rsidRPr="007158E9" w:rsidRDefault="00F35CB9" w:rsidP="00F35CB9">
      <w:pPr>
        <w:pStyle w:val="SingleTxtG"/>
        <w:ind w:right="567"/>
        <w:rPr>
          <w:lang w:val="en-GB"/>
        </w:rPr>
      </w:pPr>
      <w:r w:rsidRPr="007158E9">
        <w:rPr>
          <w:lang w:val="en-GB"/>
        </w:rPr>
        <w:tab/>
        <w:t>305.</w:t>
      </w:r>
      <w:r w:rsidRPr="007158E9">
        <w:rPr>
          <w:lang w:val="en-GB"/>
        </w:rPr>
        <w:tab/>
        <w:t xml:space="preserve">Persons were arbitrarily arrested and detained simply because they did not appear to </w:t>
      </w:r>
      <w:r w:rsidR="00801C53">
        <w:rPr>
          <w:lang w:val="en-GB"/>
        </w:rPr>
        <w:t xml:space="preserve">fully agree </w:t>
      </w:r>
      <w:r w:rsidR="00AD4396">
        <w:rPr>
          <w:lang w:val="en-GB"/>
        </w:rPr>
        <w:t>with</w:t>
      </w:r>
      <w:r w:rsidR="00801C53">
        <w:rPr>
          <w:lang w:val="en-GB"/>
        </w:rPr>
        <w:t xml:space="preserve"> the policies of</w:t>
      </w:r>
      <w:r w:rsidRPr="007158E9">
        <w:rPr>
          <w:lang w:val="en-GB"/>
        </w:rPr>
        <w:t xml:space="preserve"> the Government or the positions of CNDD-FDD. </w:t>
      </w:r>
      <w:r w:rsidR="00AD4396">
        <w:rPr>
          <w:lang w:val="en-GB"/>
        </w:rPr>
        <w:t>S</w:t>
      </w:r>
      <w:r w:rsidRPr="007158E9">
        <w:rPr>
          <w:lang w:val="en-GB"/>
        </w:rPr>
        <w:t>ome were arrested and detained</w:t>
      </w:r>
      <w:r w:rsidR="00AD4396">
        <w:rPr>
          <w:lang w:val="en-GB"/>
        </w:rPr>
        <w:t>, usually</w:t>
      </w:r>
      <w:r w:rsidRPr="007158E9">
        <w:rPr>
          <w:lang w:val="en-GB"/>
        </w:rPr>
        <w:t xml:space="preserve"> for a few days</w:t>
      </w:r>
      <w:r w:rsidR="00AD4396">
        <w:rPr>
          <w:lang w:val="en-GB"/>
        </w:rPr>
        <w:t>,</w:t>
      </w:r>
      <w:r w:rsidRPr="007158E9">
        <w:rPr>
          <w:lang w:val="en-GB"/>
        </w:rPr>
        <w:t xml:space="preserve"> </w:t>
      </w:r>
      <w:r w:rsidR="00AD4396">
        <w:rPr>
          <w:lang w:val="en-GB"/>
        </w:rPr>
        <w:t>because</w:t>
      </w:r>
      <w:r w:rsidRPr="007158E9">
        <w:rPr>
          <w:lang w:val="en-GB"/>
        </w:rPr>
        <w:t xml:space="preserve"> the</w:t>
      </w:r>
      <w:r w:rsidR="00AD4396">
        <w:rPr>
          <w:lang w:val="en-GB"/>
        </w:rPr>
        <w:t xml:space="preserve">y </w:t>
      </w:r>
      <w:r w:rsidRPr="007158E9">
        <w:rPr>
          <w:lang w:val="en-GB"/>
        </w:rPr>
        <w:t>refus</w:t>
      </w:r>
      <w:r w:rsidR="00AD4396">
        <w:rPr>
          <w:lang w:val="en-GB"/>
        </w:rPr>
        <w:t>ed</w:t>
      </w:r>
      <w:r w:rsidRPr="007158E9">
        <w:rPr>
          <w:lang w:val="en-GB"/>
        </w:rPr>
        <w:t xml:space="preserve"> to join </w:t>
      </w:r>
      <w:r w:rsidR="00AD4396">
        <w:rPr>
          <w:lang w:val="en-GB"/>
        </w:rPr>
        <w:t xml:space="preserve">the </w:t>
      </w:r>
      <w:r w:rsidRPr="007158E9">
        <w:rPr>
          <w:lang w:val="en-GB"/>
        </w:rPr>
        <w:t xml:space="preserve">CNDD-FDD or </w:t>
      </w:r>
      <w:r w:rsidR="00AD4396">
        <w:rPr>
          <w:lang w:val="en-GB"/>
        </w:rPr>
        <w:t xml:space="preserve">the </w:t>
      </w:r>
      <w:r w:rsidRPr="007158E9">
        <w:rPr>
          <w:lang w:val="en-GB"/>
        </w:rPr>
        <w:t>Imbonerakure</w:t>
      </w:r>
      <w:r w:rsidR="00B831ED">
        <w:rPr>
          <w:lang w:val="en-GB"/>
        </w:rPr>
        <w:t>;</w:t>
      </w:r>
      <w:r w:rsidRPr="007158E9">
        <w:rPr>
          <w:vertAlign w:val="superscript"/>
          <w:lang w:val="en-GB"/>
        </w:rPr>
        <w:footnoteReference w:id="136"/>
      </w:r>
      <w:r w:rsidRPr="007158E9">
        <w:rPr>
          <w:lang w:val="en-GB"/>
        </w:rPr>
        <w:t xml:space="preserve"> </w:t>
      </w:r>
      <w:r w:rsidR="00AD4396">
        <w:rPr>
          <w:lang w:val="en-GB"/>
        </w:rPr>
        <w:t xml:space="preserve">because they </w:t>
      </w:r>
      <w:r w:rsidRPr="007158E9">
        <w:rPr>
          <w:lang w:val="en-GB"/>
        </w:rPr>
        <w:t>fail</w:t>
      </w:r>
      <w:r w:rsidR="00AD4396">
        <w:rPr>
          <w:lang w:val="en-GB"/>
        </w:rPr>
        <w:t xml:space="preserve">ed </w:t>
      </w:r>
      <w:r w:rsidRPr="007158E9">
        <w:rPr>
          <w:lang w:val="en-GB"/>
        </w:rPr>
        <w:t>to register on the ele</w:t>
      </w:r>
      <w:r w:rsidR="00AD4396">
        <w:rPr>
          <w:lang w:val="en-GB"/>
        </w:rPr>
        <w:t>ctoral lists for the referendum;</w:t>
      </w:r>
      <w:r w:rsidRPr="007158E9">
        <w:rPr>
          <w:lang w:val="en-GB"/>
        </w:rPr>
        <w:t xml:space="preserve"> </w:t>
      </w:r>
      <w:r w:rsidR="00AD4396">
        <w:rPr>
          <w:lang w:val="en-GB"/>
        </w:rPr>
        <w:t>because they were</w:t>
      </w:r>
      <w:r w:rsidRPr="007158E9">
        <w:rPr>
          <w:lang w:val="en-GB"/>
        </w:rPr>
        <w:t xml:space="preserve"> suspected of wanting to vote against the constitutional </w:t>
      </w:r>
      <w:r w:rsidR="00AD4396">
        <w:rPr>
          <w:lang w:val="en-GB"/>
        </w:rPr>
        <w:t>revision;</w:t>
      </w:r>
      <w:r w:rsidRPr="007158E9">
        <w:rPr>
          <w:vertAlign w:val="superscript"/>
          <w:lang w:val="en-GB"/>
        </w:rPr>
        <w:footnoteReference w:id="137"/>
      </w:r>
      <w:r w:rsidRPr="007158E9">
        <w:rPr>
          <w:lang w:val="en-GB"/>
        </w:rPr>
        <w:t xml:space="preserve"> or because they were suspected of being part of </w:t>
      </w:r>
      <w:r w:rsidR="00AD4396">
        <w:rPr>
          <w:lang w:val="en-GB"/>
        </w:rPr>
        <w:t>an</w:t>
      </w:r>
      <w:r w:rsidRPr="007158E9">
        <w:rPr>
          <w:lang w:val="en-GB"/>
        </w:rPr>
        <w:t xml:space="preserve"> armed rebel group or of wanting to join </w:t>
      </w:r>
      <w:r w:rsidR="00AD4396">
        <w:rPr>
          <w:lang w:val="en-GB"/>
        </w:rPr>
        <w:t>one</w:t>
      </w:r>
      <w:r w:rsidRPr="007158E9">
        <w:rPr>
          <w:lang w:val="en-GB"/>
        </w:rPr>
        <w:t xml:space="preserve">, </w:t>
      </w:r>
      <w:r w:rsidR="00AD4396">
        <w:rPr>
          <w:lang w:val="en-GB"/>
        </w:rPr>
        <w:t xml:space="preserve">especially those who </w:t>
      </w:r>
      <w:r w:rsidRPr="007158E9">
        <w:rPr>
          <w:lang w:val="en-GB"/>
        </w:rPr>
        <w:t>were trying to flee the country</w:t>
      </w:r>
      <w:r w:rsidR="00AD4396">
        <w:rPr>
          <w:lang w:val="en-GB"/>
        </w:rPr>
        <w:t>.</w:t>
      </w:r>
      <w:r w:rsidRPr="007158E9">
        <w:rPr>
          <w:vertAlign w:val="superscript"/>
          <w:lang w:val="en-GB"/>
        </w:rPr>
        <w:footnoteReference w:id="138"/>
      </w:r>
      <w:r w:rsidRPr="007158E9">
        <w:rPr>
          <w:lang w:val="en-GB"/>
        </w:rPr>
        <w:t xml:space="preserve"> Another witness recounted:</w:t>
      </w:r>
    </w:p>
    <w:p w14:paraId="02801CD1" w14:textId="1DC3DDC8" w:rsidR="00F35CB9" w:rsidRPr="007158E9" w:rsidRDefault="00F35CB9" w:rsidP="00F35CB9">
      <w:pPr>
        <w:pStyle w:val="SingleTxtG"/>
        <w:ind w:left="1701" w:right="567"/>
        <w:rPr>
          <w:lang w:val="en-GB"/>
        </w:rPr>
      </w:pPr>
      <w:r w:rsidRPr="007158E9">
        <w:rPr>
          <w:i/>
          <w:lang w:val="en-GB"/>
        </w:rPr>
        <w:tab/>
        <w:t>“[…] When the Imbonerakure arrived, they br</w:t>
      </w:r>
      <w:r w:rsidR="00AD4396">
        <w:rPr>
          <w:i/>
          <w:lang w:val="en-GB"/>
        </w:rPr>
        <w:t>oke down the doors of the house</w:t>
      </w:r>
      <w:r w:rsidR="00574104">
        <w:rPr>
          <w:i/>
          <w:lang w:val="en-GB"/>
        </w:rPr>
        <w:t xml:space="preserve"> and then said: ‘</w:t>
      </w:r>
      <w:r w:rsidRPr="007158E9">
        <w:rPr>
          <w:i/>
          <w:lang w:val="en-GB"/>
        </w:rPr>
        <w:t>You refuse to join CNDD-FDD, we will kill you today</w:t>
      </w:r>
      <w:r w:rsidR="00574104">
        <w:rPr>
          <w:i/>
          <w:lang w:val="en-GB"/>
        </w:rPr>
        <w:t>’</w:t>
      </w:r>
      <w:r w:rsidRPr="007158E9">
        <w:rPr>
          <w:i/>
          <w:lang w:val="en-GB"/>
        </w:rPr>
        <w:t xml:space="preserve"> […] The</w:t>
      </w:r>
      <w:r w:rsidR="00AD4396">
        <w:rPr>
          <w:i/>
          <w:lang w:val="en-GB"/>
        </w:rPr>
        <w:t>y</w:t>
      </w:r>
      <w:r w:rsidRPr="007158E9">
        <w:rPr>
          <w:i/>
          <w:lang w:val="en-GB"/>
        </w:rPr>
        <w:t xml:space="preserve"> immediately started to hit me with their sticks on my legs and on my back and then took me to jail. […] I was detained for three days. After arresting me, the Imbonerakure, took me to the jail in the zone of […] The same Imbonerakure then proceeded to arrest me without a judicial warrant and handed me over to the police who then put me in the cell. The police, naturally, </w:t>
      </w:r>
      <w:r w:rsidR="00AD4396">
        <w:rPr>
          <w:i/>
          <w:lang w:val="en-GB"/>
        </w:rPr>
        <w:t>took</w:t>
      </w:r>
      <w:r w:rsidRPr="007158E9">
        <w:rPr>
          <w:i/>
          <w:lang w:val="en-GB"/>
        </w:rPr>
        <w:t xml:space="preserve"> me </w:t>
      </w:r>
      <w:r w:rsidR="00574104">
        <w:rPr>
          <w:i/>
          <w:lang w:val="en-GB"/>
        </w:rPr>
        <w:t>in</w:t>
      </w:r>
      <w:r w:rsidRPr="007158E9">
        <w:rPr>
          <w:i/>
          <w:lang w:val="en-GB"/>
        </w:rPr>
        <w:t>”</w:t>
      </w:r>
      <w:r w:rsidR="00AD4396">
        <w:rPr>
          <w:i/>
          <w:lang w:val="en-GB"/>
        </w:rPr>
        <w:t>.</w:t>
      </w:r>
      <w:r w:rsidRPr="007158E9">
        <w:rPr>
          <w:vertAlign w:val="superscript"/>
          <w:lang w:val="en-GB"/>
        </w:rPr>
        <w:footnoteReference w:id="139"/>
      </w:r>
    </w:p>
    <w:p w14:paraId="07DE3D3E" w14:textId="01642086" w:rsidR="00F35CB9" w:rsidRPr="007158E9" w:rsidRDefault="00F35CB9" w:rsidP="00F35CB9">
      <w:pPr>
        <w:pStyle w:val="SingleTxtG"/>
        <w:ind w:right="567"/>
        <w:rPr>
          <w:lang w:val="en-GB"/>
        </w:rPr>
      </w:pPr>
      <w:r w:rsidRPr="007158E9">
        <w:rPr>
          <w:lang w:val="en-GB"/>
        </w:rPr>
        <w:tab/>
        <w:t>306.</w:t>
      </w:r>
      <w:r w:rsidRPr="007158E9">
        <w:rPr>
          <w:lang w:val="en-GB"/>
        </w:rPr>
        <w:tab/>
        <w:t xml:space="preserve">Human </w:t>
      </w:r>
      <w:r w:rsidR="00AD4396">
        <w:rPr>
          <w:lang w:val="en-GB"/>
        </w:rPr>
        <w:t>r</w:t>
      </w:r>
      <w:r w:rsidRPr="007158E9">
        <w:rPr>
          <w:lang w:val="en-GB"/>
        </w:rPr>
        <w:t>ights activists and journalists continue</w:t>
      </w:r>
      <w:r w:rsidR="00AD4396">
        <w:rPr>
          <w:lang w:val="en-GB"/>
        </w:rPr>
        <w:t>d</w:t>
      </w:r>
      <w:r w:rsidRPr="007158E9">
        <w:rPr>
          <w:lang w:val="en-GB"/>
        </w:rPr>
        <w:t xml:space="preserve"> to be victims of arbitrary arrests and detention du to their legitimate professional activities</w:t>
      </w:r>
      <w:r w:rsidR="00AD4396">
        <w:rPr>
          <w:lang w:val="en-GB"/>
        </w:rPr>
        <w:t>,</w:t>
      </w:r>
      <w:r w:rsidRPr="007158E9">
        <w:rPr>
          <w:vertAlign w:val="superscript"/>
          <w:lang w:val="en-GB"/>
        </w:rPr>
        <w:footnoteReference w:id="140"/>
      </w:r>
      <w:r w:rsidRPr="007158E9">
        <w:rPr>
          <w:lang w:val="en-GB"/>
        </w:rPr>
        <w:t xml:space="preserve"> as demonstrated by the emblematic case</w:t>
      </w:r>
      <w:r w:rsidR="00AD4396">
        <w:rPr>
          <w:lang w:val="en-GB"/>
        </w:rPr>
        <w:t>s</w:t>
      </w:r>
      <w:r w:rsidRPr="007158E9">
        <w:rPr>
          <w:lang w:val="en-GB"/>
        </w:rPr>
        <w:t xml:space="preserve"> of Germain Rukuki, </w:t>
      </w:r>
      <w:r w:rsidR="00AD4396">
        <w:rPr>
          <w:lang w:val="en-GB"/>
        </w:rPr>
        <w:t xml:space="preserve">of the </w:t>
      </w:r>
      <w:r w:rsidRPr="007158E9">
        <w:rPr>
          <w:lang w:val="en-GB"/>
        </w:rPr>
        <w:t xml:space="preserve">three members of the organisation </w:t>
      </w:r>
      <w:r w:rsidRPr="007158E9">
        <w:rPr>
          <w:i/>
          <w:lang w:val="en-GB"/>
        </w:rPr>
        <w:t>Paroles and actions pour le réveil des consciences and l’évolution des mentalités (PARCEM)</w:t>
      </w:r>
      <w:r w:rsidRPr="007158E9">
        <w:rPr>
          <w:lang w:val="en-GB"/>
        </w:rPr>
        <w:t xml:space="preserve"> and </w:t>
      </w:r>
      <w:r w:rsidR="00AD4396">
        <w:rPr>
          <w:lang w:val="en-GB"/>
        </w:rPr>
        <w:t xml:space="preserve">of </w:t>
      </w:r>
      <w:r w:rsidRPr="007158E9">
        <w:rPr>
          <w:lang w:val="en-GB"/>
        </w:rPr>
        <w:t xml:space="preserve">Nestor Nibitanga; details of which </w:t>
      </w:r>
      <w:r w:rsidR="00AD4396">
        <w:rPr>
          <w:lang w:val="en-GB"/>
        </w:rPr>
        <w:t>are</w:t>
      </w:r>
      <w:r w:rsidRPr="007158E9">
        <w:rPr>
          <w:lang w:val="en-GB"/>
        </w:rPr>
        <w:t xml:space="preserve"> provided hereafter</w:t>
      </w:r>
      <w:r w:rsidR="00AD4396">
        <w:rPr>
          <w:lang w:val="en-GB"/>
        </w:rPr>
        <w:t>.</w:t>
      </w:r>
      <w:r w:rsidRPr="007158E9">
        <w:rPr>
          <w:sz w:val="18"/>
          <w:vertAlign w:val="superscript"/>
          <w:lang w:val="en-GB"/>
        </w:rPr>
        <w:footnoteReference w:id="141"/>
      </w:r>
    </w:p>
    <w:p w14:paraId="73E039A8" w14:textId="77777777" w:rsidR="00F35CB9" w:rsidRPr="007158E9" w:rsidRDefault="00F35CB9" w:rsidP="00F35CB9">
      <w:pPr>
        <w:pStyle w:val="H4G"/>
        <w:rPr>
          <w:b/>
          <w:i w:val="0"/>
          <w:lang w:val="en-GB"/>
        </w:rPr>
      </w:pPr>
      <w:r w:rsidRPr="007158E9">
        <w:rPr>
          <w:b/>
          <w:i w:val="0"/>
          <w:lang w:val="en-GB"/>
        </w:rPr>
        <w:tab/>
        <w:t>(b)</w:t>
      </w:r>
      <w:r w:rsidRPr="007158E9">
        <w:rPr>
          <w:b/>
          <w:i w:val="0"/>
          <w:lang w:val="en-GB"/>
        </w:rPr>
        <w:tab/>
        <w:t>Arbitrary arrests</w:t>
      </w:r>
    </w:p>
    <w:p w14:paraId="7C10D376" w14:textId="77777777" w:rsidR="00F35CB9" w:rsidRPr="007158E9" w:rsidRDefault="00F35CB9" w:rsidP="00F35CB9">
      <w:pPr>
        <w:pStyle w:val="H56G"/>
        <w:ind w:hanging="567"/>
        <w:rPr>
          <w:b/>
          <w:lang w:val="en-GB"/>
        </w:rPr>
      </w:pPr>
      <w:r w:rsidRPr="007158E9">
        <w:rPr>
          <w:b/>
          <w:lang w:val="en-GB"/>
        </w:rPr>
        <w:t>(i)</w:t>
      </w:r>
      <w:r w:rsidRPr="007158E9">
        <w:rPr>
          <w:b/>
          <w:lang w:val="en-GB"/>
        </w:rPr>
        <w:tab/>
      </w:r>
      <w:r w:rsidRPr="007158E9">
        <w:rPr>
          <w:b/>
          <w:lang w:val="en-GB"/>
        </w:rPr>
        <w:tab/>
        <w:t>Arbitrariness of the arrests</w:t>
      </w:r>
    </w:p>
    <w:p w14:paraId="2C8D4716" w14:textId="10AAC1E9" w:rsidR="00F35CB9" w:rsidRPr="007158E9" w:rsidRDefault="00F35CB9" w:rsidP="00F35CB9">
      <w:pPr>
        <w:pStyle w:val="SingleTxtG"/>
        <w:ind w:right="567"/>
        <w:rPr>
          <w:lang w:val="en-GB"/>
        </w:rPr>
      </w:pPr>
      <w:r w:rsidRPr="007158E9">
        <w:rPr>
          <w:lang w:val="en-GB"/>
        </w:rPr>
        <w:tab/>
        <w:t>307.</w:t>
      </w:r>
      <w:r w:rsidRPr="007158E9">
        <w:rPr>
          <w:lang w:val="en-GB"/>
        </w:rPr>
        <w:tab/>
        <w:t>Since June 2017, several arrests were illegally done; in violation of the legal procedures established by the Burundian Law</w:t>
      </w:r>
      <w:r w:rsidR="006F3606">
        <w:rPr>
          <w:lang w:val="en-GB"/>
        </w:rPr>
        <w:t>:</w:t>
      </w:r>
      <w:r w:rsidRPr="007158E9">
        <w:rPr>
          <w:vertAlign w:val="superscript"/>
          <w:lang w:val="en-GB"/>
        </w:rPr>
        <w:footnoteReference w:id="142"/>
      </w:r>
      <w:r w:rsidRPr="007158E9">
        <w:rPr>
          <w:lang w:val="en-GB"/>
        </w:rPr>
        <w:t xml:space="preserve"> with no judicial warrant (arrest warrant or warrant to appear/summons);</w:t>
      </w:r>
      <w:r w:rsidR="006F3606" w:rsidRPr="007158E9">
        <w:rPr>
          <w:vertAlign w:val="superscript"/>
          <w:lang w:val="en-GB"/>
        </w:rPr>
        <w:footnoteReference w:id="143"/>
      </w:r>
      <w:r w:rsidRPr="007158E9">
        <w:rPr>
          <w:lang w:val="en-GB"/>
        </w:rPr>
        <w:t xml:space="preserve"> when the summoned person was not informed about the motives nor the legal basis of his/her arrest (infraction or crime in question)</w:t>
      </w:r>
      <w:r w:rsidR="006F3606">
        <w:rPr>
          <w:lang w:val="en-GB"/>
        </w:rPr>
        <w:t>;</w:t>
      </w:r>
      <w:r w:rsidRPr="007158E9">
        <w:rPr>
          <w:vertAlign w:val="superscript"/>
          <w:lang w:val="en-GB"/>
        </w:rPr>
        <w:footnoteReference w:id="144"/>
      </w:r>
      <w:r w:rsidRPr="007158E9">
        <w:rPr>
          <w:lang w:val="en-GB"/>
        </w:rPr>
        <w:t> </w:t>
      </w:r>
      <w:r w:rsidR="006F3606">
        <w:rPr>
          <w:lang w:val="en-GB"/>
        </w:rPr>
        <w:t xml:space="preserve"> or when the arrest wa</w:t>
      </w:r>
      <w:r w:rsidRPr="007158E9">
        <w:rPr>
          <w:lang w:val="en-GB"/>
        </w:rPr>
        <w:t>s done by one or more individuals not mandated to do so, mainly Imbonerakure or agents of the local administration</w:t>
      </w:r>
      <w:r w:rsidR="006F3606">
        <w:rPr>
          <w:lang w:val="en-GB"/>
        </w:rPr>
        <w:t>.</w:t>
      </w:r>
      <w:r w:rsidRPr="007158E9">
        <w:rPr>
          <w:vertAlign w:val="superscript"/>
          <w:lang w:val="en-GB"/>
        </w:rPr>
        <w:footnoteReference w:id="145"/>
      </w:r>
      <w:r w:rsidRPr="007158E9">
        <w:rPr>
          <w:lang w:val="en-GB"/>
        </w:rPr>
        <w:t xml:space="preserve"> In Burundi, only judicial police officers are legally authorised to make arrest</w:t>
      </w:r>
      <w:r w:rsidR="006F3606">
        <w:rPr>
          <w:lang w:val="en-GB"/>
        </w:rPr>
        <w:t>,</w:t>
      </w:r>
      <w:r w:rsidRPr="007158E9">
        <w:rPr>
          <w:lang w:val="en-GB"/>
        </w:rPr>
        <w:t xml:space="preserve"> except in cases of </w:t>
      </w:r>
      <w:r w:rsidRPr="007158E9">
        <w:rPr>
          <w:i/>
          <w:lang w:val="en-GB"/>
        </w:rPr>
        <w:t>flagrante delicto</w:t>
      </w:r>
      <w:r w:rsidR="006F3606">
        <w:rPr>
          <w:i/>
          <w:lang w:val="en-GB"/>
        </w:rPr>
        <w:t xml:space="preserve"> </w:t>
      </w:r>
      <w:r w:rsidR="006F3606" w:rsidRPr="006F3606">
        <w:rPr>
          <w:lang w:val="en-GB"/>
        </w:rPr>
        <w:t>when</w:t>
      </w:r>
      <w:r w:rsidR="006F3606">
        <w:rPr>
          <w:i/>
          <w:lang w:val="en-GB"/>
        </w:rPr>
        <w:t xml:space="preserve"> </w:t>
      </w:r>
      <w:r w:rsidR="006F3606" w:rsidRPr="007158E9">
        <w:rPr>
          <w:lang w:val="en-GB"/>
        </w:rPr>
        <w:t xml:space="preserve">any person can seize the presumed perpetrator </w:t>
      </w:r>
      <w:r w:rsidR="006F3606">
        <w:rPr>
          <w:lang w:val="en-GB"/>
        </w:rPr>
        <w:t xml:space="preserve">of a crime </w:t>
      </w:r>
      <w:r w:rsidRPr="007158E9">
        <w:rPr>
          <w:lang w:val="en-GB"/>
        </w:rPr>
        <w:t>in the absence of a legally authorised judicial authority, and present them immediately to the closest competent authority</w:t>
      </w:r>
      <w:r w:rsidR="006F3606">
        <w:rPr>
          <w:lang w:val="en-GB"/>
        </w:rPr>
        <w:t>.</w:t>
      </w:r>
      <w:r w:rsidRPr="007158E9">
        <w:rPr>
          <w:vertAlign w:val="superscript"/>
          <w:lang w:val="en-GB"/>
        </w:rPr>
        <w:footnoteReference w:id="146"/>
      </w:r>
    </w:p>
    <w:p w14:paraId="42ECDC27" w14:textId="67D23358" w:rsidR="00F35CB9" w:rsidRPr="007158E9" w:rsidRDefault="00F35CB9" w:rsidP="00F35CB9">
      <w:pPr>
        <w:pStyle w:val="SingleTxtG"/>
        <w:ind w:right="567"/>
        <w:rPr>
          <w:lang w:val="en-GB"/>
        </w:rPr>
      </w:pPr>
      <w:r w:rsidRPr="007158E9">
        <w:rPr>
          <w:lang w:val="en-GB"/>
        </w:rPr>
        <w:tab/>
        <w:t>308.</w:t>
      </w:r>
      <w:r w:rsidRPr="007158E9">
        <w:rPr>
          <w:lang w:val="en-GB"/>
        </w:rPr>
        <w:tab/>
        <w:t xml:space="preserve">Several arrests had no legal </w:t>
      </w:r>
      <w:r w:rsidR="006F3606">
        <w:rPr>
          <w:lang w:val="en-GB"/>
        </w:rPr>
        <w:t xml:space="preserve">base since </w:t>
      </w:r>
      <w:r w:rsidRPr="007158E9">
        <w:rPr>
          <w:lang w:val="en-GB"/>
        </w:rPr>
        <w:t>the facts the presumed perpetrators we</w:t>
      </w:r>
      <w:r w:rsidR="006F3606">
        <w:rPr>
          <w:lang w:val="en-GB"/>
        </w:rPr>
        <w:t xml:space="preserve">re accused of were neither an offence </w:t>
      </w:r>
      <w:r w:rsidRPr="007158E9">
        <w:rPr>
          <w:lang w:val="en-GB"/>
        </w:rPr>
        <w:t xml:space="preserve">nor a crime under Burundian </w:t>
      </w:r>
      <w:r w:rsidR="006F3606">
        <w:rPr>
          <w:lang w:val="en-GB"/>
        </w:rPr>
        <w:t>l</w:t>
      </w:r>
      <w:r w:rsidRPr="007158E9">
        <w:rPr>
          <w:lang w:val="en-GB"/>
        </w:rPr>
        <w:t xml:space="preserve">aw. For example, persons who spoke to the Commission mentioned having been arrested </w:t>
      </w:r>
      <w:r w:rsidR="006F3606">
        <w:rPr>
          <w:lang w:val="en-GB"/>
        </w:rPr>
        <w:t xml:space="preserve">because they had </w:t>
      </w:r>
      <w:r w:rsidRPr="007158E9">
        <w:rPr>
          <w:lang w:val="en-GB"/>
        </w:rPr>
        <w:t>denounc</w:t>
      </w:r>
      <w:r w:rsidR="006F3606">
        <w:rPr>
          <w:lang w:val="en-GB"/>
        </w:rPr>
        <w:t>ed</w:t>
      </w:r>
      <w:r w:rsidRPr="007158E9">
        <w:rPr>
          <w:lang w:val="en-GB"/>
        </w:rPr>
        <w:t xml:space="preserve"> violations committed by persons close to power or </w:t>
      </w:r>
      <w:r w:rsidR="006F3606">
        <w:rPr>
          <w:lang w:val="en-GB"/>
        </w:rPr>
        <w:t>because they had</w:t>
      </w:r>
      <w:r w:rsidRPr="007158E9">
        <w:rPr>
          <w:lang w:val="en-GB"/>
        </w:rPr>
        <w:t xml:space="preserve"> refused to </w:t>
      </w:r>
      <w:r w:rsidR="006F3606">
        <w:rPr>
          <w:lang w:val="en-GB"/>
        </w:rPr>
        <w:t>be involved in such violations.</w:t>
      </w:r>
      <w:r w:rsidRPr="007158E9">
        <w:rPr>
          <w:vertAlign w:val="superscript"/>
          <w:lang w:val="en-GB"/>
        </w:rPr>
        <w:footnoteReference w:id="147"/>
      </w:r>
      <w:r w:rsidRPr="007158E9">
        <w:rPr>
          <w:lang w:val="en-GB"/>
        </w:rPr>
        <w:t xml:space="preserve"> Persons were also arrested or briefly detained by authorities looking for one of their relatives</w:t>
      </w:r>
      <w:r w:rsidR="006F3606">
        <w:rPr>
          <w:lang w:val="en-GB"/>
        </w:rPr>
        <w:t>.</w:t>
      </w:r>
      <w:r w:rsidRPr="007158E9">
        <w:rPr>
          <w:vertAlign w:val="superscript"/>
          <w:lang w:val="en-GB"/>
        </w:rPr>
        <w:footnoteReference w:id="148"/>
      </w:r>
      <w:r w:rsidRPr="007158E9">
        <w:rPr>
          <w:lang w:val="en-GB"/>
        </w:rPr>
        <w:t xml:space="preserve"> A witness explained what happened to his father:</w:t>
      </w:r>
    </w:p>
    <w:p w14:paraId="13C690BF" w14:textId="51747CAF" w:rsidR="00F35CB9" w:rsidRPr="007158E9" w:rsidRDefault="00F35CB9" w:rsidP="00F35CB9">
      <w:pPr>
        <w:pStyle w:val="SingleTxtG"/>
        <w:ind w:left="1701" w:right="567"/>
        <w:rPr>
          <w:lang w:val="en-GB"/>
        </w:rPr>
      </w:pPr>
      <w:r w:rsidRPr="007158E9">
        <w:rPr>
          <w:i/>
          <w:lang w:val="en-GB"/>
        </w:rPr>
        <w:tab/>
        <w:t>“The […] Imbonerakure […] came home a</w:t>
      </w:r>
      <w:r w:rsidR="00574104">
        <w:rPr>
          <w:i/>
          <w:lang w:val="en-GB"/>
        </w:rPr>
        <w:t>t [X] and [said] to my father:</w:t>
      </w:r>
      <w:r w:rsidR="00574104">
        <w:rPr>
          <w:i/>
          <w:lang w:val="en-GB"/>
        </w:rPr>
        <w:tab/>
        <w:t>‘</w:t>
      </w:r>
      <w:r w:rsidRPr="007158E9">
        <w:rPr>
          <w:i/>
          <w:lang w:val="en-GB"/>
        </w:rPr>
        <w:t>Give us your sons</w:t>
      </w:r>
      <w:r w:rsidR="00574104">
        <w:rPr>
          <w:i/>
          <w:lang w:val="en-GB"/>
        </w:rPr>
        <w:t>’. My father replied: ‘</w:t>
      </w:r>
      <w:r w:rsidRPr="007158E9">
        <w:rPr>
          <w:i/>
          <w:lang w:val="en-GB"/>
        </w:rPr>
        <w:t>I do not know where my sons are presently</w:t>
      </w:r>
      <w:r w:rsidR="00574104">
        <w:rPr>
          <w:i/>
          <w:lang w:val="en-GB"/>
        </w:rPr>
        <w:t>’</w:t>
      </w:r>
      <w:r w:rsidRPr="007158E9">
        <w:rPr>
          <w:i/>
          <w:lang w:val="en-GB"/>
        </w:rPr>
        <w:t>. He was taken to the communal police of [Y]. He was in</w:t>
      </w:r>
      <w:r w:rsidR="00574104">
        <w:rPr>
          <w:i/>
          <w:lang w:val="en-GB"/>
        </w:rPr>
        <w:t>terrogated and they asked him: ‘</w:t>
      </w:r>
      <w:r w:rsidRPr="007158E9">
        <w:rPr>
          <w:i/>
          <w:lang w:val="en-GB"/>
        </w:rPr>
        <w:t>Where are your sons?</w:t>
      </w:r>
      <w:r w:rsidR="00574104">
        <w:rPr>
          <w:i/>
          <w:lang w:val="en-GB"/>
        </w:rPr>
        <w:t>’</w:t>
      </w:r>
      <w:r w:rsidRPr="007158E9">
        <w:rPr>
          <w:i/>
          <w:lang w:val="en-GB"/>
        </w:rPr>
        <w:t xml:space="preserve"> He replied again that h</w:t>
      </w:r>
      <w:r w:rsidR="00574104">
        <w:rPr>
          <w:i/>
          <w:lang w:val="en-GB"/>
        </w:rPr>
        <w:t>e did not know. They told him: ‘</w:t>
      </w:r>
      <w:r w:rsidRPr="007158E9">
        <w:rPr>
          <w:i/>
          <w:lang w:val="en-GB"/>
        </w:rPr>
        <w:t>Your sons are wanted and must be arrested, if not, it is you who will be condemned</w:t>
      </w:r>
      <w:r w:rsidR="00574104">
        <w:rPr>
          <w:i/>
          <w:lang w:val="en-GB"/>
        </w:rPr>
        <w:t>’</w:t>
      </w:r>
      <w:r w:rsidRPr="007158E9">
        <w:rPr>
          <w:i/>
          <w:lang w:val="en-GB"/>
        </w:rPr>
        <w:t>. My father told me that when he arrived at the police post, the police chief named [D] interrogated him. He was beating him at the same time”</w:t>
      </w:r>
      <w:r w:rsidR="006F3606">
        <w:rPr>
          <w:i/>
          <w:lang w:val="en-GB"/>
        </w:rPr>
        <w:t>.</w:t>
      </w:r>
      <w:r w:rsidRPr="007158E9">
        <w:rPr>
          <w:vertAlign w:val="superscript"/>
          <w:lang w:val="en-GB"/>
        </w:rPr>
        <w:footnoteReference w:id="149"/>
      </w:r>
    </w:p>
    <w:p w14:paraId="43ABBB4A" w14:textId="461C1B6D" w:rsidR="00F35CB9" w:rsidRPr="007158E9" w:rsidRDefault="00F35CB9" w:rsidP="00F35CB9">
      <w:pPr>
        <w:pStyle w:val="SingleTxtG"/>
        <w:ind w:right="567"/>
        <w:rPr>
          <w:lang w:val="en-GB"/>
        </w:rPr>
      </w:pPr>
      <w:r w:rsidRPr="007158E9">
        <w:rPr>
          <w:lang w:val="en-GB"/>
        </w:rPr>
        <w:tab/>
        <w:t>309.</w:t>
      </w:r>
      <w:r w:rsidRPr="007158E9">
        <w:rPr>
          <w:lang w:val="en-GB"/>
        </w:rPr>
        <w:tab/>
        <w:t xml:space="preserve">Other persons were arrested and detained for a few days because they refused to register to vote or had called on </w:t>
      </w:r>
      <w:r w:rsidR="006F3606">
        <w:rPr>
          <w:lang w:val="en-GB"/>
        </w:rPr>
        <w:t>citizens</w:t>
      </w:r>
      <w:r w:rsidRPr="007158E9">
        <w:rPr>
          <w:lang w:val="en-GB"/>
        </w:rPr>
        <w:t xml:space="preserve"> to reject the constitutional </w:t>
      </w:r>
      <w:r w:rsidR="006F3606">
        <w:rPr>
          <w:lang w:val="en-GB"/>
        </w:rPr>
        <w:t>revision.</w:t>
      </w:r>
      <w:r w:rsidRPr="007158E9">
        <w:rPr>
          <w:vertAlign w:val="superscript"/>
          <w:lang w:val="en-GB"/>
        </w:rPr>
        <w:footnoteReference w:id="150"/>
      </w:r>
      <w:r w:rsidRPr="007158E9">
        <w:rPr>
          <w:lang w:val="en-GB"/>
        </w:rPr>
        <w:t xml:space="preserve"> Other persons who had been released following their acquittal, </w:t>
      </w:r>
      <w:r w:rsidR="006F3606">
        <w:rPr>
          <w:lang w:val="en-GB"/>
        </w:rPr>
        <w:t>a</w:t>
      </w:r>
      <w:r w:rsidRPr="007158E9">
        <w:rPr>
          <w:lang w:val="en-GB"/>
        </w:rPr>
        <w:t xml:space="preserve"> presidential pardon or after their case had been closed by the prosecution were arrested anew without any legal base, generally by</w:t>
      </w:r>
      <w:r w:rsidR="006F3606">
        <w:rPr>
          <w:lang w:val="en-GB"/>
        </w:rPr>
        <w:t xml:space="preserve"> </w:t>
      </w:r>
      <w:r w:rsidRPr="007158E9">
        <w:rPr>
          <w:lang w:val="en-GB"/>
        </w:rPr>
        <w:t>Imbonerakure or local administration agents, or even police or SNR agents, who believed that these persons should not have been released by the judicial authorities.</w:t>
      </w:r>
      <w:r w:rsidRPr="007158E9">
        <w:rPr>
          <w:vertAlign w:val="superscript"/>
          <w:lang w:val="en-GB"/>
        </w:rPr>
        <w:footnoteReference w:id="151"/>
      </w:r>
    </w:p>
    <w:p w14:paraId="2E3CDFCC" w14:textId="53D3C38A" w:rsidR="00F35CB9" w:rsidRPr="007158E9" w:rsidRDefault="00F35CB9" w:rsidP="00F35CB9">
      <w:pPr>
        <w:pStyle w:val="SingleTxtG"/>
        <w:ind w:right="567"/>
        <w:rPr>
          <w:lang w:val="en-GB"/>
        </w:rPr>
      </w:pPr>
      <w:r w:rsidRPr="007158E9">
        <w:rPr>
          <w:lang w:val="en-GB"/>
        </w:rPr>
        <w:tab/>
        <w:t>310.</w:t>
      </w:r>
      <w:r w:rsidRPr="007158E9">
        <w:rPr>
          <w:lang w:val="en-GB"/>
        </w:rPr>
        <w:tab/>
        <w:t xml:space="preserve">The arbitrary and abusive character of these arrests should have been taken into consideration by judicial authorities, namely during the </w:t>
      </w:r>
      <w:r w:rsidR="006F3606">
        <w:rPr>
          <w:lang w:val="en-GB"/>
        </w:rPr>
        <w:t xml:space="preserve">process to decide to put them in </w:t>
      </w:r>
      <w:r w:rsidRPr="007158E9">
        <w:rPr>
          <w:lang w:val="en-GB"/>
        </w:rPr>
        <w:t xml:space="preserve">preventive detention. </w:t>
      </w:r>
      <w:r w:rsidR="006F3606">
        <w:rPr>
          <w:lang w:val="en-GB"/>
        </w:rPr>
        <w:t xml:space="preserve">Excessive </w:t>
      </w:r>
      <w:r w:rsidRPr="007158E9">
        <w:rPr>
          <w:lang w:val="en-GB"/>
        </w:rPr>
        <w:t>use of force during arrests was also reported</w:t>
      </w:r>
      <w:r w:rsidR="00B831ED">
        <w:rPr>
          <w:lang w:val="en-GB"/>
        </w:rPr>
        <w:t>.</w:t>
      </w:r>
      <w:r w:rsidRPr="007158E9">
        <w:rPr>
          <w:sz w:val="18"/>
          <w:vertAlign w:val="superscript"/>
          <w:lang w:val="en-GB"/>
        </w:rPr>
        <w:footnoteReference w:id="152"/>
      </w:r>
      <w:r w:rsidRPr="007158E9">
        <w:rPr>
          <w:lang w:val="en-GB"/>
        </w:rPr>
        <w:t xml:space="preserve"> However, these aspects were quasi systematically ignored and led to detentions that were also arbitrary</w:t>
      </w:r>
      <w:r w:rsidR="006F3606">
        <w:rPr>
          <w:lang w:val="en-GB"/>
        </w:rPr>
        <w:t>.</w:t>
      </w:r>
      <w:r w:rsidRPr="007158E9">
        <w:rPr>
          <w:sz w:val="18"/>
          <w:szCs w:val="18"/>
          <w:vertAlign w:val="superscript"/>
          <w:lang w:val="en-GB"/>
        </w:rPr>
        <w:footnoteReference w:id="153"/>
      </w:r>
    </w:p>
    <w:p w14:paraId="70626DBF" w14:textId="77777777" w:rsidR="00F35CB9" w:rsidRPr="007158E9" w:rsidRDefault="00F35CB9" w:rsidP="00F35CB9">
      <w:pPr>
        <w:pStyle w:val="H56G"/>
        <w:rPr>
          <w:b/>
          <w:lang w:val="en-GB"/>
        </w:rPr>
      </w:pPr>
      <w:r w:rsidRPr="007158E9">
        <w:rPr>
          <w:lang w:val="en-GB"/>
        </w:rPr>
        <w:tab/>
      </w:r>
      <w:r w:rsidRPr="007158E9">
        <w:rPr>
          <w:b/>
          <w:lang w:val="en-GB"/>
        </w:rPr>
        <w:t>(ii)</w:t>
      </w:r>
      <w:r w:rsidRPr="007158E9">
        <w:rPr>
          <w:b/>
          <w:lang w:val="en-GB"/>
        </w:rPr>
        <w:tab/>
        <w:t>Main perpetrators</w:t>
      </w:r>
    </w:p>
    <w:p w14:paraId="0B193406" w14:textId="71EA1ACE" w:rsidR="00F35CB9" w:rsidRPr="007158E9" w:rsidRDefault="00F35CB9" w:rsidP="00F35CB9">
      <w:pPr>
        <w:pStyle w:val="SingleTxtG"/>
        <w:ind w:right="567"/>
        <w:rPr>
          <w:lang w:val="en-GB"/>
        </w:rPr>
      </w:pPr>
      <w:r w:rsidRPr="007158E9">
        <w:rPr>
          <w:lang w:val="en-GB"/>
        </w:rPr>
        <w:tab/>
        <w:t>311.</w:t>
      </w:r>
      <w:r w:rsidRPr="007158E9">
        <w:rPr>
          <w:lang w:val="en-GB"/>
        </w:rPr>
        <w:tab/>
        <w:t xml:space="preserve">Amongst the security and law </w:t>
      </w:r>
      <w:r w:rsidR="00E3705E">
        <w:rPr>
          <w:lang w:val="en-GB"/>
        </w:rPr>
        <w:t>enforcement forces, the police wa</w:t>
      </w:r>
      <w:r w:rsidRPr="007158E9">
        <w:rPr>
          <w:lang w:val="en-GB"/>
        </w:rPr>
        <w:t>s still responsible for several cases of arbitrary arrest</w:t>
      </w:r>
      <w:r w:rsidR="00E3705E">
        <w:rPr>
          <w:lang w:val="en-GB"/>
        </w:rPr>
        <w:t>,</w:t>
      </w:r>
      <w:r w:rsidRPr="007158E9">
        <w:rPr>
          <w:vertAlign w:val="superscript"/>
          <w:lang w:val="en-GB"/>
        </w:rPr>
        <w:footnoteReference w:id="154"/>
      </w:r>
      <w:r w:rsidRPr="007158E9">
        <w:rPr>
          <w:lang w:val="en-GB"/>
        </w:rPr>
        <w:t xml:space="preserve"> but it seems that its specialised units, such as API, BAE and GMIR and the </w:t>
      </w:r>
      <w:r w:rsidRPr="007158E9">
        <w:rPr>
          <w:i/>
          <w:lang w:val="en-GB"/>
        </w:rPr>
        <w:t xml:space="preserve">Bureau spécial de recherche </w:t>
      </w:r>
      <w:r w:rsidRPr="007158E9">
        <w:rPr>
          <w:lang w:val="en-GB"/>
        </w:rPr>
        <w:t>(BSR),</w:t>
      </w:r>
      <w:r w:rsidR="00E3705E">
        <w:rPr>
          <w:lang w:val="en-GB"/>
        </w:rPr>
        <w:t xml:space="preserve"> we</w:t>
      </w:r>
      <w:r w:rsidRPr="007158E9">
        <w:rPr>
          <w:lang w:val="en-GB"/>
        </w:rPr>
        <w:t>re mentioned less often in the witness accounts collected in the Commission’s second term. Members of SNR</w:t>
      </w:r>
      <w:r w:rsidRPr="007158E9">
        <w:rPr>
          <w:vertAlign w:val="superscript"/>
          <w:lang w:val="en-GB"/>
        </w:rPr>
        <w:footnoteReference w:id="155"/>
      </w:r>
      <w:r w:rsidR="00E3705E">
        <w:rPr>
          <w:lang w:val="en-GB"/>
        </w:rPr>
        <w:t xml:space="preserve"> and the A</w:t>
      </w:r>
      <w:r w:rsidRPr="007158E9">
        <w:rPr>
          <w:lang w:val="en-GB"/>
        </w:rPr>
        <w:t>rmy</w:t>
      </w:r>
      <w:r w:rsidRPr="007158E9">
        <w:rPr>
          <w:vertAlign w:val="superscript"/>
          <w:lang w:val="en-GB"/>
        </w:rPr>
        <w:footnoteReference w:id="156"/>
      </w:r>
      <w:r w:rsidRPr="007158E9">
        <w:rPr>
          <w:lang w:val="en-GB"/>
        </w:rPr>
        <w:t xml:space="preserve"> have also continued to make arbitrary arrests, sometimes in collaboration with the police, but to a lesser extent than in the past</w:t>
      </w:r>
      <w:r w:rsidR="00E3705E">
        <w:rPr>
          <w:lang w:val="en-GB"/>
        </w:rPr>
        <w:t>,</w:t>
      </w:r>
      <w:r w:rsidRPr="007158E9">
        <w:rPr>
          <w:lang w:val="en-GB"/>
        </w:rPr>
        <w:t xml:space="preserve"> according to witness accounts.</w:t>
      </w:r>
    </w:p>
    <w:p w14:paraId="60ED7290" w14:textId="6CA82640" w:rsidR="00F35CB9" w:rsidRPr="007158E9" w:rsidRDefault="00F35CB9" w:rsidP="00F35CB9">
      <w:pPr>
        <w:pStyle w:val="SingleTxtG"/>
        <w:ind w:right="567"/>
        <w:rPr>
          <w:lang w:val="en-GB"/>
        </w:rPr>
      </w:pPr>
      <w:r w:rsidRPr="007158E9">
        <w:rPr>
          <w:lang w:val="en-GB"/>
        </w:rPr>
        <w:tab/>
        <w:t>312.</w:t>
      </w:r>
      <w:r w:rsidRPr="007158E9">
        <w:rPr>
          <w:lang w:val="en-GB"/>
        </w:rPr>
        <w:tab/>
        <w:t xml:space="preserve">On the contrary, Imbonerakure, </w:t>
      </w:r>
      <w:r w:rsidR="00E3705E">
        <w:rPr>
          <w:lang w:val="en-GB"/>
        </w:rPr>
        <w:t>we</w:t>
      </w:r>
      <w:r w:rsidRPr="007158E9">
        <w:rPr>
          <w:lang w:val="en-GB"/>
        </w:rPr>
        <w:t xml:space="preserve">re increasingly more responsible of arbitrary arrests than in 2015 and 2016. They apprehended several persons while acting alone, often as subsidiaries of law enforcement and security forces in the </w:t>
      </w:r>
      <w:r w:rsidR="00E3705E">
        <w:rPr>
          <w:lang w:val="en-GB"/>
        </w:rPr>
        <w:t>rural areas</w:t>
      </w:r>
      <w:r w:rsidRPr="007158E9">
        <w:rPr>
          <w:lang w:val="en-GB"/>
        </w:rPr>
        <w:t xml:space="preserve"> where the latter are not always present, despite the fact that they are not legally authorised to make arrests</w:t>
      </w:r>
      <w:r w:rsidR="00E3705E">
        <w:rPr>
          <w:lang w:val="en-GB"/>
        </w:rPr>
        <w:t>.</w:t>
      </w:r>
      <w:r w:rsidRPr="007158E9">
        <w:rPr>
          <w:vertAlign w:val="superscript"/>
          <w:lang w:val="en-GB"/>
        </w:rPr>
        <w:footnoteReference w:id="157"/>
      </w:r>
      <w:r w:rsidRPr="007158E9">
        <w:rPr>
          <w:lang w:val="en-GB"/>
        </w:rPr>
        <w:t xml:space="preserve"> The Commission collected witness accounts reporting the implication of Imbonerakure in the fabrication of false accusations to justify the arrest of some persons</w:t>
      </w:r>
      <w:r w:rsidR="00E3705E">
        <w:rPr>
          <w:lang w:val="en-GB"/>
        </w:rPr>
        <w:t>.</w:t>
      </w:r>
      <w:r w:rsidRPr="007158E9">
        <w:rPr>
          <w:vertAlign w:val="superscript"/>
          <w:lang w:val="en-GB"/>
        </w:rPr>
        <w:footnoteReference w:id="158"/>
      </w:r>
      <w:r w:rsidRPr="007158E9">
        <w:rPr>
          <w:lang w:val="en-GB"/>
        </w:rPr>
        <w:t xml:space="preserve"> In several cases, Imbonerakure were present during the arrest done by law enforcement forces and sometimes took on an active role, for example by identifying the person to apprehend</w:t>
      </w:r>
      <w:r w:rsidR="00E3705E">
        <w:rPr>
          <w:lang w:val="en-GB"/>
        </w:rPr>
        <w:t>.</w:t>
      </w:r>
      <w:r w:rsidRPr="007158E9">
        <w:rPr>
          <w:vertAlign w:val="superscript"/>
          <w:lang w:val="en-GB"/>
        </w:rPr>
        <w:footnoteReference w:id="159"/>
      </w:r>
      <w:r w:rsidRPr="007158E9">
        <w:rPr>
          <w:lang w:val="en-GB"/>
        </w:rPr>
        <w:t xml:space="preserve"> A victim </w:t>
      </w:r>
      <w:r w:rsidR="00E3705E">
        <w:rPr>
          <w:lang w:val="en-GB"/>
        </w:rPr>
        <w:t>explain</w:t>
      </w:r>
      <w:r w:rsidRPr="007158E9">
        <w:rPr>
          <w:lang w:val="en-GB"/>
        </w:rPr>
        <w:t>ed:</w:t>
      </w:r>
    </w:p>
    <w:p w14:paraId="1050FAD9" w14:textId="10F58F3B" w:rsidR="00F35CB9" w:rsidRPr="007158E9" w:rsidRDefault="00F35CB9" w:rsidP="00F35CB9">
      <w:pPr>
        <w:pStyle w:val="SingleTxtG"/>
        <w:ind w:left="1701" w:right="567"/>
        <w:rPr>
          <w:lang w:val="en-GB"/>
        </w:rPr>
      </w:pPr>
      <w:r w:rsidRPr="007158E9">
        <w:rPr>
          <w:i/>
          <w:lang w:val="en-GB"/>
        </w:rPr>
        <w:tab/>
        <w:t>“In July 2017, I went home for the holidays […]. As soon as I arrived home, […] I was arrested. No sooner had I dropped my affairs, […] around 20:00, Imbonerakure […], one of whom had a gun, wearing dark blue police coats, came into my house. They asked me where I had been and if I was coming from the rebellion. They hit me with their boots in my ribs and on the back […] Then the Imbonerakure took me to the prison in the commune of [Y]”</w:t>
      </w:r>
      <w:r w:rsidR="00E3705E">
        <w:rPr>
          <w:i/>
          <w:lang w:val="en-GB"/>
        </w:rPr>
        <w:t>.</w:t>
      </w:r>
      <w:r w:rsidRPr="007158E9">
        <w:rPr>
          <w:vertAlign w:val="superscript"/>
          <w:lang w:val="en-GB"/>
        </w:rPr>
        <w:footnoteReference w:id="160"/>
      </w:r>
    </w:p>
    <w:p w14:paraId="0DB405F7" w14:textId="5E8E6DBA" w:rsidR="00F35CB9" w:rsidRPr="007158E9" w:rsidRDefault="00F35CB9" w:rsidP="00F35CB9">
      <w:pPr>
        <w:pStyle w:val="SingleTxtG"/>
        <w:ind w:right="567"/>
        <w:rPr>
          <w:lang w:val="en-GB"/>
        </w:rPr>
      </w:pPr>
      <w:r w:rsidRPr="007158E9">
        <w:rPr>
          <w:lang w:val="en-GB"/>
        </w:rPr>
        <w:t>313.</w:t>
      </w:r>
      <w:r w:rsidRPr="007158E9">
        <w:rPr>
          <w:lang w:val="en-GB"/>
        </w:rPr>
        <w:tab/>
        <w:t xml:space="preserve">The local administration officials, namely the chefs de </w:t>
      </w:r>
      <w:r w:rsidRPr="007158E9">
        <w:rPr>
          <w:i/>
          <w:lang w:val="en-GB"/>
        </w:rPr>
        <w:t>colline</w:t>
      </w:r>
      <w:r w:rsidRPr="007158E9">
        <w:rPr>
          <w:lang w:val="en-GB"/>
        </w:rPr>
        <w:t>, the communal administrators and even the governors of province, have also been implicated in arbitrary arrests. They gave orders to Imbonerakure or the police to arrest certain individuals while they had no legal authorisation to do so. They were present during some arrests</w:t>
      </w:r>
      <w:r w:rsidR="00E3705E">
        <w:rPr>
          <w:lang w:val="en-GB"/>
        </w:rPr>
        <w:t>.</w:t>
      </w:r>
      <w:r w:rsidRPr="007158E9">
        <w:rPr>
          <w:vertAlign w:val="superscript"/>
          <w:lang w:val="en-GB"/>
        </w:rPr>
        <w:footnoteReference w:id="161"/>
      </w:r>
      <w:r w:rsidRPr="007158E9">
        <w:rPr>
          <w:lang w:val="en-GB"/>
        </w:rPr>
        <w:t xml:space="preserve"> A victim </w:t>
      </w:r>
      <w:r w:rsidR="00E3705E">
        <w:rPr>
          <w:lang w:val="en-GB"/>
        </w:rPr>
        <w:t>stat</w:t>
      </w:r>
      <w:r w:rsidRPr="007158E9">
        <w:rPr>
          <w:lang w:val="en-GB"/>
        </w:rPr>
        <w:t>ed:</w:t>
      </w:r>
    </w:p>
    <w:p w14:paraId="4E5591DF" w14:textId="21FDB727" w:rsidR="00F35CB9" w:rsidRPr="007158E9" w:rsidRDefault="00F35CB9" w:rsidP="00F35CB9">
      <w:pPr>
        <w:pStyle w:val="SingleTxtG"/>
        <w:ind w:left="1701" w:right="567"/>
        <w:rPr>
          <w:lang w:val="en-GB"/>
        </w:rPr>
      </w:pPr>
      <w:r w:rsidRPr="007158E9">
        <w:rPr>
          <w:i/>
          <w:iCs/>
          <w:lang w:val="en-GB"/>
        </w:rPr>
        <w:tab/>
        <w:t>“[…We] were arrested […] [The administrati</w:t>
      </w:r>
      <w:r w:rsidR="00E3705E">
        <w:rPr>
          <w:i/>
          <w:iCs/>
          <w:lang w:val="en-GB"/>
        </w:rPr>
        <w:t>ve</w:t>
      </w:r>
      <w:r w:rsidRPr="007158E9">
        <w:rPr>
          <w:i/>
          <w:iCs/>
          <w:lang w:val="en-GB"/>
        </w:rPr>
        <w:t xml:space="preserve"> authority] thought that we were looking for information […] He asked </w:t>
      </w:r>
      <w:r w:rsidR="00E3705E">
        <w:rPr>
          <w:i/>
          <w:iCs/>
          <w:lang w:val="en-GB"/>
        </w:rPr>
        <w:t>a</w:t>
      </w:r>
      <w:r w:rsidRPr="007158E9">
        <w:rPr>
          <w:i/>
          <w:iCs/>
          <w:lang w:val="en-GB"/>
        </w:rPr>
        <w:t xml:space="preserve"> judicial police</w:t>
      </w:r>
      <w:r w:rsidR="00E3705E">
        <w:rPr>
          <w:i/>
          <w:iCs/>
          <w:lang w:val="en-GB"/>
        </w:rPr>
        <w:t xml:space="preserve"> officer</w:t>
      </w:r>
      <w:r w:rsidRPr="007158E9">
        <w:rPr>
          <w:i/>
          <w:iCs/>
          <w:lang w:val="en-GB"/>
        </w:rPr>
        <w:t xml:space="preserve"> to prepare a case against us […]”</w:t>
      </w:r>
      <w:r w:rsidR="00E3705E">
        <w:rPr>
          <w:i/>
          <w:iCs/>
          <w:lang w:val="en-GB"/>
        </w:rPr>
        <w:t>.</w:t>
      </w:r>
      <w:r w:rsidRPr="007158E9">
        <w:rPr>
          <w:vertAlign w:val="superscript"/>
          <w:lang w:val="en-GB"/>
        </w:rPr>
        <w:footnoteReference w:id="162"/>
      </w:r>
    </w:p>
    <w:p w14:paraId="43C9FA3E" w14:textId="5288186D" w:rsidR="00F35CB9" w:rsidRPr="007158E9" w:rsidRDefault="00F35CB9" w:rsidP="00F35CB9">
      <w:pPr>
        <w:pStyle w:val="SingleTxtG"/>
        <w:ind w:right="567"/>
        <w:rPr>
          <w:lang w:val="en-GB"/>
        </w:rPr>
      </w:pPr>
      <w:r w:rsidRPr="007158E9">
        <w:rPr>
          <w:lang w:val="en-GB"/>
        </w:rPr>
        <w:tab/>
        <w:t>314.</w:t>
      </w:r>
      <w:r w:rsidRPr="007158E9">
        <w:rPr>
          <w:lang w:val="en-GB"/>
        </w:rPr>
        <w:tab/>
        <w:t xml:space="preserve">The Commission received </w:t>
      </w:r>
      <w:r w:rsidR="00E3705E">
        <w:rPr>
          <w:lang w:val="en-GB"/>
        </w:rPr>
        <w:t>information</w:t>
      </w:r>
      <w:r w:rsidRPr="007158E9">
        <w:rPr>
          <w:lang w:val="en-GB"/>
        </w:rPr>
        <w:t xml:space="preserve"> that officials from SNR, police, CNDD-FDD and Imbonerakure at the commune or zone level, continue</w:t>
      </w:r>
      <w:r w:rsidR="00E3705E">
        <w:rPr>
          <w:lang w:val="en-GB"/>
        </w:rPr>
        <w:t>d</w:t>
      </w:r>
      <w:r w:rsidRPr="007158E9">
        <w:rPr>
          <w:lang w:val="en-GB"/>
        </w:rPr>
        <w:t xml:space="preserve"> to meet regularly in order to identify the possible opponents and to plan the arrests. Some of the arrested persons have later been detained arbitrarily, whereas others went missing</w:t>
      </w:r>
      <w:r w:rsidR="00E3705E">
        <w:rPr>
          <w:lang w:val="en-GB"/>
        </w:rPr>
        <w:t>.</w:t>
      </w:r>
      <w:r w:rsidRPr="007158E9">
        <w:rPr>
          <w:vertAlign w:val="superscript"/>
          <w:lang w:val="en-GB"/>
        </w:rPr>
        <w:footnoteReference w:id="163"/>
      </w:r>
      <w:r w:rsidRPr="007158E9">
        <w:rPr>
          <w:lang w:val="en-GB"/>
        </w:rPr>
        <w:t xml:space="preserve"> A witness explained:</w:t>
      </w:r>
    </w:p>
    <w:p w14:paraId="3691FB62" w14:textId="7CA223BD" w:rsidR="00F35CB9" w:rsidRPr="007158E9" w:rsidRDefault="00F35CB9" w:rsidP="00F35CB9">
      <w:pPr>
        <w:pStyle w:val="SingleTxtG"/>
        <w:ind w:left="1701" w:right="567"/>
        <w:rPr>
          <w:lang w:val="en-GB"/>
        </w:rPr>
      </w:pPr>
      <w:r w:rsidRPr="007158E9">
        <w:rPr>
          <w:i/>
          <w:lang w:val="en-GB"/>
        </w:rPr>
        <w:tab/>
        <w:t>“On […] 2018, a meeting took place at the headquarters of the zone of [X] […] The objective was to [identify] the persons who could be troublemakers in the commune. These types of meetings take place regularly to discuss security issues. At the time of the meeting, the representative[s] of [X] spoke of […] persons […] They accused them of disrupting the system of the party in the zone. For the good and the stability of the system, these […] persons should no longer stay in the zone”</w:t>
      </w:r>
      <w:r w:rsidR="00E3705E">
        <w:rPr>
          <w:i/>
          <w:lang w:val="en-GB"/>
        </w:rPr>
        <w:t>.</w:t>
      </w:r>
      <w:r w:rsidRPr="007158E9">
        <w:rPr>
          <w:vertAlign w:val="superscript"/>
          <w:lang w:val="en-GB"/>
        </w:rPr>
        <w:footnoteReference w:id="164"/>
      </w:r>
    </w:p>
    <w:p w14:paraId="1965B6CB" w14:textId="77777777" w:rsidR="00F35CB9" w:rsidRPr="007158E9" w:rsidRDefault="00F35CB9" w:rsidP="00F35CB9">
      <w:pPr>
        <w:pStyle w:val="H4G"/>
        <w:rPr>
          <w:b/>
          <w:i w:val="0"/>
          <w:lang w:val="en-GB"/>
        </w:rPr>
      </w:pPr>
      <w:r w:rsidRPr="007158E9">
        <w:rPr>
          <w:b/>
          <w:i w:val="0"/>
          <w:lang w:val="en-GB"/>
        </w:rPr>
        <w:tab/>
        <w:t>(c)</w:t>
      </w:r>
      <w:r w:rsidRPr="007158E9">
        <w:rPr>
          <w:b/>
          <w:i w:val="0"/>
          <w:lang w:val="en-GB"/>
        </w:rPr>
        <w:tab/>
        <w:t xml:space="preserve">Arbitrary detention </w:t>
      </w:r>
    </w:p>
    <w:p w14:paraId="6E225B91" w14:textId="77777777" w:rsidR="00F35CB9" w:rsidRPr="007158E9" w:rsidRDefault="00F35CB9" w:rsidP="00F35CB9">
      <w:pPr>
        <w:pStyle w:val="H56G"/>
        <w:rPr>
          <w:b/>
          <w:lang w:val="en-GB"/>
        </w:rPr>
      </w:pPr>
      <w:r w:rsidRPr="007158E9">
        <w:rPr>
          <w:lang w:val="en-GB"/>
        </w:rPr>
        <w:tab/>
      </w:r>
      <w:r w:rsidRPr="007158E9">
        <w:rPr>
          <w:b/>
          <w:lang w:val="en-GB"/>
        </w:rPr>
        <w:t>(i)</w:t>
      </w:r>
      <w:r w:rsidRPr="007158E9">
        <w:rPr>
          <w:b/>
          <w:lang w:val="en-GB"/>
        </w:rPr>
        <w:tab/>
        <w:t>Arbitrariness of detentions</w:t>
      </w:r>
    </w:p>
    <w:p w14:paraId="371FB101" w14:textId="31B87BB1" w:rsidR="00F35CB9" w:rsidRPr="007158E9" w:rsidRDefault="00F35CB9" w:rsidP="00F35CB9">
      <w:pPr>
        <w:pStyle w:val="SingleTxtG"/>
        <w:ind w:right="567"/>
        <w:rPr>
          <w:lang w:val="en-GB"/>
        </w:rPr>
      </w:pPr>
      <w:r w:rsidRPr="007158E9">
        <w:rPr>
          <w:lang w:val="en-GB"/>
        </w:rPr>
        <w:tab/>
        <w:t>315.</w:t>
      </w:r>
      <w:r w:rsidRPr="007158E9">
        <w:rPr>
          <w:lang w:val="en-GB"/>
        </w:rPr>
        <w:tab/>
      </w:r>
      <w:r w:rsidR="00E3705E">
        <w:rPr>
          <w:lang w:val="en-GB"/>
        </w:rPr>
        <w:t>Under</w:t>
      </w:r>
      <w:r w:rsidRPr="007158E9">
        <w:rPr>
          <w:lang w:val="en-GB"/>
        </w:rPr>
        <w:t xml:space="preserve"> international law, a detention can be qualified as arbitrary for various reasons, </w:t>
      </w:r>
      <w:r w:rsidR="00E3705E">
        <w:rPr>
          <w:lang w:val="en-GB"/>
        </w:rPr>
        <w:t>in particular</w:t>
      </w:r>
      <w:r w:rsidRPr="007158E9">
        <w:rPr>
          <w:lang w:val="en-GB"/>
        </w:rPr>
        <w:t xml:space="preserve"> be</w:t>
      </w:r>
      <w:r w:rsidR="00E3705E">
        <w:rPr>
          <w:lang w:val="en-GB"/>
        </w:rPr>
        <w:t>cause it has no legal base;</w:t>
      </w:r>
      <w:r w:rsidRPr="007158E9">
        <w:rPr>
          <w:lang w:val="en-GB"/>
        </w:rPr>
        <w:t xml:space="preserve"> when due to the exercise of f</w:t>
      </w:r>
      <w:r w:rsidR="00E3705E">
        <w:rPr>
          <w:lang w:val="en-GB"/>
        </w:rPr>
        <w:t>undamental rights and liberties;</w:t>
      </w:r>
      <w:r w:rsidRPr="007158E9">
        <w:rPr>
          <w:lang w:val="en-GB"/>
        </w:rPr>
        <w:t xml:space="preserve"> </w:t>
      </w:r>
      <w:r w:rsidR="00E3705E">
        <w:rPr>
          <w:lang w:val="en-GB"/>
        </w:rPr>
        <w:t xml:space="preserve">or </w:t>
      </w:r>
      <w:r w:rsidRPr="007158E9">
        <w:rPr>
          <w:lang w:val="en-GB"/>
        </w:rPr>
        <w:t>when the international norms on the right to a fair trial have been totally or partially infringed upon</w:t>
      </w:r>
      <w:r w:rsidR="00E3705E">
        <w:rPr>
          <w:lang w:val="en-GB"/>
        </w:rPr>
        <w:t>.</w:t>
      </w:r>
      <w:r w:rsidRPr="007158E9">
        <w:rPr>
          <w:vertAlign w:val="superscript"/>
          <w:lang w:val="en-GB"/>
        </w:rPr>
        <w:footnoteReference w:id="165"/>
      </w:r>
      <w:r w:rsidRPr="007158E9">
        <w:rPr>
          <w:lang w:val="en-GB"/>
        </w:rPr>
        <w:t xml:space="preserve"> In Burundi, several persons accumulate various types of arbitrary detention.</w:t>
      </w:r>
    </w:p>
    <w:p w14:paraId="55D6396C" w14:textId="55EDF7CD" w:rsidR="00F35CB9" w:rsidRPr="007158E9" w:rsidRDefault="00F35CB9" w:rsidP="00F35CB9">
      <w:pPr>
        <w:pStyle w:val="SingleTxtG"/>
        <w:rPr>
          <w:i/>
          <w:lang w:val="en-GB"/>
        </w:rPr>
      </w:pPr>
      <w:r w:rsidRPr="007158E9">
        <w:rPr>
          <w:i/>
          <w:lang w:val="en-GB"/>
        </w:rPr>
        <w:t>Détention with no legal bas</w:t>
      </w:r>
      <w:r w:rsidR="00E3705E">
        <w:rPr>
          <w:i/>
          <w:lang w:val="en-GB"/>
        </w:rPr>
        <w:t>e</w:t>
      </w:r>
    </w:p>
    <w:p w14:paraId="1665B7B5" w14:textId="2DC9B3CB" w:rsidR="00F35CB9" w:rsidRPr="007158E9" w:rsidRDefault="00F35CB9" w:rsidP="00F35CB9">
      <w:pPr>
        <w:pStyle w:val="SingleTxtG"/>
        <w:ind w:right="567"/>
        <w:rPr>
          <w:lang w:val="en-GB"/>
        </w:rPr>
      </w:pPr>
      <w:r w:rsidRPr="007158E9">
        <w:rPr>
          <w:lang w:val="en-GB"/>
        </w:rPr>
        <w:tab/>
        <w:t>316.</w:t>
      </w:r>
      <w:r w:rsidRPr="007158E9">
        <w:rPr>
          <w:lang w:val="en-GB"/>
        </w:rPr>
        <w:tab/>
      </w:r>
      <w:r w:rsidR="00E3705E">
        <w:rPr>
          <w:lang w:val="en-GB"/>
        </w:rPr>
        <w:t>Numerous</w:t>
      </w:r>
      <w:r w:rsidRPr="007158E9">
        <w:rPr>
          <w:lang w:val="en-GB"/>
        </w:rPr>
        <w:t xml:space="preserve"> preventive detentions in Burundi are arbitrary because they are illegal, even under Burundian </w:t>
      </w:r>
      <w:r w:rsidR="00E3705E">
        <w:rPr>
          <w:lang w:val="en-GB"/>
        </w:rPr>
        <w:t>l</w:t>
      </w:r>
      <w:r w:rsidRPr="007158E9">
        <w:rPr>
          <w:lang w:val="en-GB"/>
        </w:rPr>
        <w:t xml:space="preserve">aw. </w:t>
      </w:r>
      <w:r w:rsidR="00E3705E">
        <w:rPr>
          <w:lang w:val="en-GB"/>
        </w:rPr>
        <w:t>The decision to detain prevently a person should</w:t>
      </w:r>
      <w:r w:rsidRPr="007158E9">
        <w:rPr>
          <w:lang w:val="en-GB"/>
        </w:rPr>
        <w:t xml:space="preserve"> be decided by the judges’ council chamber that must meet within no more than 29 days from the beginning of custody</w:t>
      </w:r>
      <w:r w:rsidR="00E3705E">
        <w:rPr>
          <w:lang w:val="en-GB"/>
        </w:rPr>
        <w:t>.</w:t>
      </w:r>
      <w:r w:rsidRPr="007158E9">
        <w:rPr>
          <w:vertAlign w:val="superscript"/>
          <w:lang w:val="en-GB"/>
        </w:rPr>
        <w:footnoteReference w:id="166"/>
      </w:r>
      <w:r w:rsidRPr="007158E9">
        <w:rPr>
          <w:lang w:val="en-GB"/>
        </w:rPr>
        <w:t xml:space="preserve"> Not only is this timeframe contrary to the international standard of 48 hours in this matter, but also it is hardly applied in practice</w:t>
      </w:r>
      <w:r w:rsidR="00E3705E">
        <w:rPr>
          <w:lang w:val="en-GB"/>
        </w:rPr>
        <w:t>.</w:t>
      </w:r>
      <w:r w:rsidRPr="007158E9">
        <w:rPr>
          <w:vertAlign w:val="superscript"/>
          <w:lang w:val="en-GB"/>
        </w:rPr>
        <w:footnoteReference w:id="167"/>
      </w:r>
      <w:r w:rsidR="00051810">
        <w:rPr>
          <w:lang w:val="en-GB"/>
        </w:rPr>
        <w:t xml:space="preserve"> The decisions of placement in </w:t>
      </w:r>
      <w:r w:rsidRPr="007158E9">
        <w:rPr>
          <w:lang w:val="en-GB"/>
        </w:rPr>
        <w:t xml:space="preserve">preventive detention are valid for only a month and the accused must appear </w:t>
      </w:r>
      <w:r w:rsidR="00051810">
        <w:rPr>
          <w:lang w:val="en-GB"/>
        </w:rPr>
        <w:t xml:space="preserve">monthly before the council chamber, which should </w:t>
      </w:r>
      <w:r w:rsidRPr="007158E9">
        <w:rPr>
          <w:lang w:val="en-GB"/>
        </w:rPr>
        <w:t xml:space="preserve">decide on </w:t>
      </w:r>
      <w:r w:rsidR="00051810">
        <w:rPr>
          <w:lang w:val="en-GB"/>
        </w:rPr>
        <w:t>the</w:t>
      </w:r>
      <w:r w:rsidRPr="007158E9">
        <w:rPr>
          <w:lang w:val="en-GB"/>
        </w:rPr>
        <w:t xml:space="preserve"> continu</w:t>
      </w:r>
      <w:r w:rsidR="00051810">
        <w:rPr>
          <w:lang w:val="en-GB"/>
        </w:rPr>
        <w:t xml:space="preserve">ation of the </w:t>
      </w:r>
      <w:r w:rsidRPr="007158E9">
        <w:rPr>
          <w:lang w:val="en-GB"/>
        </w:rPr>
        <w:t xml:space="preserve">detention or </w:t>
      </w:r>
      <w:r w:rsidR="00051810">
        <w:rPr>
          <w:lang w:val="en-GB"/>
        </w:rPr>
        <w:t xml:space="preserve">the </w:t>
      </w:r>
      <w:r w:rsidRPr="007158E9">
        <w:rPr>
          <w:lang w:val="en-GB"/>
        </w:rPr>
        <w:t>release</w:t>
      </w:r>
      <w:r w:rsidR="00051810">
        <w:rPr>
          <w:lang w:val="en-GB"/>
        </w:rPr>
        <w:t xml:space="preserve"> of the person</w:t>
      </w:r>
      <w:r w:rsidRPr="007158E9">
        <w:rPr>
          <w:lang w:val="en-GB"/>
        </w:rPr>
        <w:t xml:space="preserve">, </w:t>
      </w:r>
      <w:r w:rsidR="00051810">
        <w:rPr>
          <w:lang w:val="en-GB"/>
        </w:rPr>
        <w:t xml:space="preserve">proceudre </w:t>
      </w:r>
      <w:r w:rsidRPr="007158E9">
        <w:rPr>
          <w:lang w:val="en-GB"/>
        </w:rPr>
        <w:t xml:space="preserve">which </w:t>
      </w:r>
      <w:r w:rsidR="00051810">
        <w:rPr>
          <w:lang w:val="en-GB"/>
        </w:rPr>
        <w:t xml:space="preserve">is </w:t>
      </w:r>
      <w:r w:rsidRPr="007158E9">
        <w:rPr>
          <w:lang w:val="en-GB"/>
        </w:rPr>
        <w:t xml:space="preserve">almost never </w:t>
      </w:r>
      <w:r w:rsidR="00051810">
        <w:rPr>
          <w:lang w:val="en-GB"/>
        </w:rPr>
        <w:t>respected</w:t>
      </w:r>
      <w:r w:rsidRPr="007158E9">
        <w:rPr>
          <w:lang w:val="en-GB"/>
        </w:rPr>
        <w:t xml:space="preserve">. On this subject, a victim testified:  </w:t>
      </w:r>
    </w:p>
    <w:p w14:paraId="57455B91" w14:textId="58B8F878" w:rsidR="00F35CB9" w:rsidRPr="007158E9" w:rsidRDefault="00F35CB9" w:rsidP="00F35CB9">
      <w:pPr>
        <w:pStyle w:val="SingleTxtG"/>
        <w:ind w:left="1701" w:right="567"/>
        <w:rPr>
          <w:i/>
          <w:lang w:val="en-GB"/>
        </w:rPr>
      </w:pPr>
      <w:r w:rsidRPr="007158E9">
        <w:rPr>
          <w:i/>
          <w:lang w:val="en-GB"/>
        </w:rPr>
        <w:tab/>
        <w:t>“I was not tortured physically but psychologically during my detention because no one came to listen to me after I was put in jail, i.e. I never appeared before a judge. I wondered if I was going to die in jail; it was real torture not knowing how many years I was going to spend there”</w:t>
      </w:r>
      <w:r w:rsidR="00051810">
        <w:rPr>
          <w:i/>
          <w:lang w:val="en-GB"/>
        </w:rPr>
        <w:t>.</w:t>
      </w:r>
      <w:r w:rsidRPr="007158E9">
        <w:rPr>
          <w:vertAlign w:val="superscript"/>
          <w:lang w:val="en-GB"/>
        </w:rPr>
        <w:footnoteReference w:id="168"/>
      </w:r>
    </w:p>
    <w:p w14:paraId="1AD6A817" w14:textId="0C91CC7C" w:rsidR="00F35CB9" w:rsidRPr="007158E9" w:rsidRDefault="00F35CB9" w:rsidP="00F35CB9">
      <w:pPr>
        <w:pStyle w:val="SingleTxtG"/>
        <w:ind w:right="567"/>
        <w:rPr>
          <w:lang w:val="en-GB"/>
        </w:rPr>
      </w:pPr>
      <w:r w:rsidRPr="007158E9">
        <w:rPr>
          <w:lang w:val="en-GB"/>
        </w:rPr>
        <w:tab/>
        <w:t>317.</w:t>
      </w:r>
      <w:r w:rsidRPr="007158E9">
        <w:rPr>
          <w:lang w:val="en-GB"/>
        </w:rPr>
        <w:tab/>
        <w:t xml:space="preserve">Other cases of arbitrary preventive detention noted by the Commission were related to persons arrested then detained, even briefly, for facts that constitute neither crimes nor infractions under Burundian </w:t>
      </w:r>
      <w:r w:rsidR="00051810">
        <w:rPr>
          <w:lang w:val="en-GB"/>
        </w:rPr>
        <w:t>l</w:t>
      </w:r>
      <w:r w:rsidRPr="007158E9">
        <w:rPr>
          <w:lang w:val="en-GB"/>
        </w:rPr>
        <w:t>aw</w:t>
      </w:r>
      <w:r w:rsidR="00051810">
        <w:rPr>
          <w:lang w:val="en-GB"/>
        </w:rPr>
        <w:t>.</w:t>
      </w:r>
      <w:r w:rsidRPr="007158E9">
        <w:rPr>
          <w:vertAlign w:val="superscript"/>
          <w:lang w:val="en-GB"/>
        </w:rPr>
        <w:footnoteReference w:id="169"/>
      </w:r>
      <w:r w:rsidR="00051810">
        <w:rPr>
          <w:lang w:val="en-GB"/>
        </w:rPr>
        <w:t xml:space="preserve"> </w:t>
      </w:r>
      <w:r w:rsidRPr="007158E9">
        <w:rPr>
          <w:lang w:val="en-GB"/>
        </w:rPr>
        <w:t> In addition, some prisoners</w:t>
      </w:r>
      <w:r w:rsidR="00051810">
        <w:rPr>
          <w:lang w:val="en-GB"/>
        </w:rPr>
        <w:t xml:space="preserve"> </w:t>
      </w:r>
      <w:r w:rsidR="00051810" w:rsidRPr="007158E9">
        <w:rPr>
          <w:lang w:val="en-GB"/>
        </w:rPr>
        <w:t>were maintained in detention</w:t>
      </w:r>
      <w:r w:rsidRPr="007158E9">
        <w:rPr>
          <w:lang w:val="en-GB"/>
        </w:rPr>
        <w:t xml:space="preserve"> after having served their sentence</w:t>
      </w:r>
      <w:r w:rsidRPr="007158E9">
        <w:rPr>
          <w:vertAlign w:val="superscript"/>
          <w:lang w:val="en-GB"/>
        </w:rPr>
        <w:footnoteReference w:id="170"/>
      </w:r>
      <w:r w:rsidRPr="007158E9">
        <w:rPr>
          <w:lang w:val="en-GB"/>
        </w:rPr>
        <w:t xml:space="preserve"> or after </w:t>
      </w:r>
      <w:r w:rsidR="007A5A59">
        <w:rPr>
          <w:lang w:val="en-GB"/>
        </w:rPr>
        <w:t>having been</w:t>
      </w:r>
      <w:r w:rsidRPr="007158E9">
        <w:rPr>
          <w:lang w:val="en-GB"/>
        </w:rPr>
        <w:t xml:space="preserve"> acquitt</w:t>
      </w:r>
      <w:r w:rsidR="007A5A59">
        <w:rPr>
          <w:lang w:val="en-GB"/>
        </w:rPr>
        <w:t>ed;</w:t>
      </w:r>
      <w:r w:rsidRPr="007158E9">
        <w:rPr>
          <w:vertAlign w:val="superscript"/>
          <w:lang w:val="en-GB"/>
        </w:rPr>
        <w:footnoteReference w:id="171"/>
      </w:r>
      <w:r w:rsidR="007A5A59">
        <w:rPr>
          <w:lang w:val="en-GB"/>
        </w:rPr>
        <w:t xml:space="preserve"> because </w:t>
      </w:r>
      <w:r w:rsidRPr="007158E9">
        <w:rPr>
          <w:lang w:val="en-GB"/>
        </w:rPr>
        <w:t xml:space="preserve">prison authorities </w:t>
      </w:r>
      <w:r w:rsidR="007A5A59">
        <w:rPr>
          <w:lang w:val="en-GB"/>
        </w:rPr>
        <w:t xml:space="preserve">refused </w:t>
      </w:r>
      <w:r w:rsidRPr="007158E9">
        <w:rPr>
          <w:lang w:val="en-GB"/>
        </w:rPr>
        <w:t xml:space="preserve">to release them. Other persons, to whom the council chamber had granted interim release, remained </w:t>
      </w:r>
      <w:r w:rsidR="007A5A59">
        <w:rPr>
          <w:lang w:val="en-GB"/>
        </w:rPr>
        <w:t xml:space="preserve">nevertheless </w:t>
      </w:r>
      <w:r w:rsidRPr="007158E9">
        <w:rPr>
          <w:lang w:val="en-GB"/>
        </w:rPr>
        <w:t xml:space="preserve">in preventive detention, often </w:t>
      </w:r>
      <w:r w:rsidR="007A5A59">
        <w:rPr>
          <w:lang w:val="en-GB"/>
        </w:rPr>
        <w:t>upon</w:t>
      </w:r>
      <w:r w:rsidRPr="007158E9">
        <w:rPr>
          <w:lang w:val="en-GB"/>
        </w:rPr>
        <w:t xml:space="preserve"> request of the prosecution</w:t>
      </w:r>
      <w:r w:rsidR="007A5A59">
        <w:rPr>
          <w:lang w:val="en-GB"/>
        </w:rPr>
        <w:t>.</w:t>
      </w:r>
      <w:r w:rsidRPr="007158E9">
        <w:rPr>
          <w:vertAlign w:val="superscript"/>
          <w:lang w:val="en-GB"/>
        </w:rPr>
        <w:footnoteReference w:id="172"/>
      </w:r>
      <w:r w:rsidRPr="007158E9">
        <w:rPr>
          <w:lang w:val="en-GB"/>
        </w:rPr>
        <w:t xml:space="preserve"> These detentions are arbitrary </w:t>
      </w:r>
      <w:r w:rsidR="007A5A59">
        <w:rPr>
          <w:lang w:val="en-GB"/>
        </w:rPr>
        <w:t>as</w:t>
      </w:r>
      <w:r w:rsidRPr="007158E9">
        <w:rPr>
          <w:lang w:val="en-GB"/>
        </w:rPr>
        <w:t xml:space="preserve"> they have no legal basis</w:t>
      </w:r>
      <w:r w:rsidR="007A5A59">
        <w:rPr>
          <w:lang w:val="en-GB"/>
        </w:rPr>
        <w:t>.</w:t>
      </w:r>
      <w:r w:rsidRPr="007158E9">
        <w:rPr>
          <w:vertAlign w:val="superscript"/>
          <w:lang w:val="en-GB"/>
        </w:rPr>
        <w:footnoteReference w:id="173"/>
      </w:r>
      <w:r w:rsidRPr="007158E9">
        <w:rPr>
          <w:lang w:val="en-GB"/>
        </w:rPr>
        <w:t xml:space="preserve"> </w:t>
      </w:r>
    </w:p>
    <w:p w14:paraId="37FB28BD" w14:textId="3CDBDF57" w:rsidR="00F35CB9" w:rsidRPr="007158E9" w:rsidRDefault="00F35CB9" w:rsidP="00F35CB9">
      <w:pPr>
        <w:pStyle w:val="SingleTxtG"/>
        <w:ind w:right="567"/>
        <w:rPr>
          <w:lang w:val="en-GB"/>
        </w:rPr>
      </w:pPr>
      <w:r w:rsidRPr="007158E9">
        <w:rPr>
          <w:lang w:val="en-GB"/>
        </w:rPr>
        <w:tab/>
        <w:t>318.</w:t>
      </w:r>
      <w:r w:rsidRPr="007158E9">
        <w:rPr>
          <w:lang w:val="en-GB"/>
        </w:rPr>
        <w:tab/>
        <w:t xml:space="preserve">Some Imbonerakure were detained </w:t>
      </w:r>
      <w:r w:rsidR="007A5A59">
        <w:rPr>
          <w:lang w:val="en-GB"/>
        </w:rPr>
        <w:t>outside of</w:t>
      </w:r>
      <w:r w:rsidRPr="007158E9">
        <w:rPr>
          <w:lang w:val="en-GB"/>
        </w:rPr>
        <w:t xml:space="preserve"> judicial proce</w:t>
      </w:r>
      <w:r w:rsidR="007A5A59">
        <w:rPr>
          <w:lang w:val="en-GB"/>
        </w:rPr>
        <w:t>edings</w:t>
      </w:r>
      <w:r w:rsidRPr="007158E9">
        <w:rPr>
          <w:lang w:val="en-GB"/>
        </w:rPr>
        <w:t xml:space="preserve">, and therefore </w:t>
      </w:r>
      <w:r w:rsidR="007A5A59">
        <w:rPr>
          <w:lang w:val="en-GB"/>
        </w:rPr>
        <w:t xml:space="preserve">without </w:t>
      </w:r>
      <w:r w:rsidRPr="007158E9">
        <w:rPr>
          <w:lang w:val="en-GB"/>
        </w:rPr>
        <w:t>legal basis</w:t>
      </w:r>
      <w:r w:rsidR="007A5A59">
        <w:rPr>
          <w:lang w:val="en-GB"/>
        </w:rPr>
        <w:t>.</w:t>
      </w:r>
      <w:r w:rsidRPr="007158E9">
        <w:rPr>
          <w:vertAlign w:val="superscript"/>
          <w:lang w:val="en-GB"/>
        </w:rPr>
        <w:footnoteReference w:id="174"/>
      </w:r>
      <w:r w:rsidRPr="007158E9">
        <w:rPr>
          <w:lang w:val="en-GB"/>
        </w:rPr>
        <w:t xml:space="preserve"> They were kept in police cells or detention centers as disciplinary action decided by th</w:t>
      </w:r>
      <w:r w:rsidR="007A5A59">
        <w:rPr>
          <w:lang w:val="en-GB"/>
        </w:rPr>
        <w:t>e hierarchy of the youth lea</w:t>
      </w:r>
      <w:r w:rsidRPr="007158E9">
        <w:rPr>
          <w:lang w:val="en-GB"/>
        </w:rPr>
        <w:t xml:space="preserve">gue and subject to the goodwill of the latter. This demonstrates a little bit more the confusion that exists between the state apparatus and </w:t>
      </w:r>
      <w:r w:rsidR="007A5A59">
        <w:rPr>
          <w:lang w:val="en-GB"/>
        </w:rPr>
        <w:t xml:space="preserve">the </w:t>
      </w:r>
      <w:r w:rsidRPr="007158E9">
        <w:rPr>
          <w:lang w:val="en-GB"/>
        </w:rPr>
        <w:t>CNDD-FDD</w:t>
      </w:r>
      <w:r w:rsidR="007A5A59">
        <w:rPr>
          <w:lang w:val="en-GB"/>
        </w:rPr>
        <w:t>.</w:t>
      </w:r>
      <w:r w:rsidRPr="007158E9">
        <w:rPr>
          <w:sz w:val="18"/>
          <w:vertAlign w:val="superscript"/>
          <w:lang w:val="en-GB"/>
        </w:rPr>
        <w:footnoteReference w:id="175"/>
      </w:r>
      <w:r w:rsidRPr="007158E9">
        <w:rPr>
          <w:lang w:val="en-GB"/>
        </w:rPr>
        <w:t xml:space="preserve"> Amongst the Imbonerakure and </w:t>
      </w:r>
      <w:r w:rsidR="007A5A59">
        <w:rPr>
          <w:lang w:val="en-GB"/>
        </w:rPr>
        <w:t xml:space="preserve">the </w:t>
      </w:r>
      <w:r w:rsidRPr="007158E9">
        <w:rPr>
          <w:lang w:val="en-GB"/>
        </w:rPr>
        <w:t>CNDD-FDD members arrested and detained in this way, some were suspected of wanting to leave the party or of not wanting to behave in a</w:t>
      </w:r>
      <w:r w:rsidR="007A5A59">
        <w:rPr>
          <w:lang w:val="en-GB"/>
        </w:rPr>
        <w:t xml:space="preserve">ccordance with the party line. Such </w:t>
      </w:r>
      <w:r w:rsidRPr="007158E9">
        <w:rPr>
          <w:lang w:val="en-GB"/>
        </w:rPr>
        <w:t>detention aimed at punishing them and at putting them back on the “straight and narrow”. A victim testified:</w:t>
      </w:r>
    </w:p>
    <w:p w14:paraId="39569ED8" w14:textId="1517C1E8" w:rsidR="00F35CB9" w:rsidRPr="007158E9" w:rsidRDefault="00F35CB9" w:rsidP="00F35CB9">
      <w:pPr>
        <w:pStyle w:val="SingleTxtG"/>
        <w:ind w:left="1701" w:right="567"/>
        <w:rPr>
          <w:lang w:val="en-GB"/>
        </w:rPr>
      </w:pPr>
      <w:r w:rsidRPr="007158E9">
        <w:rPr>
          <w:lang w:val="en-GB"/>
        </w:rPr>
        <w:tab/>
      </w:r>
      <w:r w:rsidRPr="007158E9">
        <w:rPr>
          <w:i/>
          <w:lang w:val="en-GB"/>
        </w:rPr>
        <w:t xml:space="preserve">“I was arrested for a month because I was accused of not doing the work of an Imbonerakure as I should. The other Imbonerakure, [my] subordinates, said that I was not providing the equipment I ought to have given them. The accusations came from hierarchical subordinates and </w:t>
      </w:r>
      <w:r w:rsidR="007A5A59">
        <w:rPr>
          <w:i/>
          <w:lang w:val="en-GB"/>
        </w:rPr>
        <w:t xml:space="preserve">the </w:t>
      </w:r>
      <w:r w:rsidRPr="007158E9">
        <w:rPr>
          <w:i/>
          <w:lang w:val="en-GB"/>
        </w:rPr>
        <w:t>SNR agents who had investigated my case and these were the conclusions of the investigation. I was heard by a judicial police officer who supports the system in place</w:t>
      </w:r>
      <w:r w:rsidR="007A5A59">
        <w:rPr>
          <w:i/>
          <w:lang w:val="en-GB"/>
        </w:rPr>
        <w:t>,</w:t>
      </w:r>
      <w:r w:rsidRPr="007158E9">
        <w:rPr>
          <w:i/>
          <w:lang w:val="en-GB"/>
        </w:rPr>
        <w:t xml:space="preserve"> but </w:t>
      </w:r>
      <w:r w:rsidR="007A5A59">
        <w:rPr>
          <w:i/>
          <w:lang w:val="en-GB"/>
        </w:rPr>
        <w:t>since</w:t>
      </w:r>
      <w:r w:rsidRPr="007158E9">
        <w:rPr>
          <w:i/>
          <w:lang w:val="en-GB"/>
        </w:rPr>
        <w:t xml:space="preserve"> the first meeting, my file was there already complete. I did not know the file’s content and who had said what. These are not criminal proceedings but proceedings within the group of Imbonerakure. I spent a month […] in the cell with other prisoners</w:t>
      </w:r>
      <w:r w:rsidRPr="007158E9">
        <w:rPr>
          <w:lang w:val="en-GB"/>
        </w:rPr>
        <w:t>”</w:t>
      </w:r>
      <w:r w:rsidR="007A5A59">
        <w:rPr>
          <w:lang w:val="en-GB"/>
        </w:rPr>
        <w:t>.</w:t>
      </w:r>
      <w:r w:rsidRPr="007158E9">
        <w:rPr>
          <w:vertAlign w:val="superscript"/>
          <w:lang w:val="en-GB"/>
        </w:rPr>
        <w:footnoteReference w:id="176"/>
      </w:r>
    </w:p>
    <w:p w14:paraId="4B18A98C" w14:textId="77777777" w:rsidR="00F35CB9" w:rsidRPr="007158E9" w:rsidRDefault="00F35CB9" w:rsidP="00F35CB9">
      <w:pPr>
        <w:pStyle w:val="SingleTxtG"/>
        <w:rPr>
          <w:i/>
          <w:lang w:val="en-GB"/>
        </w:rPr>
      </w:pPr>
      <w:r w:rsidRPr="007158E9">
        <w:rPr>
          <w:i/>
          <w:lang w:val="en-GB"/>
        </w:rPr>
        <w:t>Detention as a result of exercising fundamental rights and freedoms</w:t>
      </w:r>
    </w:p>
    <w:p w14:paraId="0C2D3AFA" w14:textId="19726212" w:rsidR="00F35CB9" w:rsidRPr="00B831ED" w:rsidRDefault="00F35CB9" w:rsidP="00F35CB9">
      <w:pPr>
        <w:pStyle w:val="SingleTxtG"/>
        <w:ind w:right="567"/>
      </w:pPr>
      <w:r w:rsidRPr="007158E9">
        <w:rPr>
          <w:lang w:val="en-GB"/>
        </w:rPr>
        <w:tab/>
        <w:t>319.</w:t>
      </w:r>
      <w:r w:rsidRPr="007158E9">
        <w:rPr>
          <w:lang w:val="en-GB"/>
        </w:rPr>
        <w:tab/>
        <w:t>Human rights activists, members of the civil society as well as journalists have continued to be arrested, detained and condemned to stiff prison sentences for having exercised their fundamental rights and liberties recognized by international law namely their right</w:t>
      </w:r>
      <w:r w:rsidR="006541D8">
        <w:rPr>
          <w:lang w:val="en-GB"/>
        </w:rPr>
        <w:t>s</w:t>
      </w:r>
      <w:r w:rsidRPr="007158E9">
        <w:rPr>
          <w:lang w:val="en-GB"/>
        </w:rPr>
        <w:t xml:space="preserve"> to freedom of information, freedom of expression, freedom of opinion and freedom of peaceful assembly</w:t>
      </w:r>
      <w:r w:rsidR="006541D8">
        <w:rPr>
          <w:lang w:val="en-GB"/>
        </w:rPr>
        <w:t>.</w:t>
      </w:r>
      <w:r w:rsidRPr="007158E9">
        <w:rPr>
          <w:vertAlign w:val="superscript"/>
          <w:lang w:val="en-GB"/>
        </w:rPr>
        <w:footnoteReference w:id="177"/>
      </w:r>
      <w:r w:rsidRPr="007158E9">
        <w:rPr>
          <w:lang w:val="en-GB"/>
        </w:rPr>
        <w:t xml:space="preserve"> This is highlighted by the above-mentioned emblematic cases of Germain Rukuki, Nestor Nibi</w:t>
      </w:r>
      <w:r w:rsidR="006541D8">
        <w:rPr>
          <w:lang w:val="en-GB"/>
        </w:rPr>
        <w:t xml:space="preserve">tanga, as well as </w:t>
      </w:r>
      <w:r w:rsidRPr="007158E9">
        <w:rPr>
          <w:lang w:val="en-GB"/>
        </w:rPr>
        <w:t>the cases of Aimé Constant Gatore, Marius Nizigama, and Emmanuel Nshimirimana</w:t>
      </w:r>
      <w:r w:rsidR="00B831ED">
        <w:rPr>
          <w:lang w:val="en-GB"/>
        </w:rPr>
        <w:t>, who</w:t>
      </w:r>
      <w:r w:rsidR="00B831ED" w:rsidRPr="00B831ED">
        <w:rPr>
          <w:lang w:val="en-GB"/>
        </w:rPr>
        <w:t xml:space="preserve"> </w:t>
      </w:r>
      <w:r w:rsidR="00B831ED" w:rsidRPr="007158E9">
        <w:rPr>
          <w:lang w:val="en-GB"/>
        </w:rPr>
        <w:t>were arrested in 2017 and 2018</w:t>
      </w:r>
      <w:r w:rsidR="00B831ED">
        <w:rPr>
          <w:lang w:val="en-GB"/>
        </w:rPr>
        <w:t>,</w:t>
      </w:r>
      <w:r w:rsidR="00B831ED" w:rsidRPr="007158E9">
        <w:rPr>
          <w:lang w:val="en-GB"/>
        </w:rPr>
        <w:t xml:space="preserve"> respectively</w:t>
      </w:r>
      <w:r w:rsidRPr="007158E9">
        <w:rPr>
          <w:lang w:val="en-GB"/>
        </w:rPr>
        <w:t xml:space="preserve">. </w:t>
      </w:r>
      <w:r w:rsidRPr="00B831ED">
        <w:t xml:space="preserve">The latter </w:t>
      </w:r>
      <w:r w:rsidR="006541D8" w:rsidRPr="00B831ED">
        <w:t>a</w:t>
      </w:r>
      <w:r w:rsidRPr="00B831ED">
        <w:t>re members of the organisation</w:t>
      </w:r>
      <w:r w:rsidRPr="00B831ED">
        <w:rPr>
          <w:i/>
        </w:rPr>
        <w:t xml:space="preserve"> Paroles and actions pour le réveil des consciences et l’évolution des mentalités</w:t>
      </w:r>
      <w:r w:rsidRPr="00B831ED">
        <w:t xml:space="preserve"> (PARCEM)</w:t>
      </w:r>
      <w:r w:rsidR="00B831ED">
        <w:t>.</w:t>
      </w:r>
      <w:r w:rsidRPr="007158E9">
        <w:rPr>
          <w:vertAlign w:val="superscript"/>
          <w:lang w:val="en-GB"/>
        </w:rPr>
        <w:footnoteReference w:id="178"/>
      </w:r>
    </w:p>
    <w:p w14:paraId="3E3C3780" w14:textId="4947BE56" w:rsidR="00F35CB9" w:rsidRPr="007158E9" w:rsidRDefault="00F35CB9" w:rsidP="00F35CB9">
      <w:pPr>
        <w:pStyle w:val="SingleTxtG"/>
        <w:ind w:right="567"/>
        <w:rPr>
          <w:lang w:val="en-GB"/>
        </w:rPr>
      </w:pPr>
      <w:r w:rsidRPr="00B831ED">
        <w:rPr>
          <w:lang w:val="en-GB"/>
        </w:rPr>
        <w:tab/>
      </w:r>
      <w:r w:rsidRPr="007158E9">
        <w:rPr>
          <w:lang w:val="en-GB"/>
        </w:rPr>
        <w:t>320.</w:t>
      </w:r>
      <w:r w:rsidRPr="007158E9">
        <w:rPr>
          <w:lang w:val="en-GB"/>
        </w:rPr>
        <w:tab/>
        <w:t>Some provisions of the Burundian criminal law are sufficiently vague to be used regularly in an abusive manner in order to “criminalize” the simple exercise of public liberties and to prosecute the arrested persons in the absence of key elements of the alleged offence</w:t>
      </w:r>
      <w:r w:rsidR="006541D8">
        <w:rPr>
          <w:lang w:val="en-GB"/>
        </w:rPr>
        <w:t>.</w:t>
      </w:r>
      <w:r w:rsidRPr="007158E9">
        <w:rPr>
          <w:vertAlign w:val="superscript"/>
          <w:lang w:val="en-GB"/>
        </w:rPr>
        <w:footnoteReference w:id="179"/>
      </w:r>
      <w:r w:rsidRPr="007158E9">
        <w:rPr>
          <w:lang w:val="en-GB"/>
        </w:rPr>
        <w:t xml:space="preserve"> Several persons who had been detained due to the exercise of their freedom of expression, association and peaceful assembly in the context of demonstrations against President Nkurunziza’s third mandate have been accused of “</w:t>
      </w:r>
      <w:r w:rsidR="00B831ED">
        <w:rPr>
          <w:lang w:val="en-GB"/>
        </w:rPr>
        <w:t>undermining the internal sec</w:t>
      </w:r>
      <w:r w:rsidR="00AB732F">
        <w:rPr>
          <w:lang w:val="en-GB"/>
        </w:rPr>
        <w:t>u</w:t>
      </w:r>
      <w:r w:rsidR="00B831ED">
        <w:rPr>
          <w:lang w:val="en-GB"/>
        </w:rPr>
        <w:t>r</w:t>
      </w:r>
      <w:r w:rsidR="00AB732F">
        <w:rPr>
          <w:lang w:val="en-GB"/>
        </w:rPr>
        <w:t>i</w:t>
      </w:r>
      <w:r w:rsidR="00B831ED">
        <w:rPr>
          <w:lang w:val="en-GB"/>
        </w:rPr>
        <w:t>t</w:t>
      </w:r>
      <w:r w:rsidR="00AB732F">
        <w:rPr>
          <w:lang w:val="en-GB"/>
        </w:rPr>
        <w:t>y of the State</w:t>
      </w:r>
      <w:r w:rsidRPr="007158E9">
        <w:rPr>
          <w:lang w:val="en-GB"/>
        </w:rPr>
        <w:t>”</w:t>
      </w:r>
      <w:r w:rsidR="006541D8">
        <w:rPr>
          <w:lang w:val="en-GB"/>
        </w:rPr>
        <w:t>.</w:t>
      </w:r>
      <w:r w:rsidRPr="007158E9">
        <w:rPr>
          <w:vertAlign w:val="superscript"/>
          <w:lang w:val="en-GB"/>
        </w:rPr>
        <w:footnoteReference w:id="180"/>
      </w:r>
      <w:r w:rsidRPr="007158E9">
        <w:rPr>
          <w:lang w:val="en-GB"/>
        </w:rPr>
        <w:t xml:space="preserve"> Some are still waiting </w:t>
      </w:r>
      <w:r w:rsidR="006541D8">
        <w:rPr>
          <w:lang w:val="en-GB"/>
        </w:rPr>
        <w:t>to be tried</w:t>
      </w:r>
      <w:r w:rsidRPr="007158E9">
        <w:rPr>
          <w:lang w:val="en-GB"/>
        </w:rPr>
        <w:t>, others are serving their sentence decided at the end of an unfair trial or have spent several months, even years, in detention; sometimes without trial, before being released</w:t>
      </w:r>
      <w:r w:rsidR="006541D8">
        <w:rPr>
          <w:lang w:val="en-GB"/>
        </w:rPr>
        <w:t>.</w:t>
      </w:r>
      <w:r w:rsidRPr="007158E9">
        <w:rPr>
          <w:vertAlign w:val="superscript"/>
          <w:lang w:val="en-GB"/>
        </w:rPr>
        <w:footnoteReference w:id="181"/>
      </w:r>
      <w:r w:rsidRPr="007158E9">
        <w:rPr>
          <w:lang w:val="en-GB"/>
        </w:rPr>
        <w:t xml:space="preserve"> As already noted, persons have also been arrested for having refused to join CNDD-FDD or its </w:t>
      </w:r>
      <w:r w:rsidR="00B831ED">
        <w:rPr>
          <w:lang w:val="en-GB"/>
        </w:rPr>
        <w:t>y</w:t>
      </w:r>
      <w:r w:rsidRPr="007158E9">
        <w:rPr>
          <w:lang w:val="en-GB"/>
        </w:rPr>
        <w:t xml:space="preserve">outh </w:t>
      </w:r>
      <w:r w:rsidR="00B831ED">
        <w:rPr>
          <w:lang w:val="en-GB"/>
        </w:rPr>
        <w:t>l</w:t>
      </w:r>
      <w:r w:rsidRPr="007158E9">
        <w:rPr>
          <w:lang w:val="en-GB"/>
        </w:rPr>
        <w:t>eague</w:t>
      </w:r>
      <w:r w:rsidR="006541D8">
        <w:rPr>
          <w:lang w:val="en-GB"/>
        </w:rPr>
        <w:t>,</w:t>
      </w:r>
      <w:r w:rsidRPr="007158E9">
        <w:rPr>
          <w:lang w:val="en-GB"/>
        </w:rPr>
        <w:t xml:space="preserve"> which also amounts to a violation of their freedom of assembly</w:t>
      </w:r>
      <w:r w:rsidR="006541D8">
        <w:rPr>
          <w:lang w:val="en-GB"/>
        </w:rPr>
        <w:t>.</w:t>
      </w:r>
      <w:r w:rsidRPr="007158E9">
        <w:rPr>
          <w:vertAlign w:val="superscript"/>
          <w:lang w:val="en-GB"/>
        </w:rPr>
        <w:footnoteReference w:id="182"/>
      </w:r>
      <w:r w:rsidRPr="007158E9">
        <w:rPr>
          <w:lang w:val="en-GB"/>
        </w:rPr>
        <w:t xml:space="preserve"> </w:t>
      </w:r>
    </w:p>
    <w:p w14:paraId="272A098F" w14:textId="77777777" w:rsidR="00F35CB9" w:rsidRPr="007158E9" w:rsidRDefault="00F35CB9" w:rsidP="00F35CB9">
      <w:pPr>
        <w:pStyle w:val="SingleTxtG"/>
        <w:ind w:right="567"/>
        <w:rPr>
          <w:lang w:val="en-GB"/>
        </w:rPr>
      </w:pPr>
      <w:r w:rsidRPr="007158E9">
        <w:rPr>
          <w:lang w:val="en-GB"/>
        </w:rPr>
        <w:t>As one victim testified:</w:t>
      </w:r>
    </w:p>
    <w:p w14:paraId="12BD878C" w14:textId="5CA54C4D" w:rsidR="00F35CB9" w:rsidRPr="007158E9" w:rsidRDefault="00F35CB9" w:rsidP="00F35CB9">
      <w:pPr>
        <w:pStyle w:val="SingleTxtG"/>
        <w:ind w:left="1701" w:right="567"/>
        <w:rPr>
          <w:i/>
          <w:lang w:val="en-GB"/>
        </w:rPr>
      </w:pPr>
      <w:r w:rsidRPr="007158E9">
        <w:rPr>
          <w:i/>
          <w:lang w:val="en-GB" w:eastAsia="en-GB"/>
        </w:rPr>
        <w:tab/>
        <w:t>“I was detained for three days before being released. [The] Imbonerakure militia arres</w:t>
      </w:r>
      <w:r w:rsidR="00574104">
        <w:rPr>
          <w:i/>
          <w:lang w:val="en-GB" w:eastAsia="en-GB"/>
        </w:rPr>
        <w:t>ted me. Their leader asked me: ‘</w:t>
      </w:r>
      <w:r w:rsidRPr="007158E9">
        <w:rPr>
          <w:i/>
          <w:lang w:val="en-GB" w:eastAsia="en-GB"/>
        </w:rPr>
        <w:t>Where are your parents and why do they not want you to join us</w:t>
      </w:r>
      <w:r w:rsidR="00574104">
        <w:rPr>
          <w:i/>
          <w:lang w:val="en-GB" w:eastAsia="en-GB"/>
        </w:rPr>
        <w:t>’</w:t>
      </w:r>
      <w:r w:rsidRPr="007158E9">
        <w:rPr>
          <w:i/>
          <w:lang w:val="en-GB" w:eastAsia="en-GB"/>
        </w:rPr>
        <w:t xml:space="preserve"> in other words they wanted to know why my parents ha</w:t>
      </w:r>
      <w:r w:rsidR="006541D8">
        <w:rPr>
          <w:i/>
          <w:lang w:val="en-GB" w:eastAsia="en-GB"/>
        </w:rPr>
        <w:t>d</w:t>
      </w:r>
      <w:r w:rsidRPr="007158E9">
        <w:rPr>
          <w:i/>
          <w:lang w:val="en-GB" w:eastAsia="en-GB"/>
        </w:rPr>
        <w:t xml:space="preserve"> not joined the political party in power CNDD FDD. They also asked me why I ha</w:t>
      </w:r>
      <w:r w:rsidR="006541D8">
        <w:rPr>
          <w:i/>
          <w:lang w:val="en-GB" w:eastAsia="en-GB"/>
        </w:rPr>
        <w:t>d</w:t>
      </w:r>
      <w:r w:rsidRPr="007158E9">
        <w:rPr>
          <w:i/>
          <w:lang w:val="en-GB" w:eastAsia="en-GB"/>
        </w:rPr>
        <w:t xml:space="preserve"> not joined Imbonerakure. […] They then took me to a big house that I did not know</w:t>
      </w:r>
      <w:r w:rsidRPr="007158E9">
        <w:rPr>
          <w:i/>
          <w:lang w:val="en-GB"/>
        </w:rPr>
        <w:t xml:space="preserve"> </w:t>
      </w:r>
      <w:r w:rsidRPr="007158E9">
        <w:rPr>
          <w:i/>
          <w:lang w:val="en-GB" w:eastAsia="en-GB"/>
        </w:rPr>
        <w:t xml:space="preserve">[…] </w:t>
      </w:r>
      <w:r w:rsidRPr="007158E9">
        <w:rPr>
          <w:i/>
          <w:lang w:val="en-GB"/>
        </w:rPr>
        <w:t xml:space="preserve">When they released me, </w:t>
      </w:r>
      <w:r w:rsidRPr="007158E9">
        <w:rPr>
          <w:i/>
          <w:lang w:val="en-GB" w:eastAsia="en-GB"/>
        </w:rPr>
        <w:t xml:space="preserve">[…I] </w:t>
      </w:r>
      <w:r w:rsidRPr="007158E9">
        <w:rPr>
          <w:i/>
          <w:lang w:val="en-GB"/>
        </w:rPr>
        <w:t>saw the same Imbonerakure that had arrested me. They did not do harm me, but they just asked me again to join their militia and if not, they would kill me. They also said that my parents should join the ruling party”</w:t>
      </w:r>
      <w:r w:rsidR="00574104">
        <w:rPr>
          <w:i/>
          <w:lang w:val="en-GB"/>
        </w:rPr>
        <w:t>.</w:t>
      </w:r>
      <w:r w:rsidRPr="007158E9">
        <w:rPr>
          <w:sz w:val="18"/>
          <w:vertAlign w:val="superscript"/>
          <w:lang w:val="en-GB"/>
        </w:rPr>
        <w:footnoteReference w:id="183"/>
      </w:r>
    </w:p>
    <w:p w14:paraId="0C05BC1C" w14:textId="77777777" w:rsidR="00F35CB9" w:rsidRPr="007158E9" w:rsidRDefault="00F35CB9" w:rsidP="00F35CB9">
      <w:pPr>
        <w:pStyle w:val="SingleTxtG"/>
        <w:ind w:right="567"/>
        <w:rPr>
          <w:i/>
          <w:lang w:val="en-GB"/>
        </w:rPr>
      </w:pPr>
      <w:r w:rsidRPr="007158E9">
        <w:rPr>
          <w:i/>
          <w:lang w:val="en-GB"/>
        </w:rPr>
        <w:t>Detention following an unfair trial</w:t>
      </w:r>
    </w:p>
    <w:p w14:paraId="530E4521" w14:textId="56E86192" w:rsidR="00F35CB9" w:rsidRPr="007158E9" w:rsidRDefault="00F35CB9" w:rsidP="00F35CB9">
      <w:pPr>
        <w:pStyle w:val="SingleTxtG"/>
        <w:ind w:right="567"/>
        <w:rPr>
          <w:b/>
          <w:lang w:val="en-GB"/>
        </w:rPr>
      </w:pPr>
      <w:r w:rsidRPr="007158E9">
        <w:rPr>
          <w:lang w:val="en-GB"/>
        </w:rPr>
        <w:tab/>
        <w:t>321.</w:t>
      </w:r>
      <w:r w:rsidRPr="007158E9">
        <w:rPr>
          <w:lang w:val="en-GB"/>
        </w:rPr>
        <w:tab/>
        <w:t xml:space="preserve">Several persons are currently in jail </w:t>
      </w:r>
      <w:r w:rsidR="00813DD9">
        <w:rPr>
          <w:lang w:val="en-GB"/>
        </w:rPr>
        <w:t>after having been sentenced</w:t>
      </w:r>
      <w:r w:rsidRPr="007158E9">
        <w:rPr>
          <w:lang w:val="en-GB"/>
        </w:rPr>
        <w:t xml:space="preserve"> to a prison term pronounced at the end of a trial during which international law standards for fair trial were not respected</w:t>
      </w:r>
      <w:r w:rsidR="00B90F6F">
        <w:rPr>
          <w:lang w:val="en-GB"/>
        </w:rPr>
        <w:t>,</w:t>
      </w:r>
      <w:r w:rsidRPr="007158E9">
        <w:rPr>
          <w:vertAlign w:val="superscript"/>
          <w:lang w:val="en-GB"/>
        </w:rPr>
        <w:footnoteReference w:id="184"/>
      </w:r>
      <w:r w:rsidRPr="007158E9">
        <w:rPr>
          <w:lang w:val="en-GB"/>
        </w:rPr>
        <w:t xml:space="preserve"> specifically due to lack of impartiality and independence of Burundian courts and the failure to respect the rights of the defence and the equality of arms</w:t>
      </w:r>
      <w:r w:rsidR="00B90F6F">
        <w:rPr>
          <w:lang w:val="en-GB"/>
        </w:rPr>
        <w:t>.</w:t>
      </w:r>
      <w:r w:rsidRPr="007158E9">
        <w:rPr>
          <w:vertAlign w:val="superscript"/>
          <w:lang w:val="en-GB"/>
        </w:rPr>
        <w:footnoteReference w:id="185"/>
      </w:r>
      <w:r w:rsidRPr="007158E9">
        <w:rPr>
          <w:lang w:val="en-GB"/>
        </w:rPr>
        <w:t xml:space="preserve"> Some detainees did not have access to a lawyer nor </w:t>
      </w:r>
      <w:r w:rsidR="00B90F6F">
        <w:rPr>
          <w:lang w:val="en-GB"/>
        </w:rPr>
        <w:t xml:space="preserve">to </w:t>
      </w:r>
      <w:r w:rsidRPr="007158E9">
        <w:rPr>
          <w:lang w:val="en-GB"/>
        </w:rPr>
        <w:t>any form of legal assistanc</w:t>
      </w:r>
      <w:r w:rsidR="00B90F6F">
        <w:rPr>
          <w:lang w:val="en-GB"/>
        </w:rPr>
        <w:t>e during the criminal procedure</w:t>
      </w:r>
      <w:r w:rsidRPr="007158E9">
        <w:rPr>
          <w:lang w:val="en-GB"/>
        </w:rPr>
        <w:t xml:space="preserve"> due to the absence of an official legal aid scheme, </w:t>
      </w:r>
      <w:r w:rsidR="00B90F6F">
        <w:rPr>
          <w:lang w:val="en-GB"/>
        </w:rPr>
        <w:t>the lack of</w:t>
      </w:r>
      <w:r w:rsidRPr="007158E9">
        <w:rPr>
          <w:lang w:val="en-GB"/>
        </w:rPr>
        <w:t xml:space="preserve"> time to look for a lawyer during an accelerated procedure, or the fear </w:t>
      </w:r>
      <w:r w:rsidR="00B90F6F">
        <w:rPr>
          <w:lang w:val="en-GB"/>
        </w:rPr>
        <w:t>of</w:t>
      </w:r>
      <w:r w:rsidR="00B90F6F" w:rsidRPr="007158E9">
        <w:rPr>
          <w:lang w:val="en-GB"/>
        </w:rPr>
        <w:t xml:space="preserve"> some lawyers </w:t>
      </w:r>
      <w:r w:rsidRPr="007158E9">
        <w:rPr>
          <w:lang w:val="en-GB"/>
        </w:rPr>
        <w:t>to take on sensitive cases</w:t>
      </w:r>
      <w:r w:rsidR="00B90F6F">
        <w:rPr>
          <w:lang w:val="en-GB"/>
        </w:rPr>
        <w:t>.</w:t>
      </w:r>
      <w:r w:rsidRPr="007158E9">
        <w:rPr>
          <w:vertAlign w:val="superscript"/>
          <w:lang w:val="en-GB"/>
        </w:rPr>
        <w:footnoteReference w:id="186"/>
      </w:r>
      <w:r w:rsidRPr="007158E9">
        <w:rPr>
          <w:lang w:val="en-GB"/>
        </w:rPr>
        <w:t xml:space="preserve"> In that respect, a victim stated:</w:t>
      </w:r>
    </w:p>
    <w:p w14:paraId="657EDD5A" w14:textId="3A34F60C" w:rsidR="00F35CB9" w:rsidRPr="007158E9" w:rsidRDefault="00F35CB9" w:rsidP="00F35CB9">
      <w:pPr>
        <w:pStyle w:val="SingleTxtG"/>
        <w:ind w:left="1701" w:right="567"/>
        <w:rPr>
          <w:i/>
          <w:lang w:val="en-GB"/>
        </w:rPr>
      </w:pPr>
      <w:r w:rsidRPr="007158E9">
        <w:rPr>
          <w:i/>
          <w:lang w:val="en-GB"/>
        </w:rPr>
        <w:tab/>
        <w:t>“I stayed at the communal police post for a month and a half […]. I saw the criminal investigation police officer only once. He did not make me sign the minutes of the hearing. The officer asked me why I was fleeing. He then put me in jail. He asked me a few questions. I did not have a lawyer. I was not informed that I could request for a lawyer”</w:t>
      </w:r>
      <w:r w:rsidR="00B90F6F">
        <w:rPr>
          <w:i/>
          <w:lang w:val="en-GB"/>
        </w:rPr>
        <w:t>.</w:t>
      </w:r>
      <w:r w:rsidRPr="007158E9">
        <w:rPr>
          <w:vertAlign w:val="superscript"/>
          <w:lang w:val="en-GB"/>
        </w:rPr>
        <w:footnoteReference w:id="187"/>
      </w:r>
    </w:p>
    <w:p w14:paraId="4EFEA1C8" w14:textId="3A602EA0" w:rsidR="00F35CB9" w:rsidRPr="007158E9" w:rsidRDefault="00F35CB9" w:rsidP="00F35CB9">
      <w:pPr>
        <w:pStyle w:val="H56G"/>
        <w:rPr>
          <w:b/>
          <w:lang w:val="en-GB"/>
        </w:rPr>
      </w:pPr>
      <w:r w:rsidRPr="007158E9">
        <w:rPr>
          <w:lang w:val="en-GB"/>
        </w:rPr>
        <w:tab/>
      </w:r>
      <w:r w:rsidRPr="007158E9">
        <w:rPr>
          <w:b/>
          <w:lang w:val="en-GB"/>
        </w:rPr>
        <w:t>(ii)</w:t>
      </w:r>
      <w:r w:rsidRPr="007158E9">
        <w:rPr>
          <w:b/>
          <w:lang w:val="en-GB"/>
        </w:rPr>
        <w:tab/>
        <w:t xml:space="preserve">Main </w:t>
      </w:r>
      <w:r w:rsidR="00742E7C">
        <w:rPr>
          <w:b/>
          <w:lang w:val="en-GB"/>
        </w:rPr>
        <w:t>perpetrators</w:t>
      </w:r>
    </w:p>
    <w:p w14:paraId="19915890" w14:textId="04B7F1BE" w:rsidR="00F35CB9" w:rsidRPr="007158E9" w:rsidRDefault="00F35CB9" w:rsidP="00F35CB9">
      <w:pPr>
        <w:pStyle w:val="SingleTxtG"/>
        <w:ind w:right="567"/>
        <w:rPr>
          <w:lang w:val="en-GB"/>
        </w:rPr>
      </w:pPr>
      <w:r w:rsidRPr="007158E9">
        <w:rPr>
          <w:lang w:val="en-GB"/>
        </w:rPr>
        <w:tab/>
        <w:t>322.</w:t>
      </w:r>
      <w:r w:rsidRPr="007158E9">
        <w:rPr>
          <w:lang w:val="en-GB"/>
        </w:rPr>
        <w:tab/>
        <w:t xml:space="preserve">In 2017 and 2018, victims </w:t>
      </w:r>
      <w:r w:rsidR="00B90F6F">
        <w:rPr>
          <w:lang w:val="en-GB"/>
        </w:rPr>
        <w:t xml:space="preserve">interviewed by the Commission mentioned that </w:t>
      </w:r>
      <w:r w:rsidRPr="007158E9">
        <w:rPr>
          <w:lang w:val="en-GB"/>
        </w:rPr>
        <w:t>police agents</w:t>
      </w:r>
      <w:r w:rsidR="00B90F6F">
        <w:rPr>
          <w:lang w:val="en-GB"/>
        </w:rPr>
        <w:t>,</w:t>
      </w:r>
      <w:r w:rsidRPr="007158E9">
        <w:rPr>
          <w:vertAlign w:val="superscript"/>
          <w:lang w:val="en-GB"/>
        </w:rPr>
        <w:footnoteReference w:id="188"/>
      </w:r>
      <w:r w:rsidRPr="007158E9">
        <w:rPr>
          <w:lang w:val="en-GB"/>
        </w:rPr>
        <w:t xml:space="preserve"> including those of BSR, </w:t>
      </w:r>
      <w:r w:rsidR="00B90F6F">
        <w:rPr>
          <w:lang w:val="en-GB"/>
        </w:rPr>
        <w:t>were</w:t>
      </w:r>
      <w:r w:rsidRPr="007158E9">
        <w:rPr>
          <w:lang w:val="en-GB"/>
        </w:rPr>
        <w:t xml:space="preserve"> the main perpetrators of arbitrary detention during police custody, the first phase of the process following the arrest</w:t>
      </w:r>
      <w:r w:rsidR="00B90F6F">
        <w:rPr>
          <w:lang w:val="en-GB"/>
        </w:rPr>
        <w:t>.</w:t>
      </w:r>
      <w:r w:rsidRPr="007158E9">
        <w:rPr>
          <w:vertAlign w:val="superscript"/>
          <w:lang w:val="en-GB"/>
        </w:rPr>
        <w:footnoteReference w:id="189"/>
      </w:r>
      <w:r w:rsidRPr="007158E9">
        <w:rPr>
          <w:lang w:val="en-GB"/>
        </w:rPr>
        <w:t xml:space="preserve"> Cases of arbitrary detention by SNR, </w:t>
      </w:r>
      <w:r w:rsidR="00B90F6F">
        <w:rPr>
          <w:lang w:val="en-GB"/>
        </w:rPr>
        <w:t>in particular</w:t>
      </w:r>
      <w:r w:rsidRPr="007158E9">
        <w:rPr>
          <w:lang w:val="en-GB"/>
        </w:rPr>
        <w:t xml:space="preserve"> at its headquarters near the Regina Mundi cathedral were also reported</w:t>
      </w:r>
      <w:r w:rsidR="00B90F6F">
        <w:rPr>
          <w:lang w:val="en-GB"/>
        </w:rPr>
        <w:t>,</w:t>
      </w:r>
      <w:r w:rsidRPr="007158E9">
        <w:rPr>
          <w:vertAlign w:val="superscript"/>
          <w:lang w:val="en-GB"/>
        </w:rPr>
        <w:footnoteReference w:id="190"/>
      </w:r>
      <w:r w:rsidRPr="007158E9">
        <w:rPr>
          <w:lang w:val="en-GB"/>
        </w:rPr>
        <w:t xml:space="preserve"> but to a lesser extent than </w:t>
      </w:r>
      <w:r w:rsidR="00B90F6F">
        <w:rPr>
          <w:lang w:val="en-GB"/>
        </w:rPr>
        <w:t xml:space="preserve">in the context of </w:t>
      </w:r>
      <w:r w:rsidRPr="007158E9">
        <w:rPr>
          <w:lang w:val="en-GB"/>
        </w:rPr>
        <w:t xml:space="preserve">the massive detentions and arrests of demonstrators in 2015 and 2016. </w:t>
      </w:r>
    </w:p>
    <w:p w14:paraId="77FF5D28" w14:textId="34204308" w:rsidR="00F35CB9" w:rsidRPr="007158E9" w:rsidRDefault="00F35CB9" w:rsidP="00F35CB9">
      <w:pPr>
        <w:pStyle w:val="SingleTxtG"/>
        <w:ind w:right="567"/>
        <w:rPr>
          <w:i/>
          <w:lang w:val="en-GB"/>
        </w:rPr>
      </w:pPr>
      <w:r w:rsidRPr="007158E9">
        <w:rPr>
          <w:lang w:val="en-GB"/>
        </w:rPr>
        <w:tab/>
        <w:t>323.</w:t>
      </w:r>
      <w:r w:rsidRPr="007158E9">
        <w:rPr>
          <w:lang w:val="en-GB"/>
        </w:rPr>
        <w:tab/>
      </w:r>
      <w:r w:rsidR="00AB732F">
        <w:rPr>
          <w:lang w:val="en-GB"/>
        </w:rPr>
        <w:t>J</w:t>
      </w:r>
      <w:r w:rsidR="00AB732F" w:rsidRPr="007158E9">
        <w:rPr>
          <w:lang w:val="en-GB"/>
        </w:rPr>
        <w:t>udicial authorities</w:t>
      </w:r>
      <w:r w:rsidR="00AB732F">
        <w:rPr>
          <w:lang w:val="en-GB"/>
        </w:rPr>
        <w:t xml:space="preserve"> bear t</w:t>
      </w:r>
      <w:r w:rsidR="00B90F6F" w:rsidRPr="007158E9">
        <w:rPr>
          <w:lang w:val="en-GB"/>
        </w:rPr>
        <w:t xml:space="preserve">he responsibility </w:t>
      </w:r>
      <w:r w:rsidR="00B90F6F">
        <w:rPr>
          <w:lang w:val="en-GB"/>
        </w:rPr>
        <w:t>for the</w:t>
      </w:r>
      <w:r w:rsidRPr="007158E9">
        <w:rPr>
          <w:lang w:val="en-GB"/>
        </w:rPr>
        <w:t xml:space="preserve"> </w:t>
      </w:r>
      <w:r w:rsidR="00B90F6F">
        <w:rPr>
          <w:lang w:val="en-GB"/>
        </w:rPr>
        <w:t xml:space="preserve">cases of </w:t>
      </w:r>
      <w:r w:rsidRPr="007158E9">
        <w:rPr>
          <w:lang w:val="en-GB"/>
        </w:rPr>
        <w:t>arbitrary detention within the 11 penal institutions in the country</w:t>
      </w:r>
      <w:r w:rsidR="00B90F6F">
        <w:rPr>
          <w:lang w:val="en-GB"/>
        </w:rPr>
        <w:t>,</w:t>
      </w:r>
      <w:r w:rsidRPr="007158E9">
        <w:rPr>
          <w:vertAlign w:val="superscript"/>
          <w:lang w:val="en-GB"/>
        </w:rPr>
        <w:footnoteReference w:id="191"/>
      </w:r>
      <w:r w:rsidRPr="007158E9">
        <w:rPr>
          <w:lang w:val="en-GB"/>
        </w:rPr>
        <w:t xml:space="preserve"> whether in the context of preventive detention or detentions following the exercise of fundamental rights and freedoms or an unfair trial. Cases of extended detention despite an acquittal judgement or after the condemend persons have served their sentence fall under the responsibility of the prison authorities</w:t>
      </w:r>
      <w:r w:rsidR="00AB732F">
        <w:rPr>
          <w:lang w:val="en-GB"/>
        </w:rPr>
        <w:t>.</w:t>
      </w:r>
      <w:r w:rsidRPr="007158E9">
        <w:rPr>
          <w:vertAlign w:val="superscript"/>
          <w:lang w:val="en-GB"/>
        </w:rPr>
        <w:footnoteReference w:id="192"/>
      </w:r>
    </w:p>
    <w:p w14:paraId="1AA5C75D" w14:textId="4813B06F" w:rsidR="00F35CB9" w:rsidRPr="007158E9" w:rsidRDefault="00F35CB9" w:rsidP="00F35CB9">
      <w:pPr>
        <w:pStyle w:val="SingleTxtG"/>
        <w:ind w:right="567"/>
        <w:rPr>
          <w:b/>
          <w:lang w:val="en-GB"/>
        </w:rPr>
      </w:pPr>
      <w:r w:rsidRPr="007158E9">
        <w:rPr>
          <w:lang w:val="en-GB"/>
        </w:rPr>
        <w:tab/>
        <w:t>324.</w:t>
      </w:r>
      <w:r w:rsidRPr="007158E9">
        <w:rPr>
          <w:lang w:val="en-GB"/>
        </w:rPr>
        <w:tab/>
        <w:t xml:space="preserve">Currently, international organisations and Burundian civil society organisations no longer carry out regular visits in the detention facilities as they </w:t>
      </w:r>
      <w:r w:rsidR="00AB732F">
        <w:rPr>
          <w:lang w:val="en-GB"/>
        </w:rPr>
        <w:t>were used to do</w:t>
      </w:r>
      <w:r w:rsidRPr="007158E9">
        <w:rPr>
          <w:lang w:val="en-GB"/>
        </w:rPr>
        <w:t xml:space="preserve"> in the past</w:t>
      </w:r>
      <w:r w:rsidR="00AB732F">
        <w:rPr>
          <w:lang w:val="en-GB"/>
        </w:rPr>
        <w:t>.</w:t>
      </w:r>
      <w:r w:rsidRPr="007158E9">
        <w:rPr>
          <w:vertAlign w:val="superscript"/>
          <w:lang w:val="en-GB"/>
        </w:rPr>
        <w:footnoteReference w:id="193"/>
      </w:r>
      <w:r w:rsidRPr="007158E9">
        <w:rPr>
          <w:lang w:val="en-GB"/>
        </w:rPr>
        <w:t xml:space="preserve"> </w:t>
      </w:r>
      <w:r w:rsidR="00AB732F">
        <w:rPr>
          <w:lang w:val="en-GB"/>
        </w:rPr>
        <w:t>The I</w:t>
      </w:r>
      <w:r w:rsidRPr="007158E9">
        <w:rPr>
          <w:lang w:val="en-GB"/>
        </w:rPr>
        <w:t xml:space="preserve">ndependent </w:t>
      </w:r>
      <w:r w:rsidR="00AB732F">
        <w:rPr>
          <w:lang w:val="en-GB"/>
        </w:rPr>
        <w:t xml:space="preserve">National </w:t>
      </w:r>
      <w:r w:rsidR="00B831ED">
        <w:rPr>
          <w:lang w:val="en-GB"/>
        </w:rPr>
        <w:t>C</w:t>
      </w:r>
      <w:r w:rsidR="00AB732F">
        <w:rPr>
          <w:lang w:val="en-GB"/>
        </w:rPr>
        <w:t>ommission for H</w:t>
      </w:r>
      <w:r w:rsidRPr="007158E9">
        <w:rPr>
          <w:lang w:val="en-GB"/>
        </w:rPr>
        <w:t xml:space="preserve">uman </w:t>
      </w:r>
      <w:r w:rsidR="00AB732F">
        <w:rPr>
          <w:lang w:val="en-GB"/>
        </w:rPr>
        <w:t>R</w:t>
      </w:r>
      <w:r w:rsidRPr="007158E9">
        <w:rPr>
          <w:lang w:val="en-GB"/>
        </w:rPr>
        <w:t xml:space="preserve">ights (CNIDH) does not play its role of following up </w:t>
      </w:r>
      <w:r w:rsidR="00AB732F">
        <w:rPr>
          <w:lang w:val="en-GB"/>
        </w:rPr>
        <w:t xml:space="preserve">on </w:t>
      </w:r>
      <w:r w:rsidRPr="007158E9">
        <w:rPr>
          <w:lang w:val="en-GB"/>
        </w:rPr>
        <w:t>and exposing arbitrary detentions</w:t>
      </w:r>
      <w:r w:rsidR="00AB732F">
        <w:rPr>
          <w:lang w:val="en-GB"/>
        </w:rPr>
        <w:t>.</w:t>
      </w:r>
      <w:r w:rsidRPr="007158E9">
        <w:rPr>
          <w:vertAlign w:val="superscript"/>
          <w:lang w:val="en-GB"/>
        </w:rPr>
        <w:footnoteReference w:id="194"/>
      </w:r>
    </w:p>
    <w:p w14:paraId="64DDE9C3" w14:textId="77777777" w:rsidR="00F35CB9" w:rsidRPr="007158E9" w:rsidRDefault="00F35CB9" w:rsidP="00F35CB9">
      <w:pPr>
        <w:pStyle w:val="H56G"/>
        <w:rPr>
          <w:b/>
          <w:lang w:val="en-GB"/>
        </w:rPr>
      </w:pPr>
      <w:r w:rsidRPr="007158E9">
        <w:rPr>
          <w:lang w:val="en-GB"/>
        </w:rPr>
        <w:tab/>
      </w:r>
      <w:r w:rsidRPr="007158E9">
        <w:rPr>
          <w:b/>
          <w:lang w:val="en-GB"/>
        </w:rPr>
        <w:t>(iii)</w:t>
      </w:r>
      <w:r w:rsidRPr="007158E9">
        <w:rPr>
          <w:b/>
          <w:lang w:val="en-GB"/>
        </w:rPr>
        <w:tab/>
        <w:t>Emblematic cases</w:t>
      </w:r>
    </w:p>
    <w:p w14:paraId="305DD9C6" w14:textId="0ED25B0B" w:rsidR="00F35CB9" w:rsidRPr="007158E9" w:rsidRDefault="00F35CB9" w:rsidP="00F35CB9">
      <w:pPr>
        <w:pStyle w:val="SingleTxtG"/>
        <w:ind w:right="567"/>
        <w:rPr>
          <w:lang w:val="en-GB"/>
        </w:rPr>
      </w:pPr>
      <w:r w:rsidRPr="007158E9">
        <w:rPr>
          <w:lang w:val="en-GB"/>
        </w:rPr>
        <w:tab/>
        <w:t>325.</w:t>
      </w:r>
      <w:r w:rsidRPr="007158E9">
        <w:rPr>
          <w:lang w:val="en-GB"/>
        </w:rPr>
        <w:tab/>
        <w:t>The cases mentioned above of five human rights defenders, arbitrarily detained for several months,</w:t>
      </w:r>
      <w:r w:rsidR="00AB732F">
        <w:rPr>
          <w:lang w:val="en-GB"/>
        </w:rPr>
        <w:t xml:space="preserve"> are emblematic cases of arbitrary arrest</w:t>
      </w:r>
      <w:r w:rsidRPr="007158E9">
        <w:rPr>
          <w:lang w:val="en-GB"/>
        </w:rPr>
        <w:t xml:space="preserve"> and detention in Burundi, since they were arrested and detained without any legal basis </w:t>
      </w:r>
      <w:r w:rsidR="00AB732F">
        <w:rPr>
          <w:lang w:val="en-GB"/>
        </w:rPr>
        <w:t>in relation with</w:t>
      </w:r>
      <w:r w:rsidRPr="007158E9">
        <w:rPr>
          <w:lang w:val="en-GB"/>
        </w:rPr>
        <w:t xml:space="preserve"> their legitimate activities in the area of human rights, and after having been condemned to heavy prison sentences following an unfair trial that found them guilty of “undermining</w:t>
      </w:r>
      <w:r w:rsidR="0024696B">
        <w:rPr>
          <w:lang w:val="en-GB"/>
        </w:rPr>
        <w:t xml:space="preserve"> the</w:t>
      </w:r>
      <w:r w:rsidRPr="007158E9">
        <w:rPr>
          <w:lang w:val="en-GB"/>
        </w:rPr>
        <w:t xml:space="preserve"> internal security of the State”.</w:t>
      </w:r>
    </w:p>
    <w:p w14:paraId="1B78450B" w14:textId="77777777" w:rsidR="00F35CB9" w:rsidRPr="007158E9" w:rsidRDefault="00F35CB9" w:rsidP="00F35CB9">
      <w:pPr>
        <w:pStyle w:val="SingleTxtG"/>
        <w:ind w:right="567"/>
        <w:rPr>
          <w:i/>
          <w:lang w:val="en-GB"/>
        </w:rPr>
      </w:pPr>
      <w:r w:rsidRPr="007158E9">
        <w:rPr>
          <w:i/>
          <w:lang w:val="en-GB"/>
        </w:rPr>
        <w:t>Germain Rukuki’s arbitrary detention</w:t>
      </w:r>
    </w:p>
    <w:p w14:paraId="6FFD6EBD" w14:textId="1BE8BB10" w:rsidR="00F35CB9" w:rsidRPr="007158E9" w:rsidRDefault="00F35CB9" w:rsidP="00F35CB9">
      <w:pPr>
        <w:pStyle w:val="SingleTxtG"/>
        <w:ind w:right="567"/>
        <w:rPr>
          <w:lang w:val="en-GB"/>
        </w:rPr>
      </w:pPr>
      <w:r w:rsidRPr="007158E9">
        <w:rPr>
          <w:lang w:val="en-GB"/>
        </w:rPr>
        <w:tab/>
        <w:t>326.</w:t>
      </w:r>
      <w:r w:rsidRPr="007158E9">
        <w:rPr>
          <w:lang w:val="en-GB"/>
        </w:rPr>
        <w:tab/>
        <w:t>Germain Rukuki is an employee of the Burundian Association of Catholic Lawyers  (</w:t>
      </w:r>
      <w:r w:rsidRPr="007158E9">
        <w:rPr>
          <w:i/>
          <w:lang w:val="en-GB"/>
        </w:rPr>
        <w:t>Association des juristes catholiques du Burundi: AJCB</w:t>
      </w:r>
      <w:r w:rsidRPr="007158E9">
        <w:rPr>
          <w:lang w:val="en-GB"/>
        </w:rPr>
        <w:t xml:space="preserve">), who had previously worked for the </w:t>
      </w:r>
      <w:r w:rsidRPr="007158E9">
        <w:rPr>
          <w:i/>
          <w:lang w:val="en-GB"/>
        </w:rPr>
        <w:t>Action des chrétiens pour l'abolition de la torture au Burundi (ACAT-Burundi)</w:t>
      </w:r>
      <w:r w:rsidRPr="007158E9">
        <w:rPr>
          <w:lang w:val="en-GB"/>
        </w:rPr>
        <w:t>, an organisation accused by the Burundian Government of having participated in an insurrectional movement that organised the demonstration against President Nkurunziza’s third term</w:t>
      </w:r>
      <w:r w:rsidR="002010D1">
        <w:rPr>
          <w:lang w:val="en-GB"/>
        </w:rPr>
        <w:t>.</w:t>
      </w:r>
      <w:r w:rsidRPr="007158E9">
        <w:rPr>
          <w:sz w:val="18"/>
          <w:vertAlign w:val="superscript"/>
          <w:lang w:val="en-GB"/>
        </w:rPr>
        <w:footnoteReference w:id="195"/>
      </w:r>
      <w:r w:rsidRPr="007158E9">
        <w:rPr>
          <w:lang w:val="en-GB"/>
        </w:rPr>
        <w:t xml:space="preserve"> Germain Rukuki was arrested on 13 July 2017 and detained at SNR until his condemnation on 1 August 2017 for “undermining the internal security of the State” and “rebellion”, in connection with his work within ACAT-Burundi. On 17 August 2017, the Council Chamber of the Court of First Instance of Ntahangwa ruled to </w:t>
      </w:r>
      <w:r w:rsidR="002010D1">
        <w:rPr>
          <w:lang w:val="en-GB"/>
        </w:rPr>
        <w:t>extend his</w:t>
      </w:r>
      <w:r w:rsidRPr="007158E9">
        <w:rPr>
          <w:lang w:val="en-GB"/>
        </w:rPr>
        <w:t xml:space="preserve"> preventive detention, a ruling that was communicated to Mr. Rukuki only on 25 August 2017. He then appealed this decision. On 31 October 2017, the Bujumbura Court of Appeal confirmed Mr. Rukuki’s continued preventive detention. On 26 April 2018, Germain Rukuki was condemned to 32 years of imprisonment for “belonging to an insurrectional movement”, “undermining </w:t>
      </w:r>
      <w:r w:rsidR="00B831ED">
        <w:rPr>
          <w:lang w:val="en-GB"/>
        </w:rPr>
        <w:t xml:space="preserve">the </w:t>
      </w:r>
      <w:r w:rsidRPr="007158E9">
        <w:rPr>
          <w:lang w:val="en-GB"/>
        </w:rPr>
        <w:t>internal security of the State” and “rebellion”.</w:t>
      </w:r>
    </w:p>
    <w:p w14:paraId="688E4E41" w14:textId="1449BE97" w:rsidR="00F35CB9" w:rsidRPr="007158E9" w:rsidRDefault="00F35CB9" w:rsidP="00F35CB9">
      <w:pPr>
        <w:pStyle w:val="SingleTxtG"/>
        <w:ind w:right="567"/>
        <w:rPr>
          <w:lang w:val="en-GB"/>
        </w:rPr>
      </w:pPr>
      <w:r w:rsidRPr="007158E9">
        <w:rPr>
          <w:lang w:val="en-GB"/>
        </w:rPr>
        <w:tab/>
        <w:t>327.</w:t>
      </w:r>
      <w:r w:rsidRPr="007158E9">
        <w:rPr>
          <w:lang w:val="en-GB"/>
        </w:rPr>
        <w:tab/>
        <w:t xml:space="preserve">This extremely </w:t>
      </w:r>
      <w:r w:rsidR="002010D1">
        <w:rPr>
          <w:lang w:val="en-GB"/>
        </w:rPr>
        <w:t>harsh</w:t>
      </w:r>
      <w:r w:rsidRPr="007158E9">
        <w:rPr>
          <w:lang w:val="en-GB"/>
        </w:rPr>
        <w:t xml:space="preserve"> sentence follows a criminal procedure interspersed with irregularities and repeated violations of the rights to defense and to a fair trial. Hence, the arrest of Mr. Rukuki was done without an arrest or search warrant. During the </w:t>
      </w:r>
      <w:r w:rsidR="002010D1">
        <w:rPr>
          <w:lang w:val="en-GB"/>
        </w:rPr>
        <w:t>investigation</w:t>
      </w:r>
      <w:r w:rsidRPr="007158E9">
        <w:rPr>
          <w:lang w:val="en-GB"/>
        </w:rPr>
        <w:t xml:space="preserve">, he was interrogated several times in the absence of his lawyers. During the first </w:t>
      </w:r>
      <w:r w:rsidR="002010D1">
        <w:rPr>
          <w:lang w:val="en-GB"/>
        </w:rPr>
        <w:t>hearing</w:t>
      </w:r>
      <w:r w:rsidRPr="007158E9">
        <w:rPr>
          <w:lang w:val="en-GB"/>
        </w:rPr>
        <w:t xml:space="preserve"> of his trial on 13 February 2018, the charges of “assassination of militar</w:t>
      </w:r>
      <w:r w:rsidR="002010D1">
        <w:rPr>
          <w:lang w:val="en-GB"/>
        </w:rPr>
        <w:t>ies</w:t>
      </w:r>
      <w:r w:rsidRPr="007158E9">
        <w:rPr>
          <w:lang w:val="en-GB"/>
        </w:rPr>
        <w:t xml:space="preserve">, police agents and civilians”, “damage to public and private buildings”, and “willingness to change the democratically elected regime” were added </w:t>
      </w:r>
      <w:r w:rsidR="002010D1">
        <w:rPr>
          <w:lang w:val="en-GB"/>
        </w:rPr>
        <w:t xml:space="preserve">to the accusation while </w:t>
      </w:r>
      <w:r w:rsidRPr="007158E9">
        <w:rPr>
          <w:lang w:val="en-GB"/>
        </w:rPr>
        <w:t xml:space="preserve">they were not </w:t>
      </w:r>
      <w:r w:rsidR="002010D1">
        <w:rPr>
          <w:lang w:val="en-GB"/>
        </w:rPr>
        <w:t>raise</w:t>
      </w:r>
      <w:r w:rsidRPr="007158E9">
        <w:rPr>
          <w:lang w:val="en-GB"/>
        </w:rPr>
        <w:t xml:space="preserve">d </w:t>
      </w:r>
      <w:r w:rsidR="002010D1">
        <w:rPr>
          <w:lang w:val="en-GB"/>
        </w:rPr>
        <w:t>durin</w:t>
      </w:r>
      <w:r w:rsidRPr="007158E9">
        <w:rPr>
          <w:lang w:val="en-GB"/>
        </w:rPr>
        <w:t xml:space="preserve"> the investigation proceedings. Mr. Rukuki, who was detained in the Ngozi prison, although he resided in Bujumbura, was notified of the first appearance on the same day, with no regard of the </w:t>
      </w:r>
      <w:r w:rsidR="002010D1" w:rsidRPr="007158E9">
        <w:rPr>
          <w:lang w:val="en-GB"/>
        </w:rPr>
        <w:t xml:space="preserve">eight days </w:t>
      </w:r>
      <w:r w:rsidRPr="007158E9">
        <w:rPr>
          <w:lang w:val="en-GB"/>
        </w:rPr>
        <w:t xml:space="preserve">legal notice, which is crucial for the defense preparation. His lawyers were only able to examine part of the case file just before this court </w:t>
      </w:r>
      <w:r w:rsidR="0040137C">
        <w:rPr>
          <w:lang w:val="en-GB"/>
        </w:rPr>
        <w:t>hearing</w:t>
      </w:r>
      <w:r w:rsidRPr="007158E9">
        <w:rPr>
          <w:lang w:val="en-GB"/>
        </w:rPr>
        <w:t>. Finally, nor Mr. Rukuki, neither his lawyers were present during the reading by the Court of the sentencing to 32 years of imprisonmemnt. These elements support the conclusion that the trial was unfair</w:t>
      </w:r>
      <w:r w:rsidR="0040137C">
        <w:rPr>
          <w:lang w:val="en-GB"/>
        </w:rPr>
        <w:t>.</w:t>
      </w:r>
      <w:r w:rsidRPr="007158E9">
        <w:rPr>
          <w:vertAlign w:val="superscript"/>
          <w:lang w:val="en-GB"/>
        </w:rPr>
        <w:footnoteReference w:id="196"/>
      </w:r>
    </w:p>
    <w:p w14:paraId="365D0EB9" w14:textId="71E4F77C" w:rsidR="00F35CB9" w:rsidRPr="007158E9" w:rsidRDefault="00F35CB9" w:rsidP="00F35CB9">
      <w:pPr>
        <w:pStyle w:val="SingleTxtG"/>
        <w:ind w:right="567"/>
        <w:rPr>
          <w:lang w:val="en-GB"/>
        </w:rPr>
      </w:pPr>
      <w:r w:rsidRPr="007158E9">
        <w:rPr>
          <w:lang w:val="en-GB"/>
        </w:rPr>
        <w:tab/>
        <w:t>328.</w:t>
      </w:r>
      <w:r w:rsidRPr="007158E9">
        <w:rPr>
          <w:lang w:val="en-GB"/>
        </w:rPr>
        <w:tab/>
        <w:t>In addition, most of the questions asked to Mr. Rukuki during the investigation were in relation to his work as human rights defender and his legitimate activities within ACAT-Burundi in 2015. This demonstrates that the proceedings against Mr. Rukuki, and the subsequent condemnation</w:t>
      </w:r>
      <w:r w:rsidR="0040137C">
        <w:rPr>
          <w:lang w:val="en-GB"/>
        </w:rPr>
        <w:t>,</w:t>
      </w:r>
      <w:r w:rsidRPr="007158E9">
        <w:rPr>
          <w:lang w:val="en-GB"/>
        </w:rPr>
        <w:t xml:space="preserve"> were linked to his activities as human rights defender and theref</w:t>
      </w:r>
      <w:r w:rsidR="0040137C">
        <w:rPr>
          <w:lang w:val="en-GB"/>
        </w:rPr>
        <w:t>o</w:t>
      </w:r>
      <w:r w:rsidRPr="007158E9">
        <w:rPr>
          <w:lang w:val="en-GB"/>
        </w:rPr>
        <w:t>re to the exercise of his fundamental rights and freedoms</w:t>
      </w:r>
      <w:r w:rsidR="0040137C">
        <w:rPr>
          <w:lang w:val="en-GB"/>
        </w:rPr>
        <w:t>.</w:t>
      </w:r>
      <w:r w:rsidRPr="007158E9">
        <w:rPr>
          <w:vertAlign w:val="superscript"/>
          <w:lang w:val="en-GB"/>
        </w:rPr>
        <w:footnoteReference w:id="197"/>
      </w:r>
    </w:p>
    <w:p w14:paraId="2B0A9365" w14:textId="77777777" w:rsidR="00F35CB9" w:rsidRPr="007158E9" w:rsidRDefault="00F35CB9" w:rsidP="00F35CB9">
      <w:pPr>
        <w:pStyle w:val="SingleTxtG"/>
        <w:rPr>
          <w:i/>
          <w:lang w:val="en-GB"/>
        </w:rPr>
      </w:pPr>
      <w:r w:rsidRPr="007158E9">
        <w:rPr>
          <w:i/>
          <w:lang w:val="en-GB"/>
        </w:rPr>
        <w:t>Arbitrary detentions of Aimé Constant Gatore, Marius Nizigama and Emmanuel Nshimirimana</w:t>
      </w:r>
    </w:p>
    <w:p w14:paraId="4FC54868" w14:textId="3D2DCCB8" w:rsidR="00F35CB9" w:rsidRPr="007158E9" w:rsidRDefault="00F35CB9" w:rsidP="00F35CB9">
      <w:pPr>
        <w:pStyle w:val="SingleTxtG"/>
        <w:ind w:right="567"/>
        <w:rPr>
          <w:lang w:val="en-GB"/>
        </w:rPr>
      </w:pPr>
      <w:r w:rsidRPr="007158E9">
        <w:rPr>
          <w:lang w:val="en-GB"/>
        </w:rPr>
        <w:tab/>
        <w:t>329.</w:t>
      </w:r>
      <w:r w:rsidRPr="007158E9">
        <w:rPr>
          <w:lang w:val="en-GB"/>
        </w:rPr>
        <w:tab/>
        <w:t>Aimé Constant Gatore, Marius Nizigama and Emmanuel Nshimirimana were representatives of the organisation PARCEM in Mbuye commune (Muramvya province), Buhangura zone (Muramvya province) and in Muramvya province</w:t>
      </w:r>
      <w:r w:rsidR="0040137C">
        <w:rPr>
          <w:lang w:val="en-GB"/>
        </w:rPr>
        <w:t>,</w:t>
      </w:r>
      <w:r w:rsidR="0040137C" w:rsidRPr="0040137C">
        <w:rPr>
          <w:lang w:val="en-GB"/>
        </w:rPr>
        <w:t xml:space="preserve"> </w:t>
      </w:r>
      <w:r w:rsidR="0040137C" w:rsidRPr="007158E9">
        <w:rPr>
          <w:lang w:val="en-GB"/>
        </w:rPr>
        <w:t>respectively</w:t>
      </w:r>
      <w:r w:rsidRPr="007158E9">
        <w:rPr>
          <w:lang w:val="en-GB"/>
        </w:rPr>
        <w:t>. They were all arrested in June 2017 in Muramyva by SNR, because they were preparing a training workshop for whistle</w:t>
      </w:r>
      <w:r w:rsidR="00B831ED">
        <w:rPr>
          <w:lang w:val="en-GB"/>
        </w:rPr>
        <w:t>-</w:t>
      </w:r>
      <w:r w:rsidRPr="007158E9">
        <w:rPr>
          <w:lang w:val="en-GB"/>
        </w:rPr>
        <w:t xml:space="preserve">blowers on human rights violations. They were initially brought to SNR in Muramyva before being transferred to SNR headquarters in Bujumbura, where they were detained for a week. They were then detained at the Mpimba prison and the Muramvya prison. Their trial started on 1 December 2017 at the Muramvya </w:t>
      </w:r>
      <w:r w:rsidR="0040137C" w:rsidRPr="007158E9">
        <w:rPr>
          <w:lang w:val="en-GB"/>
        </w:rPr>
        <w:t xml:space="preserve">Court </w:t>
      </w:r>
      <w:r w:rsidR="0040137C">
        <w:rPr>
          <w:lang w:val="en-GB"/>
        </w:rPr>
        <w:t>of First</w:t>
      </w:r>
      <w:r w:rsidRPr="007158E9">
        <w:rPr>
          <w:lang w:val="en-GB"/>
        </w:rPr>
        <w:t xml:space="preserve"> </w:t>
      </w:r>
      <w:r w:rsidR="0040137C">
        <w:rPr>
          <w:lang w:val="en-GB"/>
        </w:rPr>
        <w:t xml:space="preserve">Instance </w:t>
      </w:r>
      <w:r w:rsidRPr="007158E9">
        <w:rPr>
          <w:lang w:val="en-GB"/>
        </w:rPr>
        <w:t>(</w:t>
      </w:r>
      <w:r w:rsidRPr="007158E9">
        <w:rPr>
          <w:i/>
          <w:lang w:val="en-GB"/>
        </w:rPr>
        <w:t xml:space="preserve">Tribunal de grande instance </w:t>
      </w:r>
      <w:r w:rsidR="00B622EE">
        <w:rPr>
          <w:i/>
          <w:lang w:val="en-GB"/>
        </w:rPr>
        <w:t>– “TGI”</w:t>
      </w:r>
      <w:r w:rsidRPr="007158E9">
        <w:rPr>
          <w:lang w:val="en-GB"/>
        </w:rPr>
        <w:t>). On 8 March 2018, they were condemned to 10 years of prison and a penalty fee of 200,000 Burundian francs for “</w:t>
      </w:r>
      <w:bookmarkStart w:id="6" w:name="_Hlk28249347"/>
      <w:r w:rsidRPr="007158E9">
        <w:rPr>
          <w:lang w:val="en-GB"/>
        </w:rPr>
        <w:t xml:space="preserve">undermining the internal security of the </w:t>
      </w:r>
      <w:bookmarkEnd w:id="6"/>
      <w:r w:rsidRPr="007158E9">
        <w:rPr>
          <w:lang w:val="en-GB"/>
        </w:rPr>
        <w:t>State”</w:t>
      </w:r>
      <w:r w:rsidR="0040137C">
        <w:rPr>
          <w:lang w:val="en-GB"/>
        </w:rPr>
        <w:t>.</w:t>
      </w:r>
      <w:r w:rsidRPr="007158E9">
        <w:rPr>
          <w:vertAlign w:val="superscript"/>
          <w:lang w:val="en-GB"/>
        </w:rPr>
        <w:footnoteReference w:id="198"/>
      </w:r>
    </w:p>
    <w:p w14:paraId="5E7798E4" w14:textId="3ED2CBF7" w:rsidR="00F35CB9" w:rsidRPr="007158E9" w:rsidRDefault="00F35CB9" w:rsidP="00F35CB9">
      <w:pPr>
        <w:pStyle w:val="SingleTxtG"/>
        <w:ind w:right="567"/>
        <w:rPr>
          <w:lang w:val="en-GB"/>
        </w:rPr>
      </w:pPr>
      <w:r w:rsidRPr="007158E9">
        <w:rPr>
          <w:lang w:val="en-GB"/>
        </w:rPr>
        <w:tab/>
        <w:t>330.</w:t>
      </w:r>
      <w:r w:rsidRPr="007158E9">
        <w:rPr>
          <w:lang w:val="en-GB"/>
        </w:rPr>
        <w:tab/>
        <w:t xml:space="preserve">The accusation </w:t>
      </w:r>
      <w:r w:rsidR="0040137C">
        <w:rPr>
          <w:lang w:val="en-GB"/>
        </w:rPr>
        <w:t xml:space="preserve">of </w:t>
      </w:r>
      <w:r w:rsidRPr="007158E9">
        <w:rPr>
          <w:lang w:val="en-GB"/>
        </w:rPr>
        <w:t xml:space="preserve">“undermining the internal security of the State” was used abusively and arbitrarily. The Prosecution solely used the internal documents related to the organisation of the training workshop, and more precisely the list of participants. Nevertheless, the judges agreed with the prosecution and estimated that the accused, by seeking to establish a network of whistle-blowers on human rights violations made up of young persons some of whom were affiliated to opposition political parties and none were members of CNDD-FDD, were planning to undermine national security. In addition, contrary to </w:t>
      </w:r>
      <w:r w:rsidR="0040137C">
        <w:rPr>
          <w:lang w:val="en-GB"/>
        </w:rPr>
        <w:t xml:space="preserve">the </w:t>
      </w:r>
      <w:r w:rsidRPr="007158E9">
        <w:rPr>
          <w:lang w:val="en-GB"/>
        </w:rPr>
        <w:t xml:space="preserve">established procedure, the judges rendered their verdict </w:t>
      </w:r>
      <w:r w:rsidR="0040137C" w:rsidRPr="007158E9">
        <w:rPr>
          <w:lang w:val="en-GB"/>
        </w:rPr>
        <w:t>in the absence of both the accused and their lawyers</w:t>
      </w:r>
      <w:r w:rsidR="0040137C">
        <w:rPr>
          <w:lang w:val="en-GB"/>
        </w:rPr>
        <w:t>,</w:t>
      </w:r>
      <w:r w:rsidR="0040137C" w:rsidRPr="007158E9">
        <w:rPr>
          <w:lang w:val="en-GB"/>
        </w:rPr>
        <w:t xml:space="preserve"> </w:t>
      </w:r>
      <w:r w:rsidRPr="007158E9">
        <w:rPr>
          <w:lang w:val="en-GB"/>
        </w:rPr>
        <w:t>four days before the due date</w:t>
      </w:r>
      <w:r w:rsidR="0040137C">
        <w:rPr>
          <w:lang w:val="en-GB"/>
        </w:rPr>
        <w:t xml:space="preserve"> while</w:t>
      </w:r>
      <w:r w:rsidRPr="007158E9">
        <w:rPr>
          <w:lang w:val="en-GB"/>
        </w:rPr>
        <w:t xml:space="preserve"> they were </w:t>
      </w:r>
      <w:r w:rsidR="0040137C">
        <w:rPr>
          <w:lang w:val="en-GB"/>
        </w:rPr>
        <w:t>sitting in</w:t>
      </w:r>
      <w:r w:rsidRPr="007158E9">
        <w:rPr>
          <w:lang w:val="en-GB"/>
        </w:rPr>
        <w:t xml:space="preserve"> a separate case</w:t>
      </w:r>
      <w:r w:rsidR="0040137C">
        <w:rPr>
          <w:lang w:val="en-GB"/>
        </w:rPr>
        <w:t>.</w:t>
      </w:r>
      <w:r w:rsidRPr="007158E9">
        <w:rPr>
          <w:vertAlign w:val="superscript"/>
          <w:lang w:val="en-GB"/>
        </w:rPr>
        <w:footnoteReference w:id="199"/>
      </w:r>
    </w:p>
    <w:p w14:paraId="2D315E3D" w14:textId="5486F830" w:rsidR="00F35CB9" w:rsidRPr="007158E9" w:rsidRDefault="00F35CB9" w:rsidP="00F35CB9">
      <w:pPr>
        <w:pStyle w:val="SingleTxtG"/>
        <w:ind w:right="567"/>
        <w:rPr>
          <w:lang w:val="en-GB"/>
        </w:rPr>
      </w:pPr>
      <w:r w:rsidRPr="007158E9">
        <w:rPr>
          <w:lang w:val="en-GB"/>
        </w:rPr>
        <w:tab/>
        <w:t>331.</w:t>
      </w:r>
      <w:r w:rsidRPr="007158E9">
        <w:rPr>
          <w:lang w:val="en-GB"/>
        </w:rPr>
        <w:tab/>
        <w:t>The detention of the three PARCEM members is arbitrary as it results from the exercise of legitimate activities and fundamental freedoms, namely the freedom</w:t>
      </w:r>
      <w:r w:rsidR="0040137C">
        <w:rPr>
          <w:lang w:val="en-GB"/>
        </w:rPr>
        <w:t>s</w:t>
      </w:r>
      <w:r w:rsidRPr="007158E9">
        <w:rPr>
          <w:lang w:val="en-GB"/>
        </w:rPr>
        <w:t xml:space="preserve"> of association and assembly, and because it was confirmed through heavy sentencing at the outset of an unfair trial. </w:t>
      </w:r>
    </w:p>
    <w:p w14:paraId="59F903DB" w14:textId="77777777" w:rsidR="00F35CB9" w:rsidRPr="007158E9" w:rsidRDefault="00F35CB9" w:rsidP="00F35CB9">
      <w:pPr>
        <w:pStyle w:val="H56G"/>
        <w:rPr>
          <w:i/>
          <w:lang w:val="en-GB"/>
        </w:rPr>
      </w:pPr>
      <w:r w:rsidRPr="007158E9">
        <w:rPr>
          <w:lang w:val="en-GB"/>
        </w:rPr>
        <w:tab/>
      </w:r>
      <w:r w:rsidRPr="007158E9">
        <w:rPr>
          <w:lang w:val="en-GB"/>
        </w:rPr>
        <w:tab/>
      </w:r>
      <w:r w:rsidRPr="007158E9">
        <w:rPr>
          <w:i/>
          <w:lang w:val="en-GB"/>
        </w:rPr>
        <w:t>Arbitrary detention of Nestor Nibitanga</w:t>
      </w:r>
    </w:p>
    <w:p w14:paraId="4115BD27" w14:textId="315E78E8" w:rsidR="00F35CB9" w:rsidRPr="007158E9" w:rsidRDefault="00F35CB9" w:rsidP="00F35CB9">
      <w:pPr>
        <w:pStyle w:val="SingleTxtG"/>
        <w:ind w:right="567"/>
        <w:rPr>
          <w:lang w:val="en-GB"/>
        </w:rPr>
      </w:pPr>
      <w:r w:rsidRPr="007158E9">
        <w:rPr>
          <w:lang w:val="en-GB"/>
        </w:rPr>
        <w:tab/>
        <w:t>332.</w:t>
      </w:r>
      <w:r w:rsidRPr="007158E9">
        <w:rPr>
          <w:lang w:val="en-GB"/>
        </w:rPr>
        <w:tab/>
        <w:t>The police and SNR arrested Nestor Nibitanga on 21 November 2017 at his residence in Gitega province. He had, in the past, worked for the Association for the protection of human rights and detained persons (</w:t>
      </w:r>
      <w:r w:rsidRPr="007158E9">
        <w:rPr>
          <w:i/>
          <w:lang w:val="en-GB"/>
        </w:rPr>
        <w:t>Association pour la protection des droits humains et des personnes détenues</w:t>
      </w:r>
      <w:r w:rsidRPr="007158E9">
        <w:rPr>
          <w:lang w:val="en-GB"/>
        </w:rPr>
        <w:t xml:space="preserve">: APRODH), a civil society organisation that was deregistered by the </w:t>
      </w:r>
      <w:r w:rsidR="0040137C">
        <w:rPr>
          <w:lang w:val="en-GB"/>
        </w:rPr>
        <w:t>G</w:t>
      </w:r>
      <w:r w:rsidRPr="007158E9">
        <w:rPr>
          <w:lang w:val="en-GB"/>
        </w:rPr>
        <w:t>overnment in October 2016</w:t>
      </w:r>
      <w:r w:rsidRPr="007158E9">
        <w:rPr>
          <w:sz w:val="18"/>
          <w:vertAlign w:val="superscript"/>
          <w:lang w:val="en-GB"/>
        </w:rPr>
        <w:footnoteReference w:id="200"/>
      </w:r>
      <w:r w:rsidRPr="007158E9">
        <w:rPr>
          <w:lang w:val="en-GB"/>
        </w:rPr>
        <w:t xml:space="preserve">. At the time, he was not informed of the motives of his arrest. His laptop and mobile phone were also </w:t>
      </w:r>
      <w:r w:rsidR="0040137C">
        <w:rPr>
          <w:lang w:val="en-GB"/>
        </w:rPr>
        <w:t>confiscated</w:t>
      </w:r>
      <w:r w:rsidRPr="007158E9">
        <w:rPr>
          <w:lang w:val="en-GB"/>
        </w:rPr>
        <w:t xml:space="preserve"> at the time of his arrest. Nestor Nibitanga was taken to </w:t>
      </w:r>
      <w:r w:rsidR="0040137C">
        <w:rPr>
          <w:lang w:val="en-GB"/>
        </w:rPr>
        <w:t xml:space="preserve">the </w:t>
      </w:r>
      <w:r w:rsidRPr="007158E9">
        <w:rPr>
          <w:lang w:val="en-GB"/>
        </w:rPr>
        <w:t xml:space="preserve">SNR </w:t>
      </w:r>
      <w:r w:rsidR="0040137C">
        <w:rPr>
          <w:lang w:val="en-GB"/>
        </w:rPr>
        <w:t xml:space="preserve">headquarters </w:t>
      </w:r>
      <w:r w:rsidRPr="007158E9">
        <w:rPr>
          <w:lang w:val="en-GB"/>
        </w:rPr>
        <w:t xml:space="preserve">in Bujumbura where he was detained in secret until 4 Decembre 2017, at which point he was transferred to the central prison in Rumonge. He was accused of “undermining the internal security of the State”. On 3 January 2018, the Council </w:t>
      </w:r>
      <w:r w:rsidR="0040137C">
        <w:rPr>
          <w:lang w:val="en-GB"/>
        </w:rPr>
        <w:t>C</w:t>
      </w:r>
      <w:r w:rsidRPr="007158E9">
        <w:rPr>
          <w:lang w:val="en-GB"/>
        </w:rPr>
        <w:t>hamb</w:t>
      </w:r>
      <w:r w:rsidR="0040137C">
        <w:rPr>
          <w:lang w:val="en-GB"/>
        </w:rPr>
        <w:t>er</w:t>
      </w:r>
      <w:r w:rsidRPr="007158E9">
        <w:rPr>
          <w:lang w:val="en-GB"/>
        </w:rPr>
        <w:t xml:space="preserve"> of the </w:t>
      </w:r>
      <w:r w:rsidR="00C90567">
        <w:rPr>
          <w:lang w:val="en-GB"/>
        </w:rPr>
        <w:t>Court</w:t>
      </w:r>
      <w:r w:rsidRPr="007158E9">
        <w:rPr>
          <w:lang w:val="en-GB"/>
        </w:rPr>
        <w:t xml:space="preserve"> of First Instance </w:t>
      </w:r>
      <w:r w:rsidR="00C90567">
        <w:rPr>
          <w:lang w:val="en-GB"/>
        </w:rPr>
        <w:t>(</w:t>
      </w:r>
      <w:r w:rsidR="00B622EE">
        <w:rPr>
          <w:i/>
          <w:lang w:val="en-GB"/>
        </w:rPr>
        <w:t>TGI</w:t>
      </w:r>
      <w:r w:rsidR="00C90567">
        <w:rPr>
          <w:lang w:val="en-GB"/>
        </w:rPr>
        <w:t xml:space="preserve">) </w:t>
      </w:r>
      <w:r w:rsidRPr="007158E9">
        <w:rPr>
          <w:lang w:val="en-GB"/>
        </w:rPr>
        <w:t xml:space="preserve">of Mukaza (Bujumbura), which held a meeting on 28 December 2018, decided to place him in preventive detention. On 20 June 2018, Nestor Nibitanga appeared before the </w:t>
      </w:r>
      <w:r w:rsidR="0040137C">
        <w:rPr>
          <w:lang w:val="en-GB"/>
        </w:rPr>
        <w:t>Court of First I</w:t>
      </w:r>
      <w:r w:rsidRPr="007158E9">
        <w:rPr>
          <w:lang w:val="en-GB"/>
        </w:rPr>
        <w:t xml:space="preserve">nstance of </w:t>
      </w:r>
      <w:r w:rsidRPr="001163DE">
        <w:rPr>
          <w:lang w:val="en-GB"/>
        </w:rPr>
        <w:t xml:space="preserve">Mukaza </w:t>
      </w:r>
      <w:r w:rsidR="00B80AB4" w:rsidRPr="001163DE">
        <w:rPr>
          <w:lang w:val="en-GB"/>
        </w:rPr>
        <w:t>holding its hearing</w:t>
      </w:r>
      <w:r w:rsidRPr="001163DE">
        <w:rPr>
          <w:lang w:val="en-GB"/>
        </w:rPr>
        <w:t xml:space="preserve"> at </w:t>
      </w:r>
      <w:r w:rsidR="001163DE" w:rsidRPr="001163DE">
        <w:rPr>
          <w:lang w:val="en-GB"/>
        </w:rPr>
        <w:t xml:space="preserve">the </w:t>
      </w:r>
      <w:r w:rsidRPr="001163DE">
        <w:rPr>
          <w:lang w:val="en-GB"/>
        </w:rPr>
        <w:t xml:space="preserve">Rumonge prison. The Prosecution requested a twenty-year prison term sentence. The condemnation, pronounced on 13 August 2018, reduced the sentence </w:t>
      </w:r>
      <w:r w:rsidRPr="007158E9">
        <w:rPr>
          <w:lang w:val="en-GB"/>
        </w:rPr>
        <w:t>to a five-year prison term</w:t>
      </w:r>
      <w:r w:rsidRPr="007158E9">
        <w:rPr>
          <w:vertAlign w:val="superscript"/>
          <w:lang w:val="en-GB"/>
        </w:rPr>
        <w:footnoteReference w:id="201"/>
      </w:r>
      <w:r w:rsidRPr="007158E9">
        <w:rPr>
          <w:lang w:val="en-GB"/>
        </w:rPr>
        <w:t>.</w:t>
      </w:r>
    </w:p>
    <w:p w14:paraId="7A065DC7" w14:textId="4B4380FA" w:rsidR="00F35CB9" w:rsidRPr="007158E9" w:rsidRDefault="00F35CB9" w:rsidP="00F35CB9">
      <w:pPr>
        <w:pStyle w:val="SingleTxtG"/>
        <w:ind w:right="567"/>
        <w:rPr>
          <w:lang w:val="en-GB"/>
        </w:rPr>
      </w:pPr>
      <w:r w:rsidRPr="007158E9">
        <w:rPr>
          <w:lang w:val="en-GB"/>
        </w:rPr>
        <w:tab/>
        <w:t>333.</w:t>
      </w:r>
      <w:r w:rsidRPr="007158E9">
        <w:rPr>
          <w:lang w:val="en-GB"/>
        </w:rPr>
        <w:tab/>
        <w:t>In this case, several irregularities were committed. Nestor Nibitanga was secretly held in custody. The legal delay for analysis of the</w:t>
      </w:r>
      <w:r w:rsidR="000205D3">
        <w:rPr>
          <w:lang w:val="en-GB"/>
        </w:rPr>
        <w:t xml:space="preserve"> legality of his</w:t>
      </w:r>
      <w:r w:rsidRPr="007158E9">
        <w:rPr>
          <w:lang w:val="en-GB"/>
        </w:rPr>
        <w:t xml:space="preserve"> detention by the </w:t>
      </w:r>
      <w:r w:rsidR="000205D3">
        <w:rPr>
          <w:lang w:val="en-GB"/>
        </w:rPr>
        <w:t>C</w:t>
      </w:r>
      <w:r w:rsidRPr="007158E9">
        <w:rPr>
          <w:lang w:val="en-GB"/>
        </w:rPr>
        <w:t xml:space="preserve">ouncil </w:t>
      </w:r>
      <w:r w:rsidR="000205D3">
        <w:rPr>
          <w:lang w:val="en-GB"/>
        </w:rPr>
        <w:t>C</w:t>
      </w:r>
      <w:r w:rsidRPr="007158E9">
        <w:rPr>
          <w:lang w:val="en-GB"/>
        </w:rPr>
        <w:t xml:space="preserve">hamber was exceeded. Nestor Nibitanga should have appeared before the </w:t>
      </w:r>
      <w:r w:rsidR="000205D3">
        <w:rPr>
          <w:lang w:val="en-GB"/>
        </w:rPr>
        <w:t>Council C</w:t>
      </w:r>
      <w:r w:rsidRPr="007158E9">
        <w:rPr>
          <w:lang w:val="en-GB"/>
        </w:rPr>
        <w:t xml:space="preserve">hamber </w:t>
      </w:r>
      <w:r w:rsidR="000205D3">
        <w:rPr>
          <w:lang w:val="en-GB"/>
        </w:rPr>
        <w:t>within</w:t>
      </w:r>
      <w:r w:rsidRPr="007158E9">
        <w:rPr>
          <w:lang w:val="en-GB"/>
        </w:rPr>
        <w:t xml:space="preserve"> 15 days </w:t>
      </w:r>
      <w:r w:rsidR="000205D3">
        <w:rPr>
          <w:lang w:val="en-GB"/>
        </w:rPr>
        <w:t>after being charged with</w:t>
      </w:r>
      <w:r w:rsidRPr="007158E9">
        <w:rPr>
          <w:lang w:val="en-GB"/>
        </w:rPr>
        <w:t xml:space="preserve"> </w:t>
      </w:r>
      <w:r w:rsidR="000205D3">
        <w:rPr>
          <w:lang w:val="en-GB"/>
        </w:rPr>
        <w:t>“</w:t>
      </w:r>
      <w:r w:rsidRPr="007158E9">
        <w:rPr>
          <w:lang w:val="en-GB"/>
        </w:rPr>
        <w:t>undermining the internal security of the State</w:t>
      </w:r>
      <w:r w:rsidR="000205D3">
        <w:rPr>
          <w:lang w:val="en-GB"/>
        </w:rPr>
        <w:t>”</w:t>
      </w:r>
      <w:r w:rsidRPr="007158E9">
        <w:rPr>
          <w:lang w:val="en-GB"/>
        </w:rPr>
        <w:t xml:space="preserve">. However, on that date, Nestor Nibitanga was transferred to Rumonge prison without appearing before the </w:t>
      </w:r>
      <w:r w:rsidR="000205D3">
        <w:rPr>
          <w:lang w:val="en-GB"/>
        </w:rPr>
        <w:t>judges</w:t>
      </w:r>
      <w:r w:rsidRPr="007158E9">
        <w:rPr>
          <w:lang w:val="en-GB"/>
        </w:rPr>
        <w:t xml:space="preserve">. The </w:t>
      </w:r>
      <w:r w:rsidR="000205D3">
        <w:rPr>
          <w:lang w:val="en-GB"/>
        </w:rPr>
        <w:t>C</w:t>
      </w:r>
      <w:r w:rsidRPr="007158E9">
        <w:rPr>
          <w:lang w:val="en-GB"/>
        </w:rPr>
        <w:t xml:space="preserve">ouncil </w:t>
      </w:r>
      <w:r w:rsidR="000205D3">
        <w:rPr>
          <w:lang w:val="en-GB"/>
        </w:rPr>
        <w:t>C</w:t>
      </w:r>
      <w:r w:rsidRPr="007158E9">
        <w:rPr>
          <w:lang w:val="en-GB"/>
        </w:rPr>
        <w:t xml:space="preserve">hamber should have reached its decision within 48 hours, which was not done in this case. There is also a problem in relation to the court that was seized with this matter: whereas the crime that he </w:t>
      </w:r>
      <w:r w:rsidR="000205D3">
        <w:rPr>
          <w:lang w:val="en-GB"/>
        </w:rPr>
        <w:t>wa</w:t>
      </w:r>
      <w:r w:rsidRPr="007158E9">
        <w:rPr>
          <w:lang w:val="en-GB"/>
        </w:rPr>
        <w:t xml:space="preserve">s accused of </w:t>
      </w:r>
      <w:r w:rsidR="000205D3">
        <w:rPr>
          <w:lang w:val="en-GB"/>
        </w:rPr>
        <w:t xml:space="preserve">allegedly </w:t>
      </w:r>
      <w:r w:rsidRPr="007158E9">
        <w:rPr>
          <w:lang w:val="en-GB"/>
        </w:rPr>
        <w:t xml:space="preserve">took place in Gitega, his place of residence, M. Nibitanga was and is still detained in Rumonge, </w:t>
      </w:r>
      <w:r w:rsidR="000205D3">
        <w:rPr>
          <w:lang w:val="en-GB"/>
        </w:rPr>
        <w:t>while</w:t>
      </w:r>
      <w:r w:rsidRPr="007158E9">
        <w:rPr>
          <w:lang w:val="en-GB"/>
        </w:rPr>
        <w:t xml:space="preserve"> his case was transferred to the Prosecution at the Court of First Instance of Mukaza (Bujumbura Mairie). Concerning the </w:t>
      </w:r>
      <w:r w:rsidR="000205D3">
        <w:rPr>
          <w:lang w:val="en-GB"/>
        </w:rPr>
        <w:t>accusation</w:t>
      </w:r>
      <w:r w:rsidRPr="007158E9">
        <w:rPr>
          <w:lang w:val="en-GB"/>
        </w:rPr>
        <w:t xml:space="preserve"> of the crime of </w:t>
      </w:r>
      <w:r w:rsidR="000205D3">
        <w:rPr>
          <w:lang w:val="en-GB"/>
        </w:rPr>
        <w:t>“</w:t>
      </w:r>
      <w:r w:rsidRPr="007158E9">
        <w:rPr>
          <w:lang w:val="en-GB"/>
        </w:rPr>
        <w:t>undermining the internal security of the State</w:t>
      </w:r>
      <w:r w:rsidR="000205D3">
        <w:rPr>
          <w:lang w:val="en-GB"/>
        </w:rPr>
        <w:t>”</w:t>
      </w:r>
      <w:r w:rsidRPr="007158E9">
        <w:rPr>
          <w:lang w:val="en-GB"/>
        </w:rPr>
        <w:t xml:space="preserve">, the Prosecution solely used the working documents of APRODH seized during the search, namely, those in relation to the preparation of some APRODH reports </w:t>
      </w:r>
      <w:r w:rsidR="000205D3">
        <w:rPr>
          <w:lang w:val="en-GB"/>
        </w:rPr>
        <w:t>at the time that</w:t>
      </w:r>
      <w:r w:rsidRPr="007158E9">
        <w:rPr>
          <w:lang w:val="en-GB"/>
        </w:rPr>
        <w:t xml:space="preserve"> the organisation was legally working. </w:t>
      </w:r>
    </w:p>
    <w:p w14:paraId="6148889D" w14:textId="2EE87740" w:rsidR="00F35CB9" w:rsidRPr="007158E9" w:rsidRDefault="00F35CB9" w:rsidP="00F35CB9">
      <w:pPr>
        <w:pStyle w:val="SingleTxtG"/>
        <w:ind w:right="567"/>
        <w:rPr>
          <w:lang w:val="en-GB"/>
        </w:rPr>
      </w:pPr>
      <w:r w:rsidRPr="007158E9">
        <w:rPr>
          <w:lang w:val="en-GB"/>
        </w:rPr>
        <w:tab/>
        <w:t>334.</w:t>
      </w:r>
      <w:r w:rsidRPr="007158E9">
        <w:rPr>
          <w:lang w:val="en-GB"/>
        </w:rPr>
        <w:tab/>
        <w:t xml:space="preserve">Nestor Nibitanga is therefore arbitrarily detained following the legitimate activities that he carried out in the </w:t>
      </w:r>
      <w:r w:rsidR="000205D3">
        <w:rPr>
          <w:lang w:val="en-GB"/>
        </w:rPr>
        <w:t>field</w:t>
      </w:r>
      <w:r w:rsidRPr="007158E9">
        <w:rPr>
          <w:lang w:val="en-GB"/>
        </w:rPr>
        <w:t xml:space="preserve"> of human rights when he worked for APRODH, his activities having been abusively qualified as “undermining the internal security of the State”. In addition, the criminal procedure, was – as indicated – marred by irregularities. </w:t>
      </w:r>
    </w:p>
    <w:p w14:paraId="36ADC979" w14:textId="77777777" w:rsidR="00F35CB9" w:rsidRPr="007158E9" w:rsidRDefault="00F35CB9" w:rsidP="00F35CB9">
      <w:pPr>
        <w:pStyle w:val="H56G"/>
        <w:rPr>
          <w:b/>
          <w:lang w:val="en-GB"/>
        </w:rPr>
      </w:pPr>
      <w:r w:rsidRPr="007158E9">
        <w:rPr>
          <w:lang w:val="en-GB"/>
        </w:rPr>
        <w:tab/>
      </w:r>
      <w:r w:rsidRPr="007158E9">
        <w:rPr>
          <w:b/>
          <w:lang w:val="en-GB"/>
        </w:rPr>
        <w:t>(iv)</w:t>
      </w:r>
      <w:r w:rsidRPr="007158E9">
        <w:rPr>
          <w:b/>
          <w:lang w:val="en-GB"/>
        </w:rPr>
        <w:tab/>
        <w:t>Unofficial places of detention</w:t>
      </w:r>
    </w:p>
    <w:p w14:paraId="44170A03" w14:textId="30C0010E" w:rsidR="00F35CB9" w:rsidRPr="007158E9" w:rsidRDefault="00F35CB9" w:rsidP="00F35CB9">
      <w:pPr>
        <w:pStyle w:val="SingleTxtG"/>
        <w:ind w:right="567"/>
        <w:rPr>
          <w:lang w:val="en-GB"/>
        </w:rPr>
      </w:pPr>
      <w:r w:rsidRPr="007158E9">
        <w:rPr>
          <w:lang w:val="en-GB"/>
        </w:rPr>
        <w:tab/>
        <w:t>335.</w:t>
      </w:r>
      <w:r w:rsidRPr="007158E9">
        <w:rPr>
          <w:lang w:val="en-GB"/>
        </w:rPr>
        <w:tab/>
        <w:t xml:space="preserve">Apprehended persons continued to be detained, especially in the first few days following their arrest, in unofficial </w:t>
      </w:r>
      <w:r w:rsidR="00D61646" w:rsidRPr="007158E9">
        <w:rPr>
          <w:lang w:val="en-GB"/>
        </w:rPr>
        <w:t xml:space="preserve">places </w:t>
      </w:r>
      <w:r w:rsidR="00D61646">
        <w:rPr>
          <w:lang w:val="en-GB"/>
        </w:rPr>
        <w:t xml:space="preserve">of </w:t>
      </w:r>
      <w:r w:rsidRPr="007158E9">
        <w:rPr>
          <w:lang w:val="en-GB"/>
        </w:rPr>
        <w:t xml:space="preserve">detention located in Bujumbura and in the rest of the country. The victims were not always able to clearly identify these places, but </w:t>
      </w:r>
      <w:r w:rsidR="00D61646">
        <w:rPr>
          <w:lang w:val="en-GB"/>
        </w:rPr>
        <w:t xml:space="preserve">they </w:t>
      </w:r>
      <w:r w:rsidRPr="007158E9">
        <w:rPr>
          <w:lang w:val="en-GB"/>
        </w:rPr>
        <w:t xml:space="preserve">mentioned private houses and places that were indisputably not official </w:t>
      </w:r>
      <w:r w:rsidR="00D61646" w:rsidRPr="007158E9">
        <w:rPr>
          <w:lang w:val="en-GB"/>
        </w:rPr>
        <w:t xml:space="preserve">places </w:t>
      </w:r>
      <w:r w:rsidR="00D61646">
        <w:rPr>
          <w:lang w:val="en-GB"/>
        </w:rPr>
        <w:t xml:space="preserve">of </w:t>
      </w:r>
      <w:r w:rsidRPr="007158E9">
        <w:rPr>
          <w:lang w:val="en-GB"/>
        </w:rPr>
        <w:t>detention</w:t>
      </w:r>
      <w:r w:rsidR="00D61646">
        <w:rPr>
          <w:lang w:val="en-GB"/>
        </w:rPr>
        <w:t>.</w:t>
      </w:r>
      <w:r w:rsidRPr="007158E9">
        <w:rPr>
          <w:vertAlign w:val="superscript"/>
          <w:lang w:val="en-GB"/>
        </w:rPr>
        <w:footnoteReference w:id="202"/>
      </w:r>
      <w:r w:rsidRPr="007158E9">
        <w:rPr>
          <w:lang w:val="en-GB"/>
        </w:rPr>
        <w:t xml:space="preserve"> One of the victims testified:</w:t>
      </w:r>
    </w:p>
    <w:p w14:paraId="42E7F3E0" w14:textId="3DFED51F" w:rsidR="00F35CB9" w:rsidRPr="007158E9" w:rsidRDefault="00F35CB9" w:rsidP="00F35CB9">
      <w:pPr>
        <w:pStyle w:val="SingleTxtG"/>
        <w:ind w:left="1701" w:right="567" w:firstLine="9"/>
        <w:rPr>
          <w:i/>
          <w:lang w:val="en-GB"/>
        </w:rPr>
      </w:pPr>
      <w:r w:rsidRPr="007158E9">
        <w:rPr>
          <w:i/>
          <w:lang w:val="en-GB"/>
        </w:rPr>
        <w:t>“After [having arrested me], they took me to a location. It was night. It must have been a house because there were lights. It certainly was an enclosed house because, even when you screamed, no one could hear you. We walked to get there […]. It was not far from my home”</w:t>
      </w:r>
      <w:r w:rsidR="00D61646">
        <w:rPr>
          <w:i/>
          <w:lang w:val="en-GB"/>
        </w:rPr>
        <w:t>.</w:t>
      </w:r>
      <w:r w:rsidRPr="007158E9">
        <w:rPr>
          <w:vertAlign w:val="superscript"/>
          <w:lang w:val="en-GB"/>
        </w:rPr>
        <w:footnoteReference w:id="203"/>
      </w:r>
    </w:p>
    <w:p w14:paraId="5783A999" w14:textId="2207BD44" w:rsidR="00F35CB9" w:rsidRPr="007158E9" w:rsidRDefault="00F35CB9" w:rsidP="00F35CB9">
      <w:pPr>
        <w:pStyle w:val="SingleTxtG"/>
        <w:ind w:right="567"/>
        <w:rPr>
          <w:lang w:val="en-GB"/>
        </w:rPr>
      </w:pPr>
      <w:r w:rsidRPr="007158E9">
        <w:rPr>
          <w:lang w:val="en-GB"/>
        </w:rPr>
        <w:tab/>
        <w:t>336.</w:t>
      </w:r>
      <w:r w:rsidRPr="007158E9">
        <w:rPr>
          <w:lang w:val="en-GB"/>
        </w:rPr>
        <w:tab/>
        <w:t xml:space="preserve">The persons detained in such places were placed outside the protection of the </w:t>
      </w:r>
      <w:r w:rsidR="00D61646">
        <w:rPr>
          <w:lang w:val="en-GB"/>
        </w:rPr>
        <w:t>l</w:t>
      </w:r>
      <w:r w:rsidRPr="007158E9">
        <w:rPr>
          <w:lang w:val="en-GB"/>
        </w:rPr>
        <w:t xml:space="preserve">aw and were de facto more at risk of other serious human rights violations, </w:t>
      </w:r>
      <w:r w:rsidR="00D61646">
        <w:rPr>
          <w:lang w:val="en-GB"/>
        </w:rPr>
        <w:t>in particular</w:t>
      </w:r>
      <w:r w:rsidRPr="007158E9">
        <w:rPr>
          <w:lang w:val="en-GB"/>
        </w:rPr>
        <w:t xml:space="preserve"> torture and enforced disappearances</w:t>
      </w:r>
      <w:r w:rsidR="00D61646">
        <w:rPr>
          <w:lang w:val="en-GB"/>
        </w:rPr>
        <w:t>.</w:t>
      </w:r>
      <w:r w:rsidRPr="007158E9">
        <w:rPr>
          <w:sz w:val="18"/>
          <w:vertAlign w:val="superscript"/>
          <w:lang w:val="en-GB"/>
        </w:rPr>
        <w:footnoteReference w:id="204"/>
      </w:r>
    </w:p>
    <w:p w14:paraId="710E2886" w14:textId="77777777" w:rsidR="00F35CB9" w:rsidRPr="007158E9" w:rsidRDefault="00F35CB9" w:rsidP="00F35CB9">
      <w:pPr>
        <w:pStyle w:val="H23G"/>
        <w:rPr>
          <w:lang w:val="en-GB"/>
        </w:rPr>
      </w:pPr>
      <w:r w:rsidRPr="007158E9">
        <w:rPr>
          <w:lang w:val="en-GB"/>
        </w:rPr>
        <w:tab/>
        <w:t>3.</w:t>
      </w:r>
      <w:r w:rsidRPr="007158E9">
        <w:rPr>
          <w:lang w:val="en-GB"/>
        </w:rPr>
        <w:tab/>
        <w:t>Tortures and other cruel, inhumane or degrading treatments</w:t>
      </w:r>
    </w:p>
    <w:p w14:paraId="473583A2" w14:textId="1073995C" w:rsidR="00F35CB9" w:rsidRPr="007158E9" w:rsidRDefault="00F35CB9" w:rsidP="00F35CB9">
      <w:pPr>
        <w:pStyle w:val="SingleTxtG"/>
        <w:ind w:right="567"/>
        <w:rPr>
          <w:lang w:val="en-GB"/>
        </w:rPr>
      </w:pPr>
      <w:r w:rsidRPr="007158E9">
        <w:rPr>
          <w:lang w:val="en-GB"/>
        </w:rPr>
        <w:tab/>
        <w:t>337.</w:t>
      </w:r>
      <w:r w:rsidRPr="007158E9">
        <w:rPr>
          <w:lang w:val="en-GB"/>
        </w:rPr>
        <w:tab/>
        <w:t>During the first term of its mandate</w:t>
      </w:r>
      <w:r w:rsidR="00C616BD">
        <w:rPr>
          <w:lang w:val="en-GB"/>
        </w:rPr>
        <w:t>,</w:t>
      </w:r>
      <w:r w:rsidRPr="007158E9">
        <w:rPr>
          <w:sz w:val="18"/>
          <w:vertAlign w:val="superscript"/>
          <w:lang w:val="en-GB"/>
        </w:rPr>
        <w:footnoteReference w:id="205"/>
      </w:r>
      <w:r w:rsidRPr="007158E9">
        <w:rPr>
          <w:lang w:val="en-GB"/>
        </w:rPr>
        <w:t xml:space="preserve"> the Commission had documented several cases of torture and cruel, inhumane or degrading treatments committed since 2015. It considered that the use of torture and other ill treatments was quasi systematic aga</w:t>
      </w:r>
      <w:r w:rsidR="00C616BD">
        <w:rPr>
          <w:lang w:val="en-GB"/>
        </w:rPr>
        <w:t>inst presumed opponents to the G</w:t>
      </w:r>
      <w:r w:rsidRPr="007158E9">
        <w:rPr>
          <w:lang w:val="en-GB"/>
        </w:rPr>
        <w:t xml:space="preserve">overnment or CNDD-FDD during their detention, including: demonstrators against President Nkurunziza’s third term, residents of </w:t>
      </w:r>
      <w:r w:rsidR="00C616BD">
        <w:rPr>
          <w:lang w:val="en-GB"/>
        </w:rPr>
        <w:t>neighbourhoods</w:t>
      </w:r>
      <w:r w:rsidRPr="007158E9">
        <w:rPr>
          <w:lang w:val="en-GB"/>
        </w:rPr>
        <w:t xml:space="preserve"> where these demonstrations took place, members or sympathisers of opposition political parties, presumed participants to the coup d’état of 13 may 2015 and to the attacks on military facilities on 11 December 2015, </w:t>
      </w:r>
      <w:r w:rsidR="00C616BD">
        <w:rPr>
          <w:lang w:val="en-GB"/>
        </w:rPr>
        <w:t>as well as</w:t>
      </w:r>
      <w:r w:rsidRPr="007158E9">
        <w:rPr>
          <w:lang w:val="en-GB"/>
        </w:rPr>
        <w:t xml:space="preserve"> persons who had fled the country. The perpetrators and those who bear the primary responsibility were members of SNR, PNB and, to a lesser extent, members of FDNB; some of whom were high ranking </w:t>
      </w:r>
      <w:r w:rsidR="00C616BD">
        <w:rPr>
          <w:lang w:val="en-GB"/>
        </w:rPr>
        <w:t>officers</w:t>
      </w:r>
      <w:r w:rsidRPr="007158E9">
        <w:rPr>
          <w:lang w:val="en-GB"/>
        </w:rPr>
        <w:t xml:space="preserve">; as well as Imbonerakure acting as their auxiliaries. The main areas where these abuses were committed in the capital were the headquarters of SNR near the </w:t>
      </w:r>
      <w:r w:rsidRPr="007158E9">
        <w:rPr>
          <w:i/>
          <w:lang w:val="en-GB"/>
        </w:rPr>
        <w:t>Cathédrale Regina Mundi</w:t>
      </w:r>
      <w:r w:rsidRPr="007158E9">
        <w:rPr>
          <w:lang w:val="en-GB"/>
        </w:rPr>
        <w:t xml:space="preserve"> and the headquarters of the </w:t>
      </w:r>
      <w:r w:rsidRPr="007158E9">
        <w:rPr>
          <w:i/>
          <w:lang w:val="en-GB"/>
        </w:rPr>
        <w:t>Anti-riot Brigade</w:t>
      </w:r>
      <w:r w:rsidRPr="007158E9">
        <w:rPr>
          <w:lang w:val="en-GB"/>
        </w:rPr>
        <w:t xml:space="preserve"> (BAE) located in the </w:t>
      </w:r>
      <w:r w:rsidR="00C616BD">
        <w:rPr>
          <w:lang w:val="en-GB"/>
        </w:rPr>
        <w:t xml:space="preserve">place </w:t>
      </w:r>
      <w:r w:rsidRPr="007158E9">
        <w:rPr>
          <w:lang w:val="en-GB"/>
        </w:rPr>
        <w:t xml:space="preserve">called « </w:t>
      </w:r>
      <w:r w:rsidRPr="007158E9">
        <w:rPr>
          <w:i/>
          <w:lang w:val="en-GB"/>
        </w:rPr>
        <w:t xml:space="preserve">Chez Ndadaye </w:t>
      </w:r>
      <w:r w:rsidRPr="007158E9">
        <w:rPr>
          <w:lang w:val="en-GB"/>
        </w:rPr>
        <w:t xml:space="preserve">». </w:t>
      </w:r>
      <w:r w:rsidR="00C616BD">
        <w:rPr>
          <w:lang w:val="en-GB"/>
        </w:rPr>
        <w:t>T</w:t>
      </w:r>
      <w:r w:rsidR="00C616BD" w:rsidRPr="007158E9">
        <w:rPr>
          <w:lang w:val="en-GB"/>
        </w:rPr>
        <w:t xml:space="preserve">orture and ill treatments </w:t>
      </w:r>
      <w:r w:rsidR="00C616BD">
        <w:rPr>
          <w:lang w:val="en-GB"/>
        </w:rPr>
        <w:t>also occurred in o</w:t>
      </w:r>
      <w:r w:rsidRPr="007158E9">
        <w:rPr>
          <w:lang w:val="en-GB"/>
        </w:rPr>
        <w:t>ther detention centers of the police and the SNR</w:t>
      </w:r>
      <w:r w:rsidR="00C616BD">
        <w:rPr>
          <w:lang w:val="en-GB"/>
        </w:rPr>
        <w:t>,</w:t>
      </w:r>
      <w:r w:rsidRPr="007158E9">
        <w:rPr>
          <w:lang w:val="en-GB"/>
        </w:rPr>
        <w:t xml:space="preserve"> as well as </w:t>
      </w:r>
      <w:r w:rsidR="00C616BD">
        <w:rPr>
          <w:lang w:val="en-GB"/>
        </w:rPr>
        <w:t xml:space="preserve">in </w:t>
      </w:r>
      <w:r w:rsidRPr="007158E9">
        <w:rPr>
          <w:lang w:val="en-GB"/>
        </w:rPr>
        <w:t xml:space="preserve">unofficial </w:t>
      </w:r>
      <w:r w:rsidR="00C616BD">
        <w:rPr>
          <w:lang w:val="en-GB"/>
        </w:rPr>
        <w:t xml:space="preserve">places of </w:t>
      </w:r>
      <w:r w:rsidRPr="007158E9">
        <w:rPr>
          <w:lang w:val="en-GB"/>
        </w:rPr>
        <w:t>detention in Bujumbura and in the provinces.</w:t>
      </w:r>
    </w:p>
    <w:p w14:paraId="6B07A781" w14:textId="4511CD73" w:rsidR="00F35CB9" w:rsidRPr="007158E9" w:rsidRDefault="00F35CB9" w:rsidP="00F35CB9">
      <w:pPr>
        <w:pStyle w:val="SingleTxtG"/>
        <w:ind w:right="567"/>
        <w:rPr>
          <w:lang w:val="en-GB"/>
        </w:rPr>
      </w:pPr>
      <w:r w:rsidRPr="007158E9">
        <w:rPr>
          <w:lang w:val="en-GB"/>
        </w:rPr>
        <w:tab/>
        <w:t>338.</w:t>
      </w:r>
      <w:r w:rsidRPr="007158E9">
        <w:rPr>
          <w:lang w:val="en-GB"/>
        </w:rPr>
        <w:tab/>
        <w:t xml:space="preserve">Amongst the main methods of torture detailed in the previous Commission report, the victims mentioned having been </w:t>
      </w:r>
      <w:r w:rsidR="00C616BD">
        <w:rPr>
          <w:lang w:val="en-GB"/>
        </w:rPr>
        <w:t>beaten</w:t>
      </w:r>
      <w:r w:rsidRPr="007158E9">
        <w:rPr>
          <w:lang w:val="en-GB"/>
        </w:rPr>
        <w:t xml:space="preserve"> with clubs, rifle butts, bayonets, iron bars, metal chains or electric cables, which in some cases resulted in broken bones or loss of consciousness. Long needles </w:t>
      </w:r>
      <w:r w:rsidR="00C616BD">
        <w:rPr>
          <w:lang w:val="en-GB"/>
        </w:rPr>
        <w:t>had</w:t>
      </w:r>
      <w:r w:rsidRPr="007158E9">
        <w:rPr>
          <w:lang w:val="en-GB"/>
        </w:rPr>
        <w:t xml:space="preserve"> also </w:t>
      </w:r>
      <w:r w:rsidR="00C616BD">
        <w:rPr>
          <w:lang w:val="en-GB"/>
        </w:rPr>
        <w:t xml:space="preserve">been </w:t>
      </w:r>
      <w:r w:rsidRPr="007158E9">
        <w:rPr>
          <w:lang w:val="en-GB"/>
        </w:rPr>
        <w:t xml:space="preserve">inserted in various parts of the body, unidentified products were injected, nails were pulled out, and some victims were forced to stay next to dead bodies or to eat faecal matters. Rapes and other forms of sexual violence </w:t>
      </w:r>
      <w:r w:rsidR="00C616BD">
        <w:rPr>
          <w:lang w:val="en-GB"/>
        </w:rPr>
        <w:t>had been</w:t>
      </w:r>
      <w:r w:rsidRPr="007158E9">
        <w:rPr>
          <w:lang w:val="en-GB"/>
        </w:rPr>
        <w:t xml:space="preserve"> committed, as well as enforced disappearances amounting to acts of torture</w:t>
      </w:r>
      <w:r w:rsidRPr="007158E9">
        <w:rPr>
          <w:sz w:val="18"/>
          <w:vertAlign w:val="superscript"/>
          <w:lang w:val="en-GB"/>
        </w:rPr>
        <w:footnoteReference w:id="206"/>
      </w:r>
      <w:r w:rsidRPr="007158E9">
        <w:rPr>
          <w:lang w:val="en-GB"/>
        </w:rPr>
        <w:t>. Detainees had to witness executions, convinced that they were next in line. These acts of torture and ill treatments were often accompanied by insults, including ethnic related insults, and</w:t>
      </w:r>
      <w:r w:rsidR="00C616BD">
        <w:rPr>
          <w:lang w:val="en-GB"/>
        </w:rPr>
        <w:t xml:space="preserve"> death threats proffered as their authors </w:t>
      </w:r>
      <w:r w:rsidRPr="007158E9">
        <w:rPr>
          <w:lang w:val="en-GB"/>
        </w:rPr>
        <w:t xml:space="preserve">manipulated firearms or grenades. In several cases, these violations left serious physical and psychological scars. </w:t>
      </w:r>
      <w:r w:rsidR="00C616BD">
        <w:rPr>
          <w:lang w:val="en-GB"/>
        </w:rPr>
        <w:t>V</w:t>
      </w:r>
      <w:r w:rsidRPr="007158E9">
        <w:rPr>
          <w:lang w:val="en-GB"/>
        </w:rPr>
        <w:t xml:space="preserve">ictims also described </w:t>
      </w:r>
      <w:r w:rsidR="00C616BD" w:rsidRPr="007158E9">
        <w:rPr>
          <w:lang w:val="en-GB"/>
        </w:rPr>
        <w:t xml:space="preserve">conditions </w:t>
      </w:r>
      <w:r w:rsidR="00C616BD">
        <w:rPr>
          <w:lang w:val="en-GB"/>
        </w:rPr>
        <w:t xml:space="preserve">of </w:t>
      </w:r>
      <w:r w:rsidRPr="007158E9">
        <w:rPr>
          <w:lang w:val="en-GB"/>
        </w:rPr>
        <w:t xml:space="preserve">detention that constitute ill, inhumane or degrading treatments, notably due to the </w:t>
      </w:r>
      <w:r w:rsidR="00C616BD">
        <w:rPr>
          <w:lang w:val="en-GB"/>
        </w:rPr>
        <w:t xml:space="preserve">prison overcrowding and the </w:t>
      </w:r>
      <w:r w:rsidRPr="007158E9">
        <w:rPr>
          <w:lang w:val="en-GB"/>
        </w:rPr>
        <w:t>appalling and unsanitary conditions</w:t>
      </w:r>
      <w:r w:rsidR="00C616BD">
        <w:rPr>
          <w:lang w:val="en-GB"/>
        </w:rPr>
        <w:t xml:space="preserve"> of detention</w:t>
      </w:r>
      <w:r w:rsidRPr="007158E9">
        <w:rPr>
          <w:lang w:val="en-GB"/>
        </w:rPr>
        <w:t>, the deprivation of food</w:t>
      </w:r>
      <w:r w:rsidR="00C616BD">
        <w:rPr>
          <w:lang w:val="en-GB"/>
        </w:rPr>
        <w:t xml:space="preserve"> and</w:t>
      </w:r>
      <w:r w:rsidRPr="007158E9">
        <w:rPr>
          <w:lang w:val="en-GB"/>
        </w:rPr>
        <w:t xml:space="preserve"> clean water, </w:t>
      </w:r>
      <w:r w:rsidR="00C616BD">
        <w:rPr>
          <w:lang w:val="en-GB"/>
        </w:rPr>
        <w:t xml:space="preserve">the denial of </w:t>
      </w:r>
      <w:r w:rsidRPr="007158E9">
        <w:rPr>
          <w:lang w:val="en-GB"/>
        </w:rPr>
        <w:t>access to health facilities and adequate medical care, or the absence of separation between adults and minors.</w:t>
      </w:r>
    </w:p>
    <w:p w14:paraId="1FB1EEE9" w14:textId="1DC55A6B" w:rsidR="00F35CB9" w:rsidRPr="007158E9" w:rsidRDefault="00F35CB9" w:rsidP="00F35CB9">
      <w:pPr>
        <w:pStyle w:val="SingleTxtG"/>
        <w:ind w:right="567"/>
        <w:rPr>
          <w:lang w:val="en-GB"/>
        </w:rPr>
      </w:pPr>
      <w:r w:rsidRPr="007158E9">
        <w:rPr>
          <w:lang w:val="en-GB"/>
        </w:rPr>
        <w:tab/>
        <w:t>339.</w:t>
      </w:r>
      <w:r w:rsidRPr="007158E9">
        <w:rPr>
          <w:lang w:val="en-GB"/>
        </w:rPr>
        <w:tab/>
        <w:t>In the present report, the Commission focused on cases of torture and cruel, inhumane or degrading ill treatment perpetrated since 2017. It observed the persistence of cas</w:t>
      </w:r>
      <w:r w:rsidR="00C616BD">
        <w:rPr>
          <w:lang w:val="en-GB"/>
        </w:rPr>
        <w:t>es of torture and ill treatment</w:t>
      </w:r>
      <w:r w:rsidRPr="007158E9">
        <w:rPr>
          <w:lang w:val="en-GB"/>
        </w:rPr>
        <w:t xml:space="preserve"> and noted the continuity of forms of torture used and the related </w:t>
      </w:r>
      <w:r w:rsidR="00C616BD">
        <w:rPr>
          <w:lang w:val="en-GB"/>
        </w:rPr>
        <w:t>consquences</w:t>
      </w:r>
      <w:r w:rsidRPr="007158E9">
        <w:rPr>
          <w:lang w:val="en-GB"/>
        </w:rPr>
        <w:t>, as well as some evolution o</w:t>
      </w:r>
      <w:r w:rsidR="00C616BD">
        <w:rPr>
          <w:lang w:val="en-GB"/>
        </w:rPr>
        <w:t>f</w:t>
      </w:r>
      <w:r w:rsidRPr="007158E9">
        <w:rPr>
          <w:lang w:val="en-GB"/>
        </w:rPr>
        <w:t xml:space="preserve"> the profile</w:t>
      </w:r>
      <w:r w:rsidR="00C616BD">
        <w:rPr>
          <w:lang w:val="en-GB"/>
        </w:rPr>
        <w:t>s</w:t>
      </w:r>
      <w:r w:rsidRPr="007158E9">
        <w:rPr>
          <w:lang w:val="en-GB"/>
        </w:rPr>
        <w:t xml:space="preserve"> of victims and perpetrators, as well as </w:t>
      </w:r>
      <w:r w:rsidR="00C616BD">
        <w:rPr>
          <w:lang w:val="en-GB"/>
        </w:rPr>
        <w:t xml:space="preserve">of </w:t>
      </w:r>
      <w:r w:rsidRPr="007158E9">
        <w:rPr>
          <w:lang w:val="en-GB"/>
        </w:rPr>
        <w:t>the objectives pursued. The Commission also spoke with persons who ha</w:t>
      </w:r>
      <w:r w:rsidR="00C616BD">
        <w:rPr>
          <w:lang w:val="en-GB"/>
        </w:rPr>
        <w:t>d</w:t>
      </w:r>
      <w:r w:rsidRPr="007158E9">
        <w:rPr>
          <w:lang w:val="en-GB"/>
        </w:rPr>
        <w:t xml:space="preserve"> been arrested, tortured or ill-treated during the period covered by the first term of its mandate</w:t>
      </w:r>
      <w:r w:rsidR="00C616BD">
        <w:rPr>
          <w:lang w:val="en-GB"/>
        </w:rPr>
        <w:t>.</w:t>
      </w:r>
      <w:r w:rsidRPr="007158E9">
        <w:rPr>
          <w:sz w:val="18"/>
          <w:vertAlign w:val="superscript"/>
          <w:lang w:val="en-GB"/>
        </w:rPr>
        <w:footnoteReference w:id="207"/>
      </w:r>
      <w:r w:rsidRPr="007158E9">
        <w:rPr>
          <w:lang w:val="en-GB"/>
        </w:rPr>
        <w:t xml:space="preserve"> These witness accounts have confirmed the information and conclusions on torture and ill-treatment that the Commission detailed in its previous report, but they were not used in the current report.</w:t>
      </w:r>
    </w:p>
    <w:p w14:paraId="08271B9E" w14:textId="7BB3ABCD" w:rsidR="00F35CB9" w:rsidRPr="007158E9" w:rsidRDefault="00F35CB9" w:rsidP="00F35CB9">
      <w:pPr>
        <w:pStyle w:val="SingleTxtG"/>
        <w:ind w:right="567"/>
        <w:rPr>
          <w:lang w:val="en-GB" w:eastAsia="fr-FR"/>
        </w:rPr>
      </w:pPr>
      <w:r w:rsidRPr="007158E9">
        <w:rPr>
          <w:lang w:val="en-GB" w:eastAsia="fr-FR"/>
        </w:rPr>
        <w:tab/>
        <w:t>340.</w:t>
      </w:r>
      <w:r w:rsidRPr="007158E9">
        <w:rPr>
          <w:lang w:val="en-GB" w:eastAsia="fr-FR"/>
        </w:rPr>
        <w:tab/>
        <w:t>This chapter ought to be read in conjunction with the chapters on enforced disappearance</w:t>
      </w:r>
      <w:r w:rsidR="00C616BD">
        <w:rPr>
          <w:lang w:val="en-GB" w:eastAsia="fr-FR"/>
        </w:rPr>
        <w:t>s</w:t>
      </w:r>
      <w:r w:rsidRPr="007158E9">
        <w:rPr>
          <w:lang w:val="en-GB" w:eastAsia="fr-FR"/>
        </w:rPr>
        <w:t xml:space="preserve"> and on sexual violence</w:t>
      </w:r>
      <w:r w:rsidR="00185EB9">
        <w:rPr>
          <w:lang w:val="en-GB" w:eastAsia="fr-FR"/>
        </w:rPr>
        <w:t>,</w:t>
      </w:r>
      <w:r w:rsidRPr="007158E9">
        <w:rPr>
          <w:sz w:val="18"/>
          <w:vertAlign w:val="superscript"/>
          <w:lang w:val="en-GB" w:eastAsia="fr-FR"/>
        </w:rPr>
        <w:footnoteReference w:id="208"/>
      </w:r>
      <w:r w:rsidR="00185EB9">
        <w:rPr>
          <w:lang w:val="en-GB" w:eastAsia="fr-FR"/>
        </w:rPr>
        <w:t xml:space="preserve"> which</w:t>
      </w:r>
      <w:r w:rsidRPr="007158E9">
        <w:rPr>
          <w:lang w:val="en-GB" w:eastAsia="fr-FR"/>
        </w:rPr>
        <w:t xml:space="preserve"> also constitute forms of torture. In addition, the </w:t>
      </w:r>
      <w:r w:rsidR="00185EB9">
        <w:rPr>
          <w:lang w:val="en-GB" w:eastAsia="fr-FR"/>
        </w:rPr>
        <w:t>treshold</w:t>
      </w:r>
      <w:r w:rsidRPr="007158E9">
        <w:rPr>
          <w:lang w:val="en-GB" w:eastAsia="fr-FR"/>
        </w:rPr>
        <w:t xml:space="preserve"> between torture and cruel and </w:t>
      </w:r>
      <w:r w:rsidR="00185EB9">
        <w:rPr>
          <w:lang w:val="en-GB" w:eastAsia="fr-FR"/>
        </w:rPr>
        <w:t xml:space="preserve">inhuman </w:t>
      </w:r>
      <w:r w:rsidRPr="007158E9">
        <w:rPr>
          <w:lang w:val="en-GB" w:eastAsia="fr-FR"/>
        </w:rPr>
        <w:t>treatment being sometimes unclear or partly dependent on the intensity of the suffering inflicted on the victim, namely taking into account his/her age, physical attributes, health and especially his/her vulnerability</w:t>
      </w:r>
      <w:r w:rsidR="00185EB9">
        <w:rPr>
          <w:lang w:val="en-GB" w:eastAsia="fr-FR"/>
        </w:rPr>
        <w:t>,</w:t>
      </w:r>
      <w:r w:rsidRPr="007158E9">
        <w:rPr>
          <w:sz w:val="18"/>
          <w:vertAlign w:val="superscript"/>
          <w:lang w:val="en-GB"/>
        </w:rPr>
        <w:footnoteReference w:id="209"/>
      </w:r>
      <w:r w:rsidRPr="007158E9">
        <w:rPr>
          <w:lang w:val="en-GB"/>
        </w:rPr>
        <w:t xml:space="preserve"> some acts of violence documented by the Commission may not qualify as torture</w:t>
      </w:r>
      <w:r w:rsidR="00185EB9">
        <w:rPr>
          <w:lang w:val="en-GB"/>
        </w:rPr>
        <w:t xml:space="preserve"> but as ill-treatment and therefore they constitute </w:t>
      </w:r>
      <w:r w:rsidRPr="007158E9">
        <w:rPr>
          <w:lang w:val="en-GB"/>
        </w:rPr>
        <w:t>serious human rights violations.</w:t>
      </w:r>
    </w:p>
    <w:p w14:paraId="5F5B2E00" w14:textId="77777777" w:rsidR="00F35CB9" w:rsidRPr="007158E9" w:rsidRDefault="00F35CB9" w:rsidP="00F35CB9">
      <w:pPr>
        <w:pStyle w:val="H4G"/>
        <w:rPr>
          <w:b/>
          <w:i w:val="0"/>
          <w:lang w:val="en-GB" w:eastAsia="fr-FR"/>
        </w:rPr>
      </w:pPr>
      <w:r w:rsidRPr="007158E9">
        <w:rPr>
          <w:b/>
          <w:i w:val="0"/>
          <w:lang w:val="en-GB" w:eastAsia="fr-FR"/>
        </w:rPr>
        <w:tab/>
        <w:t>(a)</w:t>
      </w:r>
      <w:r w:rsidRPr="007158E9">
        <w:rPr>
          <w:b/>
          <w:i w:val="0"/>
          <w:lang w:val="en-GB" w:eastAsia="fr-FR"/>
        </w:rPr>
        <w:tab/>
        <w:t>Main victims, perpetrators and places of torture and ill treatments</w:t>
      </w:r>
    </w:p>
    <w:p w14:paraId="48009948" w14:textId="677CC0B4" w:rsidR="00F35CB9" w:rsidRPr="007158E9" w:rsidRDefault="00F35CB9" w:rsidP="00F35CB9">
      <w:pPr>
        <w:pStyle w:val="SingleTxtG"/>
        <w:ind w:right="567"/>
        <w:rPr>
          <w:rFonts w:eastAsia="Calibri"/>
          <w:bCs/>
          <w:lang w:val="en-GB"/>
        </w:rPr>
      </w:pPr>
      <w:r w:rsidRPr="007158E9">
        <w:rPr>
          <w:lang w:val="en-GB" w:eastAsia="fr-FR"/>
        </w:rPr>
        <w:tab/>
        <w:t>341.</w:t>
      </w:r>
      <w:r w:rsidRPr="007158E9">
        <w:rPr>
          <w:lang w:val="en-GB" w:eastAsia="fr-FR"/>
        </w:rPr>
        <w:tab/>
        <w:t>The profile of the victims, presumed perpetrators and places where these acts of torture and ill treatments took place has partially evolved compared to the previous period in the specific context of the preparation and the holding of the May 2018 constitutional referendum.</w:t>
      </w:r>
    </w:p>
    <w:p w14:paraId="5A052C7B" w14:textId="77777777" w:rsidR="00F35CB9" w:rsidRPr="007158E9" w:rsidRDefault="00F35CB9" w:rsidP="00F35CB9">
      <w:pPr>
        <w:pStyle w:val="H56G"/>
        <w:rPr>
          <w:b/>
          <w:lang w:val="en-GB" w:eastAsia="fr-FR"/>
        </w:rPr>
      </w:pPr>
      <w:r w:rsidRPr="007158E9">
        <w:rPr>
          <w:b/>
          <w:lang w:val="en-GB" w:eastAsia="fr-FR"/>
        </w:rPr>
        <w:tab/>
        <w:t>(i)</w:t>
      </w:r>
      <w:r w:rsidRPr="007158E9">
        <w:rPr>
          <w:b/>
          <w:lang w:val="en-GB" w:eastAsia="fr-FR"/>
        </w:rPr>
        <w:tab/>
        <w:t xml:space="preserve">Main victims </w:t>
      </w:r>
    </w:p>
    <w:p w14:paraId="138855E9" w14:textId="2D749D46" w:rsidR="00F35CB9" w:rsidRPr="007158E9" w:rsidRDefault="00F35CB9" w:rsidP="00F35CB9">
      <w:pPr>
        <w:pStyle w:val="SingleTxtG"/>
        <w:ind w:right="567"/>
        <w:rPr>
          <w:rFonts w:eastAsia="Calibri"/>
          <w:bCs/>
          <w:lang w:val="en-GB"/>
        </w:rPr>
      </w:pPr>
      <w:r w:rsidRPr="007158E9">
        <w:rPr>
          <w:rFonts w:eastAsia="Calibri"/>
          <w:bCs/>
          <w:lang w:val="en-GB"/>
        </w:rPr>
        <w:tab/>
        <w:t>342.</w:t>
      </w:r>
      <w:r w:rsidRPr="007158E9">
        <w:rPr>
          <w:rFonts w:eastAsia="Calibri"/>
          <w:bCs/>
          <w:lang w:val="en-GB"/>
        </w:rPr>
        <w:tab/>
        <w:t>The main victims of torture and ill treatment</w:t>
      </w:r>
      <w:r w:rsidR="00245348">
        <w:rPr>
          <w:rFonts w:eastAsia="Calibri"/>
          <w:bCs/>
          <w:lang w:val="en-GB"/>
        </w:rPr>
        <w:t>s</w:t>
      </w:r>
      <w:r w:rsidRPr="007158E9">
        <w:rPr>
          <w:rFonts w:eastAsia="Calibri"/>
          <w:bCs/>
          <w:lang w:val="en-GB"/>
        </w:rPr>
        <w:t xml:space="preserve"> were persons considered as opponents to President Nkurunziza </w:t>
      </w:r>
      <w:r w:rsidRPr="007158E9">
        <w:rPr>
          <w:lang w:val="en-GB" w:eastAsia="fr-FR"/>
        </w:rPr>
        <w:t xml:space="preserve">or to </w:t>
      </w:r>
      <w:r w:rsidRPr="007158E9">
        <w:rPr>
          <w:rFonts w:eastAsia="Calibri"/>
          <w:bCs/>
          <w:lang w:val="en-GB"/>
        </w:rPr>
        <w:t>CNDD-FDD</w:t>
      </w:r>
      <w:r w:rsidRPr="007158E9">
        <w:rPr>
          <w:lang w:val="en-GB" w:eastAsia="fr-FR"/>
        </w:rPr>
        <w:t xml:space="preserve">. The majority were young men, </w:t>
      </w:r>
      <w:r w:rsidR="00245348">
        <w:rPr>
          <w:lang w:val="en-GB" w:eastAsia="fr-FR"/>
        </w:rPr>
        <w:t>sometimes</w:t>
      </w:r>
      <w:r w:rsidRPr="007158E9">
        <w:rPr>
          <w:lang w:val="en-GB" w:eastAsia="fr-FR"/>
        </w:rPr>
        <w:t xml:space="preserve"> minors, albeit older men and women were also victims. The perpetrators sought to punish them for being member or sympathiser of another political party.</w:t>
      </w:r>
    </w:p>
    <w:p w14:paraId="70547C58" w14:textId="6FE253C1" w:rsidR="00F35CB9" w:rsidRPr="007158E9" w:rsidRDefault="00F35CB9" w:rsidP="00F35CB9">
      <w:pPr>
        <w:pStyle w:val="SingleTxtG"/>
        <w:ind w:right="567"/>
        <w:rPr>
          <w:rFonts w:eastAsia="Calibri"/>
          <w:bCs/>
          <w:lang w:val="en-GB"/>
        </w:rPr>
      </w:pPr>
      <w:r w:rsidRPr="007158E9">
        <w:rPr>
          <w:rFonts w:eastAsia="Calibri"/>
          <w:bCs/>
          <w:lang w:val="en-GB"/>
        </w:rPr>
        <w:tab/>
        <w:t>343.</w:t>
      </w:r>
      <w:r w:rsidRPr="007158E9">
        <w:rPr>
          <w:rFonts w:eastAsia="Calibri"/>
          <w:bCs/>
          <w:lang w:val="en-GB"/>
        </w:rPr>
        <w:tab/>
        <w:t>It is not uncommon that some persons who had taken part in the 2015 demonstrations, or others who had wanted to leave Burundi or who had spent some time abroad were tortured or ill-treated because they were perceived as opponents, sometimes rebels belonging to armed groups</w:t>
      </w:r>
      <w:r w:rsidR="00A854A6">
        <w:rPr>
          <w:rFonts w:eastAsia="Calibri"/>
          <w:bCs/>
          <w:lang w:val="en-GB"/>
        </w:rPr>
        <w:t>.</w:t>
      </w:r>
      <w:r w:rsidRPr="007158E9">
        <w:rPr>
          <w:rFonts w:eastAsia="Calibri"/>
          <w:bCs/>
          <w:vertAlign w:val="superscript"/>
          <w:lang w:val="en-GB"/>
        </w:rPr>
        <w:footnoteReference w:id="210"/>
      </w:r>
      <w:r w:rsidR="00A854A6">
        <w:rPr>
          <w:rFonts w:eastAsia="Calibri"/>
          <w:bCs/>
          <w:lang w:val="en-GB"/>
        </w:rPr>
        <w:t xml:space="preserve"> The torture</w:t>
      </w:r>
      <w:r w:rsidRPr="007158E9">
        <w:rPr>
          <w:rFonts w:eastAsia="Calibri"/>
          <w:bCs/>
          <w:lang w:val="en-GB"/>
        </w:rPr>
        <w:t xml:space="preserve"> aimed to punish them, to force them to admit their belonging or support to armed groups or to get information </w:t>
      </w:r>
      <w:r w:rsidR="00A854A6">
        <w:rPr>
          <w:rFonts w:eastAsia="Calibri"/>
          <w:bCs/>
          <w:lang w:val="en-GB"/>
        </w:rPr>
        <w:t>about</w:t>
      </w:r>
      <w:r w:rsidRPr="007158E9">
        <w:rPr>
          <w:rFonts w:eastAsia="Calibri"/>
          <w:bCs/>
          <w:lang w:val="en-GB"/>
        </w:rPr>
        <w:t xml:space="preserve"> firearms supposedly in their possession</w:t>
      </w:r>
      <w:r w:rsidR="00A854A6">
        <w:rPr>
          <w:rFonts w:eastAsia="Calibri"/>
          <w:bCs/>
          <w:lang w:val="en-GB"/>
        </w:rPr>
        <w:t>.</w:t>
      </w:r>
      <w:r w:rsidRPr="007158E9">
        <w:rPr>
          <w:rFonts w:eastAsia="Calibri"/>
          <w:bCs/>
          <w:vertAlign w:val="superscript"/>
          <w:lang w:val="en-GB"/>
        </w:rPr>
        <w:footnoteReference w:id="211"/>
      </w:r>
      <w:r w:rsidRPr="007158E9">
        <w:rPr>
          <w:rFonts w:eastAsia="Calibri"/>
          <w:bCs/>
          <w:lang w:val="en-GB"/>
        </w:rPr>
        <w:t xml:space="preserve"> One of the victims interviewed by the Commission, who had sought refuge in a neighbouring country and who had then returned to Burundi, explained: </w:t>
      </w:r>
    </w:p>
    <w:p w14:paraId="74333EB7" w14:textId="6625373A" w:rsidR="00F35CB9" w:rsidRPr="007158E9" w:rsidRDefault="00F35CB9" w:rsidP="00F35CB9">
      <w:pPr>
        <w:pStyle w:val="SingleTxtG"/>
        <w:ind w:left="1701" w:right="567"/>
        <w:rPr>
          <w:rFonts w:eastAsia="Calibri"/>
          <w:bCs/>
          <w:lang w:val="en-GB"/>
        </w:rPr>
      </w:pPr>
      <w:r w:rsidRPr="007158E9">
        <w:rPr>
          <w:rFonts w:eastAsia="Calibri"/>
          <w:bCs/>
          <w:lang w:val="en-GB"/>
        </w:rPr>
        <w:tab/>
      </w:r>
      <w:r w:rsidRPr="007158E9">
        <w:rPr>
          <w:i/>
          <w:lang w:val="en-GB"/>
        </w:rPr>
        <w:t xml:space="preserve">“I returned to Burundi in […] 2017 […] Two days after I returned, […] a group of […] people came to my house […].  I recognised one person: he was the head of Imbonerakure on my colline […]. He said: </w:t>
      </w:r>
      <w:r w:rsidR="00574104">
        <w:rPr>
          <w:i/>
          <w:lang w:val="en-GB"/>
        </w:rPr>
        <w:t>‘</w:t>
      </w:r>
      <w:r w:rsidRPr="007158E9">
        <w:rPr>
          <w:i/>
          <w:lang w:val="en-GB"/>
        </w:rPr>
        <w:t>It has been two years since you left and here you are changing money. You are certainly from the rebellion, the bush […]. The person who gave us information was right. Admit that you came to buy supplies for the rebels in the bush. Think about it and you will give us an answer, but we know the truth</w:t>
      </w:r>
      <w:r w:rsidR="00574104">
        <w:rPr>
          <w:i/>
          <w:lang w:val="en-GB"/>
        </w:rPr>
        <w:t>’</w:t>
      </w:r>
      <w:r w:rsidRPr="007158E9">
        <w:rPr>
          <w:i/>
          <w:lang w:val="en-GB"/>
        </w:rPr>
        <w:t xml:space="preserve"> […]. They hit me</w:t>
      </w:r>
      <w:r w:rsidRPr="007158E9">
        <w:rPr>
          <w:rFonts w:eastAsia="Calibri"/>
          <w:bCs/>
          <w:i/>
          <w:lang w:val="en-GB"/>
        </w:rPr>
        <w:t xml:space="preserve"> on the head. I still have scars. The police officers </w:t>
      </w:r>
      <w:r w:rsidR="007A1DAD">
        <w:rPr>
          <w:rFonts w:eastAsia="Calibri"/>
          <w:bCs/>
          <w:i/>
          <w:lang w:val="en-GB"/>
        </w:rPr>
        <w:t>beat</w:t>
      </w:r>
      <w:r w:rsidRPr="007158E9">
        <w:rPr>
          <w:rFonts w:eastAsia="Calibri"/>
          <w:bCs/>
          <w:i/>
          <w:lang w:val="en-GB"/>
        </w:rPr>
        <w:t xml:space="preserve"> me using a stick and their feet </w:t>
      </w:r>
      <w:r w:rsidRPr="007158E9">
        <w:rPr>
          <w:rFonts w:eastAsia="Calibri"/>
          <w:bCs/>
          <w:lang w:val="en-GB"/>
        </w:rPr>
        <w:t>“</w:t>
      </w:r>
      <w:r w:rsidR="007A1DAD">
        <w:rPr>
          <w:rFonts w:eastAsia="Calibri"/>
          <w:bCs/>
          <w:lang w:val="en-GB"/>
        </w:rPr>
        <w:t>.</w:t>
      </w:r>
      <w:r w:rsidRPr="007158E9">
        <w:rPr>
          <w:rFonts w:eastAsia="Calibri"/>
          <w:bCs/>
          <w:vertAlign w:val="superscript"/>
          <w:lang w:val="en-GB"/>
        </w:rPr>
        <w:footnoteReference w:id="212"/>
      </w:r>
    </w:p>
    <w:p w14:paraId="6CF9F155" w14:textId="1D5FC537" w:rsidR="00F35CB9" w:rsidRPr="007158E9" w:rsidRDefault="00F35CB9" w:rsidP="00F35CB9">
      <w:pPr>
        <w:pStyle w:val="SingleTxtG"/>
        <w:ind w:right="567"/>
        <w:rPr>
          <w:rFonts w:eastAsia="Calibri"/>
          <w:bCs/>
          <w:lang w:val="en-GB"/>
        </w:rPr>
      </w:pPr>
      <w:r w:rsidRPr="007158E9">
        <w:rPr>
          <w:rFonts w:eastAsia="Calibri"/>
          <w:bCs/>
          <w:lang w:val="en-GB"/>
        </w:rPr>
        <w:t>344.</w:t>
      </w:r>
      <w:r w:rsidRPr="007158E9">
        <w:rPr>
          <w:rFonts w:eastAsia="Calibri"/>
          <w:bCs/>
          <w:lang w:val="en-GB"/>
        </w:rPr>
        <w:tab/>
        <w:t>Increasingly, persons with no political activity or engagement were victims of torture and ill-treatment, mainly in the context of preparation of the constitutional referendum. Several persons were tortured or ill treated in order to punish them for having refused to adhere to CNDD-FDD or to join its youth league</w:t>
      </w:r>
      <w:r w:rsidR="007A1DAD">
        <w:rPr>
          <w:rFonts w:eastAsia="Calibri"/>
          <w:bCs/>
          <w:lang w:val="en-GB"/>
        </w:rPr>
        <w:t>.</w:t>
      </w:r>
      <w:r w:rsidRPr="007158E9">
        <w:rPr>
          <w:rFonts w:eastAsia="Calibri"/>
          <w:bCs/>
          <w:sz w:val="18"/>
          <w:vertAlign w:val="superscript"/>
          <w:lang w:val="en-GB"/>
        </w:rPr>
        <w:footnoteReference w:id="213"/>
      </w:r>
      <w:r w:rsidR="007A1DAD">
        <w:rPr>
          <w:rFonts w:eastAsia="Calibri"/>
          <w:bCs/>
          <w:lang w:val="en-GB"/>
        </w:rPr>
        <w:t xml:space="preserve"> </w:t>
      </w:r>
      <w:r w:rsidRPr="007158E9">
        <w:rPr>
          <w:rFonts w:eastAsia="Calibri"/>
          <w:bCs/>
          <w:lang w:val="en-GB"/>
        </w:rPr>
        <w:t xml:space="preserve">Increasingly, any failure or breach in alignment with </w:t>
      </w:r>
      <w:r w:rsidR="007A1DAD">
        <w:rPr>
          <w:rFonts w:eastAsia="Calibri"/>
          <w:bCs/>
          <w:lang w:val="en-GB"/>
        </w:rPr>
        <w:t xml:space="preserve">the </w:t>
      </w:r>
      <w:r w:rsidRPr="007158E9">
        <w:rPr>
          <w:rFonts w:eastAsia="Calibri"/>
          <w:bCs/>
          <w:lang w:val="en-GB"/>
        </w:rPr>
        <w:t>Government policy is considered as a sign of belonging to the opposition. Henc</w:t>
      </w:r>
      <w:r w:rsidR="007A1DAD">
        <w:rPr>
          <w:rFonts w:eastAsia="Calibri"/>
          <w:bCs/>
          <w:lang w:val="en-GB"/>
        </w:rPr>
        <w:t>e, persons were tortured or ill-</w:t>
      </w:r>
      <w:r w:rsidRPr="007158E9">
        <w:rPr>
          <w:rFonts w:eastAsia="Calibri"/>
          <w:bCs/>
          <w:lang w:val="en-GB"/>
        </w:rPr>
        <w:t xml:space="preserve">treated for </w:t>
      </w:r>
      <w:r w:rsidR="007A1DAD">
        <w:rPr>
          <w:rFonts w:eastAsia="Calibri"/>
          <w:bCs/>
          <w:lang w:val="en-GB"/>
        </w:rPr>
        <w:t xml:space="preserve">having </w:t>
      </w:r>
      <w:r w:rsidRPr="007158E9">
        <w:rPr>
          <w:rFonts w:eastAsia="Calibri"/>
          <w:bCs/>
          <w:lang w:val="en-GB"/>
        </w:rPr>
        <w:t>fail</w:t>
      </w:r>
      <w:r w:rsidR="007A1DAD">
        <w:rPr>
          <w:rFonts w:eastAsia="Calibri"/>
          <w:bCs/>
          <w:lang w:val="en-GB"/>
        </w:rPr>
        <w:t xml:space="preserve">ed to </w:t>
      </w:r>
      <w:r w:rsidRPr="007158E9">
        <w:rPr>
          <w:rFonts w:eastAsia="Calibri"/>
          <w:bCs/>
          <w:lang w:val="en-GB"/>
        </w:rPr>
        <w:t>register on electoral lists ahead of the constitutional referendumen or were suspected – rightly or wrongly – of wanting to vote “no” during that referendum or to incite the masses to do so</w:t>
      </w:r>
      <w:r w:rsidR="007A1DAD">
        <w:rPr>
          <w:rFonts w:eastAsia="Calibri"/>
          <w:bCs/>
          <w:lang w:val="en-GB"/>
        </w:rPr>
        <w:t>.</w:t>
      </w:r>
      <w:r w:rsidRPr="007158E9">
        <w:rPr>
          <w:rFonts w:eastAsia="Calibri"/>
          <w:bCs/>
          <w:sz w:val="18"/>
          <w:vertAlign w:val="superscript"/>
          <w:lang w:val="en-GB"/>
        </w:rPr>
        <w:footnoteReference w:id="214"/>
      </w:r>
      <w:r w:rsidRPr="007158E9">
        <w:rPr>
          <w:rFonts w:eastAsia="Calibri"/>
          <w:bCs/>
          <w:lang w:val="en-GB"/>
        </w:rPr>
        <w:t xml:space="preserve"> The torture aimed at intimidating them or forcing them to follow the instructions from the ruling party to vote in favour of the </w:t>
      </w:r>
      <w:r w:rsidR="007A1DAD">
        <w:rPr>
          <w:rFonts w:eastAsia="Calibri"/>
          <w:bCs/>
          <w:lang w:val="en-GB"/>
        </w:rPr>
        <w:t>constitutional revision</w:t>
      </w:r>
      <w:r w:rsidRPr="007158E9">
        <w:rPr>
          <w:rFonts w:eastAsia="Calibri"/>
          <w:bCs/>
          <w:lang w:val="en-GB"/>
        </w:rPr>
        <w:t xml:space="preserve">, or to force them to reveal their plan to oppose the constitutional </w:t>
      </w:r>
      <w:r w:rsidR="007A1DAD">
        <w:rPr>
          <w:rFonts w:eastAsia="Calibri"/>
          <w:bCs/>
          <w:lang w:val="en-GB"/>
        </w:rPr>
        <w:t>revision</w:t>
      </w:r>
      <w:r w:rsidRPr="007158E9">
        <w:rPr>
          <w:rFonts w:eastAsia="Calibri"/>
          <w:bCs/>
          <w:lang w:val="en-GB"/>
        </w:rPr>
        <w:t xml:space="preserve">. A person tortured by a police agent said: </w:t>
      </w:r>
    </w:p>
    <w:p w14:paraId="4BAC37A6" w14:textId="39618AB7" w:rsidR="00F35CB9" w:rsidRPr="007158E9" w:rsidRDefault="00F35CB9" w:rsidP="00F35CB9">
      <w:pPr>
        <w:pStyle w:val="SingleTxtG"/>
        <w:ind w:left="1701" w:right="567"/>
        <w:rPr>
          <w:lang w:val="en-GB"/>
        </w:rPr>
      </w:pPr>
      <w:r w:rsidRPr="007158E9">
        <w:rPr>
          <w:i/>
          <w:lang w:val="en-GB"/>
        </w:rPr>
        <w:tab/>
        <w:t xml:space="preserve">“I did not want to register in order to obtain a voter’s card. In December 2017, I had not registered. I do not know when we had to register. I was not very interested because I had no time. I had to work […] [The] communal administrator […] asked [me] for my voter’s card. He was with </w:t>
      </w:r>
      <w:r w:rsidR="007A1DAD">
        <w:rPr>
          <w:i/>
          <w:lang w:val="en-GB"/>
        </w:rPr>
        <w:t xml:space="preserve">some </w:t>
      </w:r>
      <w:r w:rsidRPr="007158E9">
        <w:rPr>
          <w:i/>
          <w:lang w:val="en-GB"/>
        </w:rPr>
        <w:t xml:space="preserve">Imbonerakure […] and armed police agents in uniform […] the administrator then took a stick and he started beating me. </w:t>
      </w:r>
      <w:r w:rsidR="007A1DAD">
        <w:rPr>
          <w:i/>
          <w:lang w:val="en-GB"/>
        </w:rPr>
        <w:t xml:space="preserve">The </w:t>
      </w:r>
      <w:r w:rsidRPr="007158E9">
        <w:rPr>
          <w:i/>
          <w:lang w:val="en-GB"/>
        </w:rPr>
        <w:t>Imbonerakure also beat me. They were saying that I had refused to do what I was asked to do. Now, they were going to use force”</w:t>
      </w:r>
      <w:r w:rsidR="007A1DAD">
        <w:rPr>
          <w:i/>
          <w:lang w:val="en-GB"/>
        </w:rPr>
        <w:t>.</w:t>
      </w:r>
      <w:r w:rsidRPr="007158E9">
        <w:rPr>
          <w:vertAlign w:val="superscript"/>
          <w:lang w:val="en-GB"/>
        </w:rPr>
        <w:footnoteReference w:id="215"/>
      </w:r>
    </w:p>
    <w:p w14:paraId="28DFB931" w14:textId="11ACD70D" w:rsidR="00F35CB9" w:rsidRPr="007158E9" w:rsidRDefault="00F35CB9" w:rsidP="00F35CB9">
      <w:pPr>
        <w:pStyle w:val="SingleTxtG"/>
        <w:ind w:right="567"/>
        <w:rPr>
          <w:rFonts w:eastAsia="Calibri"/>
          <w:bCs/>
          <w:lang w:val="en-GB"/>
        </w:rPr>
      </w:pPr>
      <w:r w:rsidRPr="007158E9">
        <w:rPr>
          <w:lang w:val="en-GB"/>
        </w:rPr>
        <w:tab/>
        <w:t>345.</w:t>
      </w:r>
      <w:r w:rsidRPr="007158E9">
        <w:rPr>
          <w:lang w:val="en-GB"/>
        </w:rPr>
        <w:tab/>
      </w:r>
      <w:r w:rsidRPr="007158E9">
        <w:rPr>
          <w:rFonts w:eastAsia="Calibri"/>
          <w:bCs/>
          <w:lang w:val="en-GB"/>
        </w:rPr>
        <w:t xml:space="preserve">The case of Simon Bizimana is emblematic in that regard. He refused to register on electoral lists due to his religious faith that, according to him, required him to stay away from any political activity. He was arrested on 14 February 2018 and the video of his arrest and interrogation was largely </w:t>
      </w:r>
      <w:r w:rsidR="007A1DAD">
        <w:rPr>
          <w:rFonts w:eastAsia="Calibri"/>
          <w:bCs/>
          <w:lang w:val="en-GB"/>
        </w:rPr>
        <w:t>circulated</w:t>
      </w:r>
      <w:r w:rsidRPr="007158E9">
        <w:rPr>
          <w:rFonts w:eastAsia="Calibri"/>
          <w:bCs/>
          <w:lang w:val="en-GB"/>
        </w:rPr>
        <w:t xml:space="preserve"> on social networks</w:t>
      </w:r>
      <w:r w:rsidR="007A1DAD">
        <w:rPr>
          <w:rFonts w:eastAsia="Calibri"/>
          <w:bCs/>
          <w:lang w:val="en-GB"/>
        </w:rPr>
        <w:t>.</w:t>
      </w:r>
      <w:r w:rsidRPr="007158E9">
        <w:rPr>
          <w:rFonts w:eastAsia="Calibri"/>
          <w:bCs/>
          <w:sz w:val="18"/>
          <w:vertAlign w:val="superscript"/>
          <w:lang w:val="en-GB"/>
        </w:rPr>
        <w:footnoteReference w:id="216"/>
      </w:r>
      <w:r w:rsidRPr="007158E9">
        <w:rPr>
          <w:rFonts w:eastAsia="Calibri"/>
          <w:bCs/>
          <w:lang w:val="en-GB"/>
        </w:rPr>
        <w:t xml:space="preserve"> He was then placed in detention in an arbitrary manner by local authorities for having refused to register to vote. On 18 March 2018, he died under suspicious conditions at Cankuzo hospital. According to the official version, he died of malaria after having been released on 14 March when he was in good health. Conversely, the Burundian civil society reported that he was seriously tortured by SNR </w:t>
      </w:r>
      <w:r w:rsidR="007A1DAD">
        <w:rPr>
          <w:rFonts w:eastAsia="Calibri"/>
          <w:bCs/>
          <w:lang w:val="en-GB"/>
        </w:rPr>
        <w:t xml:space="preserve">agents </w:t>
      </w:r>
      <w:r w:rsidRPr="007158E9">
        <w:rPr>
          <w:rFonts w:eastAsia="Calibri"/>
          <w:bCs/>
          <w:lang w:val="en-GB"/>
        </w:rPr>
        <w:t>before being taken to the hospital where he reportedly died of the abuse incurred</w:t>
      </w:r>
      <w:r w:rsidR="007A1DAD">
        <w:rPr>
          <w:rFonts w:eastAsia="Calibri"/>
          <w:bCs/>
          <w:lang w:val="en-GB"/>
        </w:rPr>
        <w:t>.</w:t>
      </w:r>
      <w:r w:rsidRPr="007158E9">
        <w:rPr>
          <w:rFonts w:eastAsia="Calibri"/>
          <w:bCs/>
          <w:sz w:val="18"/>
          <w:vertAlign w:val="superscript"/>
          <w:lang w:val="en-GB"/>
        </w:rPr>
        <w:footnoteReference w:id="217"/>
      </w:r>
    </w:p>
    <w:p w14:paraId="29D05722" w14:textId="7FB4C2F8" w:rsidR="00F35CB9" w:rsidRPr="007158E9" w:rsidRDefault="00F35CB9" w:rsidP="00F35CB9">
      <w:pPr>
        <w:pStyle w:val="SingleTxtG"/>
        <w:ind w:right="567"/>
        <w:rPr>
          <w:rFonts w:eastAsia="Calibri"/>
          <w:bCs/>
          <w:lang w:val="en-GB"/>
        </w:rPr>
      </w:pPr>
      <w:r w:rsidRPr="007158E9">
        <w:rPr>
          <w:rFonts w:eastAsia="Calibri"/>
          <w:bCs/>
          <w:lang w:val="en-GB"/>
        </w:rPr>
        <w:tab/>
        <w:t>346.</w:t>
      </w:r>
      <w:r w:rsidRPr="007158E9">
        <w:rPr>
          <w:rFonts w:eastAsia="Calibri"/>
          <w:bCs/>
          <w:lang w:val="en-GB"/>
        </w:rPr>
        <w:tab/>
        <w:t xml:space="preserve">Other persons, especially women, were tortured as a punishment or </w:t>
      </w:r>
      <w:r w:rsidR="007A1DAD">
        <w:rPr>
          <w:rFonts w:eastAsia="Calibri"/>
          <w:bCs/>
          <w:lang w:val="en-GB"/>
        </w:rPr>
        <w:t>a</w:t>
      </w:r>
      <w:r w:rsidRPr="007158E9">
        <w:rPr>
          <w:rFonts w:eastAsia="Calibri"/>
          <w:bCs/>
          <w:lang w:val="en-GB"/>
        </w:rPr>
        <w:t xml:space="preserve"> retaliation</w:t>
      </w:r>
      <w:r w:rsidR="007A1DAD">
        <w:rPr>
          <w:rFonts w:eastAsia="Calibri"/>
          <w:bCs/>
          <w:lang w:val="en-GB"/>
        </w:rPr>
        <w:t>,</w:t>
      </w:r>
      <w:r w:rsidRPr="007158E9">
        <w:rPr>
          <w:rFonts w:eastAsia="Calibri"/>
          <w:bCs/>
          <w:lang w:val="en-GB"/>
        </w:rPr>
        <w:t xml:space="preserve"> because a member of their family, suspected </w:t>
      </w:r>
      <w:r w:rsidR="007A1DAD">
        <w:rPr>
          <w:rFonts w:eastAsia="Calibri"/>
          <w:bCs/>
          <w:lang w:val="en-GB"/>
        </w:rPr>
        <w:t>of</w:t>
      </w:r>
      <w:r w:rsidRPr="007158E9">
        <w:rPr>
          <w:rFonts w:eastAsia="Calibri"/>
          <w:bCs/>
          <w:lang w:val="en-GB"/>
        </w:rPr>
        <w:t xml:space="preserve"> being an opponent or a member of an armed opposition group, was wanted and remained </w:t>
      </w:r>
      <w:r w:rsidR="007A1DAD">
        <w:rPr>
          <w:rFonts w:eastAsia="Calibri"/>
          <w:bCs/>
          <w:lang w:val="en-GB"/>
        </w:rPr>
        <w:t>at large.</w:t>
      </w:r>
      <w:r w:rsidRPr="007158E9">
        <w:rPr>
          <w:rFonts w:eastAsia="Calibri"/>
          <w:bCs/>
          <w:sz w:val="18"/>
          <w:vertAlign w:val="superscript"/>
          <w:lang w:val="en-GB"/>
        </w:rPr>
        <w:footnoteReference w:id="218"/>
      </w:r>
      <w:r w:rsidRPr="007158E9">
        <w:rPr>
          <w:rFonts w:eastAsia="Calibri"/>
          <w:bCs/>
          <w:lang w:val="en-GB"/>
        </w:rPr>
        <w:t xml:space="preserve"> A woman explained:</w:t>
      </w:r>
    </w:p>
    <w:p w14:paraId="38AB6E05" w14:textId="434A3341" w:rsidR="00F35CB9" w:rsidRPr="007158E9" w:rsidRDefault="00F35CB9" w:rsidP="00F35CB9">
      <w:pPr>
        <w:pStyle w:val="SingleTxtG"/>
        <w:ind w:left="1701" w:right="567"/>
        <w:rPr>
          <w:rFonts w:eastAsia="Calibri"/>
          <w:bCs/>
          <w:i/>
          <w:lang w:val="en-GB"/>
        </w:rPr>
      </w:pPr>
      <w:r w:rsidRPr="007158E9">
        <w:rPr>
          <w:rFonts w:eastAsia="Calibri"/>
          <w:bCs/>
          <w:lang w:val="en-GB"/>
        </w:rPr>
        <w:tab/>
        <w:t>“</w:t>
      </w:r>
      <w:r w:rsidRPr="007158E9">
        <w:rPr>
          <w:rFonts w:eastAsia="Calibri"/>
          <w:bCs/>
          <w:i/>
          <w:lang w:val="en-GB"/>
        </w:rPr>
        <w:t xml:space="preserve">On […] July 2017, at midnight, […] I had slept on the floor. He handcuffed me while I was on the floor. He held my elbows behind my back with a rope, made me lie on my stomach and tied another rope on my knees. After, he stepped on my legs and my back with his boots […]. He said: </w:t>
      </w:r>
      <w:r w:rsidR="00574104">
        <w:rPr>
          <w:i/>
          <w:lang w:val="en-GB" w:eastAsia="en-GB"/>
        </w:rPr>
        <w:t>‘</w:t>
      </w:r>
      <w:r w:rsidRPr="007158E9">
        <w:rPr>
          <w:i/>
          <w:lang w:val="en-GB" w:eastAsia="en-GB"/>
        </w:rPr>
        <w:t>Bring your husband to us, or else we will kill you. We were orde</w:t>
      </w:r>
      <w:r w:rsidR="00574104">
        <w:rPr>
          <w:i/>
          <w:lang w:val="en-GB" w:eastAsia="en-GB"/>
        </w:rPr>
        <w:t>red to bring your husband’</w:t>
      </w:r>
      <w:r w:rsidRPr="007158E9">
        <w:rPr>
          <w:rFonts w:eastAsia="Calibri"/>
          <w:bCs/>
          <w:i/>
          <w:lang w:val="en-GB"/>
        </w:rPr>
        <w:t>. I think that they were referring to the head of Imbonerakure in the commune from whom they had received the order</w:t>
      </w:r>
      <w:r w:rsidRPr="007158E9">
        <w:rPr>
          <w:rFonts w:eastAsia="Calibri"/>
          <w:bCs/>
          <w:lang w:val="en-GB"/>
        </w:rPr>
        <w:t>”</w:t>
      </w:r>
      <w:r w:rsidR="007A1DAD">
        <w:rPr>
          <w:rFonts w:eastAsia="Calibri"/>
          <w:bCs/>
          <w:lang w:val="en-GB"/>
        </w:rPr>
        <w:t>.</w:t>
      </w:r>
      <w:r w:rsidRPr="007158E9">
        <w:rPr>
          <w:rFonts w:eastAsia="Calibri"/>
          <w:bCs/>
          <w:sz w:val="18"/>
          <w:vertAlign w:val="superscript"/>
          <w:lang w:val="en-GB"/>
        </w:rPr>
        <w:footnoteReference w:id="219"/>
      </w:r>
    </w:p>
    <w:p w14:paraId="23A89846" w14:textId="27028A4E" w:rsidR="00F35CB9" w:rsidRPr="007158E9" w:rsidRDefault="00F35CB9" w:rsidP="00F35CB9">
      <w:pPr>
        <w:pStyle w:val="SingleTxtG"/>
        <w:ind w:right="567"/>
        <w:rPr>
          <w:lang w:val="en-GB"/>
        </w:rPr>
      </w:pPr>
      <w:r w:rsidRPr="007158E9">
        <w:rPr>
          <w:rFonts w:eastAsia="Calibri"/>
          <w:bCs/>
          <w:lang w:val="en-GB"/>
        </w:rPr>
        <w:tab/>
        <w:t>347.</w:t>
      </w:r>
      <w:r w:rsidRPr="007158E9">
        <w:rPr>
          <w:rFonts w:eastAsia="Calibri"/>
          <w:bCs/>
          <w:lang w:val="en-GB"/>
        </w:rPr>
        <w:tab/>
        <w:t xml:space="preserve">In addition, ethnically charged statements were used by some perpetrators, which </w:t>
      </w:r>
      <w:r w:rsidR="007A1DAD">
        <w:rPr>
          <w:rFonts w:eastAsia="Calibri"/>
          <w:bCs/>
          <w:lang w:val="en-GB"/>
        </w:rPr>
        <w:t>give grounds</w:t>
      </w:r>
      <w:r w:rsidRPr="007158E9">
        <w:rPr>
          <w:rFonts w:eastAsia="Calibri"/>
          <w:bCs/>
          <w:lang w:val="en-GB"/>
        </w:rPr>
        <w:t xml:space="preserve"> to believe that </w:t>
      </w:r>
      <w:r w:rsidR="007A1DAD" w:rsidRPr="007158E9">
        <w:rPr>
          <w:rFonts w:eastAsia="Calibri"/>
          <w:bCs/>
          <w:lang w:val="en-GB"/>
        </w:rPr>
        <w:t xml:space="preserve">some cases of torture </w:t>
      </w:r>
      <w:r w:rsidR="007A1DAD">
        <w:rPr>
          <w:rFonts w:eastAsia="Calibri"/>
          <w:bCs/>
          <w:lang w:val="en-GB"/>
        </w:rPr>
        <w:t xml:space="preserve">included </w:t>
      </w:r>
      <w:r w:rsidRPr="007158E9">
        <w:rPr>
          <w:rFonts w:eastAsia="Calibri"/>
          <w:bCs/>
          <w:lang w:val="en-GB"/>
        </w:rPr>
        <w:t>motive</w:t>
      </w:r>
      <w:r w:rsidR="007A1DAD">
        <w:rPr>
          <w:rFonts w:eastAsia="Calibri"/>
          <w:bCs/>
          <w:lang w:val="en-GB"/>
        </w:rPr>
        <w:t>s</w:t>
      </w:r>
      <w:r w:rsidRPr="007158E9">
        <w:rPr>
          <w:rFonts w:eastAsia="Calibri"/>
          <w:bCs/>
          <w:lang w:val="en-GB"/>
        </w:rPr>
        <w:t xml:space="preserve"> based </w:t>
      </w:r>
      <w:r w:rsidR="007A1DAD">
        <w:rPr>
          <w:rFonts w:eastAsia="Calibri"/>
          <w:bCs/>
          <w:lang w:val="en-GB"/>
        </w:rPr>
        <w:t xml:space="preserve">in part </w:t>
      </w:r>
      <w:r w:rsidRPr="007158E9">
        <w:rPr>
          <w:rFonts w:eastAsia="Calibri"/>
          <w:bCs/>
          <w:lang w:val="en-GB"/>
        </w:rPr>
        <w:t xml:space="preserve">« on a </w:t>
      </w:r>
      <w:r w:rsidR="007A1DAD">
        <w:rPr>
          <w:rFonts w:eastAsia="Calibri"/>
          <w:bCs/>
          <w:lang w:val="en-GB"/>
        </w:rPr>
        <w:t>form of ethnic discrimination ».</w:t>
      </w:r>
      <w:r w:rsidRPr="007158E9">
        <w:rPr>
          <w:sz w:val="18"/>
          <w:vertAlign w:val="superscript"/>
          <w:lang w:val="en-GB"/>
        </w:rPr>
        <w:footnoteReference w:id="220"/>
      </w:r>
      <w:r w:rsidRPr="007158E9">
        <w:rPr>
          <w:lang w:val="en-GB"/>
        </w:rPr>
        <w:t xml:space="preserve"> A man tortured by police officers during the month of July 2017 s</w:t>
      </w:r>
      <w:r w:rsidR="007A1DAD">
        <w:rPr>
          <w:lang w:val="en-GB"/>
        </w:rPr>
        <w:t>tate</w:t>
      </w:r>
      <w:r w:rsidRPr="007158E9">
        <w:rPr>
          <w:lang w:val="en-GB"/>
        </w:rPr>
        <w:t>d:</w:t>
      </w:r>
    </w:p>
    <w:p w14:paraId="15E682D5" w14:textId="0F92F860" w:rsidR="00F35CB9" w:rsidRPr="007158E9" w:rsidRDefault="00F35CB9" w:rsidP="00F35CB9">
      <w:pPr>
        <w:pStyle w:val="SingleTxtG"/>
        <w:ind w:left="1701" w:right="567"/>
        <w:rPr>
          <w:lang w:val="en-GB"/>
        </w:rPr>
      </w:pPr>
      <w:r w:rsidRPr="007158E9">
        <w:rPr>
          <w:lang w:val="en-GB"/>
        </w:rPr>
        <w:tab/>
        <w:t>“</w:t>
      </w:r>
      <w:r w:rsidRPr="007158E9">
        <w:rPr>
          <w:i/>
          <w:lang w:val="en-GB"/>
        </w:rPr>
        <w:t xml:space="preserve">[The police officers and civilians who were with them] said a lot of ethnically charged statements. They said: </w:t>
      </w:r>
      <w:r w:rsidR="00574104">
        <w:rPr>
          <w:i/>
          <w:lang w:val="en-GB" w:eastAsia="en-GB"/>
        </w:rPr>
        <w:t>‘</w:t>
      </w:r>
      <w:r w:rsidRPr="007158E9">
        <w:rPr>
          <w:i/>
          <w:lang w:val="en-GB" w:eastAsia="en-GB"/>
        </w:rPr>
        <w:t xml:space="preserve">You </w:t>
      </w:r>
      <w:r w:rsidRPr="007158E9">
        <w:rPr>
          <w:i/>
          <w:lang w:val="en-GB"/>
        </w:rPr>
        <w:t>Tutsis, you have always dominated us, but this will no longer be the case. We got hold of the power with a lot of difficulty and will not let it go. Go tell the</w:t>
      </w:r>
      <w:r w:rsidR="00574104">
        <w:rPr>
          <w:i/>
          <w:lang w:val="en-GB"/>
        </w:rPr>
        <w:t xml:space="preserve"> others that you made a mistake’ [</w:t>
      </w:r>
      <w:r w:rsidRPr="00574104">
        <w:rPr>
          <w:lang w:val="en-GB"/>
        </w:rPr>
        <w:t>meaning in relation to the Hutus</w:t>
      </w:r>
      <w:r w:rsidR="00574104">
        <w:rPr>
          <w:i/>
          <w:lang w:val="en-GB"/>
        </w:rPr>
        <w:t>]</w:t>
      </w:r>
      <w:r w:rsidRPr="007158E9">
        <w:rPr>
          <w:i/>
          <w:lang w:val="en-GB"/>
        </w:rPr>
        <w:t>. They were not talking about me specifically but about the Tutsis in general. They started beating me up violently</w:t>
      </w:r>
      <w:r w:rsidRPr="007158E9">
        <w:rPr>
          <w:lang w:val="en-GB"/>
        </w:rPr>
        <w:t>”</w:t>
      </w:r>
      <w:r w:rsidR="007A1DAD">
        <w:rPr>
          <w:lang w:val="en-GB"/>
        </w:rPr>
        <w:t>.</w:t>
      </w:r>
      <w:r w:rsidRPr="007158E9">
        <w:rPr>
          <w:sz w:val="18"/>
          <w:vertAlign w:val="superscript"/>
          <w:lang w:val="en-GB"/>
        </w:rPr>
        <w:footnoteReference w:id="221"/>
      </w:r>
    </w:p>
    <w:p w14:paraId="4735F135" w14:textId="77777777" w:rsidR="00F35CB9" w:rsidRPr="007158E9" w:rsidRDefault="00F35CB9" w:rsidP="00F35CB9">
      <w:pPr>
        <w:pStyle w:val="H56G"/>
        <w:rPr>
          <w:b/>
          <w:lang w:val="en-GB" w:eastAsia="fr-FR"/>
        </w:rPr>
      </w:pPr>
      <w:r w:rsidRPr="007158E9">
        <w:rPr>
          <w:b/>
          <w:lang w:val="en-GB" w:eastAsia="fr-FR"/>
        </w:rPr>
        <w:tab/>
        <w:t>(ii)</w:t>
      </w:r>
      <w:r w:rsidRPr="007158E9">
        <w:rPr>
          <w:b/>
          <w:lang w:val="en-GB" w:eastAsia="fr-FR"/>
        </w:rPr>
        <w:tab/>
        <w:t>Main perpetrators</w:t>
      </w:r>
    </w:p>
    <w:p w14:paraId="7B735132" w14:textId="77777777" w:rsidR="00F35CB9" w:rsidRPr="007158E9" w:rsidRDefault="00F35CB9" w:rsidP="00F35CB9">
      <w:pPr>
        <w:pStyle w:val="SingleTxtG"/>
        <w:ind w:right="567"/>
        <w:rPr>
          <w:rFonts w:eastAsia="Calibri"/>
          <w:bCs/>
          <w:lang w:val="en-GB"/>
        </w:rPr>
      </w:pPr>
      <w:r w:rsidRPr="007158E9">
        <w:rPr>
          <w:rFonts w:eastAsia="Calibri"/>
          <w:bCs/>
          <w:lang w:val="en-GB"/>
        </w:rPr>
        <w:tab/>
        <w:t>348.</w:t>
      </w:r>
      <w:r w:rsidRPr="007158E9">
        <w:rPr>
          <w:rFonts w:eastAsia="Calibri"/>
          <w:bCs/>
          <w:lang w:val="en-GB"/>
        </w:rPr>
        <w:tab/>
        <w:t>Since 2017, the Commission noted a significant evolution with regards to the perpetrators of torture and ill treatment. The majority of cases is now mostly committed by Imbonerakure acting alone, in full view of police agents or with their cooperation</w:t>
      </w:r>
      <w:r w:rsidRPr="007158E9">
        <w:rPr>
          <w:sz w:val="18"/>
          <w:vertAlign w:val="superscript"/>
          <w:lang w:val="en-GB" w:eastAsia="fr-FR"/>
        </w:rPr>
        <w:footnoteReference w:id="222"/>
      </w:r>
      <w:r w:rsidRPr="007158E9">
        <w:rPr>
          <w:lang w:val="en-GB" w:eastAsia="fr-FR"/>
        </w:rPr>
        <w:t>.</w:t>
      </w:r>
    </w:p>
    <w:p w14:paraId="11FEEE4B" w14:textId="0B142CCC" w:rsidR="00F35CB9" w:rsidRPr="007158E9" w:rsidRDefault="00F35CB9" w:rsidP="00F35CB9">
      <w:pPr>
        <w:pStyle w:val="SingleTxtG"/>
        <w:ind w:left="1701" w:right="567"/>
        <w:rPr>
          <w:lang w:val="en-GB"/>
        </w:rPr>
      </w:pPr>
      <w:r w:rsidRPr="007158E9">
        <w:rPr>
          <w:lang w:val="en-GB"/>
        </w:rPr>
        <w:tab/>
        <w:t>“</w:t>
      </w:r>
      <w:r w:rsidRPr="007158E9">
        <w:rPr>
          <w:i/>
          <w:lang w:val="en-GB"/>
        </w:rPr>
        <w:t>The Imbonerakure took us, tied up all three of us with our hands behind the back. They also tied our feet. They tied us t</w:t>
      </w:r>
      <w:r w:rsidR="002E6210">
        <w:rPr>
          <w:i/>
          <w:lang w:val="en-GB"/>
        </w:rPr>
        <w:t xml:space="preserve">he same way they tie up goats. </w:t>
      </w:r>
      <w:r w:rsidRPr="007158E9">
        <w:rPr>
          <w:i/>
          <w:lang w:val="en-GB"/>
        </w:rPr>
        <w:t>They beat us up and threatened us with military knives […] An Imbonerakure injured me on the leg with such a knife. They beat us for about 20 minutes all over the body. The police did not intervene, they only looked on during the whole time</w:t>
      </w:r>
      <w:r w:rsidRPr="007158E9">
        <w:rPr>
          <w:lang w:val="en-GB"/>
        </w:rPr>
        <w:t>”</w:t>
      </w:r>
      <w:r w:rsidR="002E6210">
        <w:rPr>
          <w:lang w:val="en-GB"/>
        </w:rPr>
        <w:t>.</w:t>
      </w:r>
      <w:r w:rsidRPr="007158E9">
        <w:rPr>
          <w:sz w:val="18"/>
          <w:vertAlign w:val="superscript"/>
          <w:lang w:val="en-GB"/>
        </w:rPr>
        <w:footnoteReference w:id="223"/>
      </w:r>
    </w:p>
    <w:p w14:paraId="7C0861EC" w14:textId="3699A0F3" w:rsidR="00F35CB9" w:rsidRPr="007158E9" w:rsidRDefault="00F35CB9" w:rsidP="00F35CB9">
      <w:pPr>
        <w:pStyle w:val="SingleTxtG"/>
        <w:ind w:right="567"/>
        <w:rPr>
          <w:rFonts w:eastAsia="Calibri"/>
          <w:bCs/>
          <w:lang w:val="en-GB"/>
        </w:rPr>
      </w:pPr>
      <w:r w:rsidRPr="007158E9">
        <w:rPr>
          <w:rFonts w:eastAsia="Calibri"/>
          <w:bCs/>
          <w:lang w:val="en-GB"/>
        </w:rPr>
        <w:tab/>
        <w:t>349.</w:t>
      </w:r>
      <w:r w:rsidRPr="007158E9">
        <w:rPr>
          <w:rFonts w:eastAsia="Calibri"/>
          <w:bCs/>
          <w:lang w:val="en-GB"/>
        </w:rPr>
        <w:tab/>
        <w:t>PNB</w:t>
      </w:r>
      <w:r w:rsidRPr="007158E9">
        <w:rPr>
          <w:rFonts w:eastAsia="Calibri"/>
          <w:bCs/>
          <w:sz w:val="18"/>
          <w:vertAlign w:val="superscript"/>
          <w:lang w:val="en-GB"/>
        </w:rPr>
        <w:footnoteReference w:id="224"/>
      </w:r>
      <w:r w:rsidRPr="007158E9">
        <w:rPr>
          <w:rFonts w:eastAsia="Calibri"/>
          <w:bCs/>
          <w:lang w:val="en-GB"/>
        </w:rPr>
        <w:t xml:space="preserve"> and SNR</w:t>
      </w:r>
      <w:r w:rsidRPr="007158E9">
        <w:rPr>
          <w:rFonts w:eastAsia="Calibri"/>
          <w:bCs/>
          <w:sz w:val="18"/>
          <w:vertAlign w:val="superscript"/>
          <w:lang w:val="en-GB"/>
        </w:rPr>
        <w:footnoteReference w:id="225"/>
      </w:r>
      <w:r w:rsidRPr="007158E9">
        <w:rPr>
          <w:rFonts w:eastAsia="Calibri"/>
          <w:bCs/>
          <w:lang w:val="en-GB"/>
        </w:rPr>
        <w:t xml:space="preserve"> agents were also identified as perpetrators of acts of torture by victims and witnesses. Some cases of torture and ill treatment were also committed by members of the armed forces, but to a lesser extent than during the time period covered by the previous report of the Commission</w:t>
      </w:r>
      <w:r w:rsidR="002E6210">
        <w:rPr>
          <w:rFonts w:eastAsia="Calibri"/>
          <w:bCs/>
          <w:lang w:val="en-GB"/>
        </w:rPr>
        <w:t>.</w:t>
      </w:r>
      <w:r w:rsidRPr="007158E9">
        <w:rPr>
          <w:rFonts w:eastAsia="Calibri"/>
          <w:bCs/>
          <w:sz w:val="18"/>
          <w:vertAlign w:val="superscript"/>
          <w:lang w:val="en-GB"/>
        </w:rPr>
        <w:footnoteReference w:id="226"/>
      </w:r>
    </w:p>
    <w:p w14:paraId="68A1A127" w14:textId="66FA2958" w:rsidR="00F35CB9" w:rsidRPr="007158E9" w:rsidRDefault="00F35CB9" w:rsidP="00F35CB9">
      <w:pPr>
        <w:pStyle w:val="SingleTxtG"/>
        <w:ind w:right="567"/>
        <w:rPr>
          <w:rFonts w:eastAsia="Calibri"/>
          <w:bCs/>
          <w:lang w:val="en-GB"/>
        </w:rPr>
      </w:pPr>
      <w:r w:rsidRPr="007158E9">
        <w:rPr>
          <w:rFonts w:eastAsia="Calibri"/>
          <w:bCs/>
          <w:lang w:val="en-GB"/>
        </w:rPr>
        <w:tab/>
        <w:t>350.</w:t>
      </w:r>
      <w:r w:rsidRPr="007158E9">
        <w:rPr>
          <w:rFonts w:eastAsia="Calibri"/>
          <w:bCs/>
          <w:lang w:val="en-GB"/>
        </w:rPr>
        <w:tab/>
        <w:t>Some victims and witnesses were able to identify some of the perpetrators of torture and ill treatment by name because they previously knew them</w:t>
      </w:r>
      <w:r w:rsidR="002E6210">
        <w:rPr>
          <w:rFonts w:eastAsia="Calibri"/>
          <w:bCs/>
          <w:lang w:val="en-GB"/>
        </w:rPr>
        <w:t>.</w:t>
      </w:r>
      <w:r w:rsidRPr="007158E9">
        <w:rPr>
          <w:rFonts w:eastAsia="Calibri"/>
          <w:bCs/>
          <w:sz w:val="18"/>
          <w:vertAlign w:val="superscript"/>
          <w:lang w:val="en-GB"/>
        </w:rPr>
        <w:footnoteReference w:id="227"/>
      </w:r>
      <w:r w:rsidRPr="007158E9">
        <w:rPr>
          <w:rFonts w:eastAsia="Calibri"/>
          <w:bCs/>
          <w:lang w:val="en-GB"/>
        </w:rPr>
        <w:t xml:space="preserve"> The majority of victims, without being able to name the perpetrators, have nonetheless been able to identify the groups to which they belong, their affiliation, their functions, thanks to their uniforms or other distinctive signs such their clothes, equipment and the places where they were </w:t>
      </w:r>
      <w:r w:rsidR="002E6210">
        <w:rPr>
          <w:rFonts w:eastAsia="Calibri"/>
          <w:bCs/>
          <w:lang w:val="en-GB"/>
        </w:rPr>
        <w:t>brought to</w:t>
      </w:r>
      <w:r w:rsidRPr="007158E9">
        <w:rPr>
          <w:rFonts w:eastAsia="Calibri"/>
          <w:bCs/>
          <w:lang w:val="en-GB"/>
        </w:rPr>
        <w:t>. As mentioned, several witness accounts talked about Imbonerakure wearing military uniforms</w:t>
      </w:r>
      <w:r w:rsidR="002E6210">
        <w:rPr>
          <w:rFonts w:eastAsia="Calibri"/>
          <w:bCs/>
          <w:lang w:val="en-GB"/>
        </w:rPr>
        <w:t>.</w:t>
      </w:r>
      <w:r w:rsidRPr="007158E9">
        <w:rPr>
          <w:rFonts w:eastAsia="Calibri"/>
          <w:bCs/>
          <w:sz w:val="18"/>
          <w:vertAlign w:val="superscript"/>
          <w:lang w:val="en-GB"/>
        </w:rPr>
        <w:footnoteReference w:id="228"/>
      </w:r>
      <w:r w:rsidRPr="007158E9">
        <w:rPr>
          <w:rFonts w:eastAsia="Calibri"/>
          <w:bCs/>
          <w:lang w:val="en-GB"/>
        </w:rPr>
        <w:t xml:space="preserve"> A person who spoke to the Commission said:</w:t>
      </w:r>
    </w:p>
    <w:p w14:paraId="1BB05047" w14:textId="3B818D65" w:rsidR="00F35CB9" w:rsidRPr="007158E9" w:rsidRDefault="00F35CB9" w:rsidP="00F35CB9">
      <w:pPr>
        <w:pStyle w:val="SingleTxtG"/>
        <w:ind w:left="1701" w:right="567"/>
        <w:rPr>
          <w:lang w:val="en-GB" w:eastAsia="fr-FR"/>
        </w:rPr>
      </w:pPr>
      <w:r w:rsidRPr="007158E9">
        <w:rPr>
          <w:i/>
          <w:lang w:val="en-GB" w:eastAsia="fr-FR"/>
        </w:rPr>
        <w:tab/>
        <w:t xml:space="preserve">“The police officers were armed and the Imbonerakure had wooden sticks while others had iron bars. Imbonerakure and police officers were wearing the same military boots as those worn </w:t>
      </w:r>
      <w:r w:rsidR="002E6210" w:rsidRPr="007158E9">
        <w:rPr>
          <w:i/>
          <w:lang w:val="en-GB" w:eastAsia="fr-FR"/>
        </w:rPr>
        <w:t xml:space="preserve">only </w:t>
      </w:r>
      <w:r w:rsidRPr="007158E9">
        <w:rPr>
          <w:i/>
          <w:lang w:val="en-GB" w:eastAsia="fr-FR"/>
        </w:rPr>
        <w:t>by the police and soldiers. Their shoes were therefore similar but their clothes were different. Imbonerakure were wearing sports attire T-shirt bearing “CNDD” labels on it. Some T-shirts even had the photo of the President [of the Republic]”</w:t>
      </w:r>
      <w:r w:rsidR="002E6210">
        <w:rPr>
          <w:i/>
          <w:lang w:val="en-GB" w:eastAsia="fr-FR"/>
        </w:rPr>
        <w:t>.</w:t>
      </w:r>
      <w:r w:rsidRPr="007158E9">
        <w:rPr>
          <w:sz w:val="18"/>
          <w:vertAlign w:val="superscript"/>
          <w:lang w:val="en-GB" w:eastAsia="fr-FR"/>
        </w:rPr>
        <w:footnoteReference w:id="229"/>
      </w:r>
    </w:p>
    <w:p w14:paraId="560477FA" w14:textId="77777777" w:rsidR="00F35CB9" w:rsidRPr="007158E9" w:rsidRDefault="00F35CB9" w:rsidP="00F35CB9">
      <w:pPr>
        <w:pStyle w:val="H56G"/>
        <w:rPr>
          <w:b/>
          <w:lang w:val="en-GB" w:eastAsia="fr-FR"/>
        </w:rPr>
      </w:pPr>
      <w:r w:rsidRPr="007158E9">
        <w:rPr>
          <w:i/>
          <w:lang w:val="en-GB" w:eastAsia="fr-FR"/>
        </w:rPr>
        <w:tab/>
      </w:r>
      <w:r w:rsidRPr="007158E9">
        <w:rPr>
          <w:b/>
          <w:lang w:val="en-GB" w:eastAsia="fr-FR"/>
        </w:rPr>
        <w:t>(iii)</w:t>
      </w:r>
      <w:r w:rsidRPr="007158E9">
        <w:rPr>
          <w:b/>
          <w:lang w:val="en-GB" w:eastAsia="fr-FR"/>
        </w:rPr>
        <w:tab/>
        <w:t>Main venues for torture and ill treatment</w:t>
      </w:r>
    </w:p>
    <w:p w14:paraId="047B96E7" w14:textId="11BC1AE1" w:rsidR="00F35CB9" w:rsidRPr="007158E9" w:rsidRDefault="00F35CB9" w:rsidP="00F35CB9">
      <w:pPr>
        <w:pStyle w:val="SingleTxtG"/>
        <w:ind w:right="567"/>
        <w:rPr>
          <w:lang w:val="en-GB"/>
        </w:rPr>
      </w:pPr>
      <w:r w:rsidRPr="007158E9">
        <w:rPr>
          <w:lang w:val="en-GB" w:eastAsia="fr-FR"/>
        </w:rPr>
        <w:tab/>
        <w:t>351.</w:t>
      </w:r>
      <w:r w:rsidRPr="007158E9">
        <w:rPr>
          <w:lang w:val="en-GB" w:eastAsia="fr-FR"/>
        </w:rPr>
        <w:tab/>
        <w:t>Cases of torture and ill-treatment in the context of arrest and detention were mainly carried out in police station cells</w:t>
      </w:r>
      <w:r w:rsidR="002E6210">
        <w:rPr>
          <w:lang w:val="en-GB" w:eastAsia="fr-FR"/>
        </w:rPr>
        <w:t>,</w:t>
      </w:r>
      <w:r w:rsidRPr="007158E9">
        <w:rPr>
          <w:sz w:val="18"/>
          <w:vertAlign w:val="superscript"/>
          <w:lang w:val="en-GB"/>
        </w:rPr>
        <w:footnoteReference w:id="230"/>
      </w:r>
      <w:r w:rsidRPr="007158E9">
        <w:rPr>
          <w:lang w:val="en-GB"/>
        </w:rPr>
        <w:t xml:space="preserve"> in the </w:t>
      </w:r>
      <w:r w:rsidR="002E6210">
        <w:rPr>
          <w:lang w:val="en-GB"/>
        </w:rPr>
        <w:t xml:space="preserve">SNR </w:t>
      </w:r>
      <w:r w:rsidRPr="007158E9">
        <w:rPr>
          <w:lang w:val="en-GB"/>
        </w:rPr>
        <w:t>premises</w:t>
      </w:r>
      <w:r w:rsidR="002E6210">
        <w:rPr>
          <w:lang w:val="en-GB" w:eastAsia="fr-FR"/>
        </w:rPr>
        <w:t>,</w:t>
      </w:r>
      <w:r w:rsidRPr="007158E9">
        <w:rPr>
          <w:sz w:val="18"/>
          <w:vertAlign w:val="superscript"/>
          <w:lang w:val="en-GB"/>
        </w:rPr>
        <w:footnoteReference w:id="231"/>
      </w:r>
      <w:r w:rsidRPr="007158E9">
        <w:rPr>
          <w:lang w:val="en-GB"/>
        </w:rPr>
        <w:t xml:space="preserve"> and at the central prison of </w:t>
      </w:r>
      <w:r w:rsidRPr="007158E9">
        <w:rPr>
          <w:lang w:val="en-GB" w:eastAsia="fr-FR"/>
        </w:rPr>
        <w:t>Mpimba in Bujumbura where detainees were beaten by Imbonerakure in the area called “</w:t>
      </w:r>
      <w:r w:rsidRPr="007158E9">
        <w:rPr>
          <w:i/>
          <w:lang w:val="en-GB" w:eastAsia="fr-FR"/>
        </w:rPr>
        <w:t>petit marché</w:t>
      </w:r>
      <w:r w:rsidRPr="007158E9">
        <w:rPr>
          <w:lang w:val="en-GB" w:eastAsia="fr-FR"/>
        </w:rPr>
        <w:t>” or “</w:t>
      </w:r>
      <w:r w:rsidRPr="007158E9">
        <w:rPr>
          <w:i/>
          <w:lang w:val="en-GB" w:eastAsia="fr-FR"/>
        </w:rPr>
        <w:t>place du marché</w:t>
      </w:r>
      <w:r w:rsidRPr="007158E9">
        <w:rPr>
          <w:lang w:val="en-GB" w:eastAsia="fr-FR"/>
        </w:rPr>
        <w:t>”</w:t>
      </w:r>
      <w:r w:rsidR="002E6210">
        <w:rPr>
          <w:lang w:val="en-GB" w:eastAsia="fr-FR"/>
        </w:rPr>
        <w:t>.</w:t>
      </w:r>
      <w:r w:rsidRPr="007158E9">
        <w:rPr>
          <w:sz w:val="18"/>
          <w:vertAlign w:val="superscript"/>
          <w:lang w:val="en-GB" w:eastAsia="fr-FR"/>
        </w:rPr>
        <w:footnoteReference w:id="232"/>
      </w:r>
      <w:r w:rsidRPr="007158E9">
        <w:rPr>
          <w:lang w:val="en-GB"/>
        </w:rPr>
        <w:t xml:space="preserve"> A person arrested at the end of 2017 </w:t>
      </w:r>
      <w:r w:rsidR="002E6210">
        <w:rPr>
          <w:lang w:val="en-GB"/>
        </w:rPr>
        <w:t>explaine</w:t>
      </w:r>
      <w:r w:rsidRPr="007158E9">
        <w:rPr>
          <w:lang w:val="en-GB"/>
        </w:rPr>
        <w:t>d:</w:t>
      </w:r>
    </w:p>
    <w:p w14:paraId="1458D0AC" w14:textId="5F7B722C" w:rsidR="00F35CB9" w:rsidRPr="007158E9" w:rsidRDefault="00F35CB9" w:rsidP="00F35CB9">
      <w:pPr>
        <w:pStyle w:val="SingleTxtG"/>
        <w:ind w:left="1701" w:right="567"/>
        <w:rPr>
          <w:i/>
          <w:lang w:val="en-GB" w:eastAsia="en-GB"/>
        </w:rPr>
      </w:pPr>
      <w:r w:rsidRPr="007158E9">
        <w:rPr>
          <w:lang w:val="en-GB" w:eastAsia="en-GB"/>
        </w:rPr>
        <w:tab/>
        <w:t>“</w:t>
      </w:r>
      <w:r w:rsidRPr="007158E9">
        <w:rPr>
          <w:i/>
          <w:lang w:val="en-GB" w:eastAsia="en-GB"/>
        </w:rPr>
        <w:t>In the prison [of X], there are two areas, one reserved for persons that committed offenses under general law such as thieves for instance. I was taken to a different cell in the back. […] One hour after, the […] persons who arrested me came back, they took me from my cell […], they pushed me and I fell […]. There was a metallic stick in the fire. I was sti</w:t>
      </w:r>
      <w:r w:rsidR="00574104">
        <w:rPr>
          <w:i/>
          <w:lang w:val="en-GB" w:eastAsia="en-GB"/>
        </w:rPr>
        <w:t>ll handcuffed. […] They asked: ‘</w:t>
      </w:r>
      <w:r w:rsidRPr="007158E9">
        <w:rPr>
          <w:i/>
          <w:lang w:val="en-GB" w:eastAsia="en-GB"/>
        </w:rPr>
        <w:t>Did you par</w:t>
      </w:r>
      <w:r w:rsidR="00574104">
        <w:rPr>
          <w:i/>
          <w:lang w:val="en-GB" w:eastAsia="en-GB"/>
        </w:rPr>
        <w:t>ticipate in the demonstrations?’</w:t>
      </w:r>
      <w:r w:rsidRPr="007158E9">
        <w:rPr>
          <w:i/>
          <w:lang w:val="en-GB" w:eastAsia="en-GB"/>
        </w:rPr>
        <w:t>. I said yes […] one of them took the metallic stick and burnt me in the back. I have a big scar on my back [</w:t>
      </w:r>
      <w:r w:rsidRPr="007158E9">
        <w:rPr>
          <w:i/>
          <w:iCs/>
          <w:lang w:val="en-GB" w:eastAsia="en-GB"/>
        </w:rPr>
        <w:t>…</w:t>
      </w:r>
      <w:r w:rsidRPr="007158E9">
        <w:rPr>
          <w:i/>
          <w:lang w:val="en-GB" w:eastAsia="en-GB"/>
        </w:rPr>
        <w:t xml:space="preserve">] After </w:t>
      </w:r>
      <w:r w:rsidR="00574104">
        <w:rPr>
          <w:i/>
          <w:lang w:val="en-GB" w:eastAsia="en-GB"/>
        </w:rPr>
        <w:t>that, they asked: ‘</w:t>
      </w:r>
      <w:r w:rsidRPr="007158E9">
        <w:rPr>
          <w:i/>
          <w:lang w:val="en-GB" w:eastAsia="en-GB"/>
        </w:rPr>
        <w:t>Why are</w:t>
      </w:r>
      <w:r w:rsidR="00574104">
        <w:rPr>
          <w:i/>
          <w:lang w:val="en-GB" w:eastAsia="en-GB"/>
        </w:rPr>
        <w:t xml:space="preserve"> you against Pierre Nkurunziza?’</w:t>
      </w:r>
      <w:r w:rsidRPr="007158E9">
        <w:rPr>
          <w:i/>
          <w:lang w:val="en-GB" w:eastAsia="en-GB"/>
        </w:rPr>
        <w:t>. I did not reply their questions and kept quiet. [One of them] removed the handcuffs and asked me to straighten my arms and then burnt them</w:t>
      </w:r>
      <w:r w:rsidRPr="007158E9">
        <w:rPr>
          <w:lang w:val="en-GB" w:eastAsia="en-GB"/>
        </w:rPr>
        <w:t>”</w:t>
      </w:r>
      <w:r w:rsidR="002E6210">
        <w:rPr>
          <w:lang w:val="en-GB" w:eastAsia="en-GB"/>
        </w:rPr>
        <w:t>.</w:t>
      </w:r>
      <w:r w:rsidRPr="007158E9">
        <w:rPr>
          <w:sz w:val="18"/>
          <w:vertAlign w:val="superscript"/>
          <w:lang w:val="en-GB" w:eastAsia="en-GB"/>
        </w:rPr>
        <w:footnoteReference w:id="233"/>
      </w:r>
      <w:r w:rsidRPr="007158E9">
        <w:rPr>
          <w:lang w:val="en-GB" w:eastAsia="en-GB"/>
        </w:rPr>
        <w:t> </w:t>
      </w:r>
    </w:p>
    <w:p w14:paraId="2E4A052B" w14:textId="017C3D29" w:rsidR="00F35CB9" w:rsidRPr="007158E9" w:rsidRDefault="00F35CB9" w:rsidP="00F35CB9">
      <w:pPr>
        <w:pStyle w:val="SingleTxtG"/>
        <w:ind w:left="1701" w:right="567" w:firstLine="9"/>
        <w:rPr>
          <w:rFonts w:asciiTheme="minorHAnsi" w:hAnsiTheme="minorHAnsi" w:cstheme="minorBidi"/>
          <w:lang w:val="en-GB" w:eastAsia="fr-FR"/>
        </w:rPr>
      </w:pPr>
      <w:r w:rsidRPr="007158E9">
        <w:rPr>
          <w:lang w:val="en-GB" w:eastAsia="fr-FR"/>
        </w:rPr>
        <w:t>A former detainee recounted the torture of a prisoner that he witnessed first-hand in the prison of Mpimba:</w:t>
      </w:r>
      <w:r w:rsidRPr="007158E9">
        <w:rPr>
          <w:rFonts w:asciiTheme="minorHAnsi" w:hAnsiTheme="minorHAnsi" w:cstheme="minorBidi"/>
          <w:lang w:val="en-GB" w:eastAsia="fr-FR"/>
        </w:rPr>
        <w:t xml:space="preserve"> </w:t>
      </w:r>
      <w:r w:rsidRPr="00574104">
        <w:rPr>
          <w:i/>
          <w:lang w:val="en-GB" w:eastAsia="fr-FR"/>
        </w:rPr>
        <w:t>“</w:t>
      </w:r>
      <w:r w:rsidRPr="007158E9">
        <w:rPr>
          <w:i/>
          <w:lang w:val="en-GB" w:eastAsia="fr-FR"/>
        </w:rPr>
        <w:t xml:space="preserve">One day, [the Imbonerakure] took him to the </w:t>
      </w:r>
      <w:r w:rsidR="00C90567">
        <w:rPr>
          <w:i/>
          <w:lang w:val="en-GB" w:eastAsia="fr-FR"/>
        </w:rPr>
        <w:t>‘</w:t>
      </w:r>
      <w:r w:rsidRPr="007158E9">
        <w:rPr>
          <w:i/>
          <w:lang w:val="en-GB" w:eastAsia="fr-FR"/>
        </w:rPr>
        <w:t>petit marché</w:t>
      </w:r>
      <w:r w:rsidR="00C90567">
        <w:rPr>
          <w:i/>
          <w:lang w:val="en-GB" w:eastAsia="fr-FR"/>
        </w:rPr>
        <w:t>’</w:t>
      </w:r>
      <w:r w:rsidRPr="007158E9">
        <w:rPr>
          <w:i/>
          <w:lang w:val="en-GB" w:eastAsia="fr-FR"/>
        </w:rPr>
        <w:t xml:space="preserve"> of the [Mpimba] prison and they tortured him. […] they poured water on [X]. They started to beat him up […] There are individuals who are specifically targeted. [X] was accused of having stolen guns […] While beating him, the Imbonerakure prisoners were saying : </w:t>
      </w:r>
      <w:r w:rsidR="00574104">
        <w:rPr>
          <w:i/>
          <w:lang w:val="en-GB" w:eastAsia="en-GB"/>
        </w:rPr>
        <w:t>‘</w:t>
      </w:r>
      <w:r w:rsidRPr="007158E9">
        <w:rPr>
          <w:i/>
          <w:lang w:val="en-GB" w:eastAsia="en-GB"/>
        </w:rPr>
        <w:t xml:space="preserve">You killed a lot of Hutus. You want to take power by </w:t>
      </w:r>
      <w:r w:rsidRPr="007158E9">
        <w:rPr>
          <w:i/>
          <w:lang w:val="en-GB" w:eastAsia="fr-FR"/>
        </w:rPr>
        <w:t>force</w:t>
      </w:r>
      <w:r w:rsidR="00574104">
        <w:rPr>
          <w:i/>
          <w:lang w:val="en-GB" w:eastAsia="fr-FR"/>
        </w:rPr>
        <w:t>’.</w:t>
      </w:r>
      <w:r w:rsidRPr="00574104">
        <w:rPr>
          <w:i/>
          <w:lang w:val="en-GB" w:eastAsia="fr-FR"/>
        </w:rPr>
        <w:t>”</w:t>
      </w:r>
      <w:r w:rsidRPr="007158E9">
        <w:rPr>
          <w:sz w:val="18"/>
          <w:vertAlign w:val="superscript"/>
          <w:lang w:val="en-GB" w:eastAsia="fr-FR"/>
        </w:rPr>
        <w:footnoteReference w:id="234"/>
      </w:r>
    </w:p>
    <w:p w14:paraId="68B4FC50" w14:textId="7E87CB50" w:rsidR="00F35CB9" w:rsidRPr="007158E9" w:rsidRDefault="00F35CB9" w:rsidP="00F35CB9">
      <w:pPr>
        <w:pStyle w:val="SingleTxtG"/>
        <w:ind w:right="567"/>
        <w:rPr>
          <w:rFonts w:cstheme="minorBidi"/>
          <w:lang w:val="en-GB"/>
        </w:rPr>
      </w:pPr>
      <w:r w:rsidRPr="007158E9">
        <w:rPr>
          <w:lang w:val="en-GB"/>
        </w:rPr>
        <w:tab/>
        <w:t>352.</w:t>
      </w:r>
      <w:r w:rsidRPr="007158E9">
        <w:rPr>
          <w:lang w:val="en-GB"/>
        </w:rPr>
        <w:tab/>
        <w:t>Witness accounts also indicate that cases of torture took place in unofficial places</w:t>
      </w:r>
      <w:r w:rsidR="002E6210" w:rsidRPr="002E6210">
        <w:rPr>
          <w:lang w:val="en-GB"/>
        </w:rPr>
        <w:t xml:space="preserve"> </w:t>
      </w:r>
      <w:r w:rsidR="002E6210">
        <w:rPr>
          <w:lang w:val="en-GB"/>
        </w:rPr>
        <w:t xml:space="preserve">of </w:t>
      </w:r>
      <w:r w:rsidR="002E6210" w:rsidRPr="007158E9">
        <w:rPr>
          <w:lang w:val="en-GB"/>
        </w:rPr>
        <w:t>detention</w:t>
      </w:r>
      <w:r w:rsidRPr="007158E9">
        <w:rPr>
          <w:lang w:val="en-GB"/>
        </w:rPr>
        <w:t>, such as private homes used specifically for this purpose, which the witnesses were not always able to identify</w:t>
      </w:r>
      <w:r w:rsidR="00C90567">
        <w:rPr>
          <w:lang w:val="en-GB"/>
        </w:rPr>
        <w:t>.</w:t>
      </w:r>
      <w:r w:rsidRPr="007158E9">
        <w:rPr>
          <w:sz w:val="18"/>
          <w:vertAlign w:val="superscript"/>
          <w:lang w:val="en-GB"/>
        </w:rPr>
        <w:footnoteReference w:id="235"/>
      </w:r>
    </w:p>
    <w:p w14:paraId="02408406" w14:textId="431CF96E" w:rsidR="00F35CB9" w:rsidRPr="007158E9" w:rsidRDefault="00F35CB9" w:rsidP="00F35CB9">
      <w:pPr>
        <w:pStyle w:val="SingleTxtG"/>
        <w:ind w:right="567"/>
        <w:rPr>
          <w:lang w:val="en-GB"/>
        </w:rPr>
      </w:pPr>
      <w:r w:rsidRPr="007158E9">
        <w:rPr>
          <w:lang w:val="en-GB"/>
        </w:rPr>
        <w:tab/>
        <w:t>353.</w:t>
      </w:r>
      <w:r w:rsidRPr="007158E9">
        <w:rPr>
          <w:lang w:val="en-GB"/>
        </w:rPr>
        <w:tab/>
        <w:t>Acts of torture and ill treatment were also committed in public places, in isolated areas and in farms</w:t>
      </w:r>
      <w:r w:rsidR="002E6210">
        <w:rPr>
          <w:lang w:val="en-GB"/>
        </w:rPr>
        <w:t>.</w:t>
      </w:r>
      <w:r w:rsidRPr="007158E9">
        <w:rPr>
          <w:sz w:val="18"/>
          <w:vertAlign w:val="superscript"/>
          <w:lang w:val="en-GB"/>
        </w:rPr>
        <w:footnoteReference w:id="236"/>
      </w:r>
      <w:r w:rsidRPr="007158E9">
        <w:rPr>
          <w:lang w:val="en-GB"/>
        </w:rPr>
        <w:t xml:space="preserve"> Several victims were tortured and ill-treated in their homes by Imbonerakure, police officers or both</w:t>
      </w:r>
      <w:r w:rsidR="002E6210">
        <w:rPr>
          <w:lang w:val="en-GB"/>
        </w:rPr>
        <w:t>.</w:t>
      </w:r>
      <w:r w:rsidRPr="007158E9">
        <w:rPr>
          <w:sz w:val="18"/>
          <w:vertAlign w:val="superscript"/>
          <w:lang w:val="en-GB"/>
        </w:rPr>
        <w:footnoteReference w:id="237"/>
      </w:r>
      <w:r w:rsidRPr="007158E9">
        <w:rPr>
          <w:lang w:val="en-GB"/>
        </w:rPr>
        <w:t xml:space="preserve"> A victim told the Commission what happened to her in July 2017:</w:t>
      </w:r>
    </w:p>
    <w:p w14:paraId="0015906F" w14:textId="225239C1" w:rsidR="00F35CB9" w:rsidRPr="007158E9" w:rsidRDefault="00F35CB9" w:rsidP="00F35CB9">
      <w:pPr>
        <w:pStyle w:val="SingleTxtG"/>
        <w:ind w:left="1701" w:right="567"/>
        <w:rPr>
          <w:lang w:val="en-GB"/>
        </w:rPr>
      </w:pPr>
      <w:r w:rsidRPr="007158E9">
        <w:rPr>
          <w:lang w:val="en-GB"/>
        </w:rPr>
        <w:tab/>
        <w:t>“</w:t>
      </w:r>
      <w:r w:rsidRPr="007158E9">
        <w:rPr>
          <w:i/>
          <w:lang w:val="en-GB"/>
        </w:rPr>
        <w:t>On […] July 2017, around 21h30-22h, I was home alone […] the door was forced opened. Some came through the bedroom window and others through the door. They were about ten inside the house. Some amongst them were police officers in uniform and others were civilians wearing military or police boots […] One of the police officers hit me with a rifle butt on my head […] At some point, I fainted […] They kicked me and punched me and hit me with a rifle butt […] They left me for dead. They threw me outside [of the house]</w:t>
      </w:r>
      <w:r w:rsidRPr="007158E9">
        <w:rPr>
          <w:lang w:val="en-GB"/>
        </w:rPr>
        <w:t>”</w:t>
      </w:r>
      <w:r w:rsidR="002E6210">
        <w:rPr>
          <w:lang w:val="en-GB"/>
        </w:rPr>
        <w:t>.</w:t>
      </w:r>
      <w:r w:rsidRPr="007158E9">
        <w:rPr>
          <w:sz w:val="18"/>
          <w:vertAlign w:val="superscript"/>
          <w:lang w:val="en-GB"/>
        </w:rPr>
        <w:footnoteReference w:id="238"/>
      </w:r>
    </w:p>
    <w:p w14:paraId="565292EB" w14:textId="77777777" w:rsidR="00F35CB9" w:rsidRPr="007158E9" w:rsidRDefault="00F35CB9" w:rsidP="00F35CB9">
      <w:pPr>
        <w:pStyle w:val="H4G"/>
        <w:rPr>
          <w:b/>
          <w:i w:val="0"/>
          <w:lang w:val="en-GB" w:eastAsia="fr-FR"/>
        </w:rPr>
      </w:pPr>
      <w:r w:rsidRPr="007158E9">
        <w:rPr>
          <w:b/>
          <w:i w:val="0"/>
          <w:lang w:val="en-GB" w:eastAsia="fr-FR"/>
        </w:rPr>
        <w:tab/>
        <w:t>(b)</w:t>
      </w:r>
      <w:r w:rsidRPr="007158E9">
        <w:rPr>
          <w:b/>
          <w:i w:val="0"/>
          <w:lang w:val="en-GB" w:eastAsia="fr-FR"/>
        </w:rPr>
        <w:tab/>
        <w:t>Methods of torture</w:t>
      </w:r>
    </w:p>
    <w:p w14:paraId="38DB32BC" w14:textId="338924F6" w:rsidR="00F35CB9" w:rsidRPr="007158E9" w:rsidRDefault="00F35CB9" w:rsidP="00F35CB9">
      <w:pPr>
        <w:pStyle w:val="SingleTxtG"/>
        <w:ind w:right="567"/>
        <w:rPr>
          <w:lang w:val="en-GB" w:eastAsia="fr-FR"/>
        </w:rPr>
      </w:pPr>
      <w:r w:rsidRPr="007158E9">
        <w:rPr>
          <w:lang w:val="en-GB" w:eastAsia="fr-FR"/>
        </w:rPr>
        <w:t>354.</w:t>
      </w:r>
      <w:r w:rsidRPr="007158E9">
        <w:rPr>
          <w:lang w:val="en-GB" w:eastAsia="fr-FR"/>
        </w:rPr>
        <w:tab/>
        <w:t>Several witnesses interviewed by the Commission declared having been tortured, some for several hours, and in some cases several consecutive days</w:t>
      </w:r>
      <w:r w:rsidR="002E6210">
        <w:rPr>
          <w:lang w:val="en-GB" w:eastAsia="fr-FR"/>
        </w:rPr>
        <w:t>.</w:t>
      </w:r>
      <w:r w:rsidRPr="007158E9">
        <w:rPr>
          <w:sz w:val="18"/>
          <w:vertAlign w:val="superscript"/>
          <w:lang w:val="en-GB" w:eastAsia="fr-FR"/>
        </w:rPr>
        <w:footnoteReference w:id="239"/>
      </w:r>
      <w:r w:rsidRPr="007158E9">
        <w:rPr>
          <w:lang w:val="en-GB" w:eastAsia="fr-FR"/>
        </w:rPr>
        <w:t xml:space="preserve"> The most frequently documented methods of torture are largely similar to those documented by the Commission in its first mandate, namely: </w:t>
      </w:r>
    </w:p>
    <w:p w14:paraId="4C361862" w14:textId="135490AC" w:rsidR="00F35CB9" w:rsidRPr="007158E9" w:rsidRDefault="00F35CB9" w:rsidP="001A5901">
      <w:pPr>
        <w:pStyle w:val="SingleTxtG"/>
        <w:numPr>
          <w:ilvl w:val="0"/>
          <w:numId w:val="4"/>
        </w:numPr>
        <w:ind w:right="567"/>
        <w:rPr>
          <w:lang w:val="en-GB"/>
        </w:rPr>
      </w:pPr>
      <w:r w:rsidRPr="007158E9">
        <w:rPr>
          <w:lang w:val="en-GB"/>
        </w:rPr>
        <w:t xml:space="preserve">Kicking the victims and </w:t>
      </w:r>
      <w:r w:rsidR="002E6210">
        <w:rPr>
          <w:lang w:val="en-GB"/>
        </w:rPr>
        <w:t>hit</w:t>
      </w:r>
      <w:r w:rsidRPr="007158E9">
        <w:rPr>
          <w:lang w:val="en-GB"/>
        </w:rPr>
        <w:t xml:space="preserve"> them with stones</w:t>
      </w:r>
      <w:r w:rsidR="002E6210">
        <w:rPr>
          <w:lang w:val="en-GB"/>
        </w:rPr>
        <w:t>,</w:t>
      </w:r>
      <w:r w:rsidRPr="007158E9">
        <w:rPr>
          <w:sz w:val="18"/>
          <w:vertAlign w:val="superscript"/>
          <w:lang w:val="en-GB"/>
        </w:rPr>
        <w:footnoteReference w:id="240"/>
      </w:r>
      <w:r w:rsidRPr="007158E9">
        <w:rPr>
          <w:lang w:val="en-GB"/>
        </w:rPr>
        <w:t xml:space="preserve"> batons</w:t>
      </w:r>
      <w:r w:rsidR="002E6210">
        <w:rPr>
          <w:lang w:val="en-GB"/>
        </w:rPr>
        <w:t>,</w:t>
      </w:r>
      <w:r w:rsidRPr="007158E9">
        <w:rPr>
          <w:sz w:val="18"/>
          <w:vertAlign w:val="superscript"/>
          <w:lang w:val="en-GB"/>
        </w:rPr>
        <w:footnoteReference w:id="241"/>
      </w:r>
      <w:r w:rsidRPr="007158E9">
        <w:rPr>
          <w:lang w:val="en-GB"/>
        </w:rPr>
        <w:t xml:space="preserve"> sticks, metal bars</w:t>
      </w:r>
      <w:r w:rsidRPr="007158E9">
        <w:rPr>
          <w:sz w:val="18"/>
          <w:vertAlign w:val="superscript"/>
          <w:lang w:val="en-GB"/>
        </w:rPr>
        <w:footnoteReference w:id="242"/>
      </w:r>
      <w:r w:rsidRPr="007158E9">
        <w:rPr>
          <w:lang w:val="en-GB"/>
        </w:rPr>
        <w:t xml:space="preserve"> or guns</w:t>
      </w:r>
      <w:r w:rsidR="002E6210">
        <w:rPr>
          <w:lang w:val="en-GB"/>
        </w:rPr>
        <w:t>,</w:t>
      </w:r>
      <w:r w:rsidRPr="007158E9">
        <w:rPr>
          <w:sz w:val="18"/>
          <w:vertAlign w:val="superscript"/>
          <w:lang w:val="en-GB"/>
        </w:rPr>
        <w:footnoteReference w:id="243"/>
      </w:r>
      <w:r w:rsidRPr="007158E9">
        <w:rPr>
          <w:lang w:val="en-GB"/>
        </w:rPr>
        <w:t xml:space="preserve"> and sometimes with several objects at the same time, on different parts of the body and especially on the head, back and legs</w:t>
      </w:r>
      <w:r w:rsidR="002E6210">
        <w:rPr>
          <w:lang w:val="en-GB"/>
        </w:rPr>
        <w:t>.</w:t>
      </w:r>
      <w:r w:rsidRPr="007158E9">
        <w:rPr>
          <w:sz w:val="18"/>
          <w:vertAlign w:val="superscript"/>
          <w:lang w:val="en-GB"/>
        </w:rPr>
        <w:footnoteReference w:id="244"/>
      </w:r>
      <w:r w:rsidRPr="007158E9">
        <w:rPr>
          <w:lang w:val="en-GB"/>
        </w:rPr>
        <w:t xml:space="preserve"> During the beating, victims were generally held still by their torturers who sometimes used handcuffs and, in other cases, held their hands and feet tied up</w:t>
      </w:r>
      <w:r w:rsidR="002E6210">
        <w:rPr>
          <w:lang w:val="en-GB"/>
        </w:rPr>
        <w:t>.</w:t>
      </w:r>
      <w:r w:rsidRPr="007158E9">
        <w:rPr>
          <w:sz w:val="18"/>
          <w:vertAlign w:val="superscript"/>
          <w:lang w:val="en-GB"/>
        </w:rPr>
        <w:footnoteReference w:id="245"/>
      </w:r>
      <w:r w:rsidRPr="007158E9">
        <w:rPr>
          <w:lang w:val="en-GB"/>
        </w:rPr>
        <w:t xml:space="preserve"> Some of them were forcibly unclothed before being beaten on various parts of the body</w:t>
      </w:r>
      <w:r w:rsidR="002E6210">
        <w:rPr>
          <w:lang w:val="en-GB"/>
        </w:rPr>
        <w:t>;</w:t>
      </w:r>
      <w:r w:rsidRPr="007158E9">
        <w:rPr>
          <w:sz w:val="18"/>
          <w:vertAlign w:val="superscript"/>
          <w:lang w:val="en-GB"/>
        </w:rPr>
        <w:footnoteReference w:id="246"/>
      </w:r>
    </w:p>
    <w:p w14:paraId="52524962" w14:textId="70051490" w:rsidR="00F35CB9" w:rsidRPr="007158E9" w:rsidRDefault="00F35CB9" w:rsidP="001A5901">
      <w:pPr>
        <w:pStyle w:val="SingleTxtG"/>
        <w:numPr>
          <w:ilvl w:val="0"/>
          <w:numId w:val="4"/>
        </w:numPr>
        <w:ind w:right="567"/>
        <w:rPr>
          <w:lang w:val="en-GB"/>
        </w:rPr>
      </w:pPr>
      <w:r w:rsidRPr="007158E9">
        <w:rPr>
          <w:lang w:val="en-GB"/>
        </w:rPr>
        <w:t>Burning the parts of the body such as the back or the arms with searing hot iron bars</w:t>
      </w:r>
      <w:r w:rsidR="002E6210">
        <w:rPr>
          <w:lang w:val="en-GB"/>
        </w:rPr>
        <w:t>;</w:t>
      </w:r>
      <w:r w:rsidRPr="007158E9">
        <w:rPr>
          <w:sz w:val="18"/>
          <w:vertAlign w:val="superscript"/>
          <w:lang w:val="en-GB"/>
        </w:rPr>
        <w:footnoteReference w:id="247"/>
      </w:r>
    </w:p>
    <w:p w14:paraId="39D61004" w14:textId="2071B0EC" w:rsidR="00F35CB9" w:rsidRPr="007158E9" w:rsidRDefault="00F35CB9" w:rsidP="001A5901">
      <w:pPr>
        <w:pStyle w:val="SingleTxtG"/>
        <w:numPr>
          <w:ilvl w:val="0"/>
          <w:numId w:val="4"/>
        </w:numPr>
        <w:ind w:right="567"/>
        <w:rPr>
          <w:lang w:val="en-GB"/>
        </w:rPr>
      </w:pPr>
      <w:r w:rsidRPr="007158E9">
        <w:rPr>
          <w:lang w:val="en-GB"/>
        </w:rPr>
        <w:t>Slashing persons with sharp objects such as machetes and knives</w:t>
      </w:r>
      <w:r w:rsidR="002E6210">
        <w:rPr>
          <w:lang w:val="en-GB"/>
        </w:rPr>
        <w:t>;</w:t>
      </w:r>
      <w:r w:rsidRPr="007158E9">
        <w:rPr>
          <w:sz w:val="18"/>
          <w:vertAlign w:val="superscript"/>
          <w:lang w:val="en-GB"/>
        </w:rPr>
        <w:footnoteReference w:id="248"/>
      </w:r>
    </w:p>
    <w:p w14:paraId="64313401" w14:textId="5A63920D" w:rsidR="00F35CB9" w:rsidRPr="007158E9" w:rsidRDefault="00F35CB9" w:rsidP="001A5901">
      <w:pPr>
        <w:pStyle w:val="SingleTxtG"/>
        <w:numPr>
          <w:ilvl w:val="0"/>
          <w:numId w:val="4"/>
        </w:numPr>
        <w:ind w:right="567"/>
        <w:rPr>
          <w:lang w:val="en-GB"/>
        </w:rPr>
      </w:pPr>
      <w:r w:rsidRPr="007158E9">
        <w:rPr>
          <w:lang w:val="en-GB"/>
        </w:rPr>
        <w:t>Raping or inflicting other types of sexual violence on some men in detention</w:t>
      </w:r>
      <w:r w:rsidR="002E6210">
        <w:rPr>
          <w:lang w:val="en-GB"/>
        </w:rPr>
        <w:t>;</w:t>
      </w:r>
      <w:r w:rsidRPr="007158E9">
        <w:rPr>
          <w:sz w:val="18"/>
          <w:vertAlign w:val="superscript"/>
          <w:lang w:val="en-GB"/>
        </w:rPr>
        <w:footnoteReference w:id="249"/>
      </w:r>
    </w:p>
    <w:p w14:paraId="4EA5004D" w14:textId="13057D01" w:rsidR="00F35CB9" w:rsidRPr="007158E9" w:rsidRDefault="00F35CB9" w:rsidP="001A5901">
      <w:pPr>
        <w:pStyle w:val="SingleTxtG"/>
        <w:numPr>
          <w:ilvl w:val="0"/>
          <w:numId w:val="4"/>
        </w:numPr>
        <w:ind w:right="567"/>
        <w:rPr>
          <w:lang w:val="en-GB"/>
        </w:rPr>
      </w:pPr>
      <w:r w:rsidRPr="007158E9">
        <w:rPr>
          <w:lang w:val="en-GB"/>
        </w:rPr>
        <w:t>Proffering death threats or threats of torture against detainees, and therefore vulnerab</w:t>
      </w:r>
      <w:r w:rsidR="002E6210">
        <w:rPr>
          <w:lang w:val="en-GB"/>
        </w:rPr>
        <w:t xml:space="preserve">le persons, which is </w:t>
      </w:r>
      <w:r w:rsidRPr="007158E9">
        <w:rPr>
          <w:lang w:val="en-GB"/>
        </w:rPr>
        <w:t>a form of psychological torture, espec</w:t>
      </w:r>
      <w:r w:rsidR="00753198">
        <w:rPr>
          <w:lang w:val="en-GB"/>
        </w:rPr>
        <w:t>ially given that these threats we</w:t>
      </w:r>
      <w:r w:rsidRPr="007158E9">
        <w:rPr>
          <w:lang w:val="en-GB"/>
        </w:rPr>
        <w:t>re accompanied by physical violence</w:t>
      </w:r>
      <w:r w:rsidR="002E6210">
        <w:rPr>
          <w:lang w:val="en-GB"/>
        </w:rPr>
        <w:t>.</w:t>
      </w:r>
      <w:r w:rsidRPr="007158E9">
        <w:rPr>
          <w:sz w:val="18"/>
          <w:vertAlign w:val="superscript"/>
          <w:lang w:val="en-GB"/>
        </w:rPr>
        <w:footnoteReference w:id="250"/>
      </w:r>
    </w:p>
    <w:p w14:paraId="2B096011" w14:textId="1F8CD8A4" w:rsidR="00F35CB9" w:rsidRPr="007158E9" w:rsidRDefault="00F35CB9" w:rsidP="00F35CB9">
      <w:pPr>
        <w:pStyle w:val="SingleTxtG"/>
        <w:ind w:right="567"/>
        <w:rPr>
          <w:lang w:val="en-GB"/>
        </w:rPr>
      </w:pPr>
      <w:r w:rsidRPr="007158E9">
        <w:rPr>
          <w:lang w:val="en-GB"/>
        </w:rPr>
        <w:tab/>
        <w:t>355.</w:t>
      </w:r>
      <w:r w:rsidRPr="007158E9">
        <w:rPr>
          <w:lang w:val="en-GB"/>
        </w:rPr>
        <w:tab/>
        <w:t xml:space="preserve">A former detainee at SNR explained to the Commission how death threats </w:t>
      </w:r>
      <w:r w:rsidR="00753198">
        <w:rPr>
          <w:lang w:val="en-GB"/>
        </w:rPr>
        <w:t xml:space="preserve">were used </w:t>
      </w:r>
      <w:r w:rsidRPr="007158E9">
        <w:rPr>
          <w:lang w:val="en-GB"/>
        </w:rPr>
        <w:t xml:space="preserve">to force him to admit his intent </w:t>
      </w:r>
      <w:r w:rsidR="00753198">
        <w:rPr>
          <w:lang w:val="en-GB"/>
        </w:rPr>
        <w:t>to</w:t>
      </w:r>
      <w:r w:rsidRPr="007158E9">
        <w:rPr>
          <w:lang w:val="en-GB"/>
        </w:rPr>
        <w:t xml:space="preserve"> attack</w:t>
      </w:r>
      <w:r w:rsidR="00753198">
        <w:rPr>
          <w:lang w:val="en-GB"/>
        </w:rPr>
        <w:t xml:space="preserve"> the G</w:t>
      </w:r>
      <w:r w:rsidRPr="007158E9">
        <w:rPr>
          <w:lang w:val="en-GB"/>
        </w:rPr>
        <w:t>overnment:</w:t>
      </w:r>
    </w:p>
    <w:p w14:paraId="21B73AB4" w14:textId="4ECAA933" w:rsidR="00F35CB9" w:rsidRPr="007158E9" w:rsidRDefault="00F35CB9" w:rsidP="00F35CB9">
      <w:pPr>
        <w:pStyle w:val="SingleTxtG"/>
        <w:ind w:left="1701" w:right="567"/>
        <w:rPr>
          <w:lang w:val="en-GB"/>
        </w:rPr>
      </w:pPr>
      <w:r w:rsidRPr="007158E9">
        <w:rPr>
          <w:lang w:val="en-GB"/>
        </w:rPr>
        <w:tab/>
        <w:t>“</w:t>
      </w:r>
      <w:r w:rsidRPr="007158E9">
        <w:rPr>
          <w:i/>
          <w:lang w:val="en-GB"/>
        </w:rPr>
        <w:t>The [third] day, around three in the morning, they took me out of my cell again. They told me: </w:t>
      </w:r>
      <w:r w:rsidR="00574104">
        <w:rPr>
          <w:i/>
          <w:lang w:val="en-GB" w:eastAsia="en-GB"/>
        </w:rPr>
        <w:t>‘</w:t>
      </w:r>
      <w:r w:rsidRPr="007158E9">
        <w:rPr>
          <w:i/>
          <w:lang w:val="en-GB" w:eastAsia="en-GB"/>
        </w:rPr>
        <w:t>Since you refused to accept all the accusations against you, it is now time to kill you</w:t>
      </w:r>
      <w:r w:rsidR="00574104">
        <w:rPr>
          <w:i/>
          <w:lang w:val="en-GB" w:eastAsia="en-GB"/>
        </w:rPr>
        <w:t>’</w:t>
      </w:r>
      <w:r w:rsidRPr="007158E9">
        <w:rPr>
          <w:i/>
          <w:lang w:val="en-GB"/>
        </w:rPr>
        <w:t>. They showed me a big knife. They put the knife on my neck. Then they put the knife in the mouth and they continued to interrogate me with the knife in my mouth</w:t>
      </w:r>
      <w:r w:rsidRPr="007158E9">
        <w:rPr>
          <w:lang w:val="en-GB"/>
        </w:rPr>
        <w:t>”</w:t>
      </w:r>
      <w:r w:rsidR="00753198">
        <w:rPr>
          <w:lang w:val="en-GB"/>
        </w:rPr>
        <w:t>.</w:t>
      </w:r>
      <w:r w:rsidRPr="007158E9">
        <w:rPr>
          <w:sz w:val="18"/>
          <w:vertAlign w:val="superscript"/>
          <w:lang w:val="en-GB"/>
        </w:rPr>
        <w:footnoteReference w:id="251"/>
      </w:r>
    </w:p>
    <w:p w14:paraId="0D53CCA8" w14:textId="77777777" w:rsidR="00F35CB9" w:rsidRPr="007158E9" w:rsidRDefault="00F35CB9" w:rsidP="00F35CB9">
      <w:pPr>
        <w:pStyle w:val="H4G"/>
        <w:rPr>
          <w:b/>
          <w:i w:val="0"/>
          <w:lang w:val="en-GB" w:eastAsia="fr-FR"/>
        </w:rPr>
      </w:pPr>
      <w:r w:rsidRPr="007158E9">
        <w:rPr>
          <w:b/>
          <w:i w:val="0"/>
          <w:lang w:val="en-GB" w:eastAsia="fr-FR"/>
        </w:rPr>
        <w:tab/>
        <w:t>(c)</w:t>
      </w:r>
      <w:r w:rsidRPr="007158E9">
        <w:rPr>
          <w:b/>
          <w:i w:val="0"/>
          <w:lang w:val="en-GB" w:eastAsia="fr-FR"/>
        </w:rPr>
        <w:tab/>
        <w:t>Other forms of cruel, inhumane or degrading treatment</w:t>
      </w:r>
    </w:p>
    <w:p w14:paraId="62DF0486" w14:textId="7F4A2809" w:rsidR="00F35CB9" w:rsidRPr="007158E9" w:rsidRDefault="00F35CB9" w:rsidP="00F35CB9">
      <w:pPr>
        <w:pStyle w:val="SingleTxtG"/>
        <w:ind w:right="567"/>
        <w:rPr>
          <w:rFonts w:cstheme="minorBidi"/>
          <w:lang w:val="en-GB"/>
        </w:rPr>
      </w:pPr>
      <w:r w:rsidRPr="007158E9">
        <w:rPr>
          <w:rFonts w:cstheme="minorBidi"/>
          <w:lang w:val="en-GB"/>
        </w:rPr>
        <w:tab/>
        <w:t>356.</w:t>
      </w:r>
      <w:r w:rsidRPr="007158E9">
        <w:rPr>
          <w:rFonts w:cstheme="minorBidi"/>
          <w:lang w:val="en-GB"/>
        </w:rPr>
        <w:tab/>
        <w:t>The Commission note</w:t>
      </w:r>
      <w:r w:rsidR="00753198">
        <w:rPr>
          <w:rFonts w:cstheme="minorBidi"/>
          <w:lang w:val="en-GB"/>
        </w:rPr>
        <w:t>s</w:t>
      </w:r>
      <w:r w:rsidRPr="007158E9">
        <w:rPr>
          <w:rFonts w:cstheme="minorBidi"/>
          <w:lang w:val="en-GB"/>
        </w:rPr>
        <w:t xml:space="preserve"> the persistence of cruel, inhumane or degrading treatment</w:t>
      </w:r>
      <w:r w:rsidR="00753198">
        <w:rPr>
          <w:rFonts w:cstheme="minorBidi"/>
          <w:lang w:val="en-GB"/>
        </w:rPr>
        <w:t xml:space="preserve">s constituted by the </w:t>
      </w:r>
      <w:r w:rsidRPr="007158E9">
        <w:rPr>
          <w:rFonts w:cstheme="minorBidi"/>
          <w:lang w:val="en-GB"/>
        </w:rPr>
        <w:t xml:space="preserve">conditions </w:t>
      </w:r>
      <w:r w:rsidR="00753198">
        <w:rPr>
          <w:rFonts w:cstheme="minorBidi"/>
          <w:lang w:val="en-GB"/>
        </w:rPr>
        <w:t xml:space="preserve">of </w:t>
      </w:r>
      <w:r w:rsidR="00753198" w:rsidRPr="007158E9">
        <w:rPr>
          <w:rFonts w:cstheme="minorBidi"/>
          <w:lang w:val="en-GB"/>
        </w:rPr>
        <w:t xml:space="preserve">detention </w:t>
      </w:r>
      <w:r w:rsidRPr="007158E9">
        <w:rPr>
          <w:rFonts w:cstheme="minorBidi"/>
          <w:lang w:val="en-GB"/>
        </w:rPr>
        <w:t>in Burundi, but also of acts of violence committed by Imbonerakure acting alone or with State agents during arrests or attempts of forced recruitment of young men.</w:t>
      </w:r>
    </w:p>
    <w:p w14:paraId="20BD6B10" w14:textId="436E1BD9" w:rsidR="00F35CB9" w:rsidRPr="007158E9" w:rsidRDefault="00F35CB9" w:rsidP="00F35CB9">
      <w:pPr>
        <w:pStyle w:val="H56G"/>
        <w:rPr>
          <w:b/>
          <w:lang w:val="en-GB" w:eastAsia="fr-FR"/>
        </w:rPr>
      </w:pPr>
      <w:r w:rsidRPr="007158E9">
        <w:rPr>
          <w:i/>
          <w:lang w:val="en-GB" w:eastAsia="fr-FR"/>
        </w:rPr>
        <w:tab/>
      </w:r>
      <w:r w:rsidRPr="007158E9">
        <w:rPr>
          <w:b/>
          <w:lang w:val="en-GB" w:eastAsia="fr-FR"/>
        </w:rPr>
        <w:t>(i)</w:t>
      </w:r>
      <w:r w:rsidRPr="007158E9">
        <w:rPr>
          <w:b/>
          <w:lang w:val="en-GB" w:eastAsia="fr-FR"/>
        </w:rPr>
        <w:tab/>
      </w:r>
      <w:r w:rsidR="00753198">
        <w:rPr>
          <w:b/>
          <w:lang w:val="en-GB" w:eastAsia="fr-FR"/>
        </w:rPr>
        <w:t>C</w:t>
      </w:r>
      <w:r w:rsidRPr="007158E9">
        <w:rPr>
          <w:b/>
          <w:lang w:val="en-GB" w:eastAsia="fr-FR"/>
        </w:rPr>
        <w:t xml:space="preserve">ruel, inhumane or degrading </w:t>
      </w:r>
      <w:r w:rsidR="00753198">
        <w:rPr>
          <w:b/>
          <w:lang w:val="en-GB" w:eastAsia="fr-FR"/>
        </w:rPr>
        <w:t xml:space="preserve">conditions of </w:t>
      </w:r>
      <w:r w:rsidRPr="007158E9">
        <w:rPr>
          <w:b/>
          <w:lang w:val="en-GB" w:eastAsia="fr-FR"/>
        </w:rPr>
        <w:t>detention</w:t>
      </w:r>
    </w:p>
    <w:p w14:paraId="1DC10B3F" w14:textId="268C80E3" w:rsidR="00F35CB9" w:rsidRPr="007158E9" w:rsidRDefault="00F35CB9" w:rsidP="00F35CB9">
      <w:pPr>
        <w:pStyle w:val="SingleTxtG"/>
        <w:ind w:right="567"/>
        <w:rPr>
          <w:rFonts w:eastAsia="Calibri"/>
          <w:lang w:val="en-GB" w:eastAsia="en-GB"/>
        </w:rPr>
      </w:pPr>
      <w:r w:rsidRPr="007158E9">
        <w:rPr>
          <w:rFonts w:eastAsia="Calibri"/>
          <w:lang w:val="en-GB" w:eastAsia="en-GB"/>
        </w:rPr>
        <w:t>357.</w:t>
      </w:r>
      <w:r w:rsidRPr="007158E9">
        <w:rPr>
          <w:rFonts w:eastAsia="Calibri"/>
          <w:lang w:val="en-GB" w:eastAsia="en-GB"/>
        </w:rPr>
        <w:tab/>
        <w:t>The conditions of detention in Burundi have not improved and they constitute cruel, inhumane or degrading treatment</w:t>
      </w:r>
      <w:r w:rsidR="00753198">
        <w:rPr>
          <w:rFonts w:eastAsia="Calibri"/>
          <w:lang w:val="en-GB" w:eastAsia="en-GB"/>
        </w:rPr>
        <w:t>s</w:t>
      </w:r>
      <w:r w:rsidRPr="007158E9">
        <w:rPr>
          <w:rFonts w:eastAsia="Calibri"/>
          <w:lang w:val="en-GB" w:eastAsia="en-GB"/>
        </w:rPr>
        <w:t>. Places of detention, whether prisons or police or SNR cells, are generally over</w:t>
      </w:r>
      <w:r w:rsidR="00753198">
        <w:rPr>
          <w:rFonts w:eastAsia="Calibri"/>
          <w:lang w:val="en-GB" w:eastAsia="en-GB"/>
        </w:rPr>
        <w:t>crowde</w:t>
      </w:r>
      <w:r w:rsidRPr="007158E9">
        <w:rPr>
          <w:rFonts w:eastAsia="Calibri"/>
          <w:lang w:val="en-GB" w:eastAsia="en-GB"/>
        </w:rPr>
        <w:t>d and sometimes without access to natural light or air</w:t>
      </w:r>
      <w:r w:rsidR="00753198">
        <w:rPr>
          <w:rFonts w:eastAsia="Calibri"/>
          <w:lang w:val="en-GB" w:eastAsia="en-GB"/>
        </w:rPr>
        <w:t>.</w:t>
      </w:r>
      <w:r w:rsidRPr="007158E9">
        <w:rPr>
          <w:rFonts w:eastAsia="Calibri"/>
          <w:vertAlign w:val="superscript"/>
          <w:lang w:val="en-GB" w:eastAsia="en-GB"/>
        </w:rPr>
        <w:footnoteReference w:id="252"/>
      </w:r>
      <w:r w:rsidRPr="007158E9">
        <w:rPr>
          <w:rFonts w:eastAsia="Calibri"/>
          <w:lang w:val="en-GB" w:eastAsia="en-GB"/>
        </w:rPr>
        <w:t xml:space="preserve"> People are detained in </w:t>
      </w:r>
      <w:r w:rsidR="00753198" w:rsidRPr="007158E9">
        <w:rPr>
          <w:rFonts w:eastAsia="Calibri"/>
          <w:lang w:val="en-GB" w:eastAsia="en-GB"/>
        </w:rPr>
        <w:t>unsanitary</w:t>
      </w:r>
      <w:r w:rsidRPr="007158E9">
        <w:rPr>
          <w:rFonts w:eastAsia="Calibri"/>
          <w:lang w:val="en-GB" w:eastAsia="en-GB"/>
        </w:rPr>
        <w:t xml:space="preserve"> conditions, unable to maintain personal hygiene</w:t>
      </w:r>
      <w:r w:rsidR="00753198">
        <w:rPr>
          <w:rFonts w:eastAsia="Calibri"/>
          <w:lang w:val="en-GB" w:eastAsia="en-GB"/>
        </w:rPr>
        <w:t>.</w:t>
      </w:r>
      <w:r w:rsidRPr="007158E9">
        <w:rPr>
          <w:rFonts w:eastAsia="Calibri"/>
          <w:vertAlign w:val="superscript"/>
          <w:lang w:val="en-GB" w:eastAsia="en-GB"/>
        </w:rPr>
        <w:footnoteReference w:id="253"/>
      </w:r>
      <w:r w:rsidRPr="007158E9">
        <w:rPr>
          <w:rFonts w:eastAsia="Calibri"/>
          <w:lang w:val="en-GB" w:eastAsia="en-GB"/>
        </w:rPr>
        <w:t xml:space="preserve"> Such conditions, combined with lack of adequate medical care</w:t>
      </w:r>
      <w:r w:rsidRPr="007158E9">
        <w:rPr>
          <w:rFonts w:eastAsia="Calibri"/>
          <w:vertAlign w:val="superscript"/>
          <w:lang w:val="en-GB" w:eastAsia="en-GB"/>
        </w:rPr>
        <w:footnoteReference w:id="254"/>
      </w:r>
      <w:r w:rsidRPr="007158E9">
        <w:rPr>
          <w:rFonts w:eastAsia="Calibri"/>
          <w:lang w:val="en-GB" w:eastAsia="en-GB"/>
        </w:rPr>
        <w:t xml:space="preserve"> and to the lack of food and clean water</w:t>
      </w:r>
      <w:r w:rsidR="00753198">
        <w:rPr>
          <w:rFonts w:eastAsia="Calibri"/>
          <w:lang w:val="en-GB" w:eastAsia="en-GB"/>
        </w:rPr>
        <w:t>,</w:t>
      </w:r>
      <w:r w:rsidRPr="007158E9">
        <w:rPr>
          <w:rFonts w:eastAsia="Calibri"/>
          <w:vertAlign w:val="superscript"/>
          <w:lang w:val="en-GB" w:eastAsia="en-GB"/>
        </w:rPr>
        <w:footnoteReference w:id="255"/>
      </w:r>
      <w:r w:rsidRPr="007158E9">
        <w:rPr>
          <w:rFonts w:eastAsia="Calibri"/>
          <w:lang w:val="en-GB" w:eastAsia="en-GB"/>
        </w:rPr>
        <w:t xml:space="preserve"> have had harmful consequences on the detainees’ health</w:t>
      </w:r>
      <w:r w:rsidRPr="007158E9">
        <w:rPr>
          <w:rFonts w:eastAsia="Calibri"/>
          <w:vertAlign w:val="superscript"/>
          <w:lang w:val="en-GB" w:eastAsia="en-GB"/>
        </w:rPr>
        <w:footnoteReference w:id="256"/>
      </w:r>
      <w:r w:rsidR="00C90567">
        <w:rPr>
          <w:rFonts w:eastAsia="Calibri"/>
          <w:lang w:val="en-GB" w:eastAsia="en-GB"/>
        </w:rPr>
        <w:t>.</w:t>
      </w:r>
      <w:r w:rsidRPr="007158E9">
        <w:rPr>
          <w:rFonts w:eastAsia="Calibri"/>
          <w:lang w:val="en-GB" w:eastAsia="en-GB"/>
        </w:rPr>
        <w:t xml:space="preserve"> A witness, detained in 2018, in a police cell explained to the Commission:</w:t>
      </w:r>
    </w:p>
    <w:p w14:paraId="11D93FD7" w14:textId="4DAEB48C" w:rsidR="00F35CB9" w:rsidRPr="007158E9" w:rsidRDefault="00F35CB9" w:rsidP="00F35CB9">
      <w:pPr>
        <w:pStyle w:val="SingleTxtG"/>
        <w:ind w:left="1701" w:right="567"/>
        <w:rPr>
          <w:lang w:val="en-GB"/>
        </w:rPr>
      </w:pPr>
      <w:r w:rsidRPr="007158E9">
        <w:rPr>
          <w:lang w:val="en-GB"/>
        </w:rPr>
        <w:tab/>
        <w:t>“</w:t>
      </w:r>
      <w:r w:rsidRPr="007158E9">
        <w:rPr>
          <w:i/>
          <w:lang w:val="en-GB"/>
        </w:rPr>
        <w:t>I was detained in a small cell of two by two meters. There were 17 persons and no window, nor access to water. Everybody was there. For passing stool, we had to do it in a small pan […] Family brought me food and drinks. I was only able to have a bath once in 10 days. Some stayed for three weeks or even four weeks […] people coughed and had malaria. There were persons who spent two to three months in the cell. People slept on the floor and after three or four hours, we would change positions</w:t>
      </w:r>
      <w:r w:rsidRPr="007158E9">
        <w:rPr>
          <w:lang w:val="en-GB"/>
        </w:rPr>
        <w:t>”</w:t>
      </w:r>
      <w:r w:rsidR="00753198">
        <w:rPr>
          <w:lang w:val="en-GB"/>
        </w:rPr>
        <w:t>.</w:t>
      </w:r>
      <w:r w:rsidRPr="007158E9">
        <w:rPr>
          <w:vertAlign w:val="superscript"/>
          <w:lang w:val="en-GB"/>
        </w:rPr>
        <w:footnoteReference w:id="257"/>
      </w:r>
    </w:p>
    <w:p w14:paraId="5672C750" w14:textId="4E71CA59" w:rsidR="00F35CB9" w:rsidRPr="007158E9" w:rsidRDefault="00F35CB9" w:rsidP="00F35CB9">
      <w:pPr>
        <w:pStyle w:val="SingleTxtG"/>
        <w:ind w:right="567"/>
        <w:rPr>
          <w:lang w:val="en-GB"/>
        </w:rPr>
      </w:pPr>
      <w:r w:rsidRPr="007158E9">
        <w:rPr>
          <w:lang w:val="en-GB" w:eastAsia="fr-FR"/>
        </w:rPr>
        <w:tab/>
        <w:t>358.</w:t>
      </w:r>
      <w:r w:rsidRPr="007158E9">
        <w:rPr>
          <w:lang w:val="en-GB" w:eastAsia="fr-FR"/>
        </w:rPr>
        <w:tab/>
        <w:t>The situation in Burundian prisons remain alarming, as recognised by the Director General for Prison Affairs on 16 July 2018</w:t>
      </w:r>
      <w:r w:rsidRPr="007158E9">
        <w:rPr>
          <w:lang w:val="en-GB"/>
        </w:rPr>
        <w:t xml:space="preserve"> in a press conference</w:t>
      </w:r>
      <w:r w:rsidR="00753198">
        <w:rPr>
          <w:lang w:val="en-GB"/>
        </w:rPr>
        <w:t>,</w:t>
      </w:r>
      <w:r w:rsidRPr="007158E9">
        <w:rPr>
          <w:lang w:val="en-GB"/>
        </w:rPr>
        <w:t xml:space="preserve"> during which he explained that as of </w:t>
      </w:r>
      <w:r w:rsidRPr="007158E9">
        <w:rPr>
          <w:lang w:val="en-GB" w:eastAsia="fr-FR"/>
        </w:rPr>
        <w:t xml:space="preserve">12 July 2018, there were 9,901 detainees in </w:t>
      </w:r>
      <w:r w:rsidR="00753198">
        <w:rPr>
          <w:lang w:val="en-GB" w:eastAsia="fr-FR"/>
        </w:rPr>
        <w:t xml:space="preserve">the </w:t>
      </w:r>
      <w:r w:rsidR="00753198" w:rsidRPr="007158E9">
        <w:rPr>
          <w:lang w:val="en-GB" w:eastAsia="fr-FR"/>
        </w:rPr>
        <w:t xml:space="preserve">11 prisons </w:t>
      </w:r>
      <w:r w:rsidR="00753198">
        <w:rPr>
          <w:lang w:val="en-GB" w:eastAsia="fr-FR"/>
        </w:rPr>
        <w:t xml:space="preserve">of </w:t>
      </w:r>
      <w:r w:rsidRPr="007158E9">
        <w:rPr>
          <w:lang w:val="en-GB" w:eastAsia="fr-FR"/>
        </w:rPr>
        <w:t xml:space="preserve">Burundi, while the </w:t>
      </w:r>
      <w:r w:rsidR="00753198">
        <w:rPr>
          <w:lang w:val="en-GB" w:eastAsia="fr-FR"/>
        </w:rPr>
        <w:t xml:space="preserve">official </w:t>
      </w:r>
      <w:r w:rsidRPr="007158E9">
        <w:rPr>
          <w:lang w:val="en-GB" w:eastAsia="fr-FR"/>
        </w:rPr>
        <w:t xml:space="preserve">total capacity is of 4,194 </w:t>
      </w:r>
      <w:r w:rsidR="00753198">
        <w:rPr>
          <w:lang w:val="en-GB" w:eastAsia="fr-FR"/>
        </w:rPr>
        <w:t>persons</w:t>
      </w:r>
      <w:r w:rsidRPr="007158E9">
        <w:rPr>
          <w:lang w:val="en-GB" w:eastAsia="fr-FR"/>
        </w:rPr>
        <w:t xml:space="preserve"> only</w:t>
      </w:r>
      <w:r w:rsidR="00753198">
        <w:rPr>
          <w:lang w:val="en-GB" w:eastAsia="fr-FR"/>
        </w:rPr>
        <w:t>.</w:t>
      </w:r>
      <w:r w:rsidRPr="007158E9">
        <w:rPr>
          <w:sz w:val="18"/>
          <w:vertAlign w:val="superscript"/>
          <w:lang w:val="en-GB" w:eastAsia="fr-FR"/>
        </w:rPr>
        <w:footnoteReference w:id="258"/>
      </w:r>
      <w:r w:rsidRPr="007158E9">
        <w:rPr>
          <w:lang w:val="en-GB" w:eastAsia="fr-FR"/>
        </w:rPr>
        <w:t xml:space="preserve"> The central prison of Mpimba counts over a third of the total number of detainees, i.e. around 3,500 individuals. The General Directorate of Prison Affairs estimates that the rate of prison overpopulation is of 230</w:t>
      </w:r>
      <w:r w:rsidR="00753198">
        <w:rPr>
          <w:lang w:val="en-GB" w:eastAsia="fr-FR"/>
        </w:rPr>
        <w:t> %</w:t>
      </w:r>
      <w:r w:rsidRPr="007158E9">
        <w:rPr>
          <w:lang w:val="en-GB" w:eastAsia="fr-FR"/>
        </w:rPr>
        <w:t>, which leads to serious issues with regards to the living conditions of the detainees, their access to food and medical treatment as well as the separation of various catego</w:t>
      </w:r>
      <w:r w:rsidR="00753198">
        <w:rPr>
          <w:lang w:val="en-GB" w:eastAsia="fr-FR"/>
        </w:rPr>
        <w:t>ries of detainees given that 57 %</w:t>
      </w:r>
      <w:r w:rsidRPr="007158E9">
        <w:rPr>
          <w:lang w:val="en-GB" w:eastAsia="fr-FR"/>
        </w:rPr>
        <w:t xml:space="preserve"> of them are in custody (5,682 individuals). The buildings are dilapidated, most of them dating back to the 1920s and 1950s, and they are not adapted to current prison settings. The personnel of the General Directorate of Prison Affairs is made up 240 persons, all categories included, including central administration staff (between 40 and 50 persons) and </w:t>
      </w:r>
      <w:r w:rsidR="00753198">
        <w:rPr>
          <w:lang w:val="en-GB" w:eastAsia="fr-FR"/>
        </w:rPr>
        <w:t>around 40</w:t>
      </w:r>
      <w:r w:rsidRPr="007158E9">
        <w:rPr>
          <w:lang w:val="en-GB" w:eastAsia="fr-FR"/>
        </w:rPr>
        <w:t xml:space="preserve"> </w:t>
      </w:r>
      <w:r w:rsidR="00753198">
        <w:rPr>
          <w:lang w:val="en-GB" w:eastAsia="fr-FR"/>
        </w:rPr>
        <w:t xml:space="preserve">staff </w:t>
      </w:r>
      <w:r w:rsidRPr="007158E9">
        <w:rPr>
          <w:lang w:val="en-GB" w:eastAsia="fr-FR"/>
        </w:rPr>
        <w:t xml:space="preserve">at Mpimba, which translates to only 15 staff responsible for each </w:t>
      </w:r>
      <w:r w:rsidR="00753198">
        <w:rPr>
          <w:lang w:val="en-GB" w:eastAsia="fr-FR"/>
        </w:rPr>
        <w:t xml:space="preserve">remaining </w:t>
      </w:r>
      <w:r w:rsidRPr="007158E9">
        <w:rPr>
          <w:lang w:val="en-GB" w:eastAsia="fr-FR"/>
        </w:rPr>
        <w:t>prison</w:t>
      </w:r>
      <w:r w:rsidR="00753198">
        <w:rPr>
          <w:lang w:val="en-GB" w:eastAsia="fr-FR"/>
        </w:rPr>
        <w:t>.</w:t>
      </w:r>
      <w:r w:rsidRPr="007158E9">
        <w:rPr>
          <w:sz w:val="18"/>
          <w:vertAlign w:val="superscript"/>
          <w:lang w:val="en-GB" w:eastAsia="fr-FR"/>
        </w:rPr>
        <w:footnoteReference w:id="259"/>
      </w:r>
      <w:r w:rsidRPr="007158E9">
        <w:rPr>
          <w:lang w:val="en-GB" w:eastAsia="fr-FR"/>
        </w:rPr>
        <w:t xml:space="preserve"> The lack of a reinsertion program is an additional consequence of the lack of human and financial resources allocated to the General Directorate of Prison Affairs. </w:t>
      </w:r>
    </w:p>
    <w:p w14:paraId="0C552859" w14:textId="7737237B" w:rsidR="00F35CB9" w:rsidRPr="007158E9" w:rsidRDefault="00F35CB9" w:rsidP="00F35CB9">
      <w:pPr>
        <w:pStyle w:val="SingleTxtG"/>
        <w:ind w:right="567"/>
        <w:rPr>
          <w:lang w:val="en-GB"/>
        </w:rPr>
      </w:pPr>
      <w:r w:rsidRPr="007158E9">
        <w:rPr>
          <w:lang w:val="en-GB" w:eastAsia="fr-FR"/>
        </w:rPr>
        <w:tab/>
        <w:t>359.</w:t>
      </w:r>
      <w:r w:rsidRPr="007158E9">
        <w:rPr>
          <w:lang w:val="en-GB" w:eastAsia="fr-FR"/>
        </w:rPr>
        <w:tab/>
        <w:t>The Commission is concerned by the central role and extensive responsibilities given to the “</w:t>
      </w:r>
      <w:r w:rsidRPr="007158E9">
        <w:rPr>
          <w:i/>
          <w:lang w:val="en-GB" w:eastAsia="fr-FR"/>
        </w:rPr>
        <w:t>capita</w:t>
      </w:r>
      <w:r w:rsidRPr="007158E9">
        <w:rPr>
          <w:lang w:val="en-GB" w:eastAsia="fr-FR"/>
        </w:rPr>
        <w:t>” and “</w:t>
      </w:r>
      <w:r w:rsidRPr="007158E9">
        <w:rPr>
          <w:i/>
          <w:lang w:val="en-GB" w:eastAsia="fr-FR"/>
        </w:rPr>
        <w:t>capita généraux</w:t>
      </w:r>
      <w:r w:rsidRPr="007158E9">
        <w:rPr>
          <w:lang w:val="en-GB" w:eastAsia="fr-FR"/>
        </w:rPr>
        <w:t>” within the prisons, who are the “heads” of the detainees. The Director General of Prison Affairs</w:t>
      </w:r>
      <w:r w:rsidRPr="007158E9">
        <w:rPr>
          <w:sz w:val="18"/>
          <w:vertAlign w:val="superscript"/>
          <w:lang w:val="en-GB" w:eastAsia="fr-FR"/>
        </w:rPr>
        <w:footnoteReference w:id="260"/>
      </w:r>
      <w:r w:rsidRPr="007158E9">
        <w:rPr>
          <w:lang w:val="en-GB" w:eastAsia="fr-FR"/>
        </w:rPr>
        <w:t xml:space="preserve"> blamed this situation on his administration’s lack of human resources. He also indicated during this press conference that these </w:t>
      </w:r>
      <w:r w:rsidRPr="007158E9">
        <w:rPr>
          <w:i/>
          <w:lang w:val="en-GB" w:eastAsia="fr-FR"/>
        </w:rPr>
        <w:t xml:space="preserve">capita </w:t>
      </w:r>
      <w:r w:rsidRPr="007158E9">
        <w:rPr>
          <w:lang w:val="en-GB" w:eastAsia="fr-FR"/>
        </w:rPr>
        <w:t>are assigned to specific tasks such as cooking or « security », and the “</w:t>
      </w:r>
      <w:r w:rsidRPr="007158E9">
        <w:rPr>
          <w:i/>
          <w:lang w:val="en-GB" w:eastAsia="fr-FR"/>
        </w:rPr>
        <w:t>capita généraux</w:t>
      </w:r>
      <w:r w:rsidRPr="007158E9">
        <w:rPr>
          <w:lang w:val="en-GB" w:eastAsia="fr-FR"/>
        </w:rPr>
        <w:t>” help the prison administration in the management of detainees. They are chosen by the administration of the prison, mainly amongst the Imbonerakure detainees</w:t>
      </w:r>
      <w:r w:rsidR="00696407">
        <w:rPr>
          <w:lang w:val="en-GB" w:eastAsia="fr-FR"/>
        </w:rPr>
        <w:t>,</w:t>
      </w:r>
      <w:r w:rsidRPr="007158E9">
        <w:rPr>
          <w:sz w:val="18"/>
          <w:vertAlign w:val="superscript"/>
          <w:lang w:val="en-GB" w:eastAsia="fr-FR"/>
        </w:rPr>
        <w:footnoteReference w:id="261"/>
      </w:r>
      <w:r w:rsidRPr="007158E9">
        <w:rPr>
          <w:lang w:val="en-GB" w:eastAsia="fr-FR"/>
        </w:rPr>
        <w:t xml:space="preserve"> and manage </w:t>
      </w:r>
      <w:r w:rsidRPr="007158E9">
        <w:rPr>
          <w:i/>
          <w:lang w:val="en-GB" w:eastAsia="fr-FR"/>
        </w:rPr>
        <w:t>de facto</w:t>
      </w:r>
      <w:r w:rsidRPr="007158E9">
        <w:rPr>
          <w:lang w:val="en-GB" w:eastAsia="fr-FR"/>
        </w:rPr>
        <w:t xml:space="preserve"> the daily life within the prison, notably by ensuring good order amongst the detainees and controlling access of external visitors – including lawyers – to the prison and detainees. This situation is a source of abuse and ill-treatment of detainees</w:t>
      </w:r>
      <w:r w:rsidR="00696407">
        <w:rPr>
          <w:lang w:val="en-GB" w:eastAsia="fr-FR"/>
        </w:rPr>
        <w:t>.</w:t>
      </w:r>
      <w:r w:rsidRPr="007158E9">
        <w:rPr>
          <w:sz w:val="18"/>
          <w:vertAlign w:val="superscript"/>
          <w:lang w:val="en-GB" w:eastAsia="fr-FR"/>
        </w:rPr>
        <w:footnoteReference w:id="262"/>
      </w:r>
      <w:r w:rsidRPr="007158E9">
        <w:rPr>
          <w:lang w:val="en-GB" w:eastAsia="fr-FR"/>
        </w:rPr>
        <w:t xml:space="preserve"> In addition to beating them in the area called “</w:t>
      </w:r>
      <w:r w:rsidRPr="007158E9">
        <w:rPr>
          <w:i/>
          <w:lang w:val="en-GB" w:eastAsia="fr-FR"/>
        </w:rPr>
        <w:t>petit marché</w:t>
      </w:r>
      <w:r w:rsidRPr="007158E9">
        <w:rPr>
          <w:lang w:val="en-GB" w:eastAsia="fr-FR"/>
        </w:rPr>
        <w:t>”, the Imbonerakure</w:t>
      </w:r>
      <w:r w:rsidR="00696407">
        <w:rPr>
          <w:lang w:val="en-GB" w:eastAsia="fr-FR"/>
        </w:rPr>
        <w:t xml:space="preserve"> designated </w:t>
      </w:r>
      <w:r w:rsidRPr="007158E9">
        <w:rPr>
          <w:lang w:val="en-GB" w:eastAsia="fr-FR"/>
        </w:rPr>
        <w:t>as “</w:t>
      </w:r>
      <w:r w:rsidRPr="007158E9">
        <w:rPr>
          <w:i/>
          <w:lang w:val="en-GB" w:eastAsia="fr-FR"/>
        </w:rPr>
        <w:t>capita</w:t>
      </w:r>
      <w:r w:rsidRPr="007158E9">
        <w:rPr>
          <w:lang w:val="en-GB" w:eastAsia="fr-FR"/>
        </w:rPr>
        <w:t xml:space="preserve">” use at least one </w:t>
      </w:r>
      <w:r w:rsidRPr="007158E9">
        <w:rPr>
          <w:i/>
          <w:lang w:val="en-GB" w:eastAsia="fr-FR"/>
        </w:rPr>
        <w:t>ad hoc</w:t>
      </w:r>
      <w:r w:rsidRPr="007158E9">
        <w:rPr>
          <w:lang w:val="en-GB" w:eastAsia="fr-FR"/>
        </w:rPr>
        <w:t xml:space="preserve"> isolation cell within the Mpimba prison in Bujumbura, in order to prevent some detainees from any contact with others</w:t>
      </w:r>
      <w:r w:rsidR="00696407">
        <w:rPr>
          <w:lang w:val="en-GB" w:eastAsia="fr-FR"/>
        </w:rPr>
        <w:t>.</w:t>
      </w:r>
      <w:r w:rsidRPr="007158E9">
        <w:rPr>
          <w:sz w:val="18"/>
          <w:vertAlign w:val="superscript"/>
          <w:lang w:val="en-GB" w:eastAsia="fr-FR"/>
        </w:rPr>
        <w:footnoteReference w:id="263"/>
      </w:r>
    </w:p>
    <w:p w14:paraId="39F9A178" w14:textId="01992002" w:rsidR="00F35CB9" w:rsidRPr="007158E9" w:rsidRDefault="00F35CB9" w:rsidP="00F35CB9">
      <w:pPr>
        <w:pStyle w:val="SingleTxtG"/>
        <w:ind w:right="567"/>
        <w:rPr>
          <w:rFonts w:asciiTheme="minorHAnsi" w:eastAsia="MS Mincho" w:hAnsiTheme="minorHAnsi" w:cstheme="minorBidi"/>
          <w:b/>
          <w:bCs/>
          <w:lang w:val="en-GB"/>
        </w:rPr>
      </w:pPr>
      <w:r w:rsidRPr="007158E9">
        <w:rPr>
          <w:lang w:val="en-GB" w:eastAsia="fr-FR"/>
        </w:rPr>
        <w:tab/>
        <w:t>360.</w:t>
      </w:r>
      <w:r w:rsidRPr="007158E9">
        <w:rPr>
          <w:lang w:val="en-GB" w:eastAsia="fr-FR"/>
        </w:rPr>
        <w:tab/>
        <w:t>In addition, the Commission noted that the annual presidential pardon of thousands of detainees, which aims to address the prison overpopulation, is often subject to abuse and corruption, and cannot be conceived as a satisfactory tool for regulating prison population. The end of arbitrary detentions and the quasi-systematic use of preventive detention should preced the latter, in addition to an improvement of the follow up of the situation of prisoners in order to guarantee that those who have served their sentences are released and that those who can benefit from a conditional release are identified</w:t>
      </w:r>
      <w:r w:rsidR="00696407">
        <w:rPr>
          <w:lang w:val="en-GB" w:eastAsia="fr-FR"/>
        </w:rPr>
        <w:t>.</w:t>
      </w:r>
      <w:r w:rsidRPr="007158E9">
        <w:rPr>
          <w:sz w:val="18"/>
          <w:vertAlign w:val="superscript"/>
          <w:lang w:val="en-GB" w:eastAsia="fr-FR"/>
        </w:rPr>
        <w:footnoteReference w:id="264"/>
      </w:r>
    </w:p>
    <w:p w14:paraId="38B448D8" w14:textId="77777777" w:rsidR="00F35CB9" w:rsidRPr="007158E9" w:rsidRDefault="00F35CB9" w:rsidP="00F35CB9">
      <w:pPr>
        <w:pStyle w:val="H56G"/>
        <w:rPr>
          <w:b/>
          <w:lang w:val="en-GB"/>
        </w:rPr>
      </w:pPr>
      <w:r w:rsidRPr="007158E9">
        <w:rPr>
          <w:i/>
          <w:lang w:val="en-GB"/>
        </w:rPr>
        <w:tab/>
      </w:r>
      <w:r w:rsidRPr="007158E9">
        <w:rPr>
          <w:b/>
          <w:lang w:val="en-GB"/>
        </w:rPr>
        <w:t>(ii)</w:t>
      </w:r>
      <w:r w:rsidRPr="007158E9">
        <w:rPr>
          <w:b/>
          <w:lang w:val="en-GB"/>
        </w:rPr>
        <w:tab/>
        <w:t>Other cases of ill treatment</w:t>
      </w:r>
    </w:p>
    <w:p w14:paraId="775B4E8C" w14:textId="2320F33F" w:rsidR="00F35CB9" w:rsidRPr="007158E9" w:rsidRDefault="00F35CB9" w:rsidP="00F35CB9">
      <w:pPr>
        <w:pStyle w:val="SingleTxtG"/>
        <w:ind w:right="567"/>
        <w:rPr>
          <w:rFonts w:ascii="Arial" w:hAnsi="Arial" w:cs="Arial"/>
          <w:sz w:val="22"/>
          <w:szCs w:val="22"/>
          <w:lang w:val="en-GB"/>
        </w:rPr>
      </w:pPr>
      <w:r w:rsidRPr="007158E9">
        <w:rPr>
          <w:lang w:val="en-GB"/>
        </w:rPr>
        <w:tab/>
        <w:t>361.</w:t>
      </w:r>
      <w:r w:rsidRPr="007158E9">
        <w:rPr>
          <w:lang w:val="en-GB"/>
        </w:rPr>
        <w:tab/>
        <w:t>Some acts of violence committed by Imbonerakure, alone or in the presence of police and SNR agents, in contexts similar to the cases of torture detailed above, amount to cruel, inhumane or degrading treatment</w:t>
      </w:r>
      <w:r w:rsidR="00696407">
        <w:rPr>
          <w:lang w:val="en-GB"/>
        </w:rPr>
        <w:t>s</w:t>
      </w:r>
      <w:r w:rsidRPr="007158E9">
        <w:rPr>
          <w:lang w:val="en-GB"/>
        </w:rPr>
        <w:t xml:space="preserve"> and sometimes draw near the threshold of torture. Most of the cases are those of young men, sometimes minors, who were beaten during the forced recruitment within the ranks of Imbonerakure or during their arrest</w:t>
      </w:r>
      <w:r w:rsidR="00696407">
        <w:rPr>
          <w:lang w:val="en-GB"/>
        </w:rPr>
        <w:t>.</w:t>
      </w:r>
      <w:r w:rsidRPr="007158E9">
        <w:rPr>
          <w:sz w:val="18"/>
          <w:vertAlign w:val="superscript"/>
          <w:lang w:val="en-GB"/>
        </w:rPr>
        <w:footnoteReference w:id="265"/>
      </w:r>
    </w:p>
    <w:p w14:paraId="04E14706" w14:textId="77777777" w:rsidR="00F35CB9" w:rsidRPr="007158E9" w:rsidRDefault="00F35CB9" w:rsidP="00F35CB9">
      <w:pPr>
        <w:pStyle w:val="H4G"/>
        <w:rPr>
          <w:b/>
          <w:i w:val="0"/>
          <w:lang w:val="en-GB" w:eastAsia="fr-FR"/>
        </w:rPr>
      </w:pPr>
      <w:r w:rsidRPr="007158E9">
        <w:rPr>
          <w:b/>
          <w:i w:val="0"/>
          <w:lang w:val="en-GB" w:eastAsia="fr-FR"/>
        </w:rPr>
        <w:tab/>
        <w:t>(d)</w:t>
      </w:r>
      <w:r w:rsidRPr="007158E9">
        <w:rPr>
          <w:b/>
          <w:i w:val="0"/>
          <w:lang w:val="en-GB" w:eastAsia="fr-FR"/>
        </w:rPr>
        <w:tab/>
        <w:t xml:space="preserve">Consequences of torture and cruel, inhumane or degrading treatment </w:t>
      </w:r>
    </w:p>
    <w:p w14:paraId="516E75E3" w14:textId="7B278BF8" w:rsidR="00F35CB9" w:rsidRPr="007158E9" w:rsidRDefault="00F35CB9" w:rsidP="00F35CB9">
      <w:pPr>
        <w:pStyle w:val="SingleTxtG"/>
        <w:ind w:right="567"/>
        <w:rPr>
          <w:rFonts w:cstheme="minorBidi"/>
          <w:lang w:val="en-GB"/>
        </w:rPr>
      </w:pPr>
      <w:r w:rsidRPr="007158E9">
        <w:rPr>
          <w:rFonts w:cstheme="minorBidi"/>
          <w:lang w:val="en-GB"/>
        </w:rPr>
        <w:t>362.</w:t>
      </w:r>
      <w:r w:rsidRPr="007158E9">
        <w:rPr>
          <w:rFonts w:cstheme="minorBidi"/>
          <w:lang w:val="en-GB"/>
        </w:rPr>
        <w:tab/>
        <w:t>The impact torture and ill-treatment on the victims is both physical</w:t>
      </w:r>
      <w:r w:rsidRPr="007158E9">
        <w:rPr>
          <w:rFonts w:cstheme="minorBidi"/>
          <w:sz w:val="18"/>
          <w:vertAlign w:val="superscript"/>
          <w:lang w:val="en-GB"/>
        </w:rPr>
        <w:footnoteReference w:id="266"/>
      </w:r>
      <w:r w:rsidRPr="007158E9">
        <w:rPr>
          <w:rFonts w:cstheme="minorBidi"/>
          <w:lang w:val="en-GB"/>
        </w:rPr>
        <w:t xml:space="preserve"> (scars, partial handicap, impotence) and psychological</w:t>
      </w:r>
      <w:r w:rsidR="00696407">
        <w:rPr>
          <w:rFonts w:cstheme="minorBidi"/>
          <w:lang w:val="en-GB"/>
        </w:rPr>
        <w:t>,</w:t>
      </w:r>
      <w:r w:rsidRPr="007158E9">
        <w:rPr>
          <w:rFonts w:cstheme="minorBidi"/>
          <w:sz w:val="18"/>
          <w:vertAlign w:val="superscript"/>
          <w:lang w:val="en-GB"/>
        </w:rPr>
        <w:footnoteReference w:id="267"/>
      </w:r>
      <w:r w:rsidRPr="007158E9">
        <w:rPr>
          <w:rFonts w:cstheme="minorBidi"/>
          <w:lang w:val="en-GB"/>
        </w:rPr>
        <w:t xml:space="preserve"> and persists in the middle to long-term. The Commission was able to directly observe several scars or disabilities on the victims, which correspond to the acts of torture that they had described. Several of them continue to suffer on a daily basis from the injuries they endured because often, they did not receive adequate medical treatment</w:t>
      </w:r>
      <w:r w:rsidR="00696407">
        <w:rPr>
          <w:rFonts w:cstheme="minorBidi"/>
          <w:lang w:val="en-GB"/>
        </w:rPr>
        <w:t>.</w:t>
      </w:r>
      <w:r w:rsidRPr="007158E9">
        <w:rPr>
          <w:rFonts w:cstheme="minorBidi"/>
          <w:sz w:val="18"/>
          <w:vertAlign w:val="superscript"/>
          <w:lang w:val="en-GB"/>
        </w:rPr>
        <w:footnoteReference w:id="268"/>
      </w:r>
      <w:r w:rsidRPr="007158E9">
        <w:rPr>
          <w:rFonts w:cstheme="minorBidi"/>
          <w:lang w:val="en-GB"/>
        </w:rPr>
        <w:t xml:space="preserve"> For example, a witness, met by the Commission in 2018 and who has visible scars of the torture he endured at SNR in 2015, said:</w:t>
      </w:r>
    </w:p>
    <w:p w14:paraId="15AD74F6" w14:textId="5BF54506" w:rsidR="00F35CB9" w:rsidRPr="007158E9" w:rsidRDefault="00F35CB9" w:rsidP="00F35CB9">
      <w:pPr>
        <w:pStyle w:val="SingleTxtG"/>
        <w:ind w:left="1701" w:right="567" w:firstLine="9"/>
        <w:rPr>
          <w:rFonts w:cstheme="minorBidi"/>
          <w:lang w:val="en-GB"/>
        </w:rPr>
      </w:pPr>
      <w:r w:rsidRPr="007158E9">
        <w:rPr>
          <w:rFonts w:cstheme="minorBidi"/>
          <w:i/>
          <w:lang w:val="en-GB"/>
        </w:rPr>
        <w:t>“They took a red hot iron bar and an iron and they put them on the sole of my feet. To this day, it is still painful. I cannot wear shoes for a long time, it gets swollen otherwise</w:t>
      </w:r>
      <w:r w:rsidRPr="007158E9">
        <w:rPr>
          <w:rFonts w:cstheme="minorBidi"/>
          <w:lang w:val="en-GB"/>
        </w:rPr>
        <w:t>”</w:t>
      </w:r>
      <w:r w:rsidR="00696407">
        <w:rPr>
          <w:rFonts w:cstheme="minorBidi"/>
          <w:lang w:val="en-GB"/>
        </w:rPr>
        <w:t>.</w:t>
      </w:r>
      <w:r w:rsidRPr="007158E9">
        <w:rPr>
          <w:rFonts w:cstheme="minorBidi"/>
          <w:sz w:val="18"/>
          <w:vertAlign w:val="superscript"/>
          <w:lang w:val="en-GB"/>
        </w:rPr>
        <w:footnoteReference w:id="269"/>
      </w:r>
    </w:p>
    <w:p w14:paraId="3A6CBFA2" w14:textId="77777777" w:rsidR="00F35CB9" w:rsidRPr="007158E9" w:rsidRDefault="00F35CB9" w:rsidP="00F35CB9">
      <w:pPr>
        <w:pStyle w:val="SingleTxtG"/>
        <w:ind w:right="567"/>
        <w:rPr>
          <w:rFonts w:cstheme="minorBidi"/>
          <w:lang w:val="en-GB"/>
        </w:rPr>
      </w:pPr>
      <w:r w:rsidRPr="007158E9">
        <w:rPr>
          <w:rFonts w:cstheme="minorBidi"/>
          <w:lang w:val="en-GB"/>
        </w:rPr>
        <w:tab/>
        <w:t>363.</w:t>
      </w:r>
      <w:r w:rsidRPr="007158E9">
        <w:rPr>
          <w:rFonts w:cstheme="minorBidi"/>
          <w:lang w:val="en-GB"/>
        </w:rPr>
        <w:tab/>
        <w:t xml:space="preserve">A man, beaten and left for dead in July 2017 by police officers and Imbonerakure, explained how he became disabled since the incident: </w:t>
      </w:r>
    </w:p>
    <w:p w14:paraId="79008184" w14:textId="785252A8" w:rsidR="00F35CB9" w:rsidRPr="007158E9" w:rsidRDefault="00F35CB9" w:rsidP="00F35CB9">
      <w:pPr>
        <w:pStyle w:val="SingleTxtG"/>
        <w:ind w:left="1701" w:right="567"/>
        <w:rPr>
          <w:rFonts w:cstheme="minorBidi"/>
          <w:lang w:val="en-GB"/>
        </w:rPr>
      </w:pPr>
      <w:r w:rsidRPr="007158E9">
        <w:rPr>
          <w:rFonts w:cstheme="minorBidi"/>
          <w:lang w:val="en-GB"/>
        </w:rPr>
        <w:t>“</w:t>
      </w:r>
      <w:r w:rsidRPr="007158E9">
        <w:rPr>
          <w:rFonts w:cstheme="minorBidi"/>
          <w:i/>
          <w:lang w:val="en-GB"/>
        </w:rPr>
        <w:t>From that date, I walk with a cane. They beat my abdomen and destroyed [one of the organs]</w:t>
      </w:r>
      <w:r w:rsidRPr="007158E9">
        <w:rPr>
          <w:rFonts w:cstheme="minorBidi"/>
          <w:lang w:val="en-GB"/>
        </w:rPr>
        <w:t>”</w:t>
      </w:r>
      <w:r w:rsidR="00696407">
        <w:rPr>
          <w:rFonts w:cstheme="minorBidi"/>
          <w:lang w:val="en-GB"/>
        </w:rPr>
        <w:t>.</w:t>
      </w:r>
      <w:r w:rsidRPr="007158E9">
        <w:rPr>
          <w:rFonts w:cstheme="minorBidi"/>
          <w:sz w:val="18"/>
          <w:vertAlign w:val="superscript"/>
          <w:lang w:val="en-GB"/>
        </w:rPr>
        <w:footnoteReference w:id="270"/>
      </w:r>
    </w:p>
    <w:p w14:paraId="237592BA" w14:textId="77777777" w:rsidR="00F35CB9" w:rsidRPr="007158E9" w:rsidRDefault="00F35CB9" w:rsidP="00F35CB9">
      <w:pPr>
        <w:pStyle w:val="H23G"/>
        <w:rPr>
          <w:lang w:val="en-GB"/>
        </w:rPr>
      </w:pPr>
      <w:r w:rsidRPr="007158E9">
        <w:rPr>
          <w:lang w:val="en-GB"/>
        </w:rPr>
        <w:tab/>
        <w:t>4.</w:t>
      </w:r>
      <w:r w:rsidRPr="007158E9">
        <w:rPr>
          <w:lang w:val="en-GB"/>
        </w:rPr>
        <w:tab/>
        <w:t xml:space="preserve">Sexual violence </w:t>
      </w:r>
    </w:p>
    <w:p w14:paraId="708AA117" w14:textId="1277826D" w:rsidR="00F35CB9" w:rsidRPr="007158E9" w:rsidRDefault="00F35CB9" w:rsidP="009B449F">
      <w:pPr>
        <w:pStyle w:val="SingleTxtG"/>
        <w:ind w:right="567"/>
        <w:rPr>
          <w:lang w:val="en-GB"/>
        </w:rPr>
      </w:pPr>
      <w:r w:rsidRPr="007158E9">
        <w:rPr>
          <w:lang w:val="en-GB"/>
        </w:rPr>
        <w:tab/>
        <w:t>364.</w:t>
      </w:r>
      <w:r w:rsidRPr="007158E9">
        <w:rPr>
          <w:lang w:val="en-GB"/>
        </w:rPr>
        <w:tab/>
        <w:t>In its previous report</w:t>
      </w:r>
      <w:r w:rsidR="009B449F">
        <w:rPr>
          <w:lang w:val="en-GB"/>
        </w:rPr>
        <w:t>,</w:t>
      </w:r>
      <w:r w:rsidRPr="007158E9">
        <w:rPr>
          <w:vertAlign w:val="superscript"/>
          <w:lang w:val="en-GB"/>
        </w:rPr>
        <w:footnoteReference w:id="271"/>
      </w:r>
      <w:r w:rsidRPr="007158E9">
        <w:rPr>
          <w:lang w:val="en-GB"/>
        </w:rPr>
        <w:t xml:space="preserve"> the Commission had noted that in 2015 and 2016, the main victims of </w:t>
      </w:r>
      <w:r w:rsidR="009B449F">
        <w:rPr>
          <w:lang w:val="en-GB"/>
        </w:rPr>
        <w:t>s</w:t>
      </w:r>
      <w:r w:rsidRPr="007158E9">
        <w:rPr>
          <w:lang w:val="en-GB"/>
        </w:rPr>
        <w:t xml:space="preserve">exual violence </w:t>
      </w:r>
      <w:r w:rsidR="009B449F">
        <w:rPr>
          <w:lang w:val="en-GB"/>
        </w:rPr>
        <w:t xml:space="preserve">in cases </w:t>
      </w:r>
      <w:r w:rsidRPr="007158E9">
        <w:rPr>
          <w:lang w:val="en-GB"/>
        </w:rPr>
        <w:t xml:space="preserve">that it had documented, were women and girls. The objective of these acts of violence was </w:t>
      </w:r>
      <w:r w:rsidR="009B449F">
        <w:rPr>
          <w:lang w:val="en-GB"/>
        </w:rPr>
        <w:t xml:space="preserve">in particular </w:t>
      </w:r>
      <w:r w:rsidRPr="007158E9">
        <w:rPr>
          <w:lang w:val="en-GB"/>
        </w:rPr>
        <w:t>to punish them for their support, or that of their relatives, to the demonstrations against the President Nkurunziza’s third term; for their affiliation, or that of their relatives, to an opposition party; or for their assumed participation, or that of their relatives, to the attacks agai</w:t>
      </w:r>
      <w:r w:rsidR="009B449F">
        <w:rPr>
          <w:lang w:val="en-GB"/>
        </w:rPr>
        <w:t>nst military facilities</w:t>
      </w:r>
      <w:r w:rsidRPr="007158E9">
        <w:rPr>
          <w:lang w:val="en-GB"/>
        </w:rPr>
        <w:t xml:space="preserve"> on 11 December 2015. Some victims ha</w:t>
      </w:r>
      <w:r w:rsidR="009B449F">
        <w:rPr>
          <w:lang w:val="en-GB"/>
        </w:rPr>
        <w:t>d</w:t>
      </w:r>
      <w:r w:rsidRPr="007158E9">
        <w:rPr>
          <w:lang w:val="en-GB"/>
        </w:rPr>
        <w:t xml:space="preserve"> also been targeted because of their refusal to join CNDD-FDD or its activities. The victims, whose age var</w:t>
      </w:r>
      <w:r w:rsidR="009B449F">
        <w:rPr>
          <w:lang w:val="en-GB"/>
        </w:rPr>
        <w:t>ied</w:t>
      </w:r>
      <w:r w:rsidRPr="007158E9">
        <w:rPr>
          <w:lang w:val="en-GB"/>
        </w:rPr>
        <w:t xml:space="preserve"> from 8 to 71, </w:t>
      </w:r>
      <w:r w:rsidR="009B449F">
        <w:rPr>
          <w:lang w:val="en-GB"/>
        </w:rPr>
        <w:t>had been</w:t>
      </w:r>
      <w:r w:rsidRPr="007158E9">
        <w:rPr>
          <w:lang w:val="en-GB"/>
        </w:rPr>
        <w:t xml:space="preserve"> particularly targeted when they </w:t>
      </w:r>
      <w:r w:rsidR="009B449F">
        <w:rPr>
          <w:lang w:val="en-GB"/>
        </w:rPr>
        <w:t>were alone following</w:t>
      </w:r>
      <w:r w:rsidRPr="007158E9">
        <w:rPr>
          <w:lang w:val="en-GB"/>
        </w:rPr>
        <w:t xml:space="preserve"> the arrest, disappearance or death of their spouses or men in their family. They </w:t>
      </w:r>
      <w:r w:rsidR="009B449F">
        <w:rPr>
          <w:lang w:val="en-GB"/>
        </w:rPr>
        <w:t xml:space="preserve">have </w:t>
      </w:r>
      <w:r w:rsidRPr="007158E9">
        <w:rPr>
          <w:lang w:val="en-GB"/>
        </w:rPr>
        <w:t xml:space="preserve">endured rape and other forms of sexual violence often in their home, in the presence of their children or other members of their family, adding to their feeling of humiliation and offence against their dignity. During their detention, several women </w:t>
      </w:r>
      <w:r w:rsidR="009B449F">
        <w:rPr>
          <w:lang w:val="en-GB"/>
        </w:rPr>
        <w:t>had</w:t>
      </w:r>
      <w:r w:rsidRPr="007158E9">
        <w:rPr>
          <w:lang w:val="en-GB"/>
        </w:rPr>
        <w:t xml:space="preserve"> also </w:t>
      </w:r>
      <w:r w:rsidR="009B449F">
        <w:rPr>
          <w:lang w:val="en-GB"/>
        </w:rPr>
        <w:t xml:space="preserve">been </w:t>
      </w:r>
      <w:r w:rsidRPr="007158E9">
        <w:rPr>
          <w:lang w:val="en-GB"/>
        </w:rPr>
        <w:t xml:space="preserve">raped, and men </w:t>
      </w:r>
      <w:r w:rsidR="009B449F">
        <w:rPr>
          <w:lang w:val="en-GB"/>
        </w:rPr>
        <w:t>had</w:t>
      </w:r>
      <w:r w:rsidRPr="007158E9">
        <w:rPr>
          <w:lang w:val="en-GB"/>
        </w:rPr>
        <w:t xml:space="preserve"> also </w:t>
      </w:r>
      <w:r w:rsidR="009B449F">
        <w:rPr>
          <w:lang w:val="en-GB"/>
        </w:rPr>
        <w:t xml:space="preserve">been </w:t>
      </w:r>
      <w:r w:rsidRPr="007158E9">
        <w:rPr>
          <w:lang w:val="en-GB"/>
        </w:rPr>
        <w:t xml:space="preserve">victims of rape and other forms of sexual violence. Such acts, which aimed to extract information and confessions, also constitute torture. </w:t>
      </w:r>
    </w:p>
    <w:p w14:paraId="1152E00D" w14:textId="7FAD0FB4" w:rsidR="00F35CB9" w:rsidRPr="007158E9" w:rsidRDefault="00F35CB9" w:rsidP="00F35CB9">
      <w:pPr>
        <w:pStyle w:val="SingleTxtG"/>
        <w:ind w:right="567"/>
        <w:rPr>
          <w:lang w:val="en-GB"/>
        </w:rPr>
      </w:pPr>
      <w:r w:rsidRPr="007158E9">
        <w:rPr>
          <w:lang w:val="en-GB"/>
        </w:rPr>
        <w:tab/>
        <w:t>365.</w:t>
      </w:r>
      <w:r w:rsidRPr="007158E9">
        <w:rPr>
          <w:lang w:val="en-GB"/>
        </w:rPr>
        <w:tab/>
        <w:t xml:space="preserve">In several cases, police and SNR agents were identified as responsible of </w:t>
      </w:r>
      <w:r w:rsidR="009B449F">
        <w:rPr>
          <w:lang w:val="en-GB"/>
        </w:rPr>
        <w:t xml:space="preserve">such </w:t>
      </w:r>
      <w:r w:rsidRPr="007158E9">
        <w:rPr>
          <w:lang w:val="en-GB"/>
        </w:rPr>
        <w:t xml:space="preserve">sexual violence. They sometimes </w:t>
      </w:r>
      <w:r w:rsidR="009B449F">
        <w:rPr>
          <w:lang w:val="en-GB"/>
        </w:rPr>
        <w:t xml:space="preserve">had </w:t>
      </w:r>
      <w:r w:rsidRPr="007158E9">
        <w:rPr>
          <w:lang w:val="en-GB"/>
        </w:rPr>
        <w:t xml:space="preserve">acted together or with Imbonerakure. In some cases, the latter </w:t>
      </w:r>
      <w:r w:rsidR="009B449F">
        <w:rPr>
          <w:lang w:val="en-GB"/>
        </w:rPr>
        <w:t xml:space="preserve">had </w:t>
      </w:r>
      <w:r w:rsidRPr="007158E9">
        <w:rPr>
          <w:lang w:val="en-GB"/>
        </w:rPr>
        <w:t xml:space="preserve">acted alone. The victims often </w:t>
      </w:r>
      <w:r w:rsidR="009B449F">
        <w:rPr>
          <w:lang w:val="en-GB"/>
        </w:rPr>
        <w:t xml:space="preserve">had </w:t>
      </w:r>
      <w:r w:rsidRPr="007158E9">
        <w:rPr>
          <w:lang w:val="en-GB"/>
        </w:rPr>
        <w:t xml:space="preserve">endured several types of sexual violence, including rape, genital mutilations, forced nudity, infliction of serious injuries and/or the injection of unknown substances in the male genital organs. Several women </w:t>
      </w:r>
      <w:r w:rsidR="009B449F">
        <w:rPr>
          <w:lang w:val="en-GB"/>
        </w:rPr>
        <w:t>had been</w:t>
      </w:r>
      <w:r w:rsidRPr="007158E9">
        <w:rPr>
          <w:lang w:val="en-GB"/>
        </w:rPr>
        <w:t xml:space="preserve"> victims of collective rape. These acts, sometimes accompanied by insults with ethnic and political denotation, </w:t>
      </w:r>
      <w:r w:rsidR="009B449F">
        <w:rPr>
          <w:lang w:val="en-GB"/>
        </w:rPr>
        <w:t xml:space="preserve">had </w:t>
      </w:r>
      <w:r w:rsidRPr="007158E9">
        <w:rPr>
          <w:lang w:val="en-GB"/>
        </w:rPr>
        <w:t>t</w:t>
      </w:r>
      <w:r w:rsidR="009B449F">
        <w:rPr>
          <w:lang w:val="en-GB"/>
        </w:rPr>
        <w:t>a</w:t>
      </w:r>
      <w:r w:rsidRPr="007158E9">
        <w:rPr>
          <w:lang w:val="en-GB"/>
        </w:rPr>
        <w:t>k</w:t>
      </w:r>
      <w:r w:rsidR="009B449F">
        <w:rPr>
          <w:lang w:val="en-GB"/>
        </w:rPr>
        <w:t>en</w:t>
      </w:r>
      <w:r w:rsidRPr="007158E9">
        <w:rPr>
          <w:lang w:val="en-GB"/>
        </w:rPr>
        <w:t xml:space="preserve"> place in the victims’ residence, in police or SNR cells or in unofficial detention places. Several victims were not able to officially identify the status of the men in civilian outfit who raped them, some of whom had equipment or accessories reserved for security forces.</w:t>
      </w:r>
    </w:p>
    <w:p w14:paraId="336A0D65" w14:textId="1304F92A" w:rsidR="00F35CB9" w:rsidRPr="007158E9" w:rsidRDefault="00F35CB9" w:rsidP="00F35CB9">
      <w:pPr>
        <w:pStyle w:val="SingleTxtG"/>
        <w:ind w:right="567"/>
        <w:rPr>
          <w:lang w:val="en-GB"/>
        </w:rPr>
      </w:pPr>
      <w:r w:rsidRPr="007158E9">
        <w:rPr>
          <w:lang w:val="en-GB"/>
        </w:rPr>
        <w:tab/>
        <w:t>366.</w:t>
      </w:r>
      <w:r w:rsidRPr="007158E9">
        <w:rPr>
          <w:lang w:val="en-GB"/>
        </w:rPr>
        <w:tab/>
        <w:t xml:space="preserve">Like other types of human rights violations documented in 2015 and 2016, the victims </w:t>
      </w:r>
      <w:r w:rsidR="009B449F">
        <w:rPr>
          <w:lang w:val="en-GB"/>
        </w:rPr>
        <w:t xml:space="preserve">had </w:t>
      </w:r>
      <w:r w:rsidRPr="007158E9">
        <w:rPr>
          <w:lang w:val="en-GB"/>
        </w:rPr>
        <w:t>rarely complained due to the lack of trust in the judicial system and perpetrators ha</w:t>
      </w:r>
      <w:r w:rsidR="009B449F">
        <w:rPr>
          <w:lang w:val="en-GB"/>
        </w:rPr>
        <w:t>ve</w:t>
      </w:r>
      <w:r w:rsidRPr="007158E9">
        <w:rPr>
          <w:lang w:val="en-GB"/>
        </w:rPr>
        <w:t xml:space="preserve"> benefited from quasi-total impunity. All the victims of sexual violence ha</w:t>
      </w:r>
      <w:r w:rsidR="009B449F">
        <w:rPr>
          <w:lang w:val="en-GB"/>
        </w:rPr>
        <w:t>d</w:t>
      </w:r>
      <w:r w:rsidRPr="007158E9">
        <w:rPr>
          <w:lang w:val="en-GB"/>
        </w:rPr>
        <w:t xml:space="preserve"> multiple physical and/or psychological scars, </w:t>
      </w:r>
      <w:r w:rsidR="009B449F">
        <w:rPr>
          <w:lang w:val="en-GB"/>
        </w:rPr>
        <w:t>in particular</w:t>
      </w:r>
      <w:r w:rsidRPr="007158E9">
        <w:rPr>
          <w:lang w:val="en-GB"/>
        </w:rPr>
        <w:t xml:space="preserve"> because of the lack of access to adequate medical care and psychological support. </w:t>
      </w:r>
    </w:p>
    <w:p w14:paraId="069097CA" w14:textId="2CDF1BEE" w:rsidR="00F35CB9" w:rsidRPr="007158E9" w:rsidRDefault="00F35CB9" w:rsidP="00F35CB9">
      <w:pPr>
        <w:pStyle w:val="SingleTxtG"/>
        <w:ind w:right="567"/>
        <w:rPr>
          <w:lang w:val="en-GB"/>
        </w:rPr>
      </w:pPr>
      <w:r w:rsidRPr="007158E9">
        <w:rPr>
          <w:lang w:val="en-GB"/>
        </w:rPr>
        <w:tab/>
        <w:t>367.</w:t>
      </w:r>
      <w:r w:rsidRPr="007158E9">
        <w:rPr>
          <w:lang w:val="en-GB"/>
        </w:rPr>
        <w:tab/>
        <w:t>During the second term of its mandate, the Commission collected witness accounts related to sexual violence acts committed in 2015 and 2016 which confirm</w:t>
      </w:r>
      <w:r w:rsidR="009B449F">
        <w:rPr>
          <w:lang w:val="en-GB"/>
        </w:rPr>
        <w:t>ed</w:t>
      </w:r>
      <w:r w:rsidRPr="007158E9">
        <w:rPr>
          <w:lang w:val="en-GB"/>
        </w:rPr>
        <w:t xml:space="preserve"> the main trends established in its first report</w:t>
      </w:r>
      <w:r w:rsidRPr="007158E9">
        <w:rPr>
          <w:vertAlign w:val="superscript"/>
          <w:lang w:val="en-GB"/>
        </w:rPr>
        <w:footnoteReference w:id="272"/>
      </w:r>
      <w:r w:rsidRPr="007158E9">
        <w:rPr>
          <w:lang w:val="en-GB"/>
        </w:rPr>
        <w:t xml:space="preserve"> and which have just been described. The Commission also received witness accounts on sexual violence that took place since 2017, demonstrating the persistence of this type of human rights violations in Burundi. Most of the sexual violence acts constitute torture, since they were committed with the approval and compliance of State agents, with specific objectives in mind, such as the intimidation or punishment for a supposed political affiliation</w:t>
      </w:r>
      <w:r w:rsidR="009B449F">
        <w:rPr>
          <w:lang w:val="en-GB"/>
        </w:rPr>
        <w:t>.</w:t>
      </w:r>
      <w:r w:rsidRPr="007158E9">
        <w:rPr>
          <w:vertAlign w:val="superscript"/>
          <w:lang w:val="en-GB"/>
        </w:rPr>
        <w:footnoteReference w:id="273"/>
      </w:r>
    </w:p>
    <w:p w14:paraId="741BC76B" w14:textId="40F643AA" w:rsidR="00F35CB9" w:rsidRPr="007158E9" w:rsidRDefault="00F35CB9" w:rsidP="00F35CB9">
      <w:pPr>
        <w:pStyle w:val="SingleTxtG"/>
        <w:ind w:right="567"/>
        <w:rPr>
          <w:lang w:val="en-GB"/>
        </w:rPr>
      </w:pPr>
      <w:r w:rsidRPr="007158E9">
        <w:rPr>
          <w:lang w:val="en-GB"/>
        </w:rPr>
        <w:tab/>
        <w:t>368.</w:t>
      </w:r>
      <w:r w:rsidRPr="007158E9">
        <w:rPr>
          <w:lang w:val="en-GB"/>
        </w:rPr>
        <w:tab/>
        <w:t xml:space="preserve">In addition, sexual violence documented by the Commission amount to both gender-based violence and a form of discrimination against women. They </w:t>
      </w:r>
      <w:r w:rsidR="009B449F">
        <w:rPr>
          <w:lang w:val="en-GB"/>
        </w:rPr>
        <w:t>we</w:t>
      </w:r>
      <w:r w:rsidRPr="007158E9">
        <w:rPr>
          <w:lang w:val="en-GB"/>
        </w:rPr>
        <w:t xml:space="preserve">re perpetrated in a context where the social norms and attitudes, including legal dispositions, promote multiple forms of discrimination and violence against women. Gender-based sexual violence were already widespread before 2015. In November 2016, the Committee for the </w:t>
      </w:r>
      <w:r w:rsidR="009B449F">
        <w:rPr>
          <w:lang w:val="en-GB"/>
        </w:rPr>
        <w:t>Elimination of D</w:t>
      </w:r>
      <w:r w:rsidRPr="007158E9">
        <w:rPr>
          <w:lang w:val="en-GB"/>
        </w:rPr>
        <w:t xml:space="preserve">iscrimination against </w:t>
      </w:r>
      <w:r w:rsidR="009B449F">
        <w:rPr>
          <w:lang w:val="en-GB"/>
        </w:rPr>
        <w:t>W</w:t>
      </w:r>
      <w:r w:rsidRPr="007158E9">
        <w:rPr>
          <w:lang w:val="en-GB"/>
        </w:rPr>
        <w:t xml:space="preserve">omen deplored that “gender-based violence against women is very widespread in the </w:t>
      </w:r>
      <w:r w:rsidR="00C90567">
        <w:rPr>
          <w:lang w:val="en-GB"/>
        </w:rPr>
        <w:t>m</w:t>
      </w:r>
      <w:r w:rsidRPr="007158E9">
        <w:rPr>
          <w:lang w:val="en-GB"/>
        </w:rPr>
        <w:t>ember State and that domestic violence is tolerated, as a result of deeply rooted patriarchal mentalities”</w:t>
      </w:r>
      <w:r w:rsidR="002F707C">
        <w:rPr>
          <w:lang w:val="en-GB"/>
        </w:rPr>
        <w:t>.</w:t>
      </w:r>
      <w:r w:rsidRPr="007158E9">
        <w:rPr>
          <w:vertAlign w:val="superscript"/>
          <w:lang w:val="en-GB"/>
        </w:rPr>
        <w:footnoteReference w:id="274"/>
      </w:r>
      <w:r w:rsidRPr="007158E9">
        <w:rPr>
          <w:lang w:val="en-GB"/>
        </w:rPr>
        <w:t xml:space="preserve"> According to the health and demographic study of 2016 and 2017, whose results were published in April 2018 by Burundian authorities, almost a quarter of surveyed Burundian women declared having been victims of sexual violence compared to only 6</w:t>
      </w:r>
      <w:r w:rsidR="002F707C">
        <w:rPr>
          <w:lang w:val="en-GB"/>
        </w:rPr>
        <w:t> </w:t>
      </w:r>
      <w:r w:rsidRPr="007158E9">
        <w:rPr>
          <w:lang w:val="en-GB"/>
        </w:rPr>
        <w:t>% of men</w:t>
      </w:r>
      <w:r w:rsidR="002F707C">
        <w:rPr>
          <w:lang w:val="en-GB"/>
        </w:rPr>
        <w:t>.</w:t>
      </w:r>
      <w:r w:rsidRPr="007158E9">
        <w:rPr>
          <w:vertAlign w:val="superscript"/>
          <w:lang w:val="en-GB"/>
        </w:rPr>
        <w:footnoteReference w:id="275"/>
      </w:r>
      <w:r w:rsidRPr="007158E9">
        <w:rPr>
          <w:lang w:val="en-GB"/>
        </w:rPr>
        <w:t xml:space="preserve"> There are reasons to fear that the 2015 crisis amplified the risks and the number of cases of sexual violence in Burundi, not only due to the high level of violence in the country and the impunity enjoyed by the perpetrators of human rights violations, but also due to the aggravated poverty which, combined with economic dependence of women on men, also promotes this type of violence</w:t>
      </w:r>
      <w:r w:rsidR="002F707C">
        <w:rPr>
          <w:lang w:val="en-GB"/>
        </w:rPr>
        <w:t>.</w:t>
      </w:r>
      <w:r w:rsidRPr="007158E9">
        <w:rPr>
          <w:vertAlign w:val="superscript"/>
          <w:lang w:val="en-GB"/>
        </w:rPr>
        <w:footnoteReference w:id="276"/>
      </w:r>
    </w:p>
    <w:p w14:paraId="68BE460F"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Main victims</w:t>
      </w:r>
    </w:p>
    <w:p w14:paraId="6692A6C2" w14:textId="22CC96BE" w:rsidR="00F35CB9" w:rsidRPr="007158E9" w:rsidRDefault="00F35CB9" w:rsidP="00F35CB9">
      <w:pPr>
        <w:pStyle w:val="SingleTxtG"/>
        <w:ind w:right="567"/>
        <w:rPr>
          <w:lang w:val="en-GB"/>
        </w:rPr>
      </w:pPr>
      <w:r w:rsidRPr="007158E9">
        <w:rPr>
          <w:lang w:val="en-GB"/>
        </w:rPr>
        <w:t>369.</w:t>
      </w:r>
      <w:r w:rsidRPr="007158E9">
        <w:rPr>
          <w:lang w:val="en-GB"/>
        </w:rPr>
        <w:tab/>
        <w:t>In the majority of cases of sexual violence documented by the Commission since 2017, the victims were women</w:t>
      </w:r>
      <w:r w:rsidR="002F707C">
        <w:rPr>
          <w:lang w:val="en-GB"/>
        </w:rPr>
        <w:t>.</w:t>
      </w:r>
      <w:r w:rsidRPr="007158E9">
        <w:rPr>
          <w:vertAlign w:val="superscript"/>
          <w:lang w:val="en-GB"/>
        </w:rPr>
        <w:footnoteReference w:id="277"/>
      </w:r>
      <w:r w:rsidRPr="007158E9">
        <w:rPr>
          <w:lang w:val="en-GB"/>
        </w:rPr>
        <w:t xml:space="preserve"> Several of them were pregnant at the time of the violations</w:t>
      </w:r>
      <w:r w:rsidR="002F707C">
        <w:rPr>
          <w:lang w:val="en-GB"/>
        </w:rPr>
        <w:t>.</w:t>
      </w:r>
      <w:r w:rsidRPr="007158E9">
        <w:rPr>
          <w:vertAlign w:val="superscript"/>
          <w:lang w:val="en-GB"/>
        </w:rPr>
        <w:footnoteReference w:id="278"/>
      </w:r>
    </w:p>
    <w:p w14:paraId="23143D3D" w14:textId="0E12DC65" w:rsidR="00F35CB9" w:rsidRPr="007158E9" w:rsidRDefault="00F35CB9" w:rsidP="00F35CB9">
      <w:pPr>
        <w:pStyle w:val="SingleTxtG"/>
        <w:ind w:right="567"/>
        <w:rPr>
          <w:lang w:val="en-GB"/>
        </w:rPr>
      </w:pPr>
      <w:r w:rsidRPr="007158E9">
        <w:rPr>
          <w:lang w:val="en-GB"/>
        </w:rPr>
        <w:tab/>
        <w:t>370.</w:t>
      </w:r>
      <w:r w:rsidRPr="007158E9">
        <w:rPr>
          <w:lang w:val="en-GB"/>
        </w:rPr>
        <w:tab/>
        <w:t xml:space="preserve">Most of them were targeted because they and/or their husband refused to join </w:t>
      </w:r>
      <w:r w:rsidR="002F707C">
        <w:rPr>
          <w:lang w:val="en-GB"/>
        </w:rPr>
        <w:t xml:space="preserve">the </w:t>
      </w:r>
      <w:r w:rsidRPr="007158E9">
        <w:rPr>
          <w:lang w:val="en-GB"/>
        </w:rPr>
        <w:t xml:space="preserve">CNDD-FDD or </w:t>
      </w:r>
      <w:r w:rsidR="002F707C">
        <w:rPr>
          <w:lang w:val="en-GB"/>
        </w:rPr>
        <w:t xml:space="preserve">the </w:t>
      </w:r>
      <w:r w:rsidRPr="007158E9">
        <w:rPr>
          <w:lang w:val="en-GB"/>
        </w:rPr>
        <w:t>Imbonerakure</w:t>
      </w:r>
      <w:r w:rsidR="002F707C">
        <w:rPr>
          <w:lang w:val="en-GB"/>
        </w:rPr>
        <w:t>.</w:t>
      </w:r>
      <w:r w:rsidRPr="007158E9">
        <w:rPr>
          <w:vertAlign w:val="superscript"/>
          <w:lang w:val="en-GB"/>
        </w:rPr>
        <w:footnoteReference w:id="279"/>
      </w:r>
      <w:r w:rsidRPr="007158E9">
        <w:rPr>
          <w:lang w:val="en-GB"/>
        </w:rPr>
        <w:t xml:space="preserve"> Some were members of opposition political parties</w:t>
      </w:r>
      <w:r w:rsidR="002F707C">
        <w:rPr>
          <w:lang w:val="en-GB"/>
        </w:rPr>
        <w:t>,</w:t>
      </w:r>
      <w:r w:rsidRPr="007158E9">
        <w:rPr>
          <w:vertAlign w:val="superscript"/>
          <w:lang w:val="en-GB"/>
        </w:rPr>
        <w:footnoteReference w:id="280"/>
      </w:r>
      <w:r w:rsidRPr="007158E9">
        <w:rPr>
          <w:lang w:val="en-GB"/>
        </w:rPr>
        <w:t xml:space="preserve"> but, for several of them, they seem to have been targeted because their spouse belonged to an opposition political party</w:t>
      </w:r>
      <w:r w:rsidR="002F707C">
        <w:rPr>
          <w:lang w:val="en-GB"/>
        </w:rPr>
        <w:t>.</w:t>
      </w:r>
      <w:r w:rsidRPr="007158E9">
        <w:rPr>
          <w:vertAlign w:val="superscript"/>
          <w:lang w:val="en-GB"/>
        </w:rPr>
        <w:footnoteReference w:id="281"/>
      </w:r>
      <w:r w:rsidRPr="007158E9">
        <w:rPr>
          <w:lang w:val="en-GB"/>
        </w:rPr>
        <w:t xml:space="preserve"> Several victims who spoke to the Commission said they had no political affiliation</w:t>
      </w:r>
      <w:r w:rsidR="002F707C">
        <w:rPr>
          <w:lang w:val="en-GB"/>
        </w:rPr>
        <w:t>.</w:t>
      </w:r>
      <w:r w:rsidRPr="007158E9">
        <w:rPr>
          <w:vertAlign w:val="superscript"/>
          <w:lang w:val="en-GB"/>
        </w:rPr>
        <w:footnoteReference w:id="282"/>
      </w:r>
      <w:r w:rsidRPr="007158E9">
        <w:rPr>
          <w:lang w:val="en-GB"/>
        </w:rPr>
        <w:t xml:space="preserve"> A woman declared:</w:t>
      </w:r>
    </w:p>
    <w:p w14:paraId="5A7E220D" w14:textId="6EAAE06D" w:rsidR="00F35CB9" w:rsidRPr="007158E9" w:rsidRDefault="00F35CB9" w:rsidP="00F35CB9">
      <w:pPr>
        <w:pStyle w:val="SingleTxtG"/>
        <w:ind w:left="1701" w:right="567"/>
        <w:rPr>
          <w:i/>
          <w:lang w:val="en-GB"/>
        </w:rPr>
      </w:pPr>
      <w:r w:rsidRPr="007158E9">
        <w:rPr>
          <w:i/>
          <w:lang w:val="en-GB"/>
        </w:rPr>
        <w:tab/>
        <w:t>“While this man was raping me, another one who was standing next t</w:t>
      </w:r>
      <w:r w:rsidR="00574104">
        <w:rPr>
          <w:i/>
          <w:lang w:val="en-GB"/>
        </w:rPr>
        <w:t>o me was saying: ‘</w:t>
      </w:r>
      <w:r w:rsidRPr="007158E9">
        <w:rPr>
          <w:i/>
          <w:lang w:val="en-GB"/>
        </w:rPr>
        <w:t>If your husband had accepted, he would be an Imbonerakure and you a member of CNDD-FDD. But he refused, and because a couple is made up of two people, you must also pay</w:t>
      </w:r>
      <w:r w:rsidR="00574104">
        <w:rPr>
          <w:i/>
          <w:lang w:val="en-GB"/>
        </w:rPr>
        <w:t>’.</w:t>
      </w:r>
      <w:r w:rsidRPr="007158E9">
        <w:rPr>
          <w:i/>
          <w:lang w:val="en-GB"/>
        </w:rPr>
        <w:t>”</w:t>
      </w:r>
      <w:r w:rsidRPr="007158E9">
        <w:rPr>
          <w:vertAlign w:val="superscript"/>
          <w:lang w:val="en-GB"/>
        </w:rPr>
        <w:footnoteReference w:id="283"/>
      </w:r>
    </w:p>
    <w:p w14:paraId="33ED4535" w14:textId="0478076A" w:rsidR="00F35CB9" w:rsidRPr="007158E9" w:rsidRDefault="00F35CB9" w:rsidP="00F35CB9">
      <w:pPr>
        <w:pStyle w:val="SingleTxtG"/>
        <w:ind w:right="567"/>
        <w:rPr>
          <w:lang w:val="en-GB"/>
        </w:rPr>
      </w:pPr>
      <w:r w:rsidRPr="007158E9">
        <w:rPr>
          <w:lang w:val="en-GB"/>
        </w:rPr>
        <w:tab/>
        <w:t>371.</w:t>
      </w:r>
      <w:r w:rsidRPr="007158E9">
        <w:rPr>
          <w:lang w:val="en-GB"/>
        </w:rPr>
        <w:tab/>
        <w:t xml:space="preserve">Men, suspected of belonging to opposition political parties or to support armed groups, have also been victims of sexual violence during their detention, </w:t>
      </w:r>
      <w:r w:rsidR="002F707C">
        <w:rPr>
          <w:lang w:val="en-GB"/>
        </w:rPr>
        <w:t>particularly</w:t>
      </w:r>
      <w:r w:rsidRPr="007158E9">
        <w:rPr>
          <w:lang w:val="en-GB"/>
        </w:rPr>
        <w:t xml:space="preserve"> in order to force them to confess some facts, such as having given weapons to armed opposition groups or having been in contact with the latter</w:t>
      </w:r>
      <w:r w:rsidR="002F707C">
        <w:rPr>
          <w:lang w:val="en-GB"/>
        </w:rPr>
        <w:t>.</w:t>
      </w:r>
      <w:r w:rsidRPr="007158E9">
        <w:rPr>
          <w:vertAlign w:val="superscript"/>
          <w:lang w:val="en-GB"/>
        </w:rPr>
        <w:footnoteReference w:id="284"/>
      </w:r>
    </w:p>
    <w:p w14:paraId="3084DF17" w14:textId="77777777" w:rsidR="00F35CB9" w:rsidRPr="007158E9" w:rsidRDefault="00F35CB9" w:rsidP="00F35CB9">
      <w:pPr>
        <w:pStyle w:val="H4G"/>
        <w:rPr>
          <w:b/>
          <w:i w:val="0"/>
          <w:lang w:val="en-GB"/>
        </w:rPr>
      </w:pPr>
      <w:r w:rsidRPr="007158E9">
        <w:rPr>
          <w:b/>
          <w:i w:val="0"/>
          <w:lang w:val="en-GB"/>
        </w:rPr>
        <w:tab/>
        <w:t>(b)</w:t>
      </w:r>
      <w:r w:rsidRPr="007158E9">
        <w:rPr>
          <w:b/>
          <w:i w:val="0"/>
          <w:lang w:val="en-GB"/>
        </w:rPr>
        <w:tab/>
        <w:t>Main perpetrators</w:t>
      </w:r>
    </w:p>
    <w:p w14:paraId="746F5137" w14:textId="7BB94116" w:rsidR="00F35CB9" w:rsidRPr="007158E9" w:rsidRDefault="00F35CB9" w:rsidP="00F35CB9">
      <w:pPr>
        <w:pStyle w:val="SingleTxtG"/>
        <w:ind w:right="567"/>
        <w:rPr>
          <w:lang w:val="en-GB"/>
        </w:rPr>
      </w:pPr>
      <w:r w:rsidRPr="007158E9">
        <w:rPr>
          <w:lang w:val="en-GB"/>
        </w:rPr>
        <w:t>372.</w:t>
      </w:r>
      <w:r w:rsidRPr="007158E9">
        <w:rPr>
          <w:lang w:val="en-GB"/>
        </w:rPr>
        <w:tab/>
        <w:t xml:space="preserve">State agents, </w:t>
      </w:r>
      <w:r w:rsidR="002F707C">
        <w:rPr>
          <w:lang w:val="en-GB"/>
        </w:rPr>
        <w:t>especially</w:t>
      </w:r>
      <w:r w:rsidRPr="007158E9">
        <w:rPr>
          <w:lang w:val="en-GB"/>
        </w:rPr>
        <w:t xml:space="preserve"> police</w:t>
      </w:r>
      <w:r w:rsidRPr="007158E9">
        <w:rPr>
          <w:vertAlign w:val="superscript"/>
          <w:lang w:val="en-GB"/>
        </w:rPr>
        <w:footnoteReference w:id="285"/>
      </w:r>
      <w:r w:rsidRPr="007158E9">
        <w:rPr>
          <w:lang w:val="en-GB"/>
        </w:rPr>
        <w:t xml:space="preserve"> and SNR</w:t>
      </w:r>
      <w:r w:rsidRPr="007158E9">
        <w:rPr>
          <w:vertAlign w:val="superscript"/>
          <w:lang w:val="en-GB"/>
        </w:rPr>
        <w:footnoteReference w:id="286"/>
      </w:r>
      <w:r w:rsidRPr="007158E9">
        <w:rPr>
          <w:lang w:val="en-GB"/>
        </w:rPr>
        <w:t xml:space="preserve"> agents perpetrated several cases of sexual violence. In most cases however, the victims identified Imbonerakure or persons acting on behalf of CNDD-FDD who previously knew them as perpetrators of sexual violence inflicted on them or amongst persons who accompanied the latter</w:t>
      </w:r>
      <w:r w:rsidR="002F707C">
        <w:rPr>
          <w:lang w:val="en-GB"/>
        </w:rPr>
        <w:t>.</w:t>
      </w:r>
      <w:r w:rsidRPr="007158E9">
        <w:rPr>
          <w:vertAlign w:val="superscript"/>
          <w:lang w:val="en-GB"/>
        </w:rPr>
        <w:footnoteReference w:id="287"/>
      </w:r>
      <w:r w:rsidRPr="007158E9">
        <w:rPr>
          <w:lang w:val="en-GB"/>
        </w:rPr>
        <w:t xml:space="preserve"> According to witness accounts collected by the Commission, these perpetrators generally acted while moving around as part of groups of several men, with no apparent presence of State agents.   </w:t>
      </w:r>
    </w:p>
    <w:p w14:paraId="6D8B9F57" w14:textId="7E000A19" w:rsidR="00F35CB9" w:rsidRPr="007158E9" w:rsidRDefault="00F35CB9" w:rsidP="00F35CB9">
      <w:pPr>
        <w:pStyle w:val="SingleTxtG"/>
        <w:ind w:right="567"/>
        <w:rPr>
          <w:lang w:val="en-GB"/>
        </w:rPr>
      </w:pPr>
      <w:r w:rsidRPr="007158E9">
        <w:rPr>
          <w:lang w:val="en-GB"/>
        </w:rPr>
        <w:tab/>
        <w:t>373.</w:t>
      </w:r>
      <w:r w:rsidRPr="007158E9">
        <w:rPr>
          <w:lang w:val="en-GB"/>
        </w:rPr>
        <w:tab/>
        <w:t xml:space="preserve">In other cases, victims were not able to officially identify the individuals who raped them as Imbonerakure, but the description that they gave, their </w:t>
      </w:r>
      <w:r w:rsidRPr="007158E9">
        <w:rPr>
          <w:i/>
          <w:lang w:val="en-GB"/>
        </w:rPr>
        <w:t>modus operandi</w:t>
      </w:r>
      <w:r w:rsidRPr="007158E9">
        <w:rPr>
          <w:lang w:val="en-GB"/>
        </w:rPr>
        <w:t xml:space="preserve"> or their statements, suggest that they were effectively Imbonerakure</w:t>
      </w:r>
      <w:r w:rsidR="002F707C">
        <w:rPr>
          <w:lang w:val="en-GB"/>
        </w:rPr>
        <w:t>.</w:t>
      </w:r>
      <w:r w:rsidRPr="007158E9">
        <w:rPr>
          <w:vertAlign w:val="superscript"/>
          <w:lang w:val="en-GB"/>
        </w:rPr>
        <w:footnoteReference w:id="288"/>
      </w:r>
      <w:r w:rsidRPr="007158E9">
        <w:rPr>
          <w:lang w:val="en-GB"/>
        </w:rPr>
        <w:t xml:space="preserve"> Amongst the perpetrators of sexual violence, some had fire weapons, grenades, batons or bladed/sharp-edged weapons</w:t>
      </w:r>
      <w:r w:rsidR="002F707C">
        <w:rPr>
          <w:lang w:val="en-GB"/>
        </w:rPr>
        <w:t>.</w:t>
      </w:r>
      <w:r w:rsidRPr="007158E9">
        <w:rPr>
          <w:vertAlign w:val="superscript"/>
          <w:lang w:val="en-GB"/>
        </w:rPr>
        <w:footnoteReference w:id="289"/>
      </w:r>
      <w:r w:rsidRPr="007158E9">
        <w:rPr>
          <w:lang w:val="en-GB"/>
        </w:rPr>
        <w:t xml:space="preserve"> A woman who was raped by several men described their arrival:</w:t>
      </w:r>
    </w:p>
    <w:p w14:paraId="206CD042" w14:textId="127C5E24" w:rsidR="00F35CB9" w:rsidRPr="007158E9" w:rsidRDefault="00F35CB9" w:rsidP="00F35CB9">
      <w:pPr>
        <w:pStyle w:val="SingleTxtG"/>
        <w:ind w:left="1701" w:right="567"/>
        <w:rPr>
          <w:lang w:val="en-GB"/>
        </w:rPr>
      </w:pPr>
      <w:r w:rsidRPr="007158E9">
        <w:rPr>
          <w:lang w:val="en-GB"/>
        </w:rPr>
        <w:tab/>
        <w:t>“</w:t>
      </w:r>
      <w:r w:rsidRPr="007158E9">
        <w:rPr>
          <w:i/>
          <w:lang w:val="en-GB"/>
        </w:rPr>
        <w:t>Men knocked on the door […] around 10 pm, we were all sleeping. I woke up and opened the door. I was only wearing a loincloth. When I opened the door, four men brutally entered the house without my permission. They were wearing black jackets with long sleeves […], trousers, and black hoods. They were wearing gloves and black military boots. They had long rifles, like Kalachnikovs</w:t>
      </w:r>
      <w:r w:rsidRPr="007158E9">
        <w:rPr>
          <w:lang w:val="en-GB"/>
        </w:rPr>
        <w:t>”</w:t>
      </w:r>
      <w:r w:rsidR="002F707C">
        <w:rPr>
          <w:lang w:val="en-GB"/>
        </w:rPr>
        <w:t>.</w:t>
      </w:r>
      <w:r w:rsidRPr="007158E9">
        <w:rPr>
          <w:vertAlign w:val="superscript"/>
          <w:lang w:val="en-GB"/>
        </w:rPr>
        <w:footnoteReference w:id="290"/>
      </w:r>
    </w:p>
    <w:p w14:paraId="097E2D00" w14:textId="77777777" w:rsidR="00F35CB9" w:rsidRPr="007158E9" w:rsidRDefault="00F35CB9" w:rsidP="00F35CB9">
      <w:pPr>
        <w:pStyle w:val="H4G"/>
        <w:rPr>
          <w:b/>
          <w:i w:val="0"/>
          <w:lang w:val="en-GB"/>
        </w:rPr>
      </w:pPr>
      <w:r w:rsidRPr="007158E9">
        <w:rPr>
          <w:b/>
          <w:i w:val="0"/>
          <w:lang w:val="en-GB"/>
        </w:rPr>
        <w:tab/>
        <w:t>(c)</w:t>
      </w:r>
      <w:r w:rsidRPr="007158E9">
        <w:rPr>
          <w:b/>
          <w:i w:val="0"/>
          <w:lang w:val="en-GB"/>
        </w:rPr>
        <w:tab/>
        <w:t xml:space="preserve">Types of sexual violence </w:t>
      </w:r>
    </w:p>
    <w:p w14:paraId="4891153E" w14:textId="09EB4E33" w:rsidR="00F35CB9" w:rsidRPr="007158E9" w:rsidRDefault="00F35CB9" w:rsidP="00F35CB9">
      <w:pPr>
        <w:pStyle w:val="SingleTxtG"/>
        <w:ind w:right="567"/>
        <w:rPr>
          <w:lang w:val="en-GB"/>
        </w:rPr>
      </w:pPr>
      <w:r w:rsidRPr="007158E9">
        <w:rPr>
          <w:lang w:val="en-GB"/>
        </w:rPr>
        <w:tab/>
        <w:t>374.</w:t>
      </w:r>
      <w:r w:rsidRPr="007158E9">
        <w:rPr>
          <w:lang w:val="en-GB"/>
        </w:rPr>
        <w:tab/>
        <w:t>The majority of sexual violence committed in 2017 and 2018 against women were mostly rape, sometimes collective rape, under threat, coercion and/or control of one or several men</w:t>
      </w:r>
      <w:r w:rsidR="002F707C">
        <w:rPr>
          <w:lang w:val="en-GB"/>
        </w:rPr>
        <w:t>.</w:t>
      </w:r>
      <w:r w:rsidRPr="007158E9">
        <w:rPr>
          <w:vertAlign w:val="superscript"/>
          <w:lang w:val="en-GB"/>
        </w:rPr>
        <w:footnoteReference w:id="291"/>
      </w:r>
      <w:r w:rsidRPr="007158E9">
        <w:rPr>
          <w:lang w:val="en-GB"/>
        </w:rPr>
        <w:t xml:space="preserve"> Other forms of physical violence against women and their families often accompanied these rapes</w:t>
      </w:r>
      <w:r w:rsidR="002F707C">
        <w:rPr>
          <w:lang w:val="en-GB"/>
        </w:rPr>
        <w:t>.</w:t>
      </w:r>
      <w:r w:rsidRPr="007158E9">
        <w:rPr>
          <w:vertAlign w:val="superscript"/>
          <w:lang w:val="en-GB"/>
        </w:rPr>
        <w:footnoteReference w:id="292"/>
      </w:r>
      <w:r w:rsidRPr="007158E9">
        <w:rPr>
          <w:lang w:val="en-GB"/>
        </w:rPr>
        <w:t xml:space="preserve"> Victims explained to the Commission how they were raped:</w:t>
      </w:r>
    </w:p>
    <w:p w14:paraId="00E8C6DD" w14:textId="65E2F6AD" w:rsidR="00F35CB9" w:rsidRPr="007158E9" w:rsidRDefault="00F35CB9" w:rsidP="00F35CB9">
      <w:pPr>
        <w:pStyle w:val="SingleTxtG"/>
        <w:ind w:left="1701" w:right="567"/>
        <w:rPr>
          <w:i/>
          <w:lang w:val="en-GB"/>
        </w:rPr>
      </w:pPr>
      <w:r w:rsidRPr="007158E9">
        <w:rPr>
          <w:i/>
          <w:lang w:val="en-GB"/>
        </w:rPr>
        <w:tab/>
        <w:t>“After the slaps I received, I was half unconscious and I could not even scream anymore. I fought with my arms, in part because the hand that he had over my mouth was suffocating me. The man in front of me spread my legs with his arms. At the same time, the one behind me was holding me tight so that I could not move. The men penetrated me with their penis one after the other […]”</w:t>
      </w:r>
      <w:r w:rsidR="002F707C">
        <w:rPr>
          <w:i/>
          <w:lang w:val="en-GB"/>
        </w:rPr>
        <w:t>.</w:t>
      </w:r>
      <w:r w:rsidRPr="007158E9">
        <w:rPr>
          <w:vertAlign w:val="superscript"/>
          <w:lang w:val="en-GB"/>
        </w:rPr>
        <w:footnoteReference w:id="293"/>
      </w:r>
    </w:p>
    <w:p w14:paraId="7D21CFDE" w14:textId="3E919D41" w:rsidR="00F35CB9" w:rsidRPr="007158E9" w:rsidRDefault="00F35CB9" w:rsidP="00F35CB9">
      <w:pPr>
        <w:pStyle w:val="SingleTxtG"/>
        <w:ind w:left="1701" w:right="567"/>
        <w:rPr>
          <w:i/>
          <w:lang w:val="en-GB"/>
        </w:rPr>
      </w:pPr>
      <w:r w:rsidRPr="007158E9">
        <w:rPr>
          <w:i/>
          <w:lang w:val="en-GB"/>
        </w:rPr>
        <w:tab/>
        <w:t xml:space="preserve">“He spread my legs very widely and that hurt around the hips. I could not stop </w:t>
      </w:r>
      <w:r w:rsidR="002F707C">
        <w:rPr>
          <w:i/>
          <w:lang w:val="en-GB"/>
        </w:rPr>
        <w:t>screaming</w:t>
      </w:r>
      <w:r w:rsidRPr="007158E9">
        <w:rPr>
          <w:i/>
          <w:lang w:val="en-GB"/>
        </w:rPr>
        <w:t xml:space="preserve"> because he was hurting me a lot [...] The man held me on the ground by my upper arms with his hands and penetrated my vagina with his penis. [...] He did all he could to hold me still [...]”</w:t>
      </w:r>
      <w:r w:rsidR="002F707C">
        <w:rPr>
          <w:i/>
          <w:lang w:val="en-GB"/>
        </w:rPr>
        <w:t>.</w:t>
      </w:r>
      <w:r w:rsidRPr="007158E9">
        <w:rPr>
          <w:vertAlign w:val="superscript"/>
          <w:lang w:val="en-GB"/>
        </w:rPr>
        <w:footnoteReference w:id="294"/>
      </w:r>
    </w:p>
    <w:p w14:paraId="153071B6" w14:textId="1463796C" w:rsidR="00F35CB9" w:rsidRPr="007158E9" w:rsidRDefault="00F35CB9" w:rsidP="00F35CB9">
      <w:pPr>
        <w:pStyle w:val="SingleTxtG"/>
        <w:ind w:right="567"/>
        <w:rPr>
          <w:i/>
          <w:lang w:val="en-GB"/>
        </w:rPr>
      </w:pPr>
      <w:r w:rsidRPr="007158E9">
        <w:rPr>
          <w:lang w:val="en-GB"/>
        </w:rPr>
        <w:t>375.</w:t>
      </w:r>
      <w:r w:rsidRPr="007158E9">
        <w:rPr>
          <w:lang w:val="en-GB"/>
        </w:rPr>
        <w:tab/>
        <w:t xml:space="preserve">Several victims also reported to the Commission the death threats profferred against them by the perpretrators, either during the rapes to stop them from fighting back, or after the rape to intimidate them so that they do not </w:t>
      </w:r>
      <w:r w:rsidR="002F707C">
        <w:rPr>
          <w:lang w:val="en-GB"/>
        </w:rPr>
        <w:t>report</w:t>
      </w:r>
      <w:r w:rsidRPr="007158E9">
        <w:rPr>
          <w:lang w:val="en-GB"/>
        </w:rPr>
        <w:t xml:space="preserve"> it</w:t>
      </w:r>
      <w:r w:rsidR="002F707C">
        <w:rPr>
          <w:lang w:val="en-GB"/>
        </w:rPr>
        <w:t>.</w:t>
      </w:r>
      <w:r w:rsidRPr="007158E9">
        <w:rPr>
          <w:vertAlign w:val="superscript"/>
          <w:lang w:val="en-GB"/>
        </w:rPr>
        <w:footnoteReference w:id="295"/>
      </w:r>
      <w:r w:rsidRPr="007158E9">
        <w:rPr>
          <w:lang w:val="en-GB"/>
        </w:rPr>
        <w:t xml:space="preserve"> Two women who were raped told the Commission:</w:t>
      </w:r>
    </w:p>
    <w:p w14:paraId="7E870E15" w14:textId="2CB2553E" w:rsidR="00F35CB9" w:rsidRPr="007158E9" w:rsidRDefault="00F35CB9" w:rsidP="00F35CB9">
      <w:pPr>
        <w:pStyle w:val="SingleTxtG"/>
        <w:ind w:left="1701" w:right="567"/>
        <w:rPr>
          <w:i/>
          <w:lang w:val="en-GB"/>
        </w:rPr>
      </w:pPr>
      <w:r w:rsidRPr="007158E9">
        <w:rPr>
          <w:i/>
          <w:lang w:val="en-GB"/>
        </w:rPr>
        <w:tab/>
        <w:t>“[The man] took a granade and p</w:t>
      </w:r>
      <w:r w:rsidR="006C5215">
        <w:rPr>
          <w:i/>
          <w:lang w:val="en-GB"/>
        </w:rPr>
        <w:t>ut it on my chest. He told me: ‘</w:t>
      </w:r>
      <w:r w:rsidRPr="007158E9">
        <w:rPr>
          <w:i/>
          <w:lang w:val="en-GB"/>
        </w:rPr>
        <w:t>We are going to detonate it if you continue to scream</w:t>
      </w:r>
      <w:r w:rsidR="006C5215">
        <w:rPr>
          <w:i/>
          <w:lang w:val="en-GB"/>
        </w:rPr>
        <w:t>’.</w:t>
      </w:r>
      <w:r w:rsidRPr="007158E9">
        <w:rPr>
          <w:i/>
          <w:lang w:val="en-GB"/>
        </w:rPr>
        <w:t>”</w:t>
      </w:r>
      <w:r w:rsidRPr="007158E9">
        <w:rPr>
          <w:vertAlign w:val="superscript"/>
          <w:lang w:val="en-GB"/>
        </w:rPr>
        <w:footnoteReference w:id="296"/>
      </w:r>
    </w:p>
    <w:p w14:paraId="1E3439F6" w14:textId="7BC60B60" w:rsidR="00F35CB9" w:rsidRPr="007158E9" w:rsidRDefault="00F35CB9" w:rsidP="00F35CB9">
      <w:pPr>
        <w:pStyle w:val="SingleTxtG"/>
        <w:ind w:left="1701" w:right="567"/>
        <w:rPr>
          <w:lang w:val="en-GB"/>
        </w:rPr>
      </w:pPr>
      <w:r w:rsidRPr="007158E9">
        <w:rPr>
          <w:i/>
          <w:lang w:val="en-GB"/>
        </w:rPr>
        <w:tab/>
        <w:t>“As he left, the aggr</w:t>
      </w:r>
      <w:r w:rsidR="006C5215">
        <w:rPr>
          <w:i/>
          <w:lang w:val="en-GB"/>
        </w:rPr>
        <w:t>essor told me: ‘</w:t>
      </w:r>
      <w:r w:rsidRPr="007158E9">
        <w:rPr>
          <w:i/>
          <w:lang w:val="en-GB"/>
        </w:rPr>
        <w:t>If you denounce me, […], you will see, I will come back and cut you in pieces</w:t>
      </w:r>
      <w:r w:rsidR="006C5215">
        <w:rPr>
          <w:i/>
          <w:lang w:val="en-GB"/>
        </w:rPr>
        <w:t>’.</w:t>
      </w:r>
      <w:r w:rsidRPr="007158E9">
        <w:rPr>
          <w:i/>
          <w:lang w:val="en-GB"/>
        </w:rPr>
        <w:t>”</w:t>
      </w:r>
      <w:r w:rsidRPr="007158E9">
        <w:rPr>
          <w:vertAlign w:val="superscript"/>
          <w:lang w:val="en-GB"/>
        </w:rPr>
        <w:footnoteReference w:id="297"/>
      </w:r>
    </w:p>
    <w:p w14:paraId="54A04F6F" w14:textId="758ECDA5" w:rsidR="00F35CB9" w:rsidRPr="007158E9" w:rsidRDefault="00F35CB9" w:rsidP="00F35CB9">
      <w:pPr>
        <w:pStyle w:val="SingleTxtG"/>
        <w:ind w:right="567"/>
        <w:rPr>
          <w:lang w:val="en-GB"/>
        </w:rPr>
      </w:pPr>
      <w:r w:rsidRPr="007158E9">
        <w:rPr>
          <w:lang w:val="en-GB"/>
        </w:rPr>
        <w:t>376.</w:t>
      </w:r>
      <w:r w:rsidRPr="007158E9">
        <w:rPr>
          <w:lang w:val="en-GB"/>
        </w:rPr>
        <w:tab/>
        <w:t>The sexual violence committed against men in 2017 and 2018 include cuts and injections on the genital parts, as well as stretches of testes, causing severe pains</w:t>
      </w:r>
      <w:r w:rsidR="006F42EE">
        <w:rPr>
          <w:lang w:val="en-GB"/>
        </w:rPr>
        <w:t>.</w:t>
      </w:r>
      <w:r w:rsidRPr="007158E9">
        <w:rPr>
          <w:vertAlign w:val="superscript"/>
          <w:lang w:val="en-GB"/>
        </w:rPr>
        <w:footnoteReference w:id="298"/>
      </w:r>
      <w:r w:rsidRPr="007158E9">
        <w:rPr>
          <w:lang w:val="en-GB"/>
        </w:rPr>
        <w:t xml:space="preserve"> In all cases, these men were forced </w:t>
      </w:r>
      <w:r w:rsidR="006F42EE">
        <w:rPr>
          <w:lang w:val="en-GB"/>
        </w:rPr>
        <w:t>to partially or totally disrobe</w:t>
      </w:r>
      <w:r w:rsidRPr="007158E9">
        <w:rPr>
          <w:lang w:val="en-GB"/>
        </w:rPr>
        <w:t xml:space="preserve"> and to stay</w:t>
      </w:r>
      <w:r w:rsidR="006F42EE">
        <w:rPr>
          <w:lang w:val="en-GB"/>
        </w:rPr>
        <w:t xml:space="preserve"> naked during prolonged periods</w:t>
      </w:r>
      <w:r w:rsidRPr="007158E9">
        <w:rPr>
          <w:lang w:val="en-GB"/>
        </w:rPr>
        <w:t xml:space="preserve"> while being interrogated or subjected to other forms of torture and cruel, inhumane or degrading treatment</w:t>
      </w:r>
      <w:r w:rsidR="006F42EE">
        <w:rPr>
          <w:lang w:val="en-GB"/>
        </w:rPr>
        <w:t>.</w:t>
      </w:r>
      <w:r w:rsidRPr="007158E9">
        <w:rPr>
          <w:vertAlign w:val="superscript"/>
          <w:lang w:val="en-GB"/>
        </w:rPr>
        <w:footnoteReference w:id="299"/>
      </w:r>
    </w:p>
    <w:p w14:paraId="25143097" w14:textId="77777777" w:rsidR="00F35CB9" w:rsidRPr="007158E9" w:rsidRDefault="00F35CB9" w:rsidP="00F35CB9">
      <w:pPr>
        <w:pStyle w:val="H4G"/>
        <w:rPr>
          <w:b/>
          <w:i w:val="0"/>
          <w:lang w:val="en-GB"/>
        </w:rPr>
      </w:pPr>
      <w:r w:rsidRPr="007158E9">
        <w:rPr>
          <w:b/>
          <w:i w:val="0"/>
          <w:lang w:val="en-GB"/>
        </w:rPr>
        <w:tab/>
        <w:t>(d)</w:t>
      </w:r>
      <w:r w:rsidRPr="007158E9">
        <w:rPr>
          <w:b/>
          <w:i w:val="0"/>
          <w:lang w:val="en-GB"/>
        </w:rPr>
        <w:tab/>
        <w:t>Operating modes</w:t>
      </w:r>
    </w:p>
    <w:p w14:paraId="1298CD7A" w14:textId="1D499618" w:rsidR="00F35CB9" w:rsidRPr="007158E9" w:rsidRDefault="00F35CB9" w:rsidP="00F35CB9">
      <w:pPr>
        <w:pStyle w:val="SingleTxtG"/>
        <w:ind w:right="567"/>
        <w:rPr>
          <w:lang w:val="en-GB"/>
        </w:rPr>
      </w:pPr>
      <w:r w:rsidRPr="007158E9">
        <w:rPr>
          <w:lang w:val="en-GB"/>
        </w:rPr>
        <w:tab/>
        <w:t>377.</w:t>
      </w:r>
      <w:r w:rsidRPr="007158E9">
        <w:rPr>
          <w:lang w:val="en-GB"/>
        </w:rPr>
        <w:tab/>
        <w:t>Sexual violence against women has, for the most part, been committed during nocturnal raids specifically targeting their household. The perpetrators seem to have taken great care making their identification very difficult, such as the nocturnal attacks</w:t>
      </w:r>
      <w:r w:rsidRPr="007158E9">
        <w:rPr>
          <w:vertAlign w:val="superscript"/>
          <w:lang w:val="en-GB"/>
        </w:rPr>
        <w:footnoteReference w:id="300"/>
      </w:r>
      <w:r w:rsidRPr="007158E9">
        <w:rPr>
          <w:lang w:val="en-GB"/>
        </w:rPr>
        <w:t xml:space="preserve"> and in some cases by wearing hoods</w:t>
      </w:r>
      <w:r w:rsidR="006F42EE">
        <w:rPr>
          <w:lang w:val="en-GB"/>
        </w:rPr>
        <w:t>.</w:t>
      </w:r>
      <w:r w:rsidRPr="007158E9">
        <w:rPr>
          <w:vertAlign w:val="superscript"/>
          <w:lang w:val="en-GB"/>
        </w:rPr>
        <w:footnoteReference w:id="301"/>
      </w:r>
    </w:p>
    <w:p w14:paraId="0B0F72C7" w14:textId="000613FA" w:rsidR="00F35CB9" w:rsidRPr="007158E9" w:rsidRDefault="00F35CB9" w:rsidP="00F35CB9">
      <w:pPr>
        <w:pStyle w:val="SingleTxtG"/>
        <w:ind w:right="567"/>
        <w:rPr>
          <w:lang w:val="en-GB"/>
        </w:rPr>
      </w:pPr>
      <w:r w:rsidRPr="007158E9">
        <w:rPr>
          <w:lang w:val="en-GB"/>
        </w:rPr>
        <w:tab/>
        <w:t>378.</w:t>
      </w:r>
      <w:r w:rsidRPr="007158E9">
        <w:rPr>
          <w:lang w:val="en-GB"/>
        </w:rPr>
        <w:tab/>
        <w:t>Generally, the perpetrators entered the home of the victims while the persons in the ho</w:t>
      </w:r>
      <w:r w:rsidR="006F42EE">
        <w:rPr>
          <w:lang w:val="en-GB"/>
        </w:rPr>
        <w:t>us</w:t>
      </w:r>
      <w:r w:rsidRPr="007158E9">
        <w:rPr>
          <w:lang w:val="en-GB"/>
        </w:rPr>
        <w:t xml:space="preserve">e were already sleeping. One or several assailants then attacked the women who were </w:t>
      </w:r>
      <w:r w:rsidR="006F42EE">
        <w:rPr>
          <w:lang w:val="en-GB"/>
        </w:rPr>
        <w:t>present</w:t>
      </w:r>
      <w:r w:rsidRPr="007158E9">
        <w:rPr>
          <w:lang w:val="en-GB"/>
        </w:rPr>
        <w:t>. Sometimes, the women were alone with their children. One of them testified:</w:t>
      </w:r>
    </w:p>
    <w:p w14:paraId="6AB2EB45" w14:textId="24E3CCC6" w:rsidR="00F35CB9" w:rsidRPr="007158E9" w:rsidRDefault="00F35CB9" w:rsidP="00F35CB9">
      <w:pPr>
        <w:pStyle w:val="SingleTxtG"/>
        <w:ind w:left="1701" w:right="567"/>
        <w:rPr>
          <w:i/>
          <w:lang w:val="en-GB"/>
        </w:rPr>
      </w:pPr>
      <w:r w:rsidRPr="007158E9">
        <w:rPr>
          <w:i/>
          <w:lang w:val="en-GB"/>
        </w:rPr>
        <w:tab/>
        <w:t xml:space="preserve">“[…] around midnight, I heard knocks […] since I was home alone with the kids, I did not go out to see what was happening […] two men [...] forced the door open. […] I came out of my room running and screaming: “Do not kill </w:t>
      </w:r>
      <w:r w:rsidR="006C5215">
        <w:rPr>
          <w:i/>
          <w:lang w:val="en-GB"/>
        </w:rPr>
        <w:t>my children!”. They responded: ‘</w:t>
      </w:r>
      <w:r w:rsidRPr="007158E9">
        <w:rPr>
          <w:i/>
          <w:lang w:val="en-GB"/>
        </w:rPr>
        <w:t>You’re the one we are looking for</w:t>
      </w:r>
      <w:r w:rsidR="006C5215">
        <w:rPr>
          <w:i/>
          <w:lang w:val="en-GB"/>
        </w:rPr>
        <w:t>’</w:t>
      </w:r>
      <w:r w:rsidRPr="007158E9">
        <w:rPr>
          <w:i/>
          <w:lang w:val="en-GB"/>
        </w:rPr>
        <w:t> […]”</w:t>
      </w:r>
      <w:r w:rsidR="006F42EE">
        <w:rPr>
          <w:i/>
          <w:lang w:val="en-GB"/>
        </w:rPr>
        <w:t>.</w:t>
      </w:r>
      <w:r w:rsidRPr="007158E9">
        <w:rPr>
          <w:vertAlign w:val="superscript"/>
          <w:lang w:val="en-GB"/>
        </w:rPr>
        <w:footnoteReference w:id="302"/>
      </w:r>
    </w:p>
    <w:p w14:paraId="6CF8B1FF" w14:textId="74573F50" w:rsidR="00F35CB9" w:rsidRPr="007158E9" w:rsidRDefault="00F35CB9" w:rsidP="00F35CB9">
      <w:pPr>
        <w:pStyle w:val="SingleTxtG"/>
        <w:ind w:right="567"/>
        <w:rPr>
          <w:noProof/>
          <w:lang w:val="en-GB"/>
        </w:rPr>
      </w:pPr>
      <w:r w:rsidRPr="007158E9">
        <w:rPr>
          <w:noProof/>
          <w:lang w:val="en-GB"/>
        </w:rPr>
        <w:tab/>
        <w:t>379.</w:t>
      </w:r>
      <w:r w:rsidRPr="007158E9">
        <w:rPr>
          <w:noProof/>
          <w:lang w:val="en-GB"/>
        </w:rPr>
        <w:tab/>
        <w:t xml:space="preserve">When the spouses or other men in the family were present, they were generally subjected to violence or taken away from the house. In several cases, they disappeared, probably having been </w:t>
      </w:r>
      <w:r w:rsidR="006F42EE">
        <w:rPr>
          <w:noProof/>
          <w:lang w:val="en-GB"/>
        </w:rPr>
        <w:t>abduct</w:t>
      </w:r>
      <w:r w:rsidRPr="007158E9">
        <w:rPr>
          <w:noProof/>
          <w:lang w:val="en-GB"/>
        </w:rPr>
        <w:t>ed. Th</w:t>
      </w:r>
      <w:r w:rsidR="006F42EE">
        <w:rPr>
          <w:noProof/>
          <w:lang w:val="en-GB"/>
        </w:rPr>
        <w:t xml:space="preserve">e women who testified about such abductions </w:t>
      </w:r>
      <w:r w:rsidRPr="007158E9">
        <w:rPr>
          <w:noProof/>
          <w:lang w:val="en-GB"/>
        </w:rPr>
        <w:t xml:space="preserve">do not know the fate of their relatives nor the place where they are. </w:t>
      </w:r>
      <w:r w:rsidR="006F42EE">
        <w:rPr>
          <w:noProof/>
          <w:lang w:val="en-GB"/>
        </w:rPr>
        <w:t xml:space="preserve">There is ground to fear that these </w:t>
      </w:r>
      <w:r w:rsidRPr="007158E9">
        <w:rPr>
          <w:noProof/>
          <w:lang w:val="en-GB"/>
        </w:rPr>
        <w:t xml:space="preserve">persons </w:t>
      </w:r>
      <w:r w:rsidR="006F42EE">
        <w:rPr>
          <w:noProof/>
          <w:lang w:val="en-GB"/>
        </w:rPr>
        <w:t>a</w:t>
      </w:r>
      <w:r w:rsidRPr="007158E9">
        <w:rPr>
          <w:noProof/>
          <w:lang w:val="en-GB"/>
        </w:rPr>
        <w:t>re victims of forced disappearance</w:t>
      </w:r>
      <w:r w:rsidR="006F42EE">
        <w:rPr>
          <w:noProof/>
          <w:lang w:val="en-GB"/>
        </w:rPr>
        <w:t>.</w:t>
      </w:r>
      <w:r w:rsidRPr="007158E9">
        <w:rPr>
          <w:noProof/>
          <w:vertAlign w:val="superscript"/>
          <w:lang w:val="en-GB"/>
        </w:rPr>
        <w:footnoteReference w:id="303"/>
      </w:r>
    </w:p>
    <w:p w14:paraId="1BD16E1D" w14:textId="691F8A30" w:rsidR="00F35CB9" w:rsidRPr="007158E9" w:rsidRDefault="00F35CB9" w:rsidP="001D39F4">
      <w:pPr>
        <w:pStyle w:val="SingleTxtG"/>
        <w:ind w:left="1138" w:right="562"/>
        <w:rPr>
          <w:noProof/>
          <w:lang w:val="en-GB"/>
        </w:rPr>
      </w:pPr>
      <w:r w:rsidRPr="007158E9">
        <w:rPr>
          <w:noProof/>
          <w:lang w:val="en-GB"/>
        </w:rPr>
        <w:t>380.</w:t>
      </w:r>
      <w:r w:rsidRPr="007158E9">
        <w:rPr>
          <w:noProof/>
          <w:lang w:val="en-GB"/>
        </w:rPr>
        <w:tab/>
        <w:t>Many of these victims and their families had been previously harassed or spied on by Imbonerakure, either because they wanted to recruit the men within CNDD-FDD, or because of th</w:t>
      </w:r>
      <w:r w:rsidR="006F42EE">
        <w:rPr>
          <w:noProof/>
          <w:lang w:val="en-GB"/>
        </w:rPr>
        <w:t>eir presumed opposition to the G</w:t>
      </w:r>
      <w:r w:rsidRPr="007158E9">
        <w:rPr>
          <w:noProof/>
          <w:lang w:val="en-GB"/>
        </w:rPr>
        <w:t>overnment</w:t>
      </w:r>
      <w:r w:rsidR="006F42EE">
        <w:rPr>
          <w:noProof/>
          <w:lang w:val="en-GB"/>
        </w:rPr>
        <w:t>.</w:t>
      </w:r>
      <w:r w:rsidRPr="007158E9">
        <w:rPr>
          <w:noProof/>
          <w:vertAlign w:val="superscript"/>
          <w:lang w:val="en-GB"/>
        </w:rPr>
        <w:footnoteReference w:id="304"/>
      </w:r>
      <w:r w:rsidRPr="007158E9">
        <w:rPr>
          <w:noProof/>
          <w:lang w:val="en-GB"/>
        </w:rPr>
        <w:t xml:space="preserve"> A victim told the Commission:</w:t>
      </w:r>
    </w:p>
    <w:p w14:paraId="4C7A065B" w14:textId="08AEE75B" w:rsidR="00F35CB9" w:rsidRPr="007158E9" w:rsidRDefault="00F35CB9" w:rsidP="00F35CB9">
      <w:pPr>
        <w:pStyle w:val="SingleTxtG"/>
        <w:ind w:left="1701" w:right="567"/>
        <w:rPr>
          <w:noProof/>
          <w:lang w:val="en-GB"/>
        </w:rPr>
      </w:pPr>
      <w:r w:rsidRPr="007158E9">
        <w:rPr>
          <w:i/>
          <w:noProof/>
          <w:lang w:val="en-GB"/>
        </w:rPr>
        <w:tab/>
        <w:t xml:space="preserve">“[Even]if during the day everything went well for us, people came to </w:t>
      </w:r>
      <w:r w:rsidR="006F42EE">
        <w:rPr>
          <w:i/>
          <w:noProof/>
          <w:lang w:val="en-GB"/>
        </w:rPr>
        <w:t>scare</w:t>
      </w:r>
      <w:r w:rsidRPr="007158E9">
        <w:rPr>
          <w:i/>
          <w:noProof/>
          <w:lang w:val="en-GB"/>
        </w:rPr>
        <w:t xml:space="preserve"> us during the night, knocking on the door, walking around the house while making noise, etc.  […] After around two months of nocturnal harassment, men came at around midnight and […] I was raped so violently that I had to be hospitalised. My husband […] was kidnapped, and our house looted”</w:t>
      </w:r>
      <w:r w:rsidR="0017044A">
        <w:rPr>
          <w:i/>
          <w:noProof/>
          <w:lang w:val="en-GB"/>
        </w:rPr>
        <w:t>.</w:t>
      </w:r>
      <w:r w:rsidRPr="007158E9">
        <w:rPr>
          <w:noProof/>
          <w:vertAlign w:val="superscript"/>
          <w:lang w:val="en-GB"/>
        </w:rPr>
        <w:footnoteReference w:id="305"/>
      </w:r>
    </w:p>
    <w:p w14:paraId="0052B744" w14:textId="3AAE1AFD" w:rsidR="00F35CB9" w:rsidRPr="007158E9" w:rsidRDefault="00F35CB9" w:rsidP="00F35CB9">
      <w:pPr>
        <w:pStyle w:val="SingleTxtG"/>
        <w:ind w:right="567"/>
        <w:rPr>
          <w:noProof/>
          <w:lang w:val="en-GB"/>
        </w:rPr>
      </w:pPr>
      <w:r w:rsidRPr="007158E9">
        <w:rPr>
          <w:noProof/>
          <w:lang w:val="en-GB"/>
        </w:rPr>
        <w:t>381.</w:t>
      </w:r>
      <w:r w:rsidRPr="007158E9">
        <w:rPr>
          <w:noProof/>
          <w:lang w:val="en-GB"/>
        </w:rPr>
        <w:tab/>
        <w:t>Sexual violence against men have been committed during their detention in order to force them to speak, mainly in the places that are under the responsibility of SNR</w:t>
      </w:r>
      <w:r w:rsidR="0017044A">
        <w:rPr>
          <w:noProof/>
          <w:lang w:val="en-GB"/>
        </w:rPr>
        <w:t>.</w:t>
      </w:r>
      <w:r w:rsidRPr="007158E9">
        <w:rPr>
          <w:noProof/>
          <w:vertAlign w:val="superscript"/>
          <w:lang w:val="en-GB"/>
        </w:rPr>
        <w:footnoteReference w:id="306"/>
      </w:r>
    </w:p>
    <w:p w14:paraId="3980F7AB" w14:textId="2A4661BB" w:rsidR="006819E0" w:rsidRPr="007158E9" w:rsidRDefault="006C46FD" w:rsidP="009F1B2A">
      <w:pPr>
        <w:pStyle w:val="H4G"/>
        <w:ind w:left="1138" w:right="1138" w:hanging="1138"/>
        <w:rPr>
          <w:b/>
          <w:i w:val="0"/>
          <w:lang w:val="en-GB"/>
        </w:rPr>
      </w:pPr>
      <w:r w:rsidRPr="007158E9">
        <w:rPr>
          <w:b/>
          <w:i w:val="0"/>
          <w:lang w:val="en-GB"/>
        </w:rPr>
        <w:tab/>
      </w:r>
      <w:r w:rsidR="006819E0" w:rsidRPr="007158E9">
        <w:rPr>
          <w:b/>
          <w:i w:val="0"/>
          <w:lang w:val="en-GB"/>
        </w:rPr>
        <w:t>(e)</w:t>
      </w:r>
      <w:r w:rsidR="006819E0" w:rsidRPr="007158E9">
        <w:rPr>
          <w:b/>
          <w:i w:val="0"/>
          <w:lang w:val="en-GB"/>
        </w:rPr>
        <w:tab/>
        <w:t>Im</w:t>
      </w:r>
      <w:r w:rsidRPr="007158E9">
        <w:rPr>
          <w:b/>
          <w:i w:val="0"/>
          <w:lang w:val="en-GB"/>
        </w:rPr>
        <w:t>punit</w:t>
      </w:r>
      <w:r w:rsidR="00427DAE" w:rsidRPr="007158E9">
        <w:rPr>
          <w:b/>
          <w:i w:val="0"/>
          <w:lang w:val="en-GB"/>
        </w:rPr>
        <w:t>y</w:t>
      </w:r>
    </w:p>
    <w:p w14:paraId="7205734D" w14:textId="08FA231F" w:rsidR="006C12D2" w:rsidRPr="007158E9" w:rsidRDefault="006B05D6" w:rsidP="001A5901">
      <w:pPr>
        <w:pStyle w:val="SingleTxtG"/>
        <w:numPr>
          <w:ilvl w:val="0"/>
          <w:numId w:val="27"/>
        </w:numPr>
        <w:ind w:left="1138" w:right="562" w:firstLine="0"/>
        <w:rPr>
          <w:lang w:val="en-GB"/>
        </w:rPr>
      </w:pPr>
      <w:r w:rsidRPr="007158E9">
        <w:rPr>
          <w:noProof/>
          <w:lang w:val="en-GB"/>
        </w:rPr>
        <w:t>According to statements collected by the Commission from victims, witnesses and</w:t>
      </w:r>
      <w:r w:rsidRPr="007158E9">
        <w:rPr>
          <w:lang w:val="en-GB"/>
        </w:rPr>
        <w:t xml:space="preserve"> lawyers, women subjected to sexual violence rarely seek justice because they often lack support from close family members and friends. Out of shame, most of them choose to remain silent in order to keep their ordeal secret</w:t>
      </w:r>
      <w:r w:rsidR="0017044A">
        <w:rPr>
          <w:lang w:val="en-GB"/>
        </w:rPr>
        <w:t>.</w:t>
      </w:r>
      <w:r w:rsidRPr="007158E9">
        <w:rPr>
          <w:noProof/>
          <w:vertAlign w:val="superscript"/>
          <w:lang w:val="en-GB"/>
        </w:rPr>
        <w:footnoteReference w:id="307"/>
      </w:r>
      <w:r w:rsidRPr="007158E9">
        <w:rPr>
          <w:lang w:val="en-GB"/>
        </w:rPr>
        <w:t xml:space="preserve"> Moreover, the lack of trust in the judicial system</w:t>
      </w:r>
      <w:r w:rsidR="0017044A">
        <w:rPr>
          <w:lang w:val="en-GB"/>
        </w:rPr>
        <w:t>,</w:t>
      </w:r>
      <w:r w:rsidRPr="007158E9">
        <w:rPr>
          <w:noProof/>
          <w:vertAlign w:val="superscript"/>
          <w:lang w:val="en-GB"/>
        </w:rPr>
        <w:footnoteReference w:id="308"/>
      </w:r>
      <w:r w:rsidRPr="007158E9">
        <w:rPr>
          <w:lang w:val="en-GB"/>
        </w:rPr>
        <w:t xml:space="preserve"> difficulties accessing legal advice and the need to produce a medical certificate in order to initiate legal proceedings constitute additional obstacles to filing complaints</w:t>
      </w:r>
      <w:r w:rsidR="0017044A">
        <w:rPr>
          <w:lang w:val="en-GB"/>
        </w:rPr>
        <w:t>.</w:t>
      </w:r>
      <w:r w:rsidRPr="007158E9">
        <w:rPr>
          <w:noProof/>
          <w:vertAlign w:val="superscript"/>
          <w:lang w:val="en-GB"/>
        </w:rPr>
        <w:footnoteReference w:id="309"/>
      </w:r>
      <w:r w:rsidRPr="007158E9">
        <w:rPr>
          <w:lang w:val="en-GB"/>
        </w:rPr>
        <w:t xml:space="preserve"> </w:t>
      </w:r>
    </w:p>
    <w:p w14:paraId="2C7A443D" w14:textId="66D2060A" w:rsidR="006B05D6" w:rsidRPr="007158E9" w:rsidRDefault="006B05D6" w:rsidP="00C06306">
      <w:pPr>
        <w:pStyle w:val="SingleTxtG"/>
        <w:ind w:left="1138" w:right="562"/>
        <w:rPr>
          <w:lang w:val="en-GB"/>
        </w:rPr>
      </w:pPr>
      <w:r w:rsidRPr="007158E9">
        <w:rPr>
          <w:lang w:val="en-GB"/>
        </w:rPr>
        <w:t>In the case of sexual violence perpetrated by state agents or people linked to the ruling party, these obstacles are even greater</w:t>
      </w:r>
      <w:r w:rsidR="00942876">
        <w:rPr>
          <w:lang w:val="en-GB"/>
        </w:rPr>
        <w:t>.</w:t>
      </w:r>
      <w:r w:rsidRPr="007158E9">
        <w:rPr>
          <w:noProof/>
          <w:vertAlign w:val="superscript"/>
          <w:lang w:val="en-GB"/>
        </w:rPr>
        <w:footnoteReference w:id="310"/>
      </w:r>
      <w:r w:rsidRPr="007158E9">
        <w:rPr>
          <w:lang w:val="en-GB"/>
        </w:rPr>
        <w:t xml:space="preserve"> The victims often fear reprisals if they denounce the perpetrators who are perceived as benefitting from absolute impunity</w:t>
      </w:r>
      <w:r w:rsidR="00942876">
        <w:rPr>
          <w:lang w:val="en-GB"/>
        </w:rPr>
        <w:t>.</w:t>
      </w:r>
      <w:r w:rsidRPr="007158E9">
        <w:rPr>
          <w:noProof/>
          <w:vertAlign w:val="superscript"/>
          <w:lang w:val="en-GB"/>
        </w:rPr>
        <w:footnoteReference w:id="311"/>
      </w:r>
      <w:r w:rsidRPr="007158E9">
        <w:rPr>
          <w:lang w:val="en-GB"/>
        </w:rPr>
        <w:t xml:space="preserve"> One victim puts it as follows</w:t>
      </w:r>
      <w:r w:rsidR="00CD6779" w:rsidRPr="007158E9">
        <w:rPr>
          <w:lang w:val="en-GB"/>
        </w:rPr>
        <w:t>:</w:t>
      </w:r>
    </w:p>
    <w:p w14:paraId="6998ABB4" w14:textId="0D54B430" w:rsidR="006B05D6" w:rsidRPr="007158E9" w:rsidRDefault="006B05D6" w:rsidP="009B6282">
      <w:pPr>
        <w:pStyle w:val="SingleTxtG"/>
        <w:ind w:left="1701" w:right="567"/>
        <w:rPr>
          <w:i/>
          <w:noProof/>
          <w:lang w:val="en-GB"/>
        </w:rPr>
      </w:pPr>
      <w:r w:rsidRPr="007158E9">
        <w:rPr>
          <w:i/>
          <w:noProof/>
          <w:lang w:val="en-GB"/>
        </w:rPr>
        <w:t xml:space="preserve">“I did not take any steps towards filing a complaint in Burundi. This would not work in Burundi. A complaint will achieve nothing when those causing you harm are Imbonerakure. Very rarely do people file a complaint, especially if the perpetrator is an Imbonerakure. The mere fact of denouncing such a person is considered a crime [by the authorities]. Authorities before whom a complaint against Imbonerakure is filed would usually report it back to Imbonerakure. This can result into one’s family members having </w:t>
      </w:r>
      <w:r w:rsidR="00942876">
        <w:rPr>
          <w:i/>
          <w:noProof/>
          <w:lang w:val="en-GB"/>
        </w:rPr>
        <w:t>problems</w:t>
      </w:r>
      <w:r w:rsidRPr="007158E9">
        <w:rPr>
          <w:i/>
          <w:noProof/>
          <w:lang w:val="en-GB"/>
        </w:rPr>
        <w:t>”</w:t>
      </w:r>
      <w:r w:rsidR="00942876">
        <w:rPr>
          <w:i/>
          <w:noProof/>
          <w:lang w:val="en-GB"/>
        </w:rPr>
        <w:t>.</w:t>
      </w:r>
      <w:r w:rsidRPr="007158E9">
        <w:rPr>
          <w:noProof/>
          <w:vertAlign w:val="superscript"/>
          <w:lang w:val="en-GB"/>
        </w:rPr>
        <w:footnoteReference w:id="312"/>
      </w:r>
      <w:r w:rsidRPr="007158E9">
        <w:rPr>
          <w:i/>
          <w:noProof/>
          <w:lang w:val="en-GB"/>
        </w:rPr>
        <w:t xml:space="preserve"> </w:t>
      </w:r>
    </w:p>
    <w:p w14:paraId="2100068A" w14:textId="71DA2397" w:rsidR="006B05D6" w:rsidRPr="007158E9" w:rsidRDefault="006B05D6" w:rsidP="001A5901">
      <w:pPr>
        <w:pStyle w:val="SingleTxtG"/>
        <w:numPr>
          <w:ilvl w:val="0"/>
          <w:numId w:val="27"/>
        </w:numPr>
        <w:ind w:left="1138" w:right="562" w:firstLine="0"/>
        <w:rPr>
          <w:lang w:val="en-GB"/>
        </w:rPr>
      </w:pPr>
      <w:r w:rsidRPr="007158E9">
        <w:rPr>
          <w:lang w:val="en-GB"/>
        </w:rPr>
        <w:t>Nonetheless, some victims did seek help</w:t>
      </w:r>
      <w:r w:rsidRPr="007158E9">
        <w:rPr>
          <w:noProof/>
          <w:vertAlign w:val="superscript"/>
          <w:lang w:val="en-GB"/>
        </w:rPr>
        <w:footnoteReference w:id="313"/>
      </w:r>
      <w:r w:rsidRPr="007158E9">
        <w:rPr>
          <w:lang w:val="en-GB"/>
        </w:rPr>
        <w:t xml:space="preserve"> from local authorities at the neighbourhood, colline, zone or commune level, but none of the local administrative representatives informed them of their rights, including their right to effective remedy in order to obtain redress or on the procedure to follow in order to file a complaint. Worse still, a woman testified about facing retaliation for having reported one of her aggressors who was an Imbonerakure to a local authority. The latter ordered her arrest and the police detained her for a few days, with no access to food or drinks. She subsequently received threats from her aggressor: </w:t>
      </w:r>
    </w:p>
    <w:p w14:paraId="19079010" w14:textId="13A99E42" w:rsidR="006B05D6" w:rsidRPr="007158E9" w:rsidRDefault="006B05D6" w:rsidP="009B6282">
      <w:pPr>
        <w:pStyle w:val="SingleTxtG"/>
        <w:ind w:left="1701" w:right="567"/>
        <w:rPr>
          <w:i/>
          <w:noProof/>
          <w:lang w:val="en-GB"/>
        </w:rPr>
      </w:pPr>
      <w:r w:rsidRPr="007158E9">
        <w:rPr>
          <w:i/>
          <w:noProof/>
          <w:lang w:val="en-GB"/>
        </w:rPr>
        <w:t>“I went to the chef de zone to file a complaint and report that I had recognized one of the attackers […], the leader of Imbonerakure in the zone […] The chef de zone said he [the leader of Imbonerakure] could not be responsible and called the police who were in an office ne</w:t>
      </w:r>
      <w:r w:rsidR="006C5215">
        <w:rPr>
          <w:i/>
          <w:noProof/>
          <w:lang w:val="en-GB"/>
        </w:rPr>
        <w:t>xt door. He rebuked me saying: ‘</w:t>
      </w:r>
      <w:r w:rsidRPr="007158E9">
        <w:rPr>
          <w:i/>
          <w:noProof/>
          <w:lang w:val="en-GB"/>
        </w:rPr>
        <w:t>You are painting a negative image of Imbonerakure. In fact, I think you are a supporter of Rwasa</w:t>
      </w:r>
      <w:r w:rsidR="006C5215">
        <w:rPr>
          <w:i/>
          <w:noProof/>
          <w:lang w:val="en-GB"/>
        </w:rPr>
        <w:t>’</w:t>
      </w:r>
      <w:r w:rsidRPr="007158E9">
        <w:rPr>
          <w:i/>
          <w:noProof/>
          <w:lang w:val="en-GB"/>
        </w:rPr>
        <w:t xml:space="preserve"> […] The day I was released, the chef de zone and the leader of Imbonerakure […] warned me that they would kill me if I went on recounting what had happened”</w:t>
      </w:r>
      <w:r w:rsidR="00942876">
        <w:rPr>
          <w:i/>
          <w:noProof/>
          <w:lang w:val="en-GB"/>
        </w:rPr>
        <w:t>.</w:t>
      </w:r>
      <w:r w:rsidRPr="007158E9">
        <w:rPr>
          <w:noProof/>
          <w:vertAlign w:val="superscript"/>
          <w:lang w:val="en-GB"/>
        </w:rPr>
        <w:footnoteReference w:id="314"/>
      </w:r>
      <w:r w:rsidRPr="007158E9">
        <w:rPr>
          <w:i/>
          <w:noProof/>
          <w:lang w:val="en-GB"/>
        </w:rPr>
        <w:t xml:space="preserve"> </w:t>
      </w:r>
    </w:p>
    <w:p w14:paraId="522E6491" w14:textId="455FC899" w:rsidR="006B05D6" w:rsidRDefault="006B05D6" w:rsidP="001A5901">
      <w:pPr>
        <w:pStyle w:val="SingleTxtG"/>
        <w:numPr>
          <w:ilvl w:val="0"/>
          <w:numId w:val="27"/>
        </w:numPr>
        <w:ind w:left="1138" w:right="562" w:firstLine="0"/>
        <w:rPr>
          <w:lang w:val="en-GB"/>
        </w:rPr>
      </w:pPr>
      <w:r w:rsidRPr="007158E9">
        <w:rPr>
          <w:lang w:val="en-GB"/>
        </w:rPr>
        <w:t>The Commission noted that, in relation to cases of sexual violence committed by State agents or Imbonerakure, the impunity falls within a wider context in which, despite widespread sexual and gender-based violence across the country</w:t>
      </w:r>
      <w:r w:rsidR="00942876">
        <w:rPr>
          <w:lang w:val="en-GB"/>
        </w:rPr>
        <w:t>,</w:t>
      </w:r>
      <w:r w:rsidRPr="007158E9">
        <w:rPr>
          <w:noProof/>
          <w:vertAlign w:val="superscript"/>
          <w:lang w:val="en-GB"/>
        </w:rPr>
        <w:footnoteReference w:id="315"/>
      </w:r>
      <w:r w:rsidRPr="007158E9">
        <w:rPr>
          <w:lang w:val="en-GB"/>
        </w:rPr>
        <w:t xml:space="preserve"> legal proceedings initiated against the perpetrators of these acts very seldomly succeed</w:t>
      </w:r>
      <w:r w:rsidR="00942876">
        <w:rPr>
          <w:lang w:val="en-GB"/>
        </w:rPr>
        <w:t>.</w:t>
      </w:r>
      <w:r w:rsidRPr="007158E9">
        <w:rPr>
          <w:noProof/>
          <w:vertAlign w:val="superscript"/>
          <w:lang w:val="en-GB"/>
        </w:rPr>
        <w:footnoteReference w:id="316"/>
      </w:r>
      <w:r w:rsidRPr="007158E9">
        <w:rPr>
          <w:lang w:val="en-GB"/>
        </w:rPr>
        <w:t xml:space="preserve"> Given that the prospects for victims to obtain reparation are minimal, few of them are ready to start legal proceedings which could, on the one hand endanger them because of the absence of specific victim protection measures, and on the other hand could lead to their stigmatisation within their own community. Since 2015, the impunity was exacerbated due to the obstacles faced by human rights organisations and other structures capable of providing comprehensive care for victims, particularly in assisting them in legal proceedings</w:t>
      </w:r>
      <w:r w:rsidR="00942876">
        <w:rPr>
          <w:lang w:val="en-GB"/>
        </w:rPr>
        <w:t>.</w:t>
      </w:r>
      <w:r w:rsidRPr="007158E9">
        <w:rPr>
          <w:vertAlign w:val="superscript"/>
          <w:lang w:val="en-GB"/>
        </w:rPr>
        <w:footnoteReference w:id="317"/>
      </w:r>
    </w:p>
    <w:p w14:paraId="069F5D5C" w14:textId="77777777" w:rsidR="00FF1355" w:rsidRPr="007158E9" w:rsidRDefault="00FF1355" w:rsidP="00FF1355">
      <w:pPr>
        <w:pStyle w:val="SingleTxtG"/>
        <w:ind w:left="1138" w:right="562"/>
        <w:rPr>
          <w:lang w:val="en-GB"/>
        </w:rPr>
      </w:pPr>
    </w:p>
    <w:p w14:paraId="58D4F5B3" w14:textId="59A9ACA5" w:rsidR="006B05D6" w:rsidRPr="007158E9" w:rsidRDefault="001905A1" w:rsidP="00133343">
      <w:pPr>
        <w:pStyle w:val="H4G"/>
        <w:ind w:left="1138" w:right="1138" w:hanging="1138"/>
        <w:rPr>
          <w:b/>
          <w:i w:val="0"/>
          <w:lang w:val="en-GB"/>
        </w:rPr>
      </w:pPr>
      <w:r w:rsidRPr="007158E9">
        <w:rPr>
          <w:b/>
          <w:i w:val="0"/>
          <w:lang w:val="en-GB"/>
        </w:rPr>
        <w:tab/>
      </w:r>
      <w:r w:rsidR="00260780" w:rsidRPr="007158E9">
        <w:rPr>
          <w:b/>
          <w:i w:val="0"/>
          <w:lang w:val="en-GB"/>
        </w:rPr>
        <w:t>(</w:t>
      </w:r>
      <w:r w:rsidR="00513D98" w:rsidRPr="007158E9">
        <w:rPr>
          <w:b/>
          <w:i w:val="0"/>
          <w:lang w:val="en-GB"/>
        </w:rPr>
        <w:t>f</w:t>
      </w:r>
      <w:r w:rsidR="00260780" w:rsidRPr="007158E9">
        <w:rPr>
          <w:b/>
          <w:i w:val="0"/>
          <w:lang w:val="en-GB"/>
        </w:rPr>
        <w:t xml:space="preserve">) </w:t>
      </w:r>
      <w:r w:rsidR="00DD2E7C" w:rsidRPr="007158E9">
        <w:rPr>
          <w:b/>
          <w:i w:val="0"/>
          <w:lang w:val="en-GB"/>
        </w:rPr>
        <w:tab/>
      </w:r>
      <w:r w:rsidR="006B05D6" w:rsidRPr="007158E9">
        <w:rPr>
          <w:b/>
          <w:i w:val="0"/>
          <w:lang w:val="en-GB"/>
        </w:rPr>
        <w:t xml:space="preserve">Consequences of sexual violence on victims and their families </w:t>
      </w:r>
    </w:p>
    <w:p w14:paraId="238D5D46" w14:textId="530FA5B6" w:rsidR="006B05D6" w:rsidRPr="007158E9" w:rsidRDefault="006B05D6" w:rsidP="001A5901">
      <w:pPr>
        <w:pStyle w:val="SingleTxtG"/>
        <w:numPr>
          <w:ilvl w:val="0"/>
          <w:numId w:val="27"/>
        </w:numPr>
        <w:ind w:left="1138" w:right="562" w:firstLine="0"/>
        <w:rPr>
          <w:lang w:val="en-GB"/>
        </w:rPr>
      </w:pPr>
      <w:r w:rsidRPr="007158E9">
        <w:rPr>
          <w:lang w:val="en-GB"/>
        </w:rPr>
        <w:t>Sexual violence is a source of intense physical and mental suffering for the victims, some of whom are persistently or even permanently affected. Victims of sexual violence interviewed by the Commission suffered</w:t>
      </w:r>
      <w:r w:rsidR="00C56591">
        <w:rPr>
          <w:lang w:val="en-GB"/>
        </w:rPr>
        <w:t>,</w:t>
      </w:r>
      <w:r w:rsidRPr="007158E9">
        <w:rPr>
          <w:lang w:val="en-GB"/>
        </w:rPr>
        <w:t xml:space="preserve"> </w:t>
      </w:r>
      <w:r w:rsidR="00C56591" w:rsidRPr="007158E9">
        <w:rPr>
          <w:lang w:val="en-GB"/>
        </w:rPr>
        <w:t>amongst other things</w:t>
      </w:r>
      <w:r w:rsidR="00C56591">
        <w:rPr>
          <w:lang w:val="en-GB"/>
        </w:rPr>
        <w:t>,</w:t>
      </w:r>
      <w:r w:rsidR="00C56591" w:rsidRPr="007158E9">
        <w:rPr>
          <w:lang w:val="en-GB"/>
        </w:rPr>
        <w:t xml:space="preserve"> </w:t>
      </w:r>
      <w:r w:rsidRPr="007158E9">
        <w:rPr>
          <w:lang w:val="en-GB"/>
        </w:rPr>
        <w:t>from infections and swelling around their genitals, internal injuries, breathing difficulties, difficulty passing urine, and pain and injuries due to the physical violence. One victim testified:</w:t>
      </w:r>
    </w:p>
    <w:p w14:paraId="680C5A68" w14:textId="08376E79" w:rsidR="00B77382" w:rsidRPr="007158E9" w:rsidRDefault="006B05D6" w:rsidP="00FF0AE4">
      <w:pPr>
        <w:pStyle w:val="SingleTxtG"/>
        <w:ind w:left="1699" w:right="562"/>
        <w:rPr>
          <w:i/>
          <w:noProof/>
          <w:lang w:val="en-GB"/>
        </w:rPr>
      </w:pPr>
      <w:r w:rsidRPr="007158E9">
        <w:rPr>
          <w:i/>
          <w:noProof/>
          <w:lang w:val="en-GB"/>
        </w:rPr>
        <w:t>“My spine was no longer stable. Since the rape, […] I am always in pain. I cannot even carry a ten-kilo weight anymore. When I am unwell, I cannot attend food distribution in person; I send the children. It is only with drugs that I survive. I continue to receive treatment for my back. It is very difficult not to think about what happened”</w:t>
      </w:r>
      <w:r w:rsidR="00C56591">
        <w:rPr>
          <w:i/>
          <w:noProof/>
          <w:lang w:val="en-GB"/>
        </w:rPr>
        <w:t>.</w:t>
      </w:r>
      <w:r w:rsidRPr="007158E9">
        <w:rPr>
          <w:vertAlign w:val="superscript"/>
          <w:lang w:val="en-GB"/>
        </w:rPr>
        <w:footnoteReference w:id="318"/>
      </w:r>
    </w:p>
    <w:p w14:paraId="10CA2F48" w14:textId="74DC3FF5" w:rsidR="006B05D6" w:rsidRPr="007158E9" w:rsidRDefault="006B05D6" w:rsidP="001A5901">
      <w:pPr>
        <w:pStyle w:val="SingleTxtG"/>
        <w:numPr>
          <w:ilvl w:val="0"/>
          <w:numId w:val="27"/>
        </w:numPr>
        <w:ind w:left="1138" w:right="562" w:firstLine="0"/>
        <w:rPr>
          <w:i/>
          <w:noProof/>
          <w:lang w:val="en-GB"/>
        </w:rPr>
      </w:pPr>
      <w:r w:rsidRPr="007158E9">
        <w:rPr>
          <w:lang w:val="en-GB"/>
        </w:rPr>
        <w:t>Men mostly reported pain and swelling in their genitals that prevented them from walking or sitting, issues linked to incontinence and erectile dysfunction</w:t>
      </w:r>
      <w:r w:rsidR="00C56591">
        <w:rPr>
          <w:lang w:val="en-GB"/>
        </w:rPr>
        <w:t>.</w:t>
      </w:r>
      <w:r w:rsidRPr="007158E9">
        <w:rPr>
          <w:vertAlign w:val="superscript"/>
          <w:lang w:val="en-GB"/>
        </w:rPr>
        <w:footnoteReference w:id="319"/>
      </w:r>
      <w:r w:rsidRPr="007158E9">
        <w:rPr>
          <w:lang w:val="en-GB"/>
        </w:rPr>
        <w:t xml:space="preserve"> Some victims have contracted sexually transmitted diseases and many have different forms of trauma and psychological disorder</w:t>
      </w:r>
      <w:r w:rsidR="00C56591">
        <w:rPr>
          <w:lang w:val="en-GB"/>
        </w:rPr>
        <w:t>.</w:t>
      </w:r>
      <w:r w:rsidRPr="007158E9">
        <w:rPr>
          <w:vertAlign w:val="superscript"/>
          <w:lang w:val="en-GB"/>
        </w:rPr>
        <w:footnoteReference w:id="320"/>
      </w:r>
      <w:r w:rsidRPr="007158E9">
        <w:rPr>
          <w:lang w:val="en-GB"/>
        </w:rPr>
        <w:t xml:space="preserve"> Several victims reported that they passed out during or after the assault, or that they felt that they were no longer present during the rape</w:t>
      </w:r>
      <w:r w:rsidR="00C56591">
        <w:rPr>
          <w:lang w:val="en-GB"/>
        </w:rPr>
        <w:t>,</w:t>
      </w:r>
      <w:r w:rsidRPr="007158E9">
        <w:rPr>
          <w:vertAlign w:val="superscript"/>
          <w:lang w:val="en-GB"/>
        </w:rPr>
        <w:footnoteReference w:id="321"/>
      </w:r>
      <w:r w:rsidRPr="007158E9">
        <w:rPr>
          <w:lang w:val="en-GB"/>
        </w:rPr>
        <w:t xml:space="preserve"> which indicates acute suffering which, for both physical and mental reasons, leads to loss of consciousness or dissociation – the feeling that one is no longer attached to his or her body. Most victims of sexual violence were afraid of being killed and/or worried for the well-being of their loved ones.</w:t>
      </w:r>
    </w:p>
    <w:p w14:paraId="378490A2" w14:textId="7F1E546C" w:rsidR="006B05D6" w:rsidRPr="007158E9" w:rsidRDefault="006B05D6" w:rsidP="001A5901">
      <w:pPr>
        <w:pStyle w:val="SingleTxtG"/>
        <w:numPr>
          <w:ilvl w:val="0"/>
          <w:numId w:val="27"/>
        </w:numPr>
        <w:ind w:left="1138" w:right="562" w:firstLine="0"/>
        <w:rPr>
          <w:lang w:val="en-GB"/>
        </w:rPr>
      </w:pPr>
      <w:r w:rsidRPr="007158E9">
        <w:rPr>
          <w:lang w:val="en-GB"/>
        </w:rPr>
        <w:t>Lack of access to proper medical care exacerbates these consequences. Often, victims in detention do not request treatment as they are still under their oppressors’ control</w:t>
      </w:r>
      <w:r w:rsidR="00C56591">
        <w:rPr>
          <w:lang w:val="en-GB"/>
        </w:rPr>
        <w:t>.</w:t>
      </w:r>
      <w:r w:rsidRPr="007158E9">
        <w:rPr>
          <w:vertAlign w:val="superscript"/>
          <w:lang w:val="en-GB"/>
        </w:rPr>
        <w:footnoteReference w:id="322"/>
      </w:r>
      <w:r w:rsidRPr="007158E9">
        <w:rPr>
          <w:lang w:val="en-GB"/>
        </w:rPr>
        <w:t xml:space="preserve"> Most women who were not in detention when they were sexually abused did not receive any treatment in Burundi, or did so belatedly or inadequately. Some of the victims reported leaving the country immediately after their rape or going to medical centres late because they were afraid. The majority of interviewees did not know the type of care they needed or how to access it. They did not appear to have received detailed information when they went to healthcare centres that did not specialize in the treatment of victims of sexual violence. Victims did not receive emergency contraceptive treatment despite the fact that abortion remains illegal in Burundi, except in cases of immediate danger to the mother</w:t>
      </w:r>
      <w:r w:rsidR="00C56591">
        <w:rPr>
          <w:lang w:val="en-GB"/>
        </w:rPr>
        <w:t>.</w:t>
      </w:r>
      <w:r w:rsidRPr="007158E9">
        <w:rPr>
          <w:vertAlign w:val="superscript"/>
          <w:lang w:val="en-GB"/>
        </w:rPr>
        <w:footnoteReference w:id="323"/>
      </w:r>
      <w:r w:rsidRPr="007158E9">
        <w:rPr>
          <w:lang w:val="en-GB"/>
        </w:rPr>
        <w:t xml:space="preserve"> Consequently, some rape victims had unwanted pregnancies</w:t>
      </w:r>
      <w:r w:rsidR="00C56591">
        <w:rPr>
          <w:lang w:val="en-GB"/>
        </w:rPr>
        <w:t>.</w:t>
      </w:r>
      <w:r w:rsidRPr="007158E9">
        <w:rPr>
          <w:vertAlign w:val="superscript"/>
          <w:lang w:val="en-GB"/>
        </w:rPr>
        <w:footnoteReference w:id="324"/>
      </w:r>
      <w:r w:rsidRPr="007158E9">
        <w:rPr>
          <w:lang w:val="en-GB"/>
        </w:rPr>
        <w:t xml:space="preserve">  </w:t>
      </w:r>
    </w:p>
    <w:p w14:paraId="73AD7406" w14:textId="510016F0" w:rsidR="006B05D6" w:rsidRPr="007158E9" w:rsidRDefault="006B05D6" w:rsidP="001A5901">
      <w:pPr>
        <w:pStyle w:val="SingleTxtG"/>
        <w:numPr>
          <w:ilvl w:val="0"/>
          <w:numId w:val="27"/>
        </w:numPr>
        <w:ind w:left="1138" w:right="562" w:firstLine="0"/>
        <w:rPr>
          <w:lang w:val="en-GB"/>
        </w:rPr>
      </w:pPr>
      <w:r w:rsidRPr="007158E9">
        <w:rPr>
          <w:lang w:val="en-GB"/>
        </w:rPr>
        <w:t>Sexual violence also has a significant impact on the victims’ families and, more generally, on their social relations. Many of them find it difficult to have or maintain intimate and sexual relations with their spouses</w:t>
      </w:r>
      <w:r w:rsidR="00C56591">
        <w:rPr>
          <w:lang w:val="en-GB"/>
        </w:rPr>
        <w:t>.</w:t>
      </w:r>
      <w:r w:rsidRPr="007158E9">
        <w:rPr>
          <w:vertAlign w:val="superscript"/>
          <w:lang w:val="en-GB"/>
        </w:rPr>
        <w:footnoteReference w:id="325"/>
      </w:r>
      <w:r w:rsidRPr="007158E9">
        <w:rPr>
          <w:lang w:val="en-GB"/>
        </w:rPr>
        <w:t xml:space="preserve"> Others reported feelings of guilt and shame because they were unable to defend themselves against their attackers, as well as feelings of humiliation when the rape occurred in the presence of their loved ones, especially their children</w:t>
      </w:r>
      <w:r w:rsidR="00C56591">
        <w:rPr>
          <w:lang w:val="en-GB"/>
        </w:rPr>
        <w:t>.</w:t>
      </w:r>
      <w:r w:rsidRPr="007158E9">
        <w:rPr>
          <w:vertAlign w:val="superscript"/>
          <w:lang w:val="en-GB"/>
        </w:rPr>
        <w:footnoteReference w:id="326"/>
      </w:r>
    </w:p>
    <w:p w14:paraId="6048F22E" w14:textId="453959FD" w:rsidR="006B05D6" w:rsidRPr="007158E9" w:rsidRDefault="006B05D6" w:rsidP="001A5901">
      <w:pPr>
        <w:pStyle w:val="SingleTxtG"/>
        <w:numPr>
          <w:ilvl w:val="0"/>
          <w:numId w:val="27"/>
        </w:numPr>
        <w:ind w:left="1138" w:right="562" w:firstLine="0"/>
        <w:rPr>
          <w:lang w:val="en-GB"/>
        </w:rPr>
      </w:pPr>
      <w:r w:rsidRPr="007158E9">
        <w:rPr>
          <w:lang w:val="en-GB"/>
        </w:rPr>
        <w:t xml:space="preserve">Several of the victims interviewed by </w:t>
      </w:r>
      <w:r w:rsidR="00C56591">
        <w:rPr>
          <w:lang w:val="en-GB"/>
        </w:rPr>
        <w:t>t</w:t>
      </w:r>
      <w:r w:rsidRPr="007158E9">
        <w:rPr>
          <w:lang w:val="en-GB"/>
        </w:rPr>
        <w:t>he Commission reported that sexual violence was the trigger that drove them to flee. They said they no longer felt safe in Burundi, especially since some of them were harassed and threatened by the alleged perpetrators. In some cases, they first sought protection from family members or friends living in Burundi. Most women fled without their spouse but with several dependent children. Some women reported that, while on the run, being separated from children whom they were never reunited with</w:t>
      </w:r>
      <w:r w:rsidR="00C56591">
        <w:rPr>
          <w:lang w:val="en-GB"/>
        </w:rPr>
        <w:t>.</w:t>
      </w:r>
      <w:r w:rsidRPr="007158E9">
        <w:rPr>
          <w:vertAlign w:val="superscript"/>
          <w:lang w:val="en-GB"/>
        </w:rPr>
        <w:footnoteReference w:id="327"/>
      </w:r>
      <w:r w:rsidRPr="007158E9">
        <w:rPr>
          <w:lang w:val="en-GB"/>
        </w:rPr>
        <w:t xml:space="preserve"> Often, even after fleeing to neighbouring countries, people do not feel safe. Several people interviewed by the Commission expressed feeling under continuous threat due to the possibility that their attackers, or others acting on behalf of the Government of Burundi, may find them in the refugee camps where they are located</w:t>
      </w:r>
      <w:r w:rsidR="00C56591">
        <w:rPr>
          <w:lang w:val="en-GB"/>
        </w:rPr>
        <w:t>.</w:t>
      </w:r>
      <w:r w:rsidRPr="007158E9">
        <w:rPr>
          <w:vertAlign w:val="superscript"/>
          <w:lang w:val="en-GB"/>
        </w:rPr>
        <w:footnoteReference w:id="328"/>
      </w:r>
      <w:r w:rsidRPr="007158E9">
        <w:rPr>
          <w:lang w:val="en-GB"/>
        </w:rPr>
        <w:t xml:space="preserve"> </w:t>
      </w:r>
    </w:p>
    <w:p w14:paraId="697FAD0B" w14:textId="77777777" w:rsidR="006B05D6" w:rsidRPr="007158E9" w:rsidRDefault="006B05D6" w:rsidP="001A5901">
      <w:pPr>
        <w:pStyle w:val="H23G"/>
        <w:numPr>
          <w:ilvl w:val="0"/>
          <w:numId w:val="28"/>
        </w:numPr>
        <w:ind w:right="1138"/>
        <w:rPr>
          <w:lang w:val="en-GB"/>
        </w:rPr>
      </w:pPr>
      <w:bookmarkStart w:id="7" w:name="_Hlk39574433"/>
      <w:r w:rsidRPr="007158E9">
        <w:rPr>
          <w:lang w:val="en-GB"/>
        </w:rPr>
        <w:t xml:space="preserve">Public Freedoms </w:t>
      </w:r>
    </w:p>
    <w:bookmarkEnd w:id="7"/>
    <w:p w14:paraId="621E7322" w14:textId="43A2234D" w:rsidR="006B05D6" w:rsidRPr="007158E9" w:rsidRDefault="006B05D6" w:rsidP="001A5901">
      <w:pPr>
        <w:pStyle w:val="SingleTxtG"/>
        <w:numPr>
          <w:ilvl w:val="0"/>
          <w:numId w:val="27"/>
        </w:numPr>
        <w:ind w:left="1138" w:right="562" w:firstLine="0"/>
        <w:rPr>
          <w:lang w:val="en-GB"/>
        </w:rPr>
      </w:pPr>
      <w:r w:rsidRPr="007158E9">
        <w:rPr>
          <w:lang w:val="en-GB"/>
        </w:rPr>
        <w:t>As in its previous report</w:t>
      </w:r>
      <w:r w:rsidR="005B74F5">
        <w:rPr>
          <w:lang w:val="en-GB"/>
        </w:rPr>
        <w:t>,</w:t>
      </w:r>
      <w:r w:rsidRPr="007158E9">
        <w:rPr>
          <w:vertAlign w:val="superscript"/>
          <w:lang w:val="en-GB"/>
        </w:rPr>
        <w:footnoteReference w:id="329"/>
      </w:r>
      <w:r w:rsidRPr="007158E9">
        <w:rPr>
          <w:lang w:val="en-GB"/>
        </w:rPr>
        <w:t xml:space="preserve"> this year, the Commission documented numerous violations of public freedoms, in particular the freedoms of expression, association, assembly and of movement. These violations are part of a more general context of regimenting and controlling the population: with the aim of countering any criticism or opposition to Government’s and ruling party’s policies. .</w:t>
      </w:r>
    </w:p>
    <w:p w14:paraId="4533CE05" w14:textId="3DF2C14B" w:rsidR="006B05D6" w:rsidRPr="007158E9" w:rsidRDefault="006B05D6" w:rsidP="001A5901">
      <w:pPr>
        <w:pStyle w:val="H4G"/>
        <w:numPr>
          <w:ilvl w:val="0"/>
          <w:numId w:val="29"/>
        </w:numPr>
        <w:tabs>
          <w:tab w:val="clear" w:pos="851"/>
          <w:tab w:val="right" w:pos="1170"/>
        </w:tabs>
        <w:ind w:left="922" w:right="1138"/>
        <w:rPr>
          <w:b/>
          <w:i w:val="0"/>
          <w:lang w:val="en-GB"/>
        </w:rPr>
      </w:pPr>
      <w:r w:rsidRPr="007158E9">
        <w:rPr>
          <w:b/>
          <w:i w:val="0"/>
          <w:lang w:val="en-GB"/>
        </w:rPr>
        <w:t xml:space="preserve">Freedom of Expression </w:t>
      </w:r>
    </w:p>
    <w:p w14:paraId="6F737A84" w14:textId="71F78495" w:rsidR="006B05D6" w:rsidRPr="007158E9" w:rsidRDefault="006B05D6" w:rsidP="001A5901">
      <w:pPr>
        <w:pStyle w:val="SingleTxtG"/>
        <w:numPr>
          <w:ilvl w:val="0"/>
          <w:numId w:val="27"/>
        </w:numPr>
        <w:ind w:left="1138" w:right="562" w:firstLine="0"/>
        <w:rPr>
          <w:lang w:val="en-GB"/>
        </w:rPr>
      </w:pPr>
      <w:r w:rsidRPr="007158E9">
        <w:rPr>
          <w:lang w:val="en-GB"/>
        </w:rPr>
        <w:t xml:space="preserve">Most of the violations and attacks on freedom of expression documented by the Commission since September 2017 took place in the context of the referendum campaign. As in previous years, the Commission noted that it was difficult to voice an opinion contrary to that of the Government and of the ruling party and that doing so unfailingly exposed one to risks of human rights violations, whether or not they were member of an opposition political party. The media and journalists also continued to be subject to control and persecution by the authorities and Imbonerakure, when they sought to cover a story in a manner deemed hostile to the Government. The Commission also noted hate speech constituting incitement to hostility or violence from </w:t>
      </w:r>
      <w:r w:rsidR="005B74F5">
        <w:rPr>
          <w:lang w:val="en-GB"/>
        </w:rPr>
        <w:t>S</w:t>
      </w:r>
      <w:r w:rsidRPr="007158E9">
        <w:rPr>
          <w:lang w:val="en-GB"/>
        </w:rPr>
        <w:t>tate officials, including the President of the Republic himself, and from CNDD-FDD. These calls were mainly directed against those likely to call a “no” vote during the constitutional referendum. The Commission has noted a few calls for armed struggle from members of the political opposition.</w:t>
      </w:r>
    </w:p>
    <w:p w14:paraId="3C301EF4" w14:textId="77777777" w:rsidR="006B05D6" w:rsidRPr="007158E9" w:rsidRDefault="006B05D6" w:rsidP="001A5901">
      <w:pPr>
        <w:pStyle w:val="SingleTxtG"/>
        <w:numPr>
          <w:ilvl w:val="0"/>
          <w:numId w:val="21"/>
        </w:numPr>
        <w:spacing w:before="240"/>
        <w:ind w:left="922" w:right="1138"/>
        <w:rPr>
          <w:b/>
          <w:lang w:val="en-GB"/>
        </w:rPr>
      </w:pPr>
      <w:r w:rsidRPr="007158E9">
        <w:rPr>
          <w:b/>
          <w:lang w:val="en-GB"/>
        </w:rPr>
        <w:t>General context conducive to violations of freedom of expression</w:t>
      </w:r>
    </w:p>
    <w:p w14:paraId="785DF726" w14:textId="0A096DE8" w:rsidR="006B05D6" w:rsidRPr="007158E9" w:rsidRDefault="006B05D6" w:rsidP="001A5901">
      <w:pPr>
        <w:pStyle w:val="SingleTxtG"/>
        <w:numPr>
          <w:ilvl w:val="0"/>
          <w:numId w:val="27"/>
        </w:numPr>
        <w:ind w:left="1138" w:right="562" w:firstLine="0"/>
        <w:rPr>
          <w:lang w:val="en-GB"/>
        </w:rPr>
      </w:pPr>
      <w:r w:rsidRPr="007158E9">
        <w:rPr>
          <w:lang w:val="en-GB"/>
        </w:rPr>
        <w:t>In its previous report, the Commission highlighted that “the repression carried out by the Government could entirely [...] be analysed from the angle of freedom of expression”</w:t>
      </w:r>
      <w:r w:rsidR="005B74F5">
        <w:rPr>
          <w:lang w:val="en-GB"/>
        </w:rPr>
        <w:t>.</w:t>
      </w:r>
      <w:r w:rsidRPr="007158E9">
        <w:rPr>
          <w:vertAlign w:val="superscript"/>
          <w:lang w:val="en-GB"/>
        </w:rPr>
        <w:footnoteReference w:id="330"/>
      </w:r>
      <w:r w:rsidRPr="007158E9">
        <w:rPr>
          <w:lang w:val="en-GB"/>
        </w:rPr>
        <w:t xml:space="preserve"> This observation was confirmed during the period covered by the present report, in particular during the referendum campaign. In this context, persons – members or non-members of opposition political parties – who expressed criticism of the draft revision of the Constitution or disapproved of it, urged others not to take part in the referendum or to register for electoral lists were particularly targeted by the administration, the SNR, the police and Imbonerakure and were, in fact, victims of various human rights violations</w:t>
      </w:r>
      <w:r w:rsidR="005B74F5">
        <w:rPr>
          <w:lang w:val="en-GB"/>
        </w:rPr>
        <w:t>.</w:t>
      </w:r>
      <w:r w:rsidRPr="007158E9">
        <w:rPr>
          <w:vertAlign w:val="superscript"/>
          <w:lang w:val="en-GB"/>
        </w:rPr>
        <w:footnoteReference w:id="331"/>
      </w:r>
      <w:r w:rsidRPr="007158E9">
        <w:rPr>
          <w:lang w:val="en-GB"/>
        </w:rPr>
        <w:t xml:space="preserve"> A witness interviewed by the Commission reported:</w:t>
      </w:r>
    </w:p>
    <w:p w14:paraId="47DF7540" w14:textId="242D6785" w:rsidR="006B05D6" w:rsidRPr="007158E9" w:rsidRDefault="006B05D6" w:rsidP="005B74F5">
      <w:pPr>
        <w:pStyle w:val="SingleTxtG"/>
        <w:ind w:left="1699" w:right="562"/>
        <w:rPr>
          <w:i/>
          <w:lang w:val="en-GB"/>
        </w:rPr>
      </w:pPr>
      <w:r w:rsidRPr="007158E9">
        <w:rPr>
          <w:i/>
          <w:lang w:val="en-GB"/>
        </w:rPr>
        <w:t>“A group of five Imbonerakure came to my house [...] [The</w:t>
      </w:r>
      <w:r w:rsidR="006C5215">
        <w:rPr>
          <w:i/>
          <w:lang w:val="en-GB"/>
        </w:rPr>
        <w:t xml:space="preserve"> chief of Imbonerakure] asked: ‘</w:t>
      </w:r>
      <w:r w:rsidRPr="007158E9">
        <w:rPr>
          <w:i/>
          <w:lang w:val="en-GB"/>
        </w:rPr>
        <w:t>Why did you come back and yet you refuse to vote for Pierre Nkurunziza?</w:t>
      </w:r>
      <w:r w:rsidR="006C5215">
        <w:rPr>
          <w:i/>
          <w:lang w:val="en-GB"/>
        </w:rPr>
        <w:t>’ He also said to me: ‘</w:t>
      </w:r>
      <w:r w:rsidRPr="007158E9">
        <w:rPr>
          <w:i/>
          <w:lang w:val="en-GB"/>
        </w:rPr>
        <w:t>If this time you do not cast a “yes” vote in favour of the amendment of the Constitution or if you vote “no”, we will eliminate you</w:t>
      </w:r>
      <w:r w:rsidR="006C5215">
        <w:rPr>
          <w:i/>
          <w:lang w:val="en-GB"/>
        </w:rPr>
        <w:t>’</w:t>
      </w:r>
      <w:r w:rsidRPr="007158E9">
        <w:rPr>
          <w:i/>
          <w:lang w:val="en-GB"/>
        </w:rPr>
        <w:t>. [X]</w:t>
      </w:r>
      <w:r w:rsidR="006C5215">
        <w:rPr>
          <w:i/>
          <w:lang w:val="en-GB"/>
        </w:rPr>
        <w:t>, who was also there, replied: ‘</w:t>
      </w:r>
      <w:r w:rsidRPr="007158E9">
        <w:rPr>
          <w:i/>
          <w:lang w:val="en-GB"/>
        </w:rPr>
        <w:t>I only vote if I wan</w:t>
      </w:r>
      <w:r w:rsidR="005B74F5">
        <w:rPr>
          <w:i/>
          <w:lang w:val="en-GB"/>
        </w:rPr>
        <w:t>t to and, if I do indeed vote,</w:t>
      </w:r>
      <w:r w:rsidRPr="007158E9">
        <w:rPr>
          <w:i/>
          <w:lang w:val="en-GB"/>
        </w:rPr>
        <w:t xml:space="preserve"> I can vote “yes” or “no”; but I will not vote under your command</w:t>
      </w:r>
      <w:r w:rsidR="006C5215">
        <w:rPr>
          <w:i/>
          <w:lang w:val="en-GB"/>
        </w:rPr>
        <w:t>’</w:t>
      </w:r>
      <w:r w:rsidRPr="007158E9">
        <w:rPr>
          <w:i/>
          <w:lang w:val="en-GB"/>
        </w:rPr>
        <w:t>. They did not say or do anything that day. They stayed for about 30 minutes and left. It was only three d</w:t>
      </w:r>
      <w:r w:rsidR="005B74F5">
        <w:rPr>
          <w:i/>
          <w:lang w:val="en-GB"/>
        </w:rPr>
        <w:t>ays later that they killed [X].</w:t>
      </w:r>
      <w:r w:rsidRPr="007158E9">
        <w:rPr>
          <w:i/>
          <w:lang w:val="en-GB"/>
        </w:rPr>
        <w:t>”</w:t>
      </w:r>
      <w:r w:rsidRPr="007158E9">
        <w:rPr>
          <w:i/>
          <w:vertAlign w:val="superscript"/>
          <w:lang w:val="en-GB"/>
        </w:rPr>
        <w:t xml:space="preserve"> </w:t>
      </w:r>
      <w:r w:rsidRPr="007158E9">
        <w:rPr>
          <w:i/>
          <w:vertAlign w:val="superscript"/>
          <w:lang w:val="en-GB"/>
        </w:rPr>
        <w:footnoteReference w:id="332"/>
      </w:r>
    </w:p>
    <w:p w14:paraId="62A1E93F" w14:textId="643A5D3F" w:rsidR="006B05D6" w:rsidRPr="007158E9" w:rsidRDefault="006B05D6" w:rsidP="001A5901">
      <w:pPr>
        <w:pStyle w:val="SingleTxtG"/>
        <w:numPr>
          <w:ilvl w:val="0"/>
          <w:numId w:val="27"/>
        </w:numPr>
        <w:ind w:left="1138" w:right="562" w:firstLine="0"/>
        <w:rPr>
          <w:lang w:val="en-GB"/>
        </w:rPr>
      </w:pPr>
      <w:r w:rsidRPr="007158E9">
        <w:rPr>
          <w:lang w:val="en-GB"/>
        </w:rPr>
        <w:t>In this regard, instructions were given by several authorities, including the President of the Republic and CNDD-FDD officials at all levels</w:t>
      </w:r>
      <w:r w:rsidR="005B74F5">
        <w:rPr>
          <w:lang w:val="en-GB"/>
        </w:rPr>
        <w:t>.</w:t>
      </w:r>
      <w:r w:rsidRPr="007158E9">
        <w:rPr>
          <w:vertAlign w:val="superscript"/>
          <w:lang w:val="en-GB"/>
        </w:rPr>
        <w:footnoteReference w:id="333"/>
      </w:r>
      <w:r w:rsidRPr="007158E9">
        <w:rPr>
          <w:lang w:val="en-GB"/>
        </w:rPr>
        <w:t xml:space="preserve"> Despite this, the coalition</w:t>
      </w:r>
      <w:r w:rsidRPr="007158E9">
        <w:rPr>
          <w:i/>
          <w:lang w:val="en-GB"/>
        </w:rPr>
        <w:t xml:space="preserve"> Amizero y’Abarundi</w:t>
      </w:r>
      <w:r w:rsidRPr="007158E9">
        <w:rPr>
          <w:lang w:val="en-GB"/>
        </w:rPr>
        <w:t xml:space="preserve"> (Hope of Burundians), which brings together several opposition parties based in Burundi under the leadership of Agathon Rwasa, was able to organize rallies across the country during the referendum campaign, but many among those who participated in these rallies and who spoke in favour of “no” have suffered human rights violations.</w:t>
      </w:r>
      <w:r w:rsidRPr="007158E9">
        <w:rPr>
          <w:vertAlign w:val="superscript"/>
          <w:lang w:val="en-GB"/>
        </w:rPr>
        <w:footnoteReference w:id="334"/>
      </w:r>
      <w:r w:rsidRPr="007158E9">
        <w:rPr>
          <w:lang w:val="en-GB"/>
        </w:rPr>
        <w:t xml:space="preserve"> A person interviewed by the Commission reported:</w:t>
      </w:r>
    </w:p>
    <w:p w14:paraId="787DFD49" w14:textId="32C0DB34" w:rsidR="006B05D6" w:rsidRPr="007158E9" w:rsidRDefault="006B05D6" w:rsidP="00FF68AE">
      <w:pPr>
        <w:pStyle w:val="SingleTxtG"/>
        <w:ind w:left="1699" w:right="562"/>
        <w:rPr>
          <w:i/>
          <w:lang w:val="en-GB"/>
        </w:rPr>
      </w:pPr>
      <w:r w:rsidRPr="007158E9">
        <w:rPr>
          <w:i/>
          <w:lang w:val="en-GB"/>
        </w:rPr>
        <w:t xml:space="preserve">“[Agathon] Rwasa’s </w:t>
      </w:r>
      <w:r w:rsidR="005B74F5">
        <w:rPr>
          <w:i/>
          <w:lang w:val="en-GB"/>
        </w:rPr>
        <w:t>position</w:t>
      </w:r>
      <w:r w:rsidRPr="007158E9">
        <w:rPr>
          <w:i/>
          <w:lang w:val="en-GB"/>
        </w:rPr>
        <w:t xml:space="preserve"> since the beginning of the campaign is not surprising [...] because you cannot deprive a people that has tasted democracy of the freedom of expression. There was a strong civil society in Burundi and it cannot be destroyed so quickly. The </w:t>
      </w:r>
      <w:r w:rsidR="005B74F5">
        <w:rPr>
          <w:i/>
          <w:lang w:val="en-GB"/>
        </w:rPr>
        <w:t>G</w:t>
      </w:r>
      <w:r w:rsidRPr="007158E9">
        <w:rPr>
          <w:i/>
          <w:lang w:val="en-GB"/>
        </w:rPr>
        <w:t>overnment did not think the opposition was going to campaign. In response, there have been several arrests and cases of torture. It targeted members of the coalition”</w:t>
      </w:r>
      <w:r w:rsidR="005B74F5">
        <w:rPr>
          <w:i/>
          <w:lang w:val="en-GB"/>
        </w:rPr>
        <w:t>.</w:t>
      </w:r>
      <w:r w:rsidRPr="007158E9">
        <w:rPr>
          <w:i/>
          <w:vertAlign w:val="superscript"/>
          <w:lang w:val="en-GB"/>
        </w:rPr>
        <w:t xml:space="preserve"> </w:t>
      </w:r>
      <w:r w:rsidRPr="007158E9">
        <w:rPr>
          <w:i/>
          <w:vertAlign w:val="superscript"/>
          <w:lang w:val="en-GB"/>
        </w:rPr>
        <w:footnoteReference w:id="335"/>
      </w:r>
    </w:p>
    <w:p w14:paraId="146ACCD6" w14:textId="2AD5AB52" w:rsidR="006B05D6" w:rsidRPr="007158E9" w:rsidRDefault="006B05D6" w:rsidP="001A5901">
      <w:pPr>
        <w:pStyle w:val="SingleTxtG"/>
        <w:numPr>
          <w:ilvl w:val="0"/>
          <w:numId w:val="27"/>
        </w:numPr>
        <w:ind w:left="1138" w:right="562" w:firstLine="0"/>
        <w:rPr>
          <w:lang w:val="en-GB"/>
        </w:rPr>
      </w:pPr>
      <w:r w:rsidRPr="007158E9">
        <w:rPr>
          <w:lang w:val="en-GB"/>
        </w:rPr>
        <w:t>In its previous report</w:t>
      </w:r>
      <w:r w:rsidR="005B74F5">
        <w:rPr>
          <w:lang w:val="en-GB"/>
        </w:rPr>
        <w:t>,</w:t>
      </w:r>
      <w:r w:rsidRPr="007158E9">
        <w:rPr>
          <w:vertAlign w:val="superscript"/>
          <w:lang w:val="en-GB"/>
        </w:rPr>
        <w:footnoteReference w:id="336"/>
      </w:r>
      <w:r w:rsidRPr="007158E9">
        <w:rPr>
          <w:lang w:val="en-GB"/>
        </w:rPr>
        <w:t xml:space="preserve"> the Commission had also reported violations of freedom of expression within CNDD-FDD itself, particularly in early 2015 when the party split over the designation of Pierre Nkurunziza as the single candidate for the presidential election. Members of the party, identified as « </w:t>
      </w:r>
      <w:r w:rsidRPr="007158E9">
        <w:rPr>
          <w:i/>
          <w:iCs/>
          <w:lang w:val="en-GB"/>
        </w:rPr>
        <w:t>frondeurs</w:t>
      </w:r>
      <w:r w:rsidRPr="007158E9">
        <w:rPr>
          <w:lang w:val="en-GB"/>
        </w:rPr>
        <w:t> » because they were opposed to the Head of State and to those who supported him in the CNDD-FDD governing bodies, had been relieved from office and persecuted.</w:t>
      </w:r>
    </w:p>
    <w:p w14:paraId="6040F632" w14:textId="51E2727E" w:rsidR="006B05D6" w:rsidRPr="007158E9" w:rsidRDefault="006B05D6" w:rsidP="001A5901">
      <w:pPr>
        <w:pStyle w:val="SingleTxtG"/>
        <w:numPr>
          <w:ilvl w:val="0"/>
          <w:numId w:val="27"/>
        </w:numPr>
        <w:ind w:left="1138" w:right="562" w:firstLine="0"/>
        <w:rPr>
          <w:lang w:val="en-GB"/>
        </w:rPr>
      </w:pPr>
      <w:r w:rsidRPr="007158E9">
        <w:rPr>
          <w:lang w:val="en-GB"/>
        </w:rPr>
        <w:t xml:space="preserve">The speech given by the Head of State on Veterans Day on </w:t>
      </w:r>
      <w:r w:rsidR="005B74F5">
        <w:rPr>
          <w:lang w:val="en-GB"/>
        </w:rPr>
        <w:t xml:space="preserve">18 </w:t>
      </w:r>
      <w:r w:rsidRPr="007158E9">
        <w:rPr>
          <w:lang w:val="en-GB"/>
        </w:rPr>
        <w:t>November 2017 in Cibitoke was perceived as highlighting his desire to suppress any hint of internal opposition ahead of the referendum intended to amend the Constitution and thus prevent a repetition of the 2015 experience. On this occasion, the Head of State declared: “The first Imbonerakure is the Almighty God […] If you provoke a disagreement with Imbonerakure, you disagree with the one who created them, especially when there is no reason to do so.  And you engage in a fight […] Do not let any brave person derail; straighten them in time! Here I know a few who are starting to derail. Be vigilant within the party, straighten them so that they do not derail before our very eyes like the last time […] We declare zero tolerance from 2018. The recalcitrants must be driven out as quickly as possible, without wasting time and warning them once, twice or three times. I already know some recalcitrants and I am keeping a watchful eye on them […] Do not joke; do not joke when things get serious. All stiff-necked people, goodbye! We will issue your papers, your laissez-passer! May we not go through the 2015 experience again: people revolting before our very eyes. It’s over! […]”</w:t>
      </w:r>
      <w:r w:rsidR="00FF1355">
        <w:rPr>
          <w:lang w:val="en-GB"/>
        </w:rPr>
        <w:t>.</w:t>
      </w:r>
      <w:r w:rsidRPr="007158E9">
        <w:rPr>
          <w:vertAlign w:val="superscript"/>
          <w:lang w:val="en-GB"/>
        </w:rPr>
        <w:footnoteReference w:id="337"/>
      </w:r>
      <w:r w:rsidRPr="007158E9">
        <w:rPr>
          <w:lang w:val="en-GB"/>
        </w:rPr>
        <w:t xml:space="preserve"> The Commission has received no testimony of persecution within the CNDD-FDD directly related to this speech. It nevertheless considers the latter to be an incitement to hostility and violence</w:t>
      </w:r>
      <w:r w:rsidR="005B74F5">
        <w:rPr>
          <w:lang w:val="en-GB"/>
        </w:rPr>
        <w:t>.</w:t>
      </w:r>
      <w:r w:rsidRPr="007158E9">
        <w:rPr>
          <w:vertAlign w:val="superscript"/>
          <w:lang w:val="en-GB"/>
        </w:rPr>
        <w:footnoteReference w:id="338"/>
      </w:r>
    </w:p>
    <w:p w14:paraId="3731CECE" w14:textId="77777777" w:rsidR="006B05D6" w:rsidRPr="007158E9" w:rsidRDefault="006B05D6" w:rsidP="001A5901">
      <w:pPr>
        <w:pStyle w:val="SingleTxtG"/>
        <w:numPr>
          <w:ilvl w:val="0"/>
          <w:numId w:val="30"/>
        </w:numPr>
        <w:spacing w:before="240"/>
        <w:ind w:left="706" w:right="1138"/>
        <w:rPr>
          <w:b/>
          <w:lang w:val="en-GB"/>
        </w:rPr>
      </w:pPr>
      <w:r w:rsidRPr="007158E9">
        <w:rPr>
          <w:b/>
          <w:lang w:val="en-GB"/>
        </w:rPr>
        <w:t>Violations of freedom of expression in the media</w:t>
      </w:r>
    </w:p>
    <w:p w14:paraId="44051A78" w14:textId="2592A41C" w:rsidR="006B05D6" w:rsidRPr="007158E9" w:rsidRDefault="006B05D6" w:rsidP="001A5901">
      <w:pPr>
        <w:pStyle w:val="SingleTxtG"/>
        <w:numPr>
          <w:ilvl w:val="0"/>
          <w:numId w:val="27"/>
        </w:numPr>
        <w:ind w:left="1138" w:right="562" w:firstLine="0"/>
        <w:rPr>
          <w:lang w:val="en-GB"/>
        </w:rPr>
      </w:pPr>
      <w:r w:rsidRPr="007158E9">
        <w:rPr>
          <w:lang w:val="en-GB"/>
        </w:rPr>
        <w:t>In its previous report</w:t>
      </w:r>
      <w:r w:rsidR="005B74F5">
        <w:rPr>
          <w:lang w:val="en-GB"/>
        </w:rPr>
        <w:t>,</w:t>
      </w:r>
      <w:r w:rsidRPr="007158E9">
        <w:rPr>
          <w:vertAlign w:val="superscript"/>
          <w:lang w:val="en-GB"/>
        </w:rPr>
        <w:footnoteReference w:id="339"/>
      </w:r>
      <w:r w:rsidRPr="007158E9">
        <w:rPr>
          <w:lang w:val="en-GB"/>
        </w:rPr>
        <w:t xml:space="preserve"> the Commission noted a sharp increase in pressure and control by Burundian authorities particularly over the private media, as well as numerous cases of Burundian journalists harassed, threatened, assaulted, arrested and arbitrarily detained. There has been little change since September 2017. Burundi ranks 159</w:t>
      </w:r>
      <w:r w:rsidRPr="007158E9">
        <w:rPr>
          <w:vertAlign w:val="superscript"/>
          <w:lang w:val="en-GB"/>
        </w:rPr>
        <w:t>th</w:t>
      </w:r>
      <w:r w:rsidRPr="007158E9">
        <w:rPr>
          <w:lang w:val="en-GB"/>
        </w:rPr>
        <w:t xml:space="preserve"> in the 2018 world press freedom ranking established by Reporters Without Borders (RSF)</w:t>
      </w:r>
      <w:r w:rsidR="005B74F5">
        <w:rPr>
          <w:lang w:val="en-GB"/>
        </w:rPr>
        <w:t>.</w:t>
      </w:r>
      <w:r w:rsidRPr="007158E9">
        <w:rPr>
          <w:vertAlign w:val="superscript"/>
          <w:lang w:val="en-GB"/>
        </w:rPr>
        <w:footnoteReference w:id="340"/>
      </w:r>
      <w:r w:rsidRPr="007158E9">
        <w:rPr>
          <w:lang w:val="en-GB"/>
        </w:rPr>
        <w:t xml:space="preserve"> Although the country has moved up one place since 2017, it is far from having regained the 14 places lost since 2015.</w:t>
      </w:r>
    </w:p>
    <w:p w14:paraId="12D544BD" w14:textId="77777777" w:rsidR="006B05D6" w:rsidRPr="007158E9" w:rsidRDefault="006B05D6" w:rsidP="001A5901">
      <w:pPr>
        <w:pStyle w:val="SingleTxtG"/>
        <w:numPr>
          <w:ilvl w:val="0"/>
          <w:numId w:val="27"/>
        </w:numPr>
        <w:ind w:left="1138" w:right="562" w:firstLine="0"/>
        <w:rPr>
          <w:lang w:val="en-GB"/>
        </w:rPr>
      </w:pPr>
      <w:r w:rsidRPr="007158E9">
        <w:rPr>
          <w:lang w:val="en-GB"/>
        </w:rPr>
        <w:t>The main independent media, shut down in May 2015, remain closed to this day with the main ones now officially banned from broadcasting. The National Communication Council (CNC), the state media monitoring body in Burundi, continues to exercise close surveillance over all media outlets. In addition, a large number of journalists working for independent media remain in exile. Others have joined them this year and those still operating in Burundi continue to face pressure, intimidation and restrictions from local authorities, the SNR and Imbonerakure.</w:t>
      </w:r>
    </w:p>
    <w:p w14:paraId="1ABAC3A8" w14:textId="1C77D8EB" w:rsidR="006B05D6" w:rsidRPr="007158E9" w:rsidRDefault="006B05D6" w:rsidP="001A5901">
      <w:pPr>
        <w:pStyle w:val="SingleTxtG"/>
        <w:numPr>
          <w:ilvl w:val="0"/>
          <w:numId w:val="27"/>
        </w:numPr>
        <w:ind w:left="1138" w:right="562" w:firstLine="0"/>
        <w:rPr>
          <w:lang w:val="en-GB"/>
        </w:rPr>
      </w:pPr>
      <w:r w:rsidRPr="007158E9">
        <w:rPr>
          <w:lang w:val="en-GB"/>
        </w:rPr>
        <w:t xml:space="preserve">A </w:t>
      </w:r>
      <w:r w:rsidR="005B74F5">
        <w:rPr>
          <w:lang w:val="en-GB"/>
        </w:rPr>
        <w:t>press bill was presented to the</w:t>
      </w:r>
      <w:r w:rsidRPr="007158E9">
        <w:rPr>
          <w:lang w:val="en-GB"/>
        </w:rPr>
        <w:t xml:space="preserve"> </w:t>
      </w:r>
      <w:r w:rsidR="005B74F5">
        <w:rPr>
          <w:lang w:val="en-GB"/>
        </w:rPr>
        <w:t>M</w:t>
      </w:r>
      <w:r w:rsidRPr="007158E9">
        <w:rPr>
          <w:lang w:val="en-GB"/>
        </w:rPr>
        <w:t>inisters</w:t>
      </w:r>
      <w:r w:rsidR="005B74F5">
        <w:rPr>
          <w:lang w:val="en-GB"/>
        </w:rPr>
        <w:t>’ Council</w:t>
      </w:r>
      <w:r w:rsidRPr="007158E9">
        <w:rPr>
          <w:lang w:val="en-GB"/>
        </w:rPr>
        <w:t xml:space="preserve"> on 28 September 2017 and adopted unanimously by the National Assembly on 19 April 2018. To the best of the Commission’s knowledge, this new legislation has not been promulgated to date. The Commission could not get a copy of the bill to analyse it. It, however, notes that the law governing the press had already been amended in 2015 in response to criticisms of the previous law adopted in 2013</w:t>
      </w:r>
      <w:r w:rsidR="005B74F5">
        <w:rPr>
          <w:lang w:val="en-GB"/>
        </w:rPr>
        <w:t>.</w:t>
      </w:r>
      <w:r w:rsidRPr="007158E9">
        <w:rPr>
          <w:vertAlign w:val="superscript"/>
          <w:lang w:val="en-GB"/>
        </w:rPr>
        <w:footnoteReference w:id="341"/>
      </w:r>
    </w:p>
    <w:p w14:paraId="09F0B1F7" w14:textId="77777777" w:rsidR="006B05D6" w:rsidRPr="00A71CB5" w:rsidRDefault="006B05D6" w:rsidP="00A71CB5">
      <w:pPr>
        <w:pStyle w:val="SingleTxtG"/>
        <w:numPr>
          <w:ilvl w:val="0"/>
          <w:numId w:val="31"/>
        </w:numPr>
        <w:spacing w:before="240"/>
        <w:ind w:right="1138"/>
        <w:rPr>
          <w:bCs/>
          <w:i/>
          <w:iCs/>
          <w:lang w:val="en-GB"/>
        </w:rPr>
      </w:pPr>
      <w:r w:rsidRPr="00A71CB5">
        <w:rPr>
          <w:bCs/>
          <w:i/>
          <w:iCs/>
          <w:lang w:val="en-GB"/>
        </w:rPr>
        <w:t>Media control and suspension</w:t>
      </w:r>
    </w:p>
    <w:p w14:paraId="6EF30008" w14:textId="7155CE7A" w:rsidR="006B05D6" w:rsidRPr="007158E9" w:rsidRDefault="006B05D6" w:rsidP="001A5901">
      <w:pPr>
        <w:pStyle w:val="SingleTxtG"/>
        <w:numPr>
          <w:ilvl w:val="0"/>
          <w:numId w:val="27"/>
        </w:numPr>
        <w:ind w:left="1138" w:right="562" w:firstLine="0"/>
        <w:rPr>
          <w:lang w:val="en-GB"/>
        </w:rPr>
      </w:pPr>
      <w:r w:rsidRPr="007158E9">
        <w:rPr>
          <w:lang w:val="en-GB"/>
        </w:rPr>
        <w:t>During the period covered by the present report, the CNC maintained sanctions against the media and journalists. As in previous years, the Commission remains concerned about the CNC’s dependence on the Executive</w:t>
      </w:r>
      <w:r w:rsidR="005B74F5">
        <w:rPr>
          <w:lang w:val="en-GB"/>
        </w:rPr>
        <w:t>.</w:t>
      </w:r>
      <w:r w:rsidRPr="007158E9">
        <w:rPr>
          <w:vertAlign w:val="superscript"/>
          <w:lang w:val="en-GB"/>
        </w:rPr>
        <w:footnoteReference w:id="342"/>
      </w:r>
      <w:r w:rsidRPr="007158E9">
        <w:rPr>
          <w:lang w:val="en-GB"/>
        </w:rPr>
        <w:t xml:space="preserve"> The appointment on 8 June 2018 by presidential decree of Nestor Bankumukunzi to replace the former president of the CNC, Ramadhan Karenga, is proof of this subjugation. Formerly Minister of Posts, Information Technology, Communication and Media, Mr. Bankumukunzi was unanimously elected head of the CNC by its members on 14 June 2018.</w:t>
      </w:r>
    </w:p>
    <w:p w14:paraId="7B553235" w14:textId="09E0AF79" w:rsidR="006B05D6" w:rsidRPr="007158E9" w:rsidRDefault="006B05D6" w:rsidP="001A5901">
      <w:pPr>
        <w:pStyle w:val="SingleTxtG"/>
        <w:numPr>
          <w:ilvl w:val="0"/>
          <w:numId w:val="27"/>
        </w:numPr>
        <w:ind w:left="1138" w:right="562" w:firstLine="0"/>
        <w:rPr>
          <w:lang w:val="en-GB"/>
        </w:rPr>
      </w:pPr>
      <w:r w:rsidRPr="007158E9">
        <w:rPr>
          <w:lang w:val="en-GB"/>
        </w:rPr>
        <w:t xml:space="preserve">Subjugation of the CNC to the Executive was further reinforced by the promulgation, on 8 March 2018, of an organic law “amending Law </w:t>
      </w:r>
      <w:r w:rsidR="005B74F5">
        <w:rPr>
          <w:lang w:val="en-GB"/>
        </w:rPr>
        <w:t>n</w:t>
      </w:r>
      <w:r w:rsidRPr="007158E9">
        <w:rPr>
          <w:lang w:val="en-GB"/>
        </w:rPr>
        <w:t>o. 1/03 of 24 January 2013 on the mission, composition, organisation and the functioning of the National Communication Council (CNC)”. This new legislation confirms the appointment of the 15 members of the CNC “by the President of the Republic in consultation with the Vice-Presidents”</w:t>
      </w:r>
      <w:r w:rsidRPr="007158E9">
        <w:rPr>
          <w:vertAlign w:val="superscript"/>
          <w:lang w:val="en-GB"/>
        </w:rPr>
        <w:footnoteReference w:id="343"/>
      </w:r>
      <w:r w:rsidRPr="007158E9">
        <w:rPr>
          <w:lang w:val="en-GB"/>
        </w:rPr>
        <w:t xml:space="preserve"> and specifies that, among its members, three are ministr</w:t>
      </w:r>
      <w:r w:rsidR="005B74F5">
        <w:rPr>
          <w:lang w:val="en-GB"/>
        </w:rPr>
        <w:t>ies</w:t>
      </w:r>
      <w:r w:rsidRPr="007158E9">
        <w:rPr>
          <w:lang w:val="en-GB"/>
        </w:rPr>
        <w:t xml:space="preserve"> representatives, one of whom represents the Ministry of Public Security</w:t>
      </w:r>
      <w:r w:rsidR="005B74F5">
        <w:rPr>
          <w:lang w:val="en-GB"/>
        </w:rPr>
        <w:t>.</w:t>
      </w:r>
      <w:r w:rsidRPr="007158E9">
        <w:rPr>
          <w:vertAlign w:val="superscript"/>
          <w:lang w:val="en-GB"/>
        </w:rPr>
        <w:footnoteReference w:id="344"/>
      </w:r>
    </w:p>
    <w:p w14:paraId="0E740C79" w14:textId="7893E185" w:rsidR="006B05D6" w:rsidRPr="007158E9" w:rsidRDefault="006B05D6" w:rsidP="001A5901">
      <w:pPr>
        <w:pStyle w:val="SingleTxtG"/>
        <w:numPr>
          <w:ilvl w:val="0"/>
          <w:numId w:val="27"/>
        </w:numPr>
        <w:ind w:left="1138" w:right="562" w:firstLine="0"/>
        <w:rPr>
          <w:lang w:val="en-GB"/>
        </w:rPr>
      </w:pPr>
      <w:r w:rsidRPr="007158E9">
        <w:rPr>
          <w:lang w:val="en-GB"/>
        </w:rPr>
        <w:t>More ominous for the exercise of the freedom of expression is the new organic law that significantly expands CNC’s jurisdiction which now covers all “media” understood as “any organ or company which makes information available to the public in the form of signs, written signals, images, sounds or messages of any kind which do not have the character of a private correspondence”</w:t>
      </w:r>
      <w:r w:rsidR="005B74F5">
        <w:rPr>
          <w:lang w:val="en-GB"/>
        </w:rPr>
        <w:t>.</w:t>
      </w:r>
      <w:r w:rsidRPr="007158E9">
        <w:rPr>
          <w:vertAlign w:val="superscript"/>
          <w:lang w:val="en-GB"/>
        </w:rPr>
        <w:footnoteReference w:id="345"/>
      </w:r>
      <w:r w:rsidRPr="007158E9">
        <w:rPr>
          <w:lang w:val="en-GB"/>
        </w:rPr>
        <w:t xml:space="preserve"> This covers both the traditional media – print and audio-visual media – as well as “communication companies and companies on the </w:t>
      </w:r>
      <w:r w:rsidR="005B74F5">
        <w:rPr>
          <w:lang w:val="en-GB"/>
        </w:rPr>
        <w:t>Intern</w:t>
      </w:r>
      <w:r w:rsidRPr="007158E9">
        <w:rPr>
          <w:lang w:val="en-GB"/>
        </w:rPr>
        <w:t>et”, cinematographic works, advertising or “bookstores that sell or make media content available to the public”</w:t>
      </w:r>
      <w:r w:rsidR="005B74F5">
        <w:rPr>
          <w:lang w:val="en-GB"/>
        </w:rPr>
        <w:t>.</w:t>
      </w:r>
      <w:r w:rsidRPr="007158E9">
        <w:rPr>
          <w:vertAlign w:val="superscript"/>
          <w:lang w:val="en-GB"/>
        </w:rPr>
        <w:footnoteReference w:id="346"/>
      </w:r>
      <w:r w:rsidRPr="007158E9">
        <w:rPr>
          <w:lang w:val="en-GB"/>
        </w:rPr>
        <w:t xml:space="preserve"> Are also under CNC’s control “all international or foreign media published or broadcast on the national territory, regardless of how it is made available to the public”</w:t>
      </w:r>
      <w:r w:rsidR="008D2B84">
        <w:rPr>
          <w:lang w:val="en-GB"/>
        </w:rPr>
        <w:t>.</w:t>
      </w:r>
      <w:r w:rsidRPr="007158E9">
        <w:rPr>
          <w:vertAlign w:val="superscript"/>
          <w:lang w:val="en-GB"/>
        </w:rPr>
        <w:footnoteReference w:id="347"/>
      </w:r>
      <w:r w:rsidRPr="007158E9">
        <w:rPr>
          <w:lang w:val="en-GB"/>
        </w:rPr>
        <w:t xml:space="preserve"> In addition, the CNC makes assessments of applications for professional press cards, no longer just for journalists as it did before, but also for “information technicians, filmmakers and collaborators directly associated with the profession”</w:t>
      </w:r>
      <w:r w:rsidR="008D2B84">
        <w:rPr>
          <w:lang w:val="en-GB"/>
        </w:rPr>
        <w:t>.</w:t>
      </w:r>
      <w:r w:rsidRPr="007158E9">
        <w:rPr>
          <w:vertAlign w:val="superscript"/>
          <w:lang w:val="en-GB"/>
        </w:rPr>
        <w:footnoteReference w:id="348"/>
      </w:r>
      <w:r w:rsidRPr="007158E9">
        <w:rPr>
          <w:lang w:val="en-GB"/>
        </w:rPr>
        <w:t xml:space="preserve"> It also “inspects applications for journalists’ accreditation”</w:t>
      </w:r>
      <w:r w:rsidR="008D2B84">
        <w:rPr>
          <w:lang w:val="en-GB"/>
        </w:rPr>
        <w:t>.</w:t>
      </w:r>
      <w:r w:rsidRPr="007158E9">
        <w:rPr>
          <w:vertAlign w:val="superscript"/>
          <w:lang w:val="en-GB"/>
        </w:rPr>
        <w:footnoteReference w:id="349"/>
      </w:r>
      <w:r w:rsidRPr="007158E9">
        <w:rPr>
          <w:lang w:val="en-GB"/>
        </w:rPr>
        <w:t xml:space="preserve"> </w:t>
      </w:r>
    </w:p>
    <w:p w14:paraId="150F431E" w14:textId="7ED4E889" w:rsidR="006B05D6" w:rsidRPr="007158E9" w:rsidRDefault="006B05D6" w:rsidP="001A5901">
      <w:pPr>
        <w:pStyle w:val="SingleTxtG"/>
        <w:numPr>
          <w:ilvl w:val="0"/>
          <w:numId w:val="27"/>
        </w:numPr>
        <w:ind w:left="1138" w:right="562" w:firstLine="0"/>
        <w:rPr>
          <w:lang w:val="en-GB"/>
        </w:rPr>
      </w:pPr>
      <w:r w:rsidRPr="007158E9">
        <w:rPr>
          <w:lang w:val="en-GB"/>
        </w:rPr>
        <w:t xml:space="preserve">However, the CNC did not wait for this law to be passed before it exercised its authority over the independent media. On </w:t>
      </w:r>
      <w:r w:rsidR="008D2B84">
        <w:rPr>
          <w:lang w:val="en-GB"/>
        </w:rPr>
        <w:t>28 September 2017, through its Vice-P</w:t>
      </w:r>
      <w:r w:rsidRPr="007158E9">
        <w:rPr>
          <w:lang w:val="en-GB"/>
        </w:rPr>
        <w:t>resident Aimée-Divine Niyokwizigirwa, the CNC announced the revocation of operating licenses for more than a dozen media</w:t>
      </w:r>
      <w:r w:rsidRPr="007158E9">
        <w:rPr>
          <w:vertAlign w:val="superscript"/>
          <w:lang w:val="en-GB"/>
        </w:rPr>
        <w:footnoteReference w:id="350"/>
      </w:r>
      <w:r w:rsidRPr="007158E9">
        <w:rPr>
          <w:lang w:val="en-GB"/>
        </w:rPr>
        <w:t xml:space="preserve"> including </w:t>
      </w:r>
      <w:r w:rsidRPr="007158E9">
        <w:rPr>
          <w:i/>
          <w:iCs/>
          <w:lang w:val="en-GB"/>
        </w:rPr>
        <w:t>Radio publique africaine</w:t>
      </w:r>
      <w:r w:rsidRPr="007158E9">
        <w:rPr>
          <w:lang w:val="en-GB"/>
        </w:rPr>
        <w:t xml:space="preserve"> (RPA), </w:t>
      </w:r>
      <w:r w:rsidRPr="007158E9">
        <w:rPr>
          <w:i/>
          <w:iCs/>
          <w:lang w:val="en-GB"/>
        </w:rPr>
        <w:t>Radio Bonesha FM, Radio-Télévision Renaissance</w:t>
      </w:r>
      <w:r w:rsidRPr="007158E9">
        <w:rPr>
          <w:lang w:val="en-GB"/>
        </w:rPr>
        <w:t xml:space="preserve"> which, following their demolition during the failed coup in May 2015, had been closed on the orders of the Attorney General of the Republic so as to carry out investigations on the circumstances of these destructions and to determine their responsibility, or lack thereof, in disseminating messages from the rebels. The vice-president of the CNC declared that the revocation of operating licenses was motivated by these media’s breach of their terms of service and their “failure to settle their legal case on time”. However, the vice-president of the CNC, interviewed by RSF, was unable to indicate the stage where the legal proceedings against them were</w:t>
      </w:r>
      <w:r w:rsidR="00952E00">
        <w:rPr>
          <w:lang w:val="en-GB"/>
        </w:rPr>
        <w:t>.</w:t>
      </w:r>
      <w:r w:rsidRPr="007158E9">
        <w:rPr>
          <w:vertAlign w:val="superscript"/>
          <w:lang w:val="en-GB"/>
        </w:rPr>
        <w:footnoteReference w:id="351"/>
      </w:r>
      <w:r w:rsidRPr="007158E9">
        <w:rPr>
          <w:lang w:val="en-GB"/>
        </w:rPr>
        <w:t xml:space="preserve"> To the knowledge of the Commission, the results of the investigations carried out by the Attorney General of the Republic are still unknown to date.</w:t>
      </w:r>
    </w:p>
    <w:p w14:paraId="058EA27B" w14:textId="556C0011" w:rsidR="006B05D6" w:rsidRPr="007158E9" w:rsidRDefault="006B05D6" w:rsidP="001A5901">
      <w:pPr>
        <w:pStyle w:val="SingleTxtG"/>
        <w:numPr>
          <w:ilvl w:val="0"/>
          <w:numId w:val="27"/>
        </w:numPr>
        <w:ind w:left="1138" w:right="562" w:firstLine="0"/>
        <w:rPr>
          <w:lang w:val="en-GB"/>
        </w:rPr>
      </w:pPr>
      <w:r w:rsidRPr="007158E9">
        <w:rPr>
          <w:lang w:val="en-GB"/>
        </w:rPr>
        <w:t>On 28 September 2017, the CNC suspended CCIB FM + chamber of commerce and industry ra</w:t>
      </w:r>
      <w:r w:rsidR="00952E00">
        <w:rPr>
          <w:lang w:val="en-GB"/>
        </w:rPr>
        <w:t xml:space="preserve">dio for a three-month period starting on </w:t>
      </w:r>
      <w:r w:rsidRPr="007158E9">
        <w:rPr>
          <w:lang w:val="en-GB"/>
        </w:rPr>
        <w:t xml:space="preserve">2 October 2017, after the publication on 18 September 2017 of an editorial which deplored the silence of the Burundian </w:t>
      </w:r>
      <w:r w:rsidR="00952E00">
        <w:rPr>
          <w:lang w:val="en-GB"/>
        </w:rPr>
        <w:t>G</w:t>
      </w:r>
      <w:r w:rsidRPr="007158E9">
        <w:rPr>
          <w:lang w:val="en-GB"/>
        </w:rPr>
        <w:t>overnment after the massacre of Burundian refugees in Kamanyola in the DRC. The CNC deemed this editorial unethical and contrary to the law governing the press in Burundi. The radio’s director Eddy Claude Nininahazwe was sacked on 6 October 2017 after his resignation the day before. The radio’s suspension was lifted by the CNC two months later</w:t>
      </w:r>
      <w:r w:rsidR="00952E00">
        <w:rPr>
          <w:lang w:val="en-GB"/>
        </w:rPr>
        <w:t>.</w:t>
      </w:r>
      <w:r w:rsidRPr="007158E9">
        <w:rPr>
          <w:vertAlign w:val="superscript"/>
          <w:lang w:val="en-GB"/>
        </w:rPr>
        <w:footnoteReference w:id="352"/>
      </w:r>
      <w:r w:rsidRPr="007158E9">
        <w:rPr>
          <w:lang w:val="en-GB"/>
        </w:rPr>
        <w:t xml:space="preserve"> </w:t>
      </w:r>
    </w:p>
    <w:p w14:paraId="4BFBEE39" w14:textId="58F8C023" w:rsidR="006B05D6" w:rsidRPr="007158E9" w:rsidRDefault="006B05D6" w:rsidP="001A5901">
      <w:pPr>
        <w:pStyle w:val="SingleTxtG"/>
        <w:numPr>
          <w:ilvl w:val="0"/>
          <w:numId w:val="27"/>
        </w:numPr>
        <w:ind w:left="1138" w:right="562" w:firstLine="0"/>
        <w:rPr>
          <w:lang w:val="en-GB"/>
        </w:rPr>
      </w:pPr>
      <w:r w:rsidRPr="007158E9">
        <w:rPr>
          <w:lang w:val="en-GB"/>
        </w:rPr>
        <w:t xml:space="preserve">Suspension measures have also targeted sections of certain media, although their publication was not prohibited. On 10 April 2018, the “comments” section of the </w:t>
      </w:r>
      <w:r w:rsidRPr="007158E9">
        <w:rPr>
          <w:i/>
          <w:iCs/>
          <w:lang w:val="en-GB"/>
        </w:rPr>
        <w:t>Iwacu</w:t>
      </w:r>
      <w:r w:rsidRPr="007158E9">
        <w:rPr>
          <w:lang w:val="en-GB"/>
        </w:rPr>
        <w:t xml:space="preserve"> site was suspended for three months, some of the comments that had been published there being, according to the CNC, “unbalanced” and their sources “not rigorously verified”</w:t>
      </w:r>
      <w:r w:rsidR="00952E00">
        <w:rPr>
          <w:lang w:val="en-GB"/>
        </w:rPr>
        <w:t>.</w:t>
      </w:r>
      <w:r w:rsidRPr="007158E9">
        <w:rPr>
          <w:vertAlign w:val="superscript"/>
          <w:lang w:val="en-GB"/>
        </w:rPr>
        <w:footnoteReference w:id="353"/>
      </w:r>
    </w:p>
    <w:p w14:paraId="1AEEDAA0" w14:textId="77777777" w:rsidR="006B05D6" w:rsidRPr="007158E9" w:rsidRDefault="006B05D6" w:rsidP="001A5901">
      <w:pPr>
        <w:pStyle w:val="SingleTxtG"/>
        <w:numPr>
          <w:ilvl w:val="0"/>
          <w:numId w:val="27"/>
        </w:numPr>
        <w:ind w:left="1138" w:right="562" w:firstLine="0"/>
        <w:rPr>
          <w:lang w:val="en-GB"/>
        </w:rPr>
      </w:pPr>
      <w:r w:rsidRPr="007158E9">
        <w:rPr>
          <w:lang w:val="en-GB"/>
        </w:rPr>
        <w:t xml:space="preserve">Suspension measures also affected a journalist and two international media. On 26 December 2017, the CNC suspended journalist Égide Nduwimana, who worked for the newspaper </w:t>
      </w:r>
      <w:r w:rsidRPr="007158E9">
        <w:rPr>
          <w:i/>
          <w:iCs/>
          <w:lang w:val="en-GB"/>
        </w:rPr>
        <w:t>Igire</w:t>
      </w:r>
      <w:r w:rsidRPr="007158E9">
        <w:rPr>
          <w:lang w:val="en-GB"/>
        </w:rPr>
        <w:t>, for violating the law governing the press in Burundi by disseminating information and comments considered unbalanced and whose sources were not rigorously verified, on the demonstrations organized in support of Burundi's decision to withdraw from the International Criminal Court. The journalist was also accused of treating the national heroes Prince Rwagasore and President Melchior Ndadaye “as impostors”. One person questioned by the Commission said:</w:t>
      </w:r>
    </w:p>
    <w:p w14:paraId="5845DE67" w14:textId="674BD1B7" w:rsidR="006B05D6" w:rsidRPr="007158E9" w:rsidRDefault="006B05D6" w:rsidP="00E63897">
      <w:pPr>
        <w:pStyle w:val="SingleTxtG"/>
        <w:ind w:left="1699" w:right="562"/>
        <w:rPr>
          <w:i/>
          <w:lang w:val="en-GB"/>
        </w:rPr>
      </w:pPr>
      <w:r w:rsidRPr="007158E9">
        <w:rPr>
          <w:i/>
          <w:lang w:val="en-GB"/>
        </w:rPr>
        <w:t>“He spoke of these heroes […] whose names are used. He was attacked by a pro-government association, which filed a complaint with the CNC. While this journalist […] consulted all parties before producing his paper, [the CNC suspended] him for three months. Shortly thereafter, they reduced his suspension to two months”</w:t>
      </w:r>
      <w:r w:rsidR="00952E00">
        <w:rPr>
          <w:i/>
          <w:lang w:val="en-GB"/>
        </w:rPr>
        <w:t>.</w:t>
      </w:r>
      <w:r w:rsidRPr="007158E9">
        <w:rPr>
          <w:vertAlign w:val="superscript"/>
          <w:lang w:val="en-GB"/>
        </w:rPr>
        <w:footnoteReference w:id="354"/>
      </w:r>
    </w:p>
    <w:p w14:paraId="0B71EAB1" w14:textId="330D29E2" w:rsidR="006B05D6" w:rsidRPr="007158E9" w:rsidRDefault="006B05D6" w:rsidP="001A5901">
      <w:pPr>
        <w:pStyle w:val="SingleTxtG"/>
        <w:numPr>
          <w:ilvl w:val="0"/>
          <w:numId w:val="27"/>
        </w:numPr>
        <w:ind w:left="1138" w:right="562" w:firstLine="0"/>
        <w:rPr>
          <w:lang w:val="en-GB"/>
        </w:rPr>
      </w:pPr>
      <w:r w:rsidRPr="007158E9">
        <w:rPr>
          <w:lang w:val="en-GB"/>
        </w:rPr>
        <w:t>In the context of the referendum campaign, the CNC also suspended, on 4 May 2018, activities of the British Broadcasting Corporation (BBC) and of the Voice of America (VOA) for a six-month period from 7 May 2018</w:t>
      </w:r>
      <w:r w:rsidR="00952E00">
        <w:rPr>
          <w:lang w:val="en-GB"/>
        </w:rPr>
        <w:t>.</w:t>
      </w:r>
      <w:r w:rsidRPr="007158E9">
        <w:rPr>
          <w:vertAlign w:val="superscript"/>
          <w:lang w:val="en-GB"/>
        </w:rPr>
        <w:footnoteReference w:id="355"/>
      </w:r>
      <w:r w:rsidRPr="007158E9">
        <w:rPr>
          <w:lang w:val="en-GB"/>
        </w:rPr>
        <w:t xml:space="preserve"> On 30 April 2018, the Burundian </w:t>
      </w:r>
      <w:r w:rsidR="00952E00">
        <w:rPr>
          <w:lang w:val="en-GB"/>
        </w:rPr>
        <w:t>G</w:t>
      </w:r>
      <w:r w:rsidRPr="007158E9">
        <w:rPr>
          <w:lang w:val="en-GB"/>
        </w:rPr>
        <w:t>overnment issued a press release deploring the fact that the BBC interviewed Pierre-Claver Mbonimpa</w:t>
      </w:r>
      <w:r w:rsidR="00952E00">
        <w:rPr>
          <w:lang w:val="en-GB"/>
        </w:rPr>
        <w:t>,</w:t>
      </w:r>
      <w:r w:rsidRPr="007158E9">
        <w:rPr>
          <w:vertAlign w:val="superscript"/>
          <w:lang w:val="en-GB"/>
        </w:rPr>
        <w:footnoteReference w:id="356"/>
      </w:r>
      <w:r w:rsidRPr="007158E9">
        <w:rPr>
          <w:lang w:val="en-GB"/>
        </w:rPr>
        <w:t xml:space="preserve"> “someone wanted on an international arrest warrant issued by the Burundian judiciary for participation in deadly violence” and called the CNC to “</w:t>
      </w:r>
      <w:r w:rsidR="00952E00">
        <w:rPr>
          <w:lang w:val="en-GB"/>
        </w:rPr>
        <w:t>assume its</w:t>
      </w:r>
      <w:r w:rsidRPr="007158E9">
        <w:rPr>
          <w:lang w:val="en-GB"/>
        </w:rPr>
        <w:t xml:space="preserve"> responsibilit</w:t>
      </w:r>
      <w:r w:rsidR="00952E00">
        <w:rPr>
          <w:lang w:val="en-GB"/>
        </w:rPr>
        <w:t>ies</w:t>
      </w:r>
      <w:r w:rsidRPr="007158E9">
        <w:rPr>
          <w:lang w:val="en-GB"/>
        </w:rPr>
        <w:t xml:space="preserve"> vis-à-vis the BBC”</w:t>
      </w:r>
      <w:r w:rsidR="00952E00">
        <w:rPr>
          <w:lang w:val="en-GB"/>
        </w:rPr>
        <w:t>.</w:t>
      </w:r>
      <w:r w:rsidRPr="007158E9">
        <w:rPr>
          <w:vertAlign w:val="superscript"/>
          <w:lang w:val="en-GB"/>
        </w:rPr>
        <w:footnoteReference w:id="357"/>
      </w:r>
      <w:r w:rsidRPr="007158E9">
        <w:rPr>
          <w:lang w:val="en-GB"/>
        </w:rPr>
        <w:t xml:space="preserve"> In the case of VOA, the radio was accused of having disseminated “very biased” information and of having hired a journalist “wanted by the Burundian justice”</w:t>
      </w:r>
      <w:r w:rsidR="00952E00">
        <w:rPr>
          <w:lang w:val="en-GB"/>
        </w:rPr>
        <w:t>.</w:t>
      </w:r>
      <w:r w:rsidRPr="007158E9">
        <w:rPr>
          <w:vertAlign w:val="superscript"/>
          <w:lang w:val="en-GB"/>
        </w:rPr>
        <w:footnoteReference w:id="358"/>
      </w:r>
      <w:r w:rsidRPr="007158E9">
        <w:rPr>
          <w:lang w:val="en-GB"/>
        </w:rPr>
        <w:t xml:space="preserve"> During the plenary session that the CNC held from 4 to 6 July 2018 in Makamba, its president affirmed that the two radios had apologized but that their representatives had not yet travelled to Burundi to discuss the terms of their reopening</w:t>
      </w:r>
      <w:r w:rsidR="00952E00">
        <w:rPr>
          <w:lang w:val="en-GB"/>
        </w:rPr>
        <w:t>.</w:t>
      </w:r>
      <w:r w:rsidRPr="007158E9">
        <w:rPr>
          <w:vertAlign w:val="superscript"/>
          <w:lang w:val="en-GB"/>
        </w:rPr>
        <w:footnoteReference w:id="359"/>
      </w:r>
    </w:p>
    <w:p w14:paraId="2C45308A" w14:textId="18A0644D" w:rsidR="006B05D6" w:rsidRPr="007158E9" w:rsidRDefault="006B05D6" w:rsidP="001A5901">
      <w:pPr>
        <w:pStyle w:val="SingleTxtG"/>
        <w:numPr>
          <w:ilvl w:val="0"/>
          <w:numId w:val="27"/>
        </w:numPr>
        <w:ind w:left="1138" w:right="562" w:firstLine="0"/>
        <w:rPr>
          <w:lang w:val="en-GB"/>
        </w:rPr>
      </w:pPr>
      <w:r w:rsidRPr="007158E9">
        <w:rPr>
          <w:lang w:val="en-GB"/>
        </w:rPr>
        <w:t>During the past year, the CNC has also issued warnings to certain media. On 16 March 2018, the CNC sent a warning to the BBC for a report on the decision by CNDD-FDD’s central committee to grant the title of “Visionary” to President Nkurunziza, considered unbalanced and whose sources had allegedly not been verified</w:t>
      </w:r>
      <w:r w:rsidR="00952E00">
        <w:rPr>
          <w:lang w:val="en-GB"/>
        </w:rPr>
        <w:t>.</w:t>
      </w:r>
      <w:r w:rsidRPr="007158E9">
        <w:rPr>
          <w:vertAlign w:val="superscript"/>
          <w:lang w:val="en-GB"/>
        </w:rPr>
        <w:footnoteReference w:id="360"/>
      </w:r>
      <w:r w:rsidRPr="007158E9">
        <w:rPr>
          <w:lang w:val="en-GB"/>
        </w:rPr>
        <w:t xml:space="preserve"> On 18 April 2018, the CNC sent a warning to Radio Culture for not having sought the advice of the Ministries of the Interior and Public Security as well as that of the president of CNDD-FDD’s youth league concerning a report on the referendum</w:t>
      </w:r>
      <w:r w:rsidR="00952E00">
        <w:rPr>
          <w:lang w:val="en-GB"/>
        </w:rPr>
        <w:t>.</w:t>
      </w:r>
      <w:r w:rsidRPr="007158E9">
        <w:rPr>
          <w:vertAlign w:val="superscript"/>
          <w:lang w:val="en-GB"/>
        </w:rPr>
        <w:footnoteReference w:id="361"/>
      </w:r>
      <w:r w:rsidRPr="007158E9">
        <w:rPr>
          <w:lang w:val="en-GB"/>
        </w:rPr>
        <w:t xml:space="preserve"> On the same day, a warning was sent to the newspapers </w:t>
      </w:r>
      <w:r w:rsidRPr="007158E9">
        <w:rPr>
          <w:i/>
          <w:iCs/>
          <w:lang w:val="en-GB"/>
        </w:rPr>
        <w:t>Iwacu</w:t>
      </w:r>
      <w:r w:rsidRPr="007158E9">
        <w:rPr>
          <w:lang w:val="en-GB"/>
        </w:rPr>
        <w:t xml:space="preserve"> and </w:t>
      </w:r>
      <w:r w:rsidRPr="007158E9">
        <w:rPr>
          <w:i/>
          <w:iCs/>
          <w:lang w:val="en-GB"/>
        </w:rPr>
        <w:t>Le Renouveau</w:t>
      </w:r>
      <w:r w:rsidRPr="007158E9">
        <w:rPr>
          <w:lang w:val="en-GB"/>
        </w:rPr>
        <w:t xml:space="preserve"> for having published notices in English</w:t>
      </w:r>
      <w:r w:rsidR="00952E00">
        <w:rPr>
          <w:lang w:val="en-GB"/>
        </w:rPr>
        <w:t>.</w:t>
      </w:r>
      <w:r w:rsidRPr="007158E9">
        <w:rPr>
          <w:vertAlign w:val="superscript"/>
          <w:lang w:val="en-GB"/>
        </w:rPr>
        <w:footnoteReference w:id="362"/>
      </w:r>
      <w:r w:rsidRPr="007158E9">
        <w:rPr>
          <w:lang w:val="en-GB"/>
        </w:rPr>
        <w:t xml:space="preserve"> Meanwhile on 4 May 2018, Radio France Internationale (RFI) received a “warning” for a “treatment deemed tendentious and untrue” after having stated in two reports that “the decree fixing the campaign calendar for the constitutional referendum of 17 May 2018 contained a provision that anyone who expressed a negative vote is liable to harassment, prosecution and imprisonment”</w:t>
      </w:r>
      <w:r w:rsidR="00952E00">
        <w:rPr>
          <w:lang w:val="en-GB"/>
        </w:rPr>
        <w:t>.</w:t>
      </w:r>
      <w:r w:rsidRPr="007158E9">
        <w:rPr>
          <w:vertAlign w:val="superscript"/>
          <w:lang w:val="en-GB"/>
        </w:rPr>
        <w:footnoteReference w:id="363"/>
      </w:r>
      <w:r w:rsidRPr="007158E9">
        <w:rPr>
          <w:lang w:val="en-GB"/>
        </w:rPr>
        <w:t xml:space="preserve"> Two Burundian radio stations, Radio </w:t>
      </w:r>
      <w:r w:rsidRPr="007158E9">
        <w:rPr>
          <w:i/>
          <w:iCs/>
          <w:lang w:val="en-GB"/>
        </w:rPr>
        <w:t xml:space="preserve">Isanganiro </w:t>
      </w:r>
      <w:r w:rsidRPr="007158E9">
        <w:rPr>
          <w:lang w:val="en-GB"/>
        </w:rPr>
        <w:t>and CCIB FM +, also received a warning from the CNC about a lack of “rigorous verification of sources of information”</w:t>
      </w:r>
      <w:r w:rsidR="00952E00">
        <w:rPr>
          <w:lang w:val="en-GB"/>
        </w:rPr>
        <w:t>.</w:t>
      </w:r>
      <w:r w:rsidRPr="007158E9">
        <w:rPr>
          <w:vertAlign w:val="superscript"/>
          <w:lang w:val="en-GB"/>
        </w:rPr>
        <w:footnoteReference w:id="364"/>
      </w:r>
      <w:r w:rsidRPr="007158E9">
        <w:rPr>
          <w:lang w:val="en-GB"/>
        </w:rPr>
        <w:t xml:space="preserve"> At its plenary session held in July 2018 in Makamba, the CNC threatened RFI and </w:t>
      </w:r>
      <w:r w:rsidRPr="007158E9">
        <w:rPr>
          <w:i/>
          <w:iCs/>
          <w:lang w:val="en-GB"/>
        </w:rPr>
        <w:t>Iwacu</w:t>
      </w:r>
      <w:r w:rsidRPr="007158E9">
        <w:rPr>
          <w:lang w:val="en-GB"/>
        </w:rPr>
        <w:t xml:space="preserve"> newspaper with sanctions if they persisted in giving “unbalanced and shallow</w:t>
      </w:r>
      <w:r w:rsidR="00952E00">
        <w:rPr>
          <w:lang w:val="en-GB"/>
        </w:rPr>
        <w:t>”</w:t>
      </w:r>
      <w:r w:rsidR="00952E00" w:rsidRPr="00952E00">
        <w:rPr>
          <w:lang w:val="en-GB"/>
        </w:rPr>
        <w:t xml:space="preserve"> </w:t>
      </w:r>
      <w:r w:rsidR="00952E00" w:rsidRPr="007158E9">
        <w:rPr>
          <w:lang w:val="en-GB"/>
        </w:rPr>
        <w:t>information</w:t>
      </w:r>
      <w:r w:rsidRPr="007158E9">
        <w:rPr>
          <w:vertAlign w:val="superscript"/>
          <w:lang w:val="en-GB"/>
        </w:rPr>
        <w:footnoteReference w:id="365"/>
      </w:r>
      <w:r w:rsidRPr="007158E9">
        <w:rPr>
          <w:lang w:val="en-GB"/>
        </w:rPr>
        <w:t>.</w:t>
      </w:r>
    </w:p>
    <w:p w14:paraId="7563E65C" w14:textId="77777777" w:rsidR="006B05D6" w:rsidRPr="007158E9" w:rsidRDefault="006B05D6" w:rsidP="001A5901">
      <w:pPr>
        <w:pStyle w:val="SingleTxtG"/>
        <w:numPr>
          <w:ilvl w:val="0"/>
          <w:numId w:val="27"/>
        </w:numPr>
        <w:ind w:left="1138" w:right="562" w:firstLine="0"/>
        <w:rPr>
          <w:lang w:val="en-GB"/>
        </w:rPr>
      </w:pPr>
      <w:r w:rsidRPr="007158E9">
        <w:rPr>
          <w:lang w:val="en-GB"/>
        </w:rPr>
        <w:t>The CNC’s tight media control has a direct consequence on Burundians’ access to independent media, capable of processing information in an objective and impartial manner. A journalist thus stressed:</w:t>
      </w:r>
    </w:p>
    <w:p w14:paraId="14895B86" w14:textId="23D68264" w:rsidR="006B05D6" w:rsidRPr="007158E9" w:rsidRDefault="006B05D6" w:rsidP="00123E73">
      <w:pPr>
        <w:pStyle w:val="SingleTxtG"/>
        <w:ind w:left="1699" w:right="562"/>
        <w:rPr>
          <w:i/>
          <w:lang w:val="en-GB"/>
        </w:rPr>
      </w:pPr>
      <w:r w:rsidRPr="007158E9">
        <w:rPr>
          <w:i/>
          <w:lang w:val="en-GB"/>
        </w:rPr>
        <w:t>“State radio RTNB has no independence. There is no independent media in Burundi. Even the population says that radio Isanganiro [reopened in February 2016] is no longer the same [...] You will never find information from opposition parties freely broadcas</w:t>
      </w:r>
      <w:r w:rsidR="00952E00">
        <w:rPr>
          <w:i/>
          <w:lang w:val="en-GB"/>
        </w:rPr>
        <w:t>ed</w:t>
      </w:r>
      <w:r w:rsidRPr="007158E9">
        <w:rPr>
          <w:i/>
          <w:lang w:val="en-GB"/>
        </w:rPr>
        <w:t>. Members of the opposition are forced to give information clandestinely. But other parties close to power give information whenever they want to.”</w:t>
      </w:r>
      <w:r w:rsidRPr="007158E9">
        <w:rPr>
          <w:vertAlign w:val="superscript"/>
          <w:lang w:val="en-GB"/>
        </w:rPr>
        <w:t xml:space="preserve"> </w:t>
      </w:r>
      <w:r w:rsidRPr="007158E9">
        <w:rPr>
          <w:vertAlign w:val="superscript"/>
          <w:lang w:val="en-GB"/>
        </w:rPr>
        <w:footnoteReference w:id="366"/>
      </w:r>
    </w:p>
    <w:p w14:paraId="016053FC" w14:textId="77777777" w:rsidR="00952E00" w:rsidRDefault="006B05D6" w:rsidP="00FB4AE0">
      <w:pPr>
        <w:pStyle w:val="SingleTxtG"/>
        <w:ind w:left="1138" w:right="562"/>
        <w:rPr>
          <w:i/>
          <w:lang w:val="en-GB"/>
        </w:rPr>
      </w:pPr>
      <w:r w:rsidRPr="007158E9">
        <w:rPr>
          <w:iCs/>
          <w:lang w:val="en-GB"/>
        </w:rPr>
        <w:t>A witness confirmed:</w:t>
      </w:r>
      <w:r w:rsidRPr="007158E9">
        <w:rPr>
          <w:i/>
          <w:lang w:val="en-GB"/>
        </w:rPr>
        <w:t xml:space="preserve"> </w:t>
      </w:r>
    </w:p>
    <w:p w14:paraId="7488E025" w14:textId="664FAF84" w:rsidR="006B05D6" w:rsidRPr="007158E9" w:rsidRDefault="006B05D6" w:rsidP="00952E00">
      <w:pPr>
        <w:pStyle w:val="SingleTxtG"/>
        <w:ind w:left="1701" w:right="562"/>
        <w:rPr>
          <w:i/>
          <w:lang w:val="en-GB"/>
        </w:rPr>
      </w:pPr>
      <w:r w:rsidRPr="007158E9">
        <w:rPr>
          <w:i/>
          <w:lang w:val="en-GB"/>
        </w:rPr>
        <w:t xml:space="preserve">“Freedom of expression is not guaranteed. Private radio stations were destroyed. The authorities subsequently ordered the opening of some of them […] But later, I heard that </w:t>
      </w:r>
      <w:r w:rsidR="00952E00" w:rsidRPr="007158E9">
        <w:rPr>
          <w:i/>
          <w:lang w:val="en-GB"/>
        </w:rPr>
        <w:t xml:space="preserve">radio </w:t>
      </w:r>
      <w:r w:rsidRPr="007158E9">
        <w:rPr>
          <w:i/>
          <w:lang w:val="en-GB"/>
        </w:rPr>
        <w:t>Isanganiro was not free to speak. Journalists at these stations are forced to rectify information before broadcasting it”</w:t>
      </w:r>
      <w:r w:rsidR="00952E00">
        <w:rPr>
          <w:i/>
          <w:lang w:val="en-GB"/>
        </w:rPr>
        <w:t>.</w:t>
      </w:r>
      <w:r w:rsidRPr="007158E9">
        <w:rPr>
          <w:vertAlign w:val="superscript"/>
          <w:lang w:val="en-GB"/>
        </w:rPr>
        <w:footnoteReference w:id="367"/>
      </w:r>
    </w:p>
    <w:p w14:paraId="22324335" w14:textId="77777777" w:rsidR="00952E00" w:rsidRDefault="006B05D6" w:rsidP="00952E00">
      <w:pPr>
        <w:pStyle w:val="SingleTxtG"/>
        <w:ind w:right="562"/>
        <w:rPr>
          <w:i/>
          <w:lang w:val="en-GB"/>
        </w:rPr>
      </w:pPr>
      <w:r w:rsidRPr="007158E9">
        <w:rPr>
          <w:iCs/>
          <w:lang w:val="en-GB"/>
        </w:rPr>
        <w:t>Another journalist stated:</w:t>
      </w:r>
      <w:r w:rsidRPr="007158E9">
        <w:rPr>
          <w:i/>
          <w:lang w:val="en-GB"/>
        </w:rPr>
        <w:t xml:space="preserve"> </w:t>
      </w:r>
    </w:p>
    <w:p w14:paraId="420BDBAF" w14:textId="44B474F0" w:rsidR="006B05D6" w:rsidRPr="007158E9" w:rsidRDefault="006B05D6" w:rsidP="001D4636">
      <w:pPr>
        <w:pStyle w:val="SingleTxtG"/>
        <w:ind w:left="1699" w:right="562"/>
        <w:rPr>
          <w:i/>
          <w:lang w:val="en-GB"/>
        </w:rPr>
      </w:pPr>
      <w:r w:rsidRPr="007158E9">
        <w:rPr>
          <w:i/>
          <w:lang w:val="en-GB"/>
        </w:rPr>
        <w:t xml:space="preserve">“There are established radios such as Isanganiro and Radio Rema, the latter being close to the current </w:t>
      </w:r>
      <w:r w:rsidR="00952E00">
        <w:rPr>
          <w:i/>
          <w:lang w:val="en-GB"/>
        </w:rPr>
        <w:t>G</w:t>
      </w:r>
      <w:r w:rsidRPr="007158E9">
        <w:rPr>
          <w:i/>
          <w:lang w:val="en-GB"/>
        </w:rPr>
        <w:t>overnment. There is also RTNB, the official station […]. The population is stuck. People are forced to listen to the radio via WhatsApp. But not everyone has access to WhatsApp. There is RFI and VOA that broadcast in Kirundi. People in the provinces lack media coverage. VOA has regional correspondents in four or five provinces. But I must say that listening to the news broadcast via WhatsApp is still dangerous</w:t>
      </w:r>
      <w:r w:rsidR="006C5215">
        <w:rPr>
          <w:i/>
          <w:lang w:val="en-GB"/>
        </w:rPr>
        <w:t>”</w:t>
      </w:r>
      <w:r w:rsidR="00952E00">
        <w:rPr>
          <w:i/>
          <w:lang w:val="en-GB"/>
        </w:rPr>
        <w:t>.</w:t>
      </w:r>
      <w:r w:rsidRPr="007158E9">
        <w:rPr>
          <w:vertAlign w:val="superscript"/>
          <w:lang w:val="en-GB"/>
        </w:rPr>
        <w:footnoteReference w:id="368"/>
      </w:r>
    </w:p>
    <w:p w14:paraId="5BF7A64F" w14:textId="77777777" w:rsidR="006B05D6" w:rsidRPr="007158E9" w:rsidRDefault="006B05D6" w:rsidP="001A5901">
      <w:pPr>
        <w:pStyle w:val="SingleTxtG"/>
        <w:numPr>
          <w:ilvl w:val="0"/>
          <w:numId w:val="27"/>
        </w:numPr>
        <w:ind w:left="1138" w:right="562" w:firstLine="0"/>
        <w:rPr>
          <w:lang w:val="en-GB"/>
        </w:rPr>
      </w:pPr>
      <w:r w:rsidRPr="007158E9">
        <w:rPr>
          <w:lang w:val="en-GB"/>
        </w:rPr>
        <w:t>This last testimony shows that control is also exercised over the population to ensure that they do not listen to the media deemed hostile to the Government. A witness insisted on this role assumed locally by Imbonerakure:</w:t>
      </w:r>
    </w:p>
    <w:p w14:paraId="46B40774" w14:textId="77777777" w:rsidR="006B05D6" w:rsidRPr="007158E9" w:rsidRDefault="006B05D6" w:rsidP="001D4636">
      <w:pPr>
        <w:pStyle w:val="SingleTxtG"/>
        <w:ind w:left="1699" w:right="562"/>
        <w:rPr>
          <w:lang w:val="en-GB"/>
        </w:rPr>
      </w:pPr>
      <w:r w:rsidRPr="007158E9">
        <w:rPr>
          <w:lang w:val="en-GB"/>
        </w:rPr>
        <w:t>“</w:t>
      </w:r>
      <w:r w:rsidRPr="007158E9">
        <w:rPr>
          <w:i/>
          <w:lang w:val="en-GB"/>
        </w:rPr>
        <w:t>If someone is heard listening to broadcasters such as Inzamba, Humura, Bonesha or Isanganiro, Imbonerakure [the witness refers to Imbonerakure from a certain commune] can even kill them”.</w:t>
      </w:r>
      <w:r w:rsidRPr="007158E9">
        <w:rPr>
          <w:vertAlign w:val="superscript"/>
          <w:lang w:val="en-GB"/>
        </w:rPr>
        <w:footnoteReference w:id="369"/>
      </w:r>
      <w:r w:rsidRPr="007158E9">
        <w:rPr>
          <w:lang w:val="en-GB"/>
        </w:rPr>
        <w:t xml:space="preserve"> </w:t>
      </w:r>
    </w:p>
    <w:p w14:paraId="038ED66B" w14:textId="35F4F40D" w:rsidR="006B05D6" w:rsidRPr="007158E9" w:rsidRDefault="006B05D6" w:rsidP="00421EDD">
      <w:pPr>
        <w:pStyle w:val="SingleTxtG"/>
        <w:ind w:left="1699" w:right="562"/>
        <w:rPr>
          <w:lang w:val="en-GB"/>
        </w:rPr>
      </w:pPr>
      <w:r w:rsidRPr="007158E9">
        <w:rPr>
          <w:lang w:val="en-GB"/>
        </w:rPr>
        <w:t>One victim also recounted:</w:t>
      </w:r>
      <w:r w:rsidRPr="007158E9">
        <w:rPr>
          <w:i/>
          <w:lang w:val="en-GB"/>
        </w:rPr>
        <w:t xml:space="preserve"> “We were attacked [in] 2017 […] by Imbonerakure who came home. What happened was that [X] […] was listening to Humura radio on his phone. […] He did not realise he was being followed by Imbonerakure […]. As soon as [X] arrived, Imbonerakure came to our house. [X] fled through the window, which was without wire mesh. […] As they did not find [X], they hit and slapped</w:t>
      </w:r>
      <w:r w:rsidR="006C5215">
        <w:rPr>
          <w:i/>
          <w:lang w:val="en-GB"/>
        </w:rPr>
        <w:t xml:space="preserve"> me […] they left threatening: ‘</w:t>
      </w:r>
      <w:r w:rsidRPr="007158E9">
        <w:rPr>
          <w:i/>
          <w:lang w:val="en-GB"/>
        </w:rPr>
        <w:t xml:space="preserve">Go get [X], otherwise you will see </w:t>
      </w:r>
      <w:r w:rsidR="006C5215">
        <w:rPr>
          <w:i/>
          <w:lang w:val="en-GB"/>
        </w:rPr>
        <w:t>what will happen to you tomorro’.</w:t>
      </w:r>
      <w:r w:rsidRPr="007158E9">
        <w:rPr>
          <w:i/>
          <w:lang w:val="en-GB"/>
        </w:rPr>
        <w:t>”</w:t>
      </w:r>
      <w:r w:rsidRPr="007158E9">
        <w:rPr>
          <w:vertAlign w:val="superscript"/>
          <w:lang w:val="en-GB"/>
        </w:rPr>
        <w:footnoteReference w:id="370"/>
      </w:r>
    </w:p>
    <w:p w14:paraId="19C48238" w14:textId="77777777" w:rsidR="006B05D6" w:rsidRPr="006B4356" w:rsidRDefault="006B05D6" w:rsidP="00F36F2C">
      <w:pPr>
        <w:pStyle w:val="SingleTxtG"/>
        <w:numPr>
          <w:ilvl w:val="0"/>
          <w:numId w:val="31"/>
        </w:numPr>
        <w:spacing w:before="240"/>
        <w:ind w:left="706" w:right="1138"/>
        <w:rPr>
          <w:bCs/>
          <w:i/>
          <w:iCs/>
          <w:lang w:val="en-GB"/>
        </w:rPr>
      </w:pPr>
      <w:r w:rsidRPr="006B4356">
        <w:rPr>
          <w:bCs/>
          <w:i/>
          <w:iCs/>
          <w:lang w:val="en-GB"/>
        </w:rPr>
        <w:tab/>
        <w:t>Obstacles, pressures, threats and violence against journalists</w:t>
      </w:r>
    </w:p>
    <w:p w14:paraId="22C44C6D" w14:textId="77777777" w:rsidR="006B05D6" w:rsidRPr="007158E9" w:rsidRDefault="006B05D6" w:rsidP="001A5901">
      <w:pPr>
        <w:pStyle w:val="SingleTxtG"/>
        <w:numPr>
          <w:ilvl w:val="0"/>
          <w:numId w:val="27"/>
        </w:numPr>
        <w:ind w:left="1138" w:right="562" w:firstLine="0"/>
        <w:rPr>
          <w:lang w:val="en-GB"/>
        </w:rPr>
      </w:pPr>
      <w:r w:rsidRPr="007158E9">
        <w:rPr>
          <w:lang w:val="en-GB"/>
        </w:rPr>
        <w:t>Media control also has an impact on the ability of journalists to work freely. A witness interviewed by the Commission noted:</w:t>
      </w:r>
    </w:p>
    <w:p w14:paraId="5FB4C045" w14:textId="3BC17A2E" w:rsidR="006B05D6" w:rsidRPr="007158E9" w:rsidRDefault="006B05D6" w:rsidP="00AF7F56">
      <w:pPr>
        <w:pStyle w:val="SingleTxtG"/>
        <w:ind w:left="1699" w:right="562"/>
        <w:rPr>
          <w:i/>
          <w:lang w:val="en-GB"/>
        </w:rPr>
      </w:pPr>
      <w:r w:rsidRPr="007158E9">
        <w:rPr>
          <w:i/>
          <w:lang w:val="en-GB"/>
        </w:rPr>
        <w:t>“Only journalists who are close to power can speak freely”</w:t>
      </w:r>
      <w:r w:rsidR="000D0AFB">
        <w:rPr>
          <w:i/>
          <w:lang w:val="en-GB"/>
        </w:rPr>
        <w:t>.</w:t>
      </w:r>
      <w:r w:rsidRPr="007158E9">
        <w:rPr>
          <w:vertAlign w:val="superscript"/>
          <w:lang w:val="en-GB"/>
        </w:rPr>
        <w:footnoteReference w:id="371"/>
      </w:r>
    </w:p>
    <w:p w14:paraId="34410CA1" w14:textId="27BEBEC2" w:rsidR="006B05D6" w:rsidRPr="007158E9" w:rsidRDefault="006B05D6" w:rsidP="001A5901">
      <w:pPr>
        <w:pStyle w:val="SingleTxtG"/>
        <w:numPr>
          <w:ilvl w:val="0"/>
          <w:numId w:val="27"/>
        </w:numPr>
        <w:ind w:left="1138" w:right="562" w:firstLine="0"/>
        <w:rPr>
          <w:lang w:val="en-GB"/>
        </w:rPr>
      </w:pPr>
      <w:r w:rsidRPr="007158E9">
        <w:rPr>
          <w:lang w:val="en-GB"/>
        </w:rPr>
        <w:t>The latter are however control</w:t>
      </w:r>
      <w:r w:rsidR="000D0AFB">
        <w:rPr>
          <w:lang w:val="en-GB"/>
        </w:rPr>
        <w:t>led too</w:t>
      </w:r>
      <w:r w:rsidRPr="007158E9">
        <w:rPr>
          <w:lang w:val="en-GB"/>
        </w:rPr>
        <w:t>. A witness reported on the internal workings of the RTNB:</w:t>
      </w:r>
    </w:p>
    <w:p w14:paraId="3E8E561A" w14:textId="31E5FDB2" w:rsidR="006B05D6" w:rsidRPr="007158E9" w:rsidRDefault="006B05D6" w:rsidP="00AF7F56">
      <w:pPr>
        <w:pStyle w:val="SingleTxtG"/>
        <w:ind w:left="1699" w:right="562"/>
        <w:rPr>
          <w:i/>
          <w:lang w:val="en-GB"/>
        </w:rPr>
      </w:pPr>
      <w:r w:rsidRPr="007158E9">
        <w:rPr>
          <w:i/>
          <w:lang w:val="en-GB"/>
        </w:rPr>
        <w:t>“When a reporter brought in a [reportage], [the management] sorted the information out [to determine what could] be published”</w:t>
      </w:r>
      <w:r w:rsidR="000D0AFB">
        <w:rPr>
          <w:i/>
          <w:lang w:val="en-GB"/>
        </w:rPr>
        <w:t>.</w:t>
      </w:r>
      <w:r w:rsidRPr="007158E9">
        <w:rPr>
          <w:i/>
          <w:vertAlign w:val="superscript"/>
          <w:lang w:val="en-GB"/>
        </w:rPr>
        <w:footnoteReference w:id="372"/>
      </w:r>
    </w:p>
    <w:p w14:paraId="758A0693" w14:textId="77777777" w:rsidR="006B05D6" w:rsidRPr="007158E9" w:rsidRDefault="006B05D6" w:rsidP="001A5901">
      <w:pPr>
        <w:pStyle w:val="SingleTxtG"/>
        <w:numPr>
          <w:ilvl w:val="0"/>
          <w:numId w:val="27"/>
        </w:numPr>
        <w:ind w:left="1138" w:right="562" w:firstLine="0"/>
        <w:rPr>
          <w:lang w:val="en-GB"/>
        </w:rPr>
      </w:pPr>
      <w:r w:rsidRPr="007158E9">
        <w:rPr>
          <w:lang w:val="en-GB"/>
        </w:rPr>
        <w:t>In general, the content of the information gathered and published by journalists is closely monitored. The cases documented this year by the Commission</w:t>
      </w:r>
      <w:r w:rsidRPr="007158E9">
        <w:rPr>
          <w:vertAlign w:val="superscript"/>
          <w:lang w:val="en-GB"/>
        </w:rPr>
        <w:footnoteReference w:id="373"/>
      </w:r>
      <w:r w:rsidRPr="007158E9">
        <w:rPr>
          <w:lang w:val="en-GB"/>
        </w:rPr>
        <w:t xml:space="preserve"> supplement those presented in its previous report</w:t>
      </w:r>
      <w:r w:rsidRPr="007158E9">
        <w:rPr>
          <w:vertAlign w:val="superscript"/>
          <w:lang w:val="en-GB"/>
        </w:rPr>
        <w:footnoteReference w:id="374"/>
      </w:r>
      <w:r w:rsidRPr="007158E9">
        <w:rPr>
          <w:lang w:val="en-GB"/>
        </w:rPr>
        <w:t xml:space="preserve"> about journalists who were worried after publishing information deemed to be contrary to the policies of the Government and of the CNDD-FDD. A journalist testified:</w:t>
      </w:r>
    </w:p>
    <w:p w14:paraId="4B2B1B28" w14:textId="63A53729" w:rsidR="006B05D6" w:rsidRPr="007158E9" w:rsidRDefault="006B05D6" w:rsidP="00DC282C">
      <w:pPr>
        <w:pStyle w:val="SingleTxtG"/>
        <w:ind w:left="1699" w:right="562"/>
        <w:rPr>
          <w:lang w:val="en-GB"/>
        </w:rPr>
      </w:pPr>
      <w:r w:rsidRPr="007158E9">
        <w:rPr>
          <w:i/>
          <w:lang w:val="en-GB"/>
        </w:rPr>
        <w:t>“To be a good journalist in Burundi, one must not delve too much. When the police and military spokespersons do not speak on a subject, it is dangerous to speak about it. Information that they do not give should not be disseminated. One must always seek balance. It’s not easy to practice the profession of journalist in Burundi nowadays”</w:t>
      </w:r>
      <w:r w:rsidR="000D0AFB">
        <w:rPr>
          <w:i/>
          <w:lang w:val="en-GB"/>
        </w:rPr>
        <w:t>.</w:t>
      </w:r>
      <w:r w:rsidRPr="007158E9">
        <w:rPr>
          <w:vertAlign w:val="superscript"/>
          <w:lang w:val="en-GB"/>
        </w:rPr>
        <w:footnoteReference w:id="375"/>
      </w:r>
    </w:p>
    <w:p w14:paraId="4FBD9AC8" w14:textId="24EC0B3E" w:rsidR="006B05D6" w:rsidRPr="007158E9" w:rsidRDefault="006B05D6" w:rsidP="001A5901">
      <w:pPr>
        <w:pStyle w:val="SingleTxtG"/>
        <w:numPr>
          <w:ilvl w:val="0"/>
          <w:numId w:val="27"/>
        </w:numPr>
        <w:ind w:left="1138" w:right="562" w:firstLine="0"/>
        <w:rPr>
          <w:lang w:val="en-GB"/>
        </w:rPr>
      </w:pPr>
      <w:r w:rsidRPr="007158E9">
        <w:rPr>
          <w:lang w:val="en-GB"/>
        </w:rPr>
        <w:t>As he was taking up his position at the helm of the CNC, Mr. Bankumukunzi declared that, during the period of his leadership, granting journalists a press card would be CNC’s “first priority” in the short term</w:t>
      </w:r>
      <w:r w:rsidR="000D0AFB">
        <w:rPr>
          <w:lang w:val="en-GB"/>
        </w:rPr>
        <w:t>.</w:t>
      </w:r>
      <w:r w:rsidRPr="007158E9">
        <w:rPr>
          <w:vertAlign w:val="superscript"/>
          <w:lang w:val="en-GB"/>
        </w:rPr>
        <w:footnoteReference w:id="376"/>
      </w:r>
      <w:r w:rsidRPr="007158E9">
        <w:rPr>
          <w:lang w:val="en-GB"/>
        </w:rPr>
        <w:t xml:space="preserve"> This led to fears of increased control on journalists by this body dependent on the Executive.</w:t>
      </w:r>
    </w:p>
    <w:p w14:paraId="37E7CEE9" w14:textId="77777777" w:rsidR="006B05D6" w:rsidRPr="007158E9" w:rsidRDefault="006B05D6" w:rsidP="001A5901">
      <w:pPr>
        <w:pStyle w:val="SingleTxtG"/>
        <w:numPr>
          <w:ilvl w:val="0"/>
          <w:numId w:val="27"/>
        </w:numPr>
        <w:ind w:left="1138" w:right="562" w:firstLine="0"/>
        <w:rPr>
          <w:lang w:val="en-GB"/>
        </w:rPr>
      </w:pPr>
      <w:r w:rsidRPr="007158E9">
        <w:rPr>
          <w:lang w:val="en-GB"/>
        </w:rPr>
        <w:t>During the period covered by the present report, the Commission also continued to report cases of journalists subjected to restrictions, pressure and threats, as well as arrests, arbitrary detentions and physical violence.</w:t>
      </w:r>
    </w:p>
    <w:p w14:paraId="52F99BD5" w14:textId="77777777" w:rsidR="006B05D6" w:rsidRPr="007158E9" w:rsidRDefault="006B05D6" w:rsidP="00F36F2C">
      <w:pPr>
        <w:pStyle w:val="SingleTxtG"/>
        <w:numPr>
          <w:ilvl w:val="0"/>
          <w:numId w:val="24"/>
        </w:numPr>
        <w:spacing w:before="240"/>
        <w:ind w:left="706" w:right="1138" w:hanging="360"/>
        <w:rPr>
          <w:i/>
          <w:lang w:val="en-GB"/>
        </w:rPr>
      </w:pPr>
      <w:r w:rsidRPr="007158E9">
        <w:rPr>
          <w:i/>
          <w:lang w:val="en-GB"/>
        </w:rPr>
        <w:t>Restrictions, pressure and threats against journalists</w:t>
      </w:r>
    </w:p>
    <w:p w14:paraId="4CDC1664" w14:textId="79B0924D" w:rsidR="006B05D6" w:rsidRPr="007158E9" w:rsidRDefault="006B05D6" w:rsidP="001A5901">
      <w:pPr>
        <w:pStyle w:val="SingleTxtG"/>
        <w:numPr>
          <w:ilvl w:val="0"/>
          <w:numId w:val="27"/>
        </w:numPr>
        <w:ind w:left="1138" w:right="562" w:firstLine="0"/>
        <w:rPr>
          <w:lang w:val="en-GB"/>
        </w:rPr>
      </w:pPr>
      <w:r w:rsidRPr="007158E9">
        <w:rPr>
          <w:lang w:val="en-GB"/>
        </w:rPr>
        <w:t xml:space="preserve">In March 2018, the Office of the Prosecutor in Mukaza summoned a BBC Africa journalist for a report published under the title “Visionary”, a designation granted </w:t>
      </w:r>
      <w:r w:rsidR="000D0AFB">
        <w:rPr>
          <w:lang w:val="en-GB"/>
        </w:rPr>
        <w:t xml:space="preserve">to </w:t>
      </w:r>
      <w:r w:rsidRPr="007158E9">
        <w:rPr>
          <w:lang w:val="en-GB"/>
        </w:rPr>
        <w:t xml:space="preserve">President Nkurunziza by </w:t>
      </w:r>
      <w:r w:rsidR="000D0AFB">
        <w:rPr>
          <w:lang w:val="en-GB"/>
        </w:rPr>
        <w:t xml:space="preserve">the </w:t>
      </w:r>
      <w:r w:rsidRPr="007158E9">
        <w:rPr>
          <w:lang w:val="en-GB"/>
        </w:rPr>
        <w:t>CNDD-FDD’s leadership</w:t>
      </w:r>
      <w:r w:rsidR="000D0AFB">
        <w:rPr>
          <w:lang w:val="en-GB"/>
        </w:rPr>
        <w:t>.</w:t>
      </w:r>
      <w:r w:rsidRPr="007158E9">
        <w:rPr>
          <w:vertAlign w:val="superscript"/>
          <w:lang w:val="en-GB"/>
        </w:rPr>
        <w:footnoteReference w:id="377"/>
      </w:r>
      <w:r w:rsidRPr="007158E9">
        <w:rPr>
          <w:lang w:val="en-GB"/>
        </w:rPr>
        <w:t xml:space="preserve"> Accused of contempt of the Head of State, the journalist was questioned for almo</w:t>
      </w:r>
      <w:r w:rsidR="000D0AFB">
        <w:rPr>
          <w:lang w:val="en-GB"/>
        </w:rPr>
        <w:t>st three hours on this report. Sh</w:t>
      </w:r>
      <w:r w:rsidRPr="007158E9">
        <w:rPr>
          <w:lang w:val="en-GB"/>
        </w:rPr>
        <w:t>e was accused of relaying information that could divide Burundians and cause further violence in the country. Previously, on 16 March 2018, the same journalist had received a warning letter from the CNC regarding the same report</w:t>
      </w:r>
      <w:r w:rsidR="000D0AFB">
        <w:rPr>
          <w:lang w:val="en-GB"/>
        </w:rPr>
        <w:t>.</w:t>
      </w:r>
      <w:r w:rsidRPr="007158E9">
        <w:rPr>
          <w:vertAlign w:val="superscript"/>
          <w:lang w:val="en-GB"/>
        </w:rPr>
        <w:footnoteReference w:id="378"/>
      </w:r>
      <w:r w:rsidRPr="007158E9">
        <w:rPr>
          <w:lang w:val="en-GB"/>
        </w:rPr>
        <w:t xml:space="preserve"> On March 30, 2018, in a statement published </w:t>
      </w:r>
      <w:r w:rsidR="000D0AFB">
        <w:rPr>
          <w:lang w:val="en-GB"/>
        </w:rPr>
        <w:t>about</w:t>
      </w:r>
      <w:r w:rsidRPr="007158E9">
        <w:rPr>
          <w:lang w:val="en-GB"/>
        </w:rPr>
        <w:t xml:space="preserve"> the</w:t>
      </w:r>
      <w:r w:rsidR="00F06AD7">
        <w:rPr>
          <w:lang w:val="en-GB"/>
        </w:rPr>
        <w:t xml:space="preserve"> </w:t>
      </w:r>
      <w:r w:rsidR="000D0AFB" w:rsidRPr="007158E9">
        <w:rPr>
          <w:lang w:val="en-GB"/>
        </w:rPr>
        <w:t xml:space="preserve">BBC </w:t>
      </w:r>
      <w:r w:rsidRPr="007158E9">
        <w:rPr>
          <w:lang w:val="en-GB"/>
        </w:rPr>
        <w:t xml:space="preserve">work, the Burundian </w:t>
      </w:r>
      <w:r w:rsidR="000D0AFB">
        <w:rPr>
          <w:lang w:val="en-GB"/>
        </w:rPr>
        <w:t>G</w:t>
      </w:r>
      <w:r w:rsidRPr="007158E9">
        <w:rPr>
          <w:lang w:val="en-GB"/>
        </w:rPr>
        <w:t xml:space="preserve">overnment cited the </w:t>
      </w:r>
      <w:r w:rsidR="000D0AFB">
        <w:rPr>
          <w:lang w:val="en-GB"/>
        </w:rPr>
        <w:t xml:space="preserve">BBC </w:t>
      </w:r>
      <w:r w:rsidRPr="007158E9">
        <w:rPr>
          <w:lang w:val="en-GB"/>
        </w:rPr>
        <w:t>journalist among those who lacked “journalistic ethics and professional conduct”</w:t>
      </w:r>
      <w:r w:rsidR="000D0AFB">
        <w:rPr>
          <w:lang w:val="en-GB"/>
        </w:rPr>
        <w:t>.</w:t>
      </w:r>
      <w:r w:rsidRPr="007158E9">
        <w:rPr>
          <w:vertAlign w:val="superscript"/>
          <w:lang w:val="en-GB"/>
        </w:rPr>
        <w:footnoteReference w:id="379"/>
      </w:r>
    </w:p>
    <w:p w14:paraId="3253D644" w14:textId="77777777" w:rsidR="006B05D6" w:rsidRPr="007158E9" w:rsidRDefault="006B05D6" w:rsidP="0080141B">
      <w:pPr>
        <w:pStyle w:val="SingleTxtG"/>
        <w:numPr>
          <w:ilvl w:val="0"/>
          <w:numId w:val="24"/>
        </w:numPr>
        <w:spacing w:before="240"/>
        <w:ind w:left="706" w:right="1138" w:hanging="360"/>
        <w:rPr>
          <w:i/>
          <w:lang w:val="en-GB"/>
        </w:rPr>
      </w:pPr>
      <w:r w:rsidRPr="007158E9">
        <w:rPr>
          <w:i/>
          <w:lang w:val="en-GB"/>
        </w:rPr>
        <w:t>Arbitrary arrests and detentions of journalists</w:t>
      </w:r>
    </w:p>
    <w:p w14:paraId="554FC3AC" w14:textId="09FFE454" w:rsidR="006B05D6" w:rsidRPr="007158E9" w:rsidRDefault="006B05D6" w:rsidP="001A5901">
      <w:pPr>
        <w:pStyle w:val="SingleTxtG"/>
        <w:numPr>
          <w:ilvl w:val="0"/>
          <w:numId w:val="27"/>
        </w:numPr>
        <w:ind w:left="1138" w:right="562" w:firstLine="0"/>
        <w:rPr>
          <w:lang w:val="en-GB"/>
        </w:rPr>
      </w:pPr>
      <w:r w:rsidRPr="007158E9">
        <w:rPr>
          <w:lang w:val="en-GB"/>
        </w:rPr>
        <w:t xml:space="preserve">In 2017, two journalists were detained at a police station in a province in the north of Bujumbura after a field trip to look into the arrest of activists close to Agathon Rwasa </w:t>
      </w:r>
      <w:r w:rsidR="006B7952">
        <w:rPr>
          <w:lang w:val="en-GB"/>
        </w:rPr>
        <w:t xml:space="preserve">who had been </w:t>
      </w:r>
      <w:r w:rsidRPr="007158E9">
        <w:rPr>
          <w:lang w:val="en-GB"/>
        </w:rPr>
        <w:t xml:space="preserve">accused of campaigning for the “no” vote to the constitutional referendum. Their work equipment was </w:t>
      </w:r>
      <w:r w:rsidR="006B7952">
        <w:rPr>
          <w:lang w:val="en-GB"/>
        </w:rPr>
        <w:t xml:space="preserve">initially </w:t>
      </w:r>
      <w:r w:rsidRPr="007158E9">
        <w:rPr>
          <w:lang w:val="en-GB"/>
        </w:rPr>
        <w:t xml:space="preserve">confiscated </w:t>
      </w:r>
      <w:r w:rsidR="006B7952">
        <w:rPr>
          <w:lang w:val="en-GB"/>
        </w:rPr>
        <w:t>before being</w:t>
      </w:r>
      <w:r w:rsidRPr="007158E9">
        <w:rPr>
          <w:lang w:val="en-GB"/>
        </w:rPr>
        <w:t xml:space="preserve"> </w:t>
      </w:r>
      <w:r w:rsidR="006B7952">
        <w:rPr>
          <w:lang w:val="en-GB"/>
        </w:rPr>
        <w:t>handed</w:t>
      </w:r>
      <w:r w:rsidRPr="007158E9">
        <w:rPr>
          <w:lang w:val="en-GB"/>
        </w:rPr>
        <w:t xml:space="preserve"> to them </w:t>
      </w:r>
      <w:r w:rsidR="006B7952">
        <w:rPr>
          <w:lang w:val="en-GB"/>
        </w:rPr>
        <w:t>when</w:t>
      </w:r>
      <w:r w:rsidRPr="007158E9">
        <w:rPr>
          <w:lang w:val="en-GB"/>
        </w:rPr>
        <w:t xml:space="preserve"> they left the police station</w:t>
      </w:r>
      <w:r w:rsidR="006B7952">
        <w:rPr>
          <w:lang w:val="en-GB"/>
        </w:rPr>
        <w:t>.</w:t>
      </w:r>
      <w:r w:rsidRPr="007158E9">
        <w:rPr>
          <w:vertAlign w:val="superscript"/>
          <w:lang w:val="en-GB"/>
        </w:rPr>
        <w:footnoteReference w:id="380"/>
      </w:r>
    </w:p>
    <w:p w14:paraId="70127692" w14:textId="0719094B" w:rsidR="006B05D6" w:rsidRPr="007158E9" w:rsidRDefault="006B05D6" w:rsidP="001A5901">
      <w:pPr>
        <w:pStyle w:val="SingleTxtG"/>
        <w:numPr>
          <w:ilvl w:val="0"/>
          <w:numId w:val="27"/>
        </w:numPr>
        <w:ind w:left="1138" w:right="562" w:firstLine="0"/>
        <w:rPr>
          <w:lang w:val="en-GB"/>
        </w:rPr>
      </w:pPr>
      <w:r w:rsidRPr="007158E9">
        <w:rPr>
          <w:lang w:val="en-GB"/>
        </w:rPr>
        <w:t>The Commission has also been informed of the case of a journalist arrested in 2017 because of his or her activities</w:t>
      </w:r>
      <w:r w:rsidR="006B7952">
        <w:rPr>
          <w:lang w:val="en-GB"/>
        </w:rPr>
        <w:t>.</w:t>
      </w:r>
      <w:r w:rsidRPr="007158E9">
        <w:rPr>
          <w:vertAlign w:val="superscript"/>
          <w:lang w:val="en-GB"/>
        </w:rPr>
        <w:footnoteReference w:id="381"/>
      </w:r>
    </w:p>
    <w:p w14:paraId="0F5BBE1F" w14:textId="77777777" w:rsidR="006B05D6" w:rsidRPr="007158E9" w:rsidRDefault="006B05D6" w:rsidP="0080141B">
      <w:pPr>
        <w:pStyle w:val="SingleTxtG"/>
        <w:numPr>
          <w:ilvl w:val="0"/>
          <w:numId w:val="24"/>
        </w:numPr>
        <w:spacing w:before="240"/>
        <w:ind w:left="706" w:right="1138" w:hanging="360"/>
        <w:rPr>
          <w:i/>
          <w:lang w:val="en-GB"/>
        </w:rPr>
      </w:pPr>
      <w:r w:rsidRPr="007158E9">
        <w:rPr>
          <w:i/>
          <w:lang w:val="en-GB"/>
        </w:rPr>
        <w:t>Violence against journalists</w:t>
      </w:r>
    </w:p>
    <w:p w14:paraId="4D996122" w14:textId="023ED7E7" w:rsidR="006B05D6" w:rsidRPr="007158E9" w:rsidRDefault="006B05D6" w:rsidP="001A5901">
      <w:pPr>
        <w:pStyle w:val="SingleTxtG"/>
        <w:numPr>
          <w:ilvl w:val="0"/>
          <w:numId w:val="27"/>
        </w:numPr>
        <w:ind w:left="1138" w:right="562" w:firstLine="0"/>
        <w:rPr>
          <w:lang w:val="en-GB"/>
        </w:rPr>
      </w:pPr>
      <w:r w:rsidRPr="007158E9">
        <w:rPr>
          <w:lang w:val="en-GB"/>
        </w:rPr>
        <w:t>In 2018, a journalist fought with a group of Imbonerakure. During the altercation, Imbonerakure specifically accused him of disseminating false information</w:t>
      </w:r>
      <w:r w:rsidR="006B7952">
        <w:rPr>
          <w:lang w:val="en-GB"/>
        </w:rPr>
        <w:t>.</w:t>
      </w:r>
      <w:r w:rsidRPr="007158E9">
        <w:rPr>
          <w:vertAlign w:val="superscript"/>
          <w:lang w:val="en-GB"/>
        </w:rPr>
        <w:footnoteReference w:id="382"/>
      </w:r>
    </w:p>
    <w:p w14:paraId="10304632" w14:textId="60722B79" w:rsidR="006B05D6" w:rsidRPr="007158E9" w:rsidRDefault="006B05D6" w:rsidP="001A5901">
      <w:pPr>
        <w:pStyle w:val="SingleTxtG"/>
        <w:numPr>
          <w:ilvl w:val="0"/>
          <w:numId w:val="27"/>
        </w:numPr>
        <w:ind w:left="1138" w:right="562" w:firstLine="0"/>
        <w:rPr>
          <w:lang w:val="en-GB"/>
        </w:rPr>
      </w:pPr>
      <w:r w:rsidRPr="007158E9">
        <w:rPr>
          <w:lang w:val="en-GB"/>
        </w:rPr>
        <w:t>On 27 August 2018, Alain-Majesté Barenga, Bella Gloria Kimana and Alain Niyomucamanza, three journalists from the local radio station “Radio Culture” were hit by police officers in the Ngagara zone of Ntahan</w:t>
      </w:r>
      <w:r w:rsidR="006B7952">
        <w:rPr>
          <w:lang w:val="en-GB"/>
        </w:rPr>
        <w:t xml:space="preserve">gwa commune in Bujumbura mairie. They went to this </w:t>
      </w:r>
      <w:r w:rsidRPr="007158E9">
        <w:rPr>
          <w:lang w:val="en-GB"/>
        </w:rPr>
        <w:t>site to report on a land dispute between residents and the local administration of a neighbourhood in that area</w:t>
      </w:r>
      <w:r w:rsidR="006B7952">
        <w:rPr>
          <w:lang w:val="en-GB"/>
        </w:rPr>
        <w:t>.</w:t>
      </w:r>
      <w:r w:rsidRPr="007158E9">
        <w:rPr>
          <w:vertAlign w:val="superscript"/>
          <w:lang w:val="en-GB"/>
        </w:rPr>
        <w:footnoteReference w:id="383"/>
      </w:r>
      <w:r w:rsidRPr="007158E9">
        <w:rPr>
          <w:lang w:val="en-GB"/>
        </w:rPr>
        <w:t xml:space="preserve"> The following day, the CNC spoke about the case. Its president, Nestor Bankumukunzi, declared: “A journalist on Burundian soil has the right to the security of his or her person and material”. The police spokesman nevertheless dismissed the allegations</w:t>
      </w:r>
      <w:r w:rsidRPr="007158E9">
        <w:rPr>
          <w:vertAlign w:val="superscript"/>
          <w:lang w:val="en-GB"/>
        </w:rPr>
        <w:footnoteReference w:id="384"/>
      </w:r>
      <w:r w:rsidR="006B7952">
        <w:rPr>
          <w:lang w:val="en-GB"/>
        </w:rPr>
        <w:t xml:space="preserve"> and</w:t>
      </w:r>
      <w:r w:rsidRPr="007158E9">
        <w:rPr>
          <w:lang w:val="en-GB"/>
        </w:rPr>
        <w:t xml:space="preserve"> to the Commission’s best knowledge, no sanctions have been taken against the police officers involved</w:t>
      </w:r>
      <w:r w:rsidR="006B7952">
        <w:rPr>
          <w:lang w:val="en-GB"/>
        </w:rPr>
        <w:t>.</w:t>
      </w:r>
      <w:r w:rsidRPr="007158E9">
        <w:rPr>
          <w:vertAlign w:val="superscript"/>
          <w:lang w:val="en-GB"/>
        </w:rPr>
        <w:footnoteReference w:id="385"/>
      </w:r>
    </w:p>
    <w:p w14:paraId="2701B4C5" w14:textId="7939BB13" w:rsidR="006B05D6" w:rsidRPr="007158E9" w:rsidRDefault="006B05D6" w:rsidP="001A5901">
      <w:pPr>
        <w:pStyle w:val="SingleTxtG"/>
        <w:numPr>
          <w:ilvl w:val="0"/>
          <w:numId w:val="27"/>
        </w:numPr>
        <w:ind w:left="1138" w:right="562" w:firstLine="0"/>
        <w:rPr>
          <w:b/>
          <w:lang w:val="en-GB"/>
        </w:rPr>
      </w:pPr>
      <w:r w:rsidRPr="007158E9">
        <w:rPr>
          <w:lang w:val="en-GB"/>
        </w:rPr>
        <w:t>In this context of regular obstructions to journalists’ work and violations against them, the Commission continued to interview and meet journalists who had to flee Burundi</w:t>
      </w:r>
      <w:r w:rsidR="006B7952">
        <w:rPr>
          <w:lang w:val="en-GB"/>
        </w:rPr>
        <w:t>.</w:t>
      </w:r>
      <w:r w:rsidRPr="007158E9">
        <w:rPr>
          <w:vertAlign w:val="superscript"/>
          <w:lang w:val="en-GB"/>
        </w:rPr>
        <w:footnoteReference w:id="386"/>
      </w:r>
    </w:p>
    <w:p w14:paraId="0780C3C9" w14:textId="77777777" w:rsidR="006B05D6" w:rsidRPr="007158E9" w:rsidRDefault="006B05D6" w:rsidP="002C4374">
      <w:pPr>
        <w:pStyle w:val="SingleTxtG"/>
        <w:numPr>
          <w:ilvl w:val="0"/>
          <w:numId w:val="30"/>
        </w:numPr>
        <w:spacing w:before="240"/>
        <w:ind w:left="706" w:right="1138"/>
        <w:rPr>
          <w:b/>
          <w:lang w:val="en-GB"/>
        </w:rPr>
      </w:pPr>
      <w:r w:rsidRPr="002C4374">
        <w:rPr>
          <w:b/>
          <w:lang w:val="en-GB"/>
        </w:rPr>
        <w:tab/>
      </w:r>
      <w:r w:rsidRPr="007158E9">
        <w:rPr>
          <w:b/>
          <w:lang w:val="en-GB"/>
        </w:rPr>
        <w:t>Incitement to discrimination, hostility and violence</w:t>
      </w:r>
    </w:p>
    <w:p w14:paraId="4429D2FC" w14:textId="5F521FDF" w:rsidR="006B05D6" w:rsidRPr="007158E9" w:rsidRDefault="006B05D6" w:rsidP="001A5901">
      <w:pPr>
        <w:pStyle w:val="SingleTxtG"/>
        <w:numPr>
          <w:ilvl w:val="0"/>
          <w:numId w:val="27"/>
        </w:numPr>
        <w:ind w:left="1138" w:right="562" w:firstLine="0"/>
        <w:rPr>
          <w:b/>
          <w:lang w:val="en-GB"/>
        </w:rPr>
      </w:pPr>
      <w:r w:rsidRPr="007158E9">
        <w:rPr>
          <w:lang w:val="en-GB"/>
        </w:rPr>
        <w:t>The International Covenant on Civil and Political Rights condemns on the one hand any propaganda in favour of war and on the other hand “any appeal to national, racial or religious hatred which constitutes an incitement to discrimination, hostility or violence”</w:t>
      </w:r>
      <w:r w:rsidR="003776C0">
        <w:rPr>
          <w:lang w:val="en-GB"/>
        </w:rPr>
        <w:t>.</w:t>
      </w:r>
      <w:r w:rsidRPr="007158E9">
        <w:rPr>
          <w:vertAlign w:val="superscript"/>
          <w:lang w:val="en-GB"/>
        </w:rPr>
        <w:footnoteReference w:id="387"/>
      </w:r>
      <w:r w:rsidRPr="007158E9">
        <w:rPr>
          <w:lang w:val="en-GB"/>
        </w:rPr>
        <w:t xml:space="preserve"> As in its previous report</w:t>
      </w:r>
      <w:r w:rsidR="003776C0">
        <w:rPr>
          <w:lang w:val="en-GB"/>
        </w:rPr>
        <w:t>,</w:t>
      </w:r>
      <w:r w:rsidRPr="007158E9">
        <w:rPr>
          <w:vertAlign w:val="superscript"/>
          <w:lang w:val="en-GB"/>
        </w:rPr>
        <w:footnoteReference w:id="388"/>
      </w:r>
      <w:r w:rsidRPr="007158E9">
        <w:rPr>
          <w:lang w:val="en-GB"/>
        </w:rPr>
        <w:t xml:space="preserve"> the Commission noted several messages, speeches, statements and songs that fall into one or the other category.</w:t>
      </w:r>
    </w:p>
    <w:p w14:paraId="138FDDCC" w14:textId="77777777" w:rsidR="006B05D6" w:rsidRPr="00536E53" w:rsidRDefault="006B05D6" w:rsidP="007B2FBC">
      <w:pPr>
        <w:pStyle w:val="SingleTxtG"/>
        <w:numPr>
          <w:ilvl w:val="0"/>
          <w:numId w:val="32"/>
        </w:numPr>
        <w:spacing w:before="240"/>
        <w:ind w:right="1138"/>
        <w:rPr>
          <w:bCs/>
          <w:i/>
          <w:iCs/>
          <w:lang w:val="en-GB"/>
        </w:rPr>
      </w:pPr>
      <w:r w:rsidRPr="00536E53">
        <w:rPr>
          <w:bCs/>
          <w:i/>
          <w:iCs/>
          <w:lang w:val="en-GB"/>
        </w:rPr>
        <w:t>Calls for armed struggle by leaders or armed opposition groups</w:t>
      </w:r>
    </w:p>
    <w:p w14:paraId="113CA332" w14:textId="2C32CA7A" w:rsidR="006B05D6" w:rsidRPr="007158E9" w:rsidRDefault="006B05D6" w:rsidP="001A5901">
      <w:pPr>
        <w:pStyle w:val="SingleTxtG"/>
        <w:numPr>
          <w:ilvl w:val="0"/>
          <w:numId w:val="27"/>
        </w:numPr>
        <w:ind w:left="1138" w:right="562" w:firstLine="0"/>
        <w:rPr>
          <w:lang w:val="en-GB"/>
        </w:rPr>
      </w:pPr>
      <w:r w:rsidRPr="007158E9">
        <w:rPr>
          <w:lang w:val="en-GB"/>
        </w:rPr>
        <w:t>During the period covered by the present report, the Commission has not heard of any calls for armed struggle by armed opposition groups. It is clear, however, that this type of struggle remains their main objective since their creation, as already established by the Commission</w:t>
      </w:r>
      <w:r w:rsidR="003776C0">
        <w:rPr>
          <w:lang w:val="en-GB"/>
        </w:rPr>
        <w:t>.</w:t>
      </w:r>
      <w:r w:rsidRPr="007158E9">
        <w:rPr>
          <w:vertAlign w:val="superscript"/>
          <w:lang w:val="en-GB"/>
        </w:rPr>
        <w:footnoteReference w:id="389"/>
      </w:r>
    </w:p>
    <w:p w14:paraId="5E4D5E99" w14:textId="570EF87F" w:rsidR="006B05D6" w:rsidRPr="007158E9" w:rsidRDefault="006B05D6" w:rsidP="001A5901">
      <w:pPr>
        <w:pStyle w:val="SingleTxtG"/>
        <w:numPr>
          <w:ilvl w:val="0"/>
          <w:numId w:val="27"/>
        </w:numPr>
        <w:ind w:left="1138" w:right="562" w:firstLine="0"/>
        <w:rPr>
          <w:lang w:val="en-GB"/>
        </w:rPr>
      </w:pPr>
      <w:r w:rsidRPr="007158E9">
        <w:rPr>
          <w:lang w:val="en-GB"/>
        </w:rPr>
        <w:t xml:space="preserve">Regarding opposition political parties, Jérémie Minani, the commissioner responsible for communication and public relations of the </w:t>
      </w:r>
      <w:r w:rsidRPr="007158E9">
        <w:rPr>
          <w:i/>
          <w:iCs/>
          <w:lang w:val="en-GB"/>
        </w:rPr>
        <w:t>Conseil national pour le respect de l'Accord d'Arusha and la réconciliation au Burundi</w:t>
      </w:r>
      <w:r w:rsidRPr="007158E9">
        <w:rPr>
          <w:lang w:val="en-GB"/>
        </w:rPr>
        <w:t xml:space="preserve"> (CNARED)</w:t>
      </w:r>
      <w:r w:rsidR="003776C0">
        <w:rPr>
          <w:lang w:val="en-GB"/>
        </w:rPr>
        <w:t>,</w:t>
      </w:r>
      <w:r w:rsidRPr="007158E9">
        <w:rPr>
          <w:vertAlign w:val="superscript"/>
          <w:lang w:val="en-GB"/>
        </w:rPr>
        <w:footnoteReference w:id="390"/>
      </w:r>
      <w:r w:rsidRPr="007158E9">
        <w:rPr>
          <w:lang w:val="en-GB"/>
        </w:rPr>
        <w:t xml:space="preserve"> published on 3 April 2018 a call for armed struggle on Twitter which stated: “Faced with an irrational regime which has closed the door on all peaceful solutions, I publicly call on Burundians to take up arms to defend our democracy. It depends on our survival and that of Burundi’s democracy”</w:t>
      </w:r>
      <w:r w:rsidR="003776C0">
        <w:rPr>
          <w:lang w:val="en-GB"/>
        </w:rPr>
        <w:t>.</w:t>
      </w:r>
      <w:r w:rsidRPr="007158E9">
        <w:rPr>
          <w:vertAlign w:val="superscript"/>
          <w:lang w:val="en-GB"/>
        </w:rPr>
        <w:footnoteReference w:id="391"/>
      </w:r>
      <w:r w:rsidRPr="007158E9">
        <w:rPr>
          <w:lang w:val="en-GB"/>
        </w:rPr>
        <w:t xml:space="preserve"> On the same day, he posted a text on Facebook in which he said: “Who will save Burundi’s democracy? The game of electoral pressure seems to be over. Faced with an irrational regime that is in the logic of total denial of the crisis and inclusive negotiations, two options for preventing the regime from burying democracy in Burundi are available: 1</w:t>
      </w:r>
      <w:r w:rsidR="003776C0">
        <w:rPr>
          <w:lang w:val="en-GB"/>
        </w:rPr>
        <w:t>. A total embargo initiated by S</w:t>
      </w:r>
      <w:r w:rsidRPr="007158E9">
        <w:rPr>
          <w:lang w:val="en-GB"/>
        </w:rPr>
        <w:t>tates in the region (which seems unlikely to me), 2. a military coup or the use of military force to neutralize the Burundian regime. Without at least one of these two options, opposition statements, calls to reason from the international community, calls for boycotting the votes or voting no will not change anything; the Arusha Agreement and the ensuing Constitution will disappear on 17 May 2018 and all chances of a negotiated solution to the Burundian crisis will vanish. Dear compatriots, we must understand that our democracy is in danger and it is up to us, the Burundian people, to defend it. Let’s take up arms and defend our democracy, Pierre Nkurunziza has closed the door to all peaceful solutions”</w:t>
      </w:r>
      <w:r w:rsidR="003776C0">
        <w:rPr>
          <w:lang w:val="en-GB"/>
        </w:rPr>
        <w:t>.</w:t>
      </w:r>
      <w:r w:rsidRPr="007158E9">
        <w:rPr>
          <w:vertAlign w:val="superscript"/>
          <w:lang w:val="en-GB"/>
        </w:rPr>
        <w:footnoteReference w:id="392"/>
      </w:r>
    </w:p>
    <w:p w14:paraId="5932FE94" w14:textId="07152C8C" w:rsidR="006B05D6" w:rsidRPr="007158E9" w:rsidRDefault="006B05D6" w:rsidP="001A5901">
      <w:pPr>
        <w:pStyle w:val="SingleTxtG"/>
        <w:numPr>
          <w:ilvl w:val="0"/>
          <w:numId w:val="27"/>
        </w:numPr>
        <w:ind w:left="1138" w:right="562" w:firstLine="0"/>
        <w:rPr>
          <w:lang w:val="en-GB"/>
        </w:rPr>
      </w:pPr>
      <w:r w:rsidRPr="007158E9">
        <w:rPr>
          <w:lang w:val="en-GB"/>
        </w:rPr>
        <w:t>On 5 April 2018, Jérémie Minani reiterated his call for armed resistance on Twitter: “Since April 2015, @pnkurunziza has ordered mass atrocities that have killed more than 6,000 people simply because they were opposed to his indefinite rule. As he has closed the door on any peaceful solution, now is the time to confront him militarily”</w:t>
      </w:r>
      <w:r w:rsidR="003776C0">
        <w:rPr>
          <w:lang w:val="en-GB"/>
        </w:rPr>
        <w:t>.</w:t>
      </w:r>
      <w:r w:rsidRPr="007158E9">
        <w:rPr>
          <w:vertAlign w:val="superscript"/>
          <w:lang w:val="en-GB"/>
        </w:rPr>
        <w:footnoteReference w:id="393"/>
      </w:r>
      <w:r w:rsidRPr="007158E9">
        <w:rPr>
          <w:lang w:val="en-GB"/>
        </w:rPr>
        <w:t xml:space="preserve"> On 19 July 2018, Jérémie Minani posted a new message on Twitter in which he recalled: “My overall objective remains a clean slate of the Burundian political system which is the cause of all our misfortunes”</w:t>
      </w:r>
      <w:r w:rsidR="003776C0">
        <w:rPr>
          <w:lang w:val="en-GB"/>
        </w:rPr>
        <w:t>.</w:t>
      </w:r>
      <w:r w:rsidRPr="007158E9">
        <w:rPr>
          <w:vertAlign w:val="superscript"/>
          <w:lang w:val="en-GB"/>
        </w:rPr>
        <w:footnoteReference w:id="394"/>
      </w:r>
    </w:p>
    <w:p w14:paraId="145D5C4B" w14:textId="38F15897" w:rsidR="006B05D6" w:rsidRPr="007158E9" w:rsidRDefault="006B05D6" w:rsidP="001A5901">
      <w:pPr>
        <w:pStyle w:val="SingleTxtG"/>
        <w:numPr>
          <w:ilvl w:val="0"/>
          <w:numId w:val="27"/>
        </w:numPr>
        <w:ind w:left="1138" w:right="562" w:firstLine="0"/>
        <w:rPr>
          <w:lang w:val="en-GB"/>
        </w:rPr>
      </w:pPr>
      <w:r w:rsidRPr="007158E9">
        <w:rPr>
          <w:lang w:val="en-GB"/>
        </w:rPr>
        <w:t>In a Jeune Afrique interview of CNARED’s spokesperson Pancrace Cimpaye on 2 May 2018, there was no call to take up arms against the Government. He however stressed that Burundi’s current political and diplomatic deadlock is at risk of pushing young people to join armed opposition groups. “Once all the doors of negotiations are closed,” he said, the risk is that young opponents of the regime head into the bush and use violence and weapons to push for negotiations and a new balance of power […] You know, when young people decide to go to the bush, they do not require permission. When the time comes, CNARED will unveil its strategy. Nkurunziza will cross the red line on 17 May [the day of the constitutional referendum]. Therefore, I do not know what the coalition will decide as a result”</w:t>
      </w:r>
      <w:r w:rsidR="003776C0">
        <w:rPr>
          <w:lang w:val="en-GB"/>
        </w:rPr>
        <w:t>.</w:t>
      </w:r>
      <w:r w:rsidRPr="007158E9">
        <w:rPr>
          <w:vertAlign w:val="superscript"/>
          <w:lang w:val="en-GB"/>
        </w:rPr>
        <w:footnoteReference w:id="395"/>
      </w:r>
      <w:r w:rsidRPr="007158E9">
        <w:rPr>
          <w:lang w:val="en-GB"/>
        </w:rPr>
        <w:t xml:space="preserve"> In a press release published on 24 April 2018 CNARED recalled, “After the referendum of 17 May 2018, there will</w:t>
      </w:r>
      <w:r w:rsidR="003776C0">
        <w:rPr>
          <w:lang w:val="en-GB"/>
        </w:rPr>
        <w:t xml:space="preserve"> </w:t>
      </w:r>
      <w:r w:rsidRPr="007158E9">
        <w:rPr>
          <w:lang w:val="en-GB"/>
        </w:rPr>
        <w:t>no longer be any room for negotiation”</w:t>
      </w:r>
      <w:r w:rsidR="003776C0">
        <w:rPr>
          <w:lang w:val="en-GB"/>
        </w:rPr>
        <w:t>.</w:t>
      </w:r>
      <w:r w:rsidRPr="007158E9">
        <w:rPr>
          <w:vertAlign w:val="superscript"/>
          <w:lang w:val="en-GB"/>
        </w:rPr>
        <w:footnoteReference w:id="396"/>
      </w:r>
    </w:p>
    <w:p w14:paraId="5CAA6BA2" w14:textId="53207317" w:rsidR="006B05D6" w:rsidRPr="007158E9" w:rsidRDefault="006B05D6" w:rsidP="001A5901">
      <w:pPr>
        <w:pStyle w:val="SingleTxtG"/>
        <w:numPr>
          <w:ilvl w:val="0"/>
          <w:numId w:val="27"/>
        </w:numPr>
        <w:ind w:left="1138" w:right="562" w:firstLine="0"/>
        <w:rPr>
          <w:lang w:val="en-GB"/>
        </w:rPr>
      </w:pPr>
      <w:r w:rsidRPr="007158E9">
        <w:rPr>
          <w:lang w:val="en-GB"/>
        </w:rPr>
        <w:t>On 8 June 2018, the Coordination Committee of the Burundian Citizen Forum published a declaration</w:t>
      </w:r>
      <w:r w:rsidRPr="007158E9">
        <w:rPr>
          <w:vertAlign w:val="superscript"/>
          <w:lang w:val="en-GB"/>
        </w:rPr>
        <w:footnoteReference w:id="397"/>
      </w:r>
      <w:r w:rsidRPr="007158E9">
        <w:rPr>
          <w:lang w:val="en-GB"/>
        </w:rPr>
        <w:t xml:space="preserve"> signed by Jean Minani, representative of opposition political parties and organisations and president of CNARED; Pierre Claver Mbonimpa, representative of civil society in exile and president of APRODH; Marie Louise Baricako, representative of Women’s Organisations in exile and president of the MFFPS; Venant Bigemintwaza, representative of the Burundian diaspora gathered in the Burundian Citizen Forum and; Alexandre Niyungeko, representative of organisations of journalists in exile and president of the Burundian Union of Journalists. They called upon </w:t>
      </w:r>
      <w:r w:rsidR="003776C0" w:rsidRPr="007158E9">
        <w:rPr>
          <w:lang w:val="en-GB"/>
        </w:rPr>
        <w:t>Burundian</w:t>
      </w:r>
      <w:r w:rsidRPr="007158E9">
        <w:rPr>
          <w:lang w:val="en-GB"/>
        </w:rPr>
        <w:t xml:space="preserve"> people “to a revolution and a new national vision for the restoration of the Arusha Agreement and the 2005 Constitution”. This declaration may not qualify as a clear call for armed struggle, but the use of revolutionary terminology does cast serious doubts on the possible use of violence.</w:t>
      </w:r>
    </w:p>
    <w:p w14:paraId="10EFFD25" w14:textId="77777777" w:rsidR="006B05D6" w:rsidRPr="007B2FBC" w:rsidRDefault="006B05D6" w:rsidP="007B2FBC">
      <w:pPr>
        <w:pStyle w:val="SingleTxtG"/>
        <w:numPr>
          <w:ilvl w:val="0"/>
          <w:numId w:val="32"/>
        </w:numPr>
        <w:spacing w:before="240"/>
        <w:ind w:right="1138"/>
        <w:rPr>
          <w:bCs/>
          <w:i/>
          <w:iCs/>
          <w:lang w:val="en-GB"/>
        </w:rPr>
      </w:pPr>
      <w:r w:rsidRPr="007B2FBC">
        <w:rPr>
          <w:bCs/>
          <w:i/>
          <w:iCs/>
          <w:lang w:val="en-GB"/>
        </w:rPr>
        <w:t>Calls for national, racial or religious hatred which constitute an incitement to discrimination, hostility or violence</w:t>
      </w:r>
    </w:p>
    <w:p w14:paraId="61CF3F5E" w14:textId="198A0393" w:rsidR="006B05D6" w:rsidRPr="007158E9" w:rsidRDefault="006B05D6" w:rsidP="001A5901">
      <w:pPr>
        <w:pStyle w:val="SingleTxtG"/>
        <w:numPr>
          <w:ilvl w:val="0"/>
          <w:numId w:val="27"/>
        </w:numPr>
        <w:ind w:left="1138" w:right="562" w:firstLine="0"/>
        <w:rPr>
          <w:lang w:val="en-GB"/>
        </w:rPr>
      </w:pPr>
      <w:r w:rsidRPr="007158E9">
        <w:rPr>
          <w:lang w:val="en-GB"/>
        </w:rPr>
        <w:t xml:space="preserve">As in the first term of its mandate, the Commission documented hate-speech constituting incitment to hostility or violence against opponents of the </w:t>
      </w:r>
      <w:r w:rsidR="003776C0">
        <w:rPr>
          <w:lang w:val="en-GB"/>
        </w:rPr>
        <w:t>G</w:t>
      </w:r>
      <w:r w:rsidRPr="007158E9">
        <w:rPr>
          <w:lang w:val="en-GB"/>
        </w:rPr>
        <w:t xml:space="preserve">overnment. Since September 2017, the Commission has mainly identified hate speeches or messages from Burundian state officials or CNDD-FDD representatives. As in previous years, these declarations, primarily targeted opponents of the </w:t>
      </w:r>
      <w:r w:rsidR="003776C0">
        <w:rPr>
          <w:lang w:val="en-GB"/>
        </w:rPr>
        <w:t>G</w:t>
      </w:r>
      <w:r w:rsidRPr="007158E9">
        <w:rPr>
          <w:lang w:val="en-GB"/>
        </w:rPr>
        <w:t xml:space="preserve">government and CNDD-FDD’s party line. Thus, in </w:t>
      </w:r>
      <w:r w:rsidR="003776C0">
        <w:rPr>
          <w:lang w:val="en-GB"/>
        </w:rPr>
        <w:t xml:space="preserve">a </w:t>
      </w:r>
      <w:r w:rsidR="003776C0" w:rsidRPr="007158E9">
        <w:rPr>
          <w:lang w:val="en-GB"/>
        </w:rPr>
        <w:t xml:space="preserve">tweet </w:t>
      </w:r>
      <w:r w:rsidR="003776C0">
        <w:rPr>
          <w:lang w:val="en-GB"/>
        </w:rPr>
        <w:t>dated of</w:t>
      </w:r>
      <w:r w:rsidRPr="007158E9">
        <w:rPr>
          <w:lang w:val="en-GB"/>
        </w:rPr>
        <w:t xml:space="preserve"> 29 September 2017, the Ambassador of Burundi at the African Union described as “vampires” the leaders of Burundian civil society organisations who came to Geneva to attend the session of the Human Rights Council during which the Commission of Inquiry presented its previous report</w:t>
      </w:r>
      <w:r w:rsidR="003776C0">
        <w:rPr>
          <w:lang w:val="en-GB"/>
        </w:rPr>
        <w:t>.</w:t>
      </w:r>
      <w:r w:rsidRPr="007158E9">
        <w:rPr>
          <w:vertAlign w:val="superscript"/>
          <w:lang w:val="en-GB"/>
        </w:rPr>
        <w:footnoteReference w:id="398"/>
      </w:r>
      <w:r w:rsidRPr="007158E9">
        <w:rPr>
          <w:lang w:val="en-GB"/>
        </w:rPr>
        <w:t xml:space="preserve"> From the end of 2017 and the announcement of the constitutional referendum in May 2018, the opponents targeted by the authors of hate speech were mainly those campaigning or likely to campaign against the constitutional review, as well as any person likely to vote “no” during the constitutional referendum.</w:t>
      </w:r>
    </w:p>
    <w:p w14:paraId="66BEEB90" w14:textId="184755D8" w:rsidR="006B05D6" w:rsidRPr="007158E9" w:rsidRDefault="006B05D6" w:rsidP="001A5901">
      <w:pPr>
        <w:pStyle w:val="SingleTxtG"/>
        <w:numPr>
          <w:ilvl w:val="0"/>
          <w:numId w:val="27"/>
        </w:numPr>
        <w:ind w:left="1138" w:right="562" w:firstLine="0"/>
        <w:rPr>
          <w:lang w:val="en-GB"/>
        </w:rPr>
      </w:pPr>
      <w:r w:rsidRPr="007158E9">
        <w:rPr>
          <w:lang w:val="en-GB"/>
        </w:rPr>
        <w:t xml:space="preserve">As </w:t>
      </w:r>
      <w:r w:rsidR="003776C0">
        <w:rPr>
          <w:lang w:val="en-GB"/>
        </w:rPr>
        <w:t>previously stated,</w:t>
      </w:r>
      <w:r w:rsidRPr="007158E9">
        <w:rPr>
          <w:vertAlign w:val="superscript"/>
          <w:lang w:val="en-GB"/>
        </w:rPr>
        <w:footnoteReference w:id="399"/>
      </w:r>
      <w:r w:rsidRPr="007158E9">
        <w:rPr>
          <w:lang w:val="en-GB"/>
        </w:rPr>
        <w:t xml:space="preserve"> on </w:t>
      </w:r>
      <w:r w:rsidR="003776C0">
        <w:rPr>
          <w:lang w:val="en-GB"/>
        </w:rPr>
        <w:t xml:space="preserve">18 </w:t>
      </w:r>
      <w:r w:rsidRPr="007158E9">
        <w:rPr>
          <w:lang w:val="en-GB"/>
        </w:rPr>
        <w:t>November 2017, President Nkurunziza held a speech in Cibitoke to mark Veterans Day</w:t>
      </w:r>
      <w:r w:rsidR="003776C0">
        <w:rPr>
          <w:lang w:val="en-GB"/>
        </w:rPr>
        <w:t>,</w:t>
      </w:r>
      <w:r w:rsidRPr="007158E9">
        <w:rPr>
          <w:vertAlign w:val="superscript"/>
          <w:lang w:val="en-GB"/>
        </w:rPr>
        <w:footnoteReference w:id="400"/>
      </w:r>
      <w:r w:rsidRPr="007158E9">
        <w:rPr>
          <w:lang w:val="en-GB"/>
        </w:rPr>
        <w:t xml:space="preserve"> in which he threatened any opponent of the CNDD-FDD party line, in pa</w:t>
      </w:r>
      <w:r w:rsidR="003776C0">
        <w:rPr>
          <w:lang w:val="en-GB"/>
        </w:rPr>
        <w:t>rticular any potential “rebels”,</w:t>
      </w:r>
      <w:r w:rsidRPr="007158E9">
        <w:rPr>
          <w:lang w:val="en-GB"/>
        </w:rPr>
        <w:t xml:space="preserve"> to be “straightened”.</w:t>
      </w:r>
    </w:p>
    <w:p w14:paraId="455FDB2A" w14:textId="768B204A" w:rsidR="006B05D6" w:rsidRPr="007158E9" w:rsidRDefault="006B05D6" w:rsidP="001A5901">
      <w:pPr>
        <w:pStyle w:val="SingleTxtG"/>
        <w:numPr>
          <w:ilvl w:val="0"/>
          <w:numId w:val="27"/>
        </w:numPr>
        <w:ind w:left="1138" w:right="562" w:firstLine="0"/>
        <w:rPr>
          <w:lang w:val="en-GB"/>
        </w:rPr>
      </w:pPr>
      <w:r w:rsidRPr="007158E9">
        <w:rPr>
          <w:lang w:val="en-GB"/>
        </w:rPr>
        <w:t xml:space="preserve">On 12 December 2017, the Head of State officially launched a campaign to explain the new Constitution draft put to the referendum in May 2018. On this occasion, he threatened, in more or less colourful terms, any potential opposition to the holding of the referendum. “We take this opportunity,” he </w:t>
      </w:r>
      <w:r w:rsidR="003776C0">
        <w:rPr>
          <w:lang w:val="en-GB"/>
        </w:rPr>
        <w:t>stated</w:t>
      </w:r>
      <w:r w:rsidRPr="007158E9">
        <w:rPr>
          <w:lang w:val="en-GB"/>
        </w:rPr>
        <w:t xml:space="preserve">, “to warn all those who would try to torpedo this [Constitution] project, through words or action […] This means that all leaders at the colline, neighbourhood, commune levels or members of municipal councils displaying carelessness will answer for it in front of their hierarchical superiors […] And that stealing a drum is one thing, finding where to play it is another. A word to the </w:t>
      </w:r>
      <w:r w:rsidR="000A2CAA" w:rsidRPr="007158E9">
        <w:rPr>
          <w:lang w:val="en-GB"/>
        </w:rPr>
        <w:t>wise (</w:t>
      </w:r>
      <w:r w:rsidRPr="007158E9">
        <w:rPr>
          <w:lang w:val="en-GB"/>
        </w:rPr>
        <w:t>there is none so deaf as he who will not hear) and let those with eyes see! […] We remind you that anyone who does not love their country is recognized through their actions aimed at destabilizing and destroying, through carelessness, spreading rumours and lies in the country, tarnishing the image of his native land, denying the ongoing progress, deceiving others and other bad behaviours that I cannot mention here for lack of time, like sowing hatred between brothers. You have to keep an eye out for this kind of people day and night. As the saying goes “when dancing with your rival you must not close your eyes” [...]”</w:t>
      </w:r>
      <w:r w:rsidR="003776C0">
        <w:rPr>
          <w:lang w:val="en-GB"/>
        </w:rPr>
        <w:t>.</w:t>
      </w:r>
      <w:r w:rsidRPr="007158E9">
        <w:rPr>
          <w:vertAlign w:val="superscript"/>
          <w:lang w:val="en-GB"/>
        </w:rPr>
        <w:footnoteReference w:id="401"/>
      </w:r>
    </w:p>
    <w:p w14:paraId="0967AAA9" w14:textId="7C56A05D" w:rsidR="006B05D6" w:rsidRPr="007158E9" w:rsidRDefault="006B05D6" w:rsidP="001A5901">
      <w:pPr>
        <w:pStyle w:val="SingleTxtG"/>
        <w:numPr>
          <w:ilvl w:val="0"/>
          <w:numId w:val="27"/>
        </w:numPr>
        <w:ind w:left="1138" w:right="562" w:firstLine="0"/>
        <w:rPr>
          <w:lang w:val="en-GB"/>
        </w:rPr>
      </w:pPr>
      <w:r w:rsidRPr="007158E9">
        <w:rPr>
          <w:lang w:val="en-GB"/>
        </w:rPr>
        <w:t>President Nkurunziza reiterated these threats on 2 May 2018 in a speech delivered in Gitega at the launch of the referendum campaign. He then declared: “Whether a Burundian or a foreigner, whoever stands in the way of this election, I tell you, he will have to deal with God, and God, who is in heaven, is witness here. But I know that there are people who refuse to hear these messages; let them just try”</w:t>
      </w:r>
      <w:r w:rsidR="003776C0">
        <w:rPr>
          <w:lang w:val="en-GB"/>
        </w:rPr>
        <w:t>.</w:t>
      </w:r>
      <w:r w:rsidRPr="007158E9">
        <w:rPr>
          <w:vertAlign w:val="superscript"/>
          <w:lang w:val="en-GB"/>
        </w:rPr>
        <w:footnoteReference w:id="402"/>
      </w:r>
      <w:r w:rsidRPr="007158E9">
        <w:rPr>
          <w:lang w:val="en-GB"/>
        </w:rPr>
        <w:t xml:space="preserve"> The reference to God was taken up by the wife of the Head of State, Denise Nkurunziza, during a “prayer crusade” organized in December 2017 during which she particularly warned: “We must respect authority, authority must be respected! Know that you are condemned when an authority gets angry: when he or she [the authority] prays that a curse falls on you!”</w:t>
      </w:r>
      <w:r w:rsidR="003776C0">
        <w:rPr>
          <w:lang w:val="en-GB"/>
        </w:rPr>
        <w:t>.</w:t>
      </w:r>
      <w:r w:rsidRPr="007158E9">
        <w:rPr>
          <w:vertAlign w:val="superscript"/>
          <w:lang w:val="en-GB"/>
        </w:rPr>
        <w:footnoteReference w:id="403"/>
      </w:r>
    </w:p>
    <w:p w14:paraId="690AC50C" w14:textId="347662BC" w:rsidR="006B05D6" w:rsidRPr="007158E9" w:rsidRDefault="006B05D6" w:rsidP="001A5901">
      <w:pPr>
        <w:pStyle w:val="SingleTxtG"/>
        <w:numPr>
          <w:ilvl w:val="0"/>
          <w:numId w:val="27"/>
        </w:numPr>
        <w:ind w:left="1138" w:right="562" w:firstLine="0"/>
        <w:rPr>
          <w:lang w:val="en-GB"/>
        </w:rPr>
      </w:pPr>
      <w:r w:rsidRPr="007158E9">
        <w:rPr>
          <w:lang w:val="en-GB"/>
        </w:rPr>
        <w:t xml:space="preserve">More generally, the speeches of the President of the Republic were relayed across the country in more direct terms and accompanied by clear threats of violence by officials at all levels of the </w:t>
      </w:r>
      <w:r w:rsidR="003776C0">
        <w:rPr>
          <w:lang w:val="en-GB"/>
        </w:rPr>
        <w:t>S</w:t>
      </w:r>
      <w:r w:rsidRPr="007158E9">
        <w:rPr>
          <w:lang w:val="en-GB"/>
        </w:rPr>
        <w:t xml:space="preserve">tate apparatus and of CNDD-FDD. Thus, according to the Iteka League, the Executive Secretary in charge of leagues affiliated to the ruling party, Sylvestre Ndayizeye, held a public meeting on 14 December 2017 in the commune of Mpanda (Bubanza province) bringing together members of CNDD-FDD leagues. He allegedly encouraged Imbonerakure to track down all suspects of obstructing the process of amending the Constitution and the referendum, as well as those who refused to help organize the 2020 elections. </w:t>
      </w:r>
      <w:r w:rsidR="005B484A">
        <w:rPr>
          <w:lang w:val="en-GB"/>
        </w:rPr>
        <w:t>It was reported that he would have</w:t>
      </w:r>
      <w:r w:rsidRPr="007158E9">
        <w:rPr>
          <w:lang w:val="en-GB"/>
        </w:rPr>
        <w:t xml:space="preserve"> ordered their elimination, including those from the ranks of the </w:t>
      </w:r>
      <w:r w:rsidR="005B484A">
        <w:rPr>
          <w:lang w:val="en-GB"/>
        </w:rPr>
        <w:t>G</w:t>
      </w:r>
      <w:r w:rsidRPr="007158E9">
        <w:rPr>
          <w:lang w:val="en-GB"/>
        </w:rPr>
        <w:t>overnment</w:t>
      </w:r>
      <w:r w:rsidR="005B484A">
        <w:rPr>
          <w:lang w:val="en-GB"/>
        </w:rPr>
        <w:t>.</w:t>
      </w:r>
      <w:r w:rsidRPr="007158E9">
        <w:rPr>
          <w:vertAlign w:val="superscript"/>
          <w:lang w:val="en-GB"/>
        </w:rPr>
        <w:footnoteReference w:id="404"/>
      </w:r>
    </w:p>
    <w:p w14:paraId="5D364B47" w14:textId="110032F3" w:rsidR="006B05D6" w:rsidRPr="007158E9" w:rsidRDefault="006B05D6" w:rsidP="001A5901">
      <w:pPr>
        <w:pStyle w:val="SingleTxtG"/>
        <w:numPr>
          <w:ilvl w:val="0"/>
          <w:numId w:val="27"/>
        </w:numPr>
        <w:ind w:left="1138" w:right="562" w:firstLine="0"/>
        <w:rPr>
          <w:lang w:val="en-GB"/>
        </w:rPr>
      </w:pPr>
      <w:r w:rsidRPr="007158E9">
        <w:rPr>
          <w:lang w:val="en-GB"/>
        </w:rPr>
        <w:t>In a Voice of America online article published on 18 January 2018, the following words of the First Vice-President were recounted: “Opponents who campaign for the “no” vote must be arrested because, for us, and based on the instructions of the Head of State, these are rebels”</w:t>
      </w:r>
      <w:r w:rsidR="005B484A">
        <w:rPr>
          <w:lang w:val="en-GB"/>
        </w:rPr>
        <w:t>.</w:t>
      </w:r>
      <w:r w:rsidRPr="007158E9">
        <w:rPr>
          <w:vertAlign w:val="superscript"/>
          <w:lang w:val="en-GB"/>
        </w:rPr>
        <w:footnoteReference w:id="405"/>
      </w:r>
      <w:r w:rsidRPr="007158E9">
        <w:rPr>
          <w:lang w:val="en-GB"/>
        </w:rPr>
        <w:t xml:space="preserve"> In a video extract posted on social networks on 30 January 2018, Révocat Ruberandinzi, CNDD-FDD leader and secretary at the commune level, is seen explaining to his audience: “If you followed the message [of the President] whoever goes against this project would have crossed the red line, which means that he would have departed from the white line, the path of of God’s children. He would have left the path of the saints. We therefore ask you to be our observers in your neighbourhoods and on your collines. […] They will have to be monitored every moment and everywhere. Whoever is caught teaching the “</w:t>
      </w:r>
      <w:r w:rsidR="00DF51F0" w:rsidRPr="007158E9">
        <w:rPr>
          <w:lang w:val="en-GB"/>
        </w:rPr>
        <w:t>no” vote</w:t>
      </w:r>
      <w:r w:rsidRPr="007158E9">
        <w:rPr>
          <w:lang w:val="en-GB"/>
        </w:rPr>
        <w:t>, you must arrest him and bring him to us. If you teach someone to vote “no”, beware!”</w:t>
      </w:r>
      <w:r w:rsidR="005B484A">
        <w:rPr>
          <w:lang w:val="en-GB"/>
        </w:rPr>
        <w:t>.</w:t>
      </w:r>
      <w:r w:rsidRPr="007158E9">
        <w:rPr>
          <w:vertAlign w:val="superscript"/>
          <w:lang w:val="en-GB"/>
        </w:rPr>
        <w:footnoteReference w:id="406"/>
      </w:r>
      <w:r w:rsidRPr="007158E9">
        <w:rPr>
          <w:lang w:val="en-GB"/>
        </w:rPr>
        <w:t xml:space="preserve"> On 13 February 2018, the administrator of the commune of Gashoho (province of Muyinga), Désiré Bigirimana, told CNDD-FDD activists who were gathered at the party headquarters: “If they cheated on us in 2015, now we know the truth. Whoever comes telling you anything else other than a “yes” vote during the referendum, or anything other than what President Pierre Nkurunziza says will have to be lynched. Is that clear? Call me only after you have tied him or her up”</w:t>
      </w:r>
      <w:r w:rsidR="005B484A">
        <w:rPr>
          <w:lang w:val="en-GB"/>
        </w:rPr>
        <w:t>.</w:t>
      </w:r>
      <w:r w:rsidRPr="007158E9">
        <w:rPr>
          <w:iCs/>
          <w:vertAlign w:val="superscript"/>
          <w:lang w:val="en-GB"/>
        </w:rPr>
        <w:footnoteReference w:id="407"/>
      </w:r>
    </w:p>
    <w:p w14:paraId="06F2CE8B" w14:textId="7846BB6B" w:rsidR="006B05D6" w:rsidRPr="007158E9" w:rsidRDefault="006B05D6" w:rsidP="001A5901">
      <w:pPr>
        <w:pStyle w:val="SingleTxtG"/>
        <w:numPr>
          <w:ilvl w:val="0"/>
          <w:numId w:val="27"/>
        </w:numPr>
        <w:ind w:left="1138" w:right="562" w:firstLine="0"/>
        <w:rPr>
          <w:lang w:val="en-GB"/>
        </w:rPr>
      </w:pPr>
      <w:r w:rsidRPr="007158E9">
        <w:rPr>
          <w:lang w:val="en-GB"/>
        </w:rPr>
        <w:t>On 13 February 2018, in an interview that circulated on social media</w:t>
      </w:r>
      <w:r w:rsidR="005B484A">
        <w:rPr>
          <w:lang w:val="en-GB"/>
        </w:rPr>
        <w:t>,</w:t>
      </w:r>
      <w:r w:rsidRPr="007158E9">
        <w:rPr>
          <w:vertAlign w:val="superscript"/>
          <w:lang w:val="en-GB"/>
        </w:rPr>
        <w:footnoteReference w:id="408"/>
      </w:r>
      <w:r w:rsidRPr="007158E9">
        <w:rPr>
          <w:lang w:val="en-GB"/>
        </w:rPr>
        <w:t xml:space="preserve"> the spokesperson for the Ministry of Public Security, Pierre Nkurikiye, formulated “a warning, an admonition against anyone who by his action or his verb will try to obstruct this process”, stating that this person “will be immediately apprehended and brought to justice”, and that this “warning is addressed particularly to young people who are deceived by certain politicians”. He proceeded with threats, referring to the bloody police repression at the start of the crisis: “Young people should review our country’s recent history, especially the 2015 events. The police have received very clear orders. They have been asked to work as professionally as possible and with the greatest rigor and firmness, of course in accordance with the law.” On 11 April 2018, the </w:t>
      </w:r>
      <w:r w:rsidR="009A5841" w:rsidRPr="007158E9">
        <w:rPr>
          <w:lang w:val="en-GB"/>
        </w:rPr>
        <w:t xml:space="preserve">Minister </w:t>
      </w:r>
      <w:r w:rsidR="009A5841">
        <w:rPr>
          <w:lang w:val="en-GB"/>
        </w:rPr>
        <w:t xml:space="preserve">of </w:t>
      </w:r>
      <w:r w:rsidRPr="007158E9">
        <w:rPr>
          <w:lang w:val="en-GB"/>
        </w:rPr>
        <w:t>Interior, Pascal Barandagiye, held a meeting in Bujumbura where he said those who would be caught mobilizing people not to vote would be punished by law. He also said that whoever should attempt to prevent Burundians from going to vote should be rendered harmless and brought before the courts</w:t>
      </w:r>
      <w:r w:rsidR="005B484A">
        <w:rPr>
          <w:lang w:val="en-GB"/>
        </w:rPr>
        <w:t>.</w:t>
      </w:r>
      <w:r w:rsidRPr="007158E9">
        <w:rPr>
          <w:vertAlign w:val="superscript"/>
          <w:lang w:val="en-GB"/>
        </w:rPr>
        <w:footnoteReference w:id="409"/>
      </w:r>
    </w:p>
    <w:p w14:paraId="2BEA659E" w14:textId="04393B3A" w:rsidR="006B05D6" w:rsidRPr="007158E9" w:rsidRDefault="006B05D6" w:rsidP="001A5901">
      <w:pPr>
        <w:pStyle w:val="SingleTxtG"/>
        <w:numPr>
          <w:ilvl w:val="0"/>
          <w:numId w:val="27"/>
        </w:numPr>
        <w:ind w:left="1138" w:right="562" w:firstLine="0"/>
        <w:rPr>
          <w:lang w:val="en-GB"/>
        </w:rPr>
      </w:pPr>
      <w:r w:rsidRPr="007158E9">
        <w:rPr>
          <w:lang w:val="en-GB"/>
        </w:rPr>
        <w:t>Burundian authorities have taken sanctions against Melchiade Nzopfabarushe, the president of the Association of natives of Kabezi (ANAREKA) and former deputy chief of staff of the President of t</w:t>
      </w:r>
      <w:r w:rsidR="005B484A">
        <w:rPr>
          <w:lang w:val="en-GB"/>
        </w:rPr>
        <w:t>he Republic who had</w:t>
      </w:r>
      <w:r w:rsidRPr="007158E9">
        <w:rPr>
          <w:lang w:val="en-GB"/>
        </w:rPr>
        <w:t xml:space="preserve"> </w:t>
      </w:r>
      <w:r w:rsidR="005B484A" w:rsidRPr="007158E9">
        <w:rPr>
          <w:lang w:val="en-GB"/>
        </w:rPr>
        <w:t xml:space="preserve">declared </w:t>
      </w:r>
      <w:r w:rsidRPr="007158E9">
        <w:rPr>
          <w:lang w:val="en-GB"/>
        </w:rPr>
        <w:t xml:space="preserve">on </w:t>
      </w:r>
      <w:r w:rsidR="005B484A">
        <w:rPr>
          <w:lang w:val="en-GB"/>
        </w:rPr>
        <w:t>28 April</w:t>
      </w:r>
      <w:r w:rsidRPr="007158E9">
        <w:rPr>
          <w:lang w:val="en-GB"/>
        </w:rPr>
        <w:t xml:space="preserve"> 2018</w:t>
      </w:r>
      <w:r w:rsidR="005B484A">
        <w:rPr>
          <w:lang w:val="en-GB"/>
        </w:rPr>
        <w:t>,</w:t>
      </w:r>
      <w:r w:rsidRPr="007158E9">
        <w:rPr>
          <w:lang w:val="en-GB"/>
        </w:rPr>
        <w:t xml:space="preserve"> during a meeting of CNDD-FDD supporters in Kabezi (Bujumbura province), about opponents of the constitutional referendum: “We have had boats made, we are going to throw them in Lake Tanganyika. And besides, fish production has not been good lately”. These words were circulated in a video posted on the Internet</w:t>
      </w:r>
      <w:r w:rsidR="005B484A">
        <w:rPr>
          <w:lang w:val="en-GB"/>
        </w:rPr>
        <w:t>.</w:t>
      </w:r>
      <w:r w:rsidRPr="007158E9">
        <w:rPr>
          <w:vertAlign w:val="superscript"/>
          <w:lang w:val="en-GB"/>
        </w:rPr>
        <w:footnoteReference w:id="410"/>
      </w:r>
      <w:r w:rsidRPr="007158E9">
        <w:rPr>
          <w:lang w:val="en-GB"/>
        </w:rPr>
        <w:t xml:space="preserve"> Disowned the next day by the CNDD-FDD</w:t>
      </w:r>
      <w:r w:rsidR="005B484A">
        <w:rPr>
          <w:lang w:val="en-GB"/>
        </w:rPr>
        <w:t>,</w:t>
      </w:r>
      <w:r w:rsidRPr="007158E9">
        <w:rPr>
          <w:vertAlign w:val="superscript"/>
          <w:lang w:val="en-GB"/>
        </w:rPr>
        <w:footnoteReference w:id="411"/>
      </w:r>
      <w:r w:rsidRPr="007158E9">
        <w:rPr>
          <w:lang w:val="en-GB"/>
        </w:rPr>
        <w:t xml:space="preserve"> Melchiade Nzopfabarushe was heard by the Bujumbura prosecution and charged in the process for inciting hatred. On 17 May 2018, Mr. Nzopfabarushe was sentenced by Mukaza </w:t>
      </w:r>
      <w:r w:rsidR="00B622EE">
        <w:rPr>
          <w:lang w:val="en-GB"/>
        </w:rPr>
        <w:t>C</w:t>
      </w:r>
      <w:r w:rsidR="00742E7C">
        <w:rPr>
          <w:lang w:val="en-GB"/>
        </w:rPr>
        <w:t xml:space="preserve">ourt of </w:t>
      </w:r>
      <w:r w:rsidR="00B622EE">
        <w:rPr>
          <w:lang w:val="en-GB"/>
        </w:rPr>
        <w:t>First-I</w:t>
      </w:r>
      <w:r w:rsidR="00742E7C">
        <w:rPr>
          <w:lang w:val="en-GB"/>
        </w:rPr>
        <w:t>nstance (TGI)</w:t>
      </w:r>
      <w:r w:rsidRPr="007158E9">
        <w:rPr>
          <w:lang w:val="en-GB"/>
        </w:rPr>
        <w:t xml:space="preserve"> to three years’ imprisonment and to the payment of a fine of 600,000 Burundian francs (approximately 342</w:t>
      </w:r>
      <w:r w:rsidR="005B484A">
        <w:rPr>
          <w:lang w:val="en-GB"/>
        </w:rPr>
        <w:t xml:space="preserve"> US dollars</w:t>
      </w:r>
      <w:r w:rsidRPr="007158E9">
        <w:rPr>
          <w:lang w:val="en-GB"/>
        </w:rPr>
        <w:t>). However, his sentence was reduced to four months imprisonment and a one-year suspended sentence on appeal on 20 June 2018. Once the verdict was pronounced, Mr. Nzopfabarushe was released before he had served his sentence</w:t>
      </w:r>
      <w:r w:rsidR="005B484A">
        <w:rPr>
          <w:lang w:val="en-GB"/>
        </w:rPr>
        <w:t>.</w:t>
      </w:r>
      <w:r w:rsidRPr="007158E9">
        <w:rPr>
          <w:vertAlign w:val="superscript"/>
          <w:lang w:val="en-GB"/>
        </w:rPr>
        <w:footnoteReference w:id="412"/>
      </w:r>
    </w:p>
    <w:p w14:paraId="5A491DF0" w14:textId="4CE29864" w:rsidR="006B05D6" w:rsidRPr="007158E9" w:rsidRDefault="005B484A" w:rsidP="001A5901">
      <w:pPr>
        <w:pStyle w:val="SingleTxtG"/>
        <w:numPr>
          <w:ilvl w:val="0"/>
          <w:numId w:val="27"/>
        </w:numPr>
        <w:ind w:left="1138" w:right="562" w:firstLine="0"/>
        <w:rPr>
          <w:lang w:val="en-GB"/>
        </w:rPr>
      </w:pPr>
      <w:r>
        <w:rPr>
          <w:iCs/>
          <w:lang w:val="en-GB"/>
        </w:rPr>
        <w:t>T</w:t>
      </w:r>
      <w:r w:rsidR="006B05D6" w:rsidRPr="007158E9">
        <w:rPr>
          <w:iCs/>
          <w:lang w:val="en-GB"/>
        </w:rPr>
        <w:t>he case of Melchiade Nzopfabarushe remains an isolated occurrence. The Commission has identified several instances of incitement to hatred and violence by members or officials of CNDD-FDD who have neither been sanctioned nor prosecuted. For instance, on 21 April 2018, the organisation SOS Media Burundi reported that the provincial secretary of the CNDD-FDD party in Muyinga had called on Imbonerakure in attendance to “castrate the enemy”</w:t>
      </w:r>
      <w:r>
        <w:rPr>
          <w:iCs/>
          <w:lang w:val="en-GB"/>
        </w:rPr>
        <w:t>.</w:t>
      </w:r>
      <w:r w:rsidR="006B05D6" w:rsidRPr="007158E9">
        <w:rPr>
          <w:vertAlign w:val="superscript"/>
          <w:lang w:val="en-GB"/>
        </w:rPr>
        <w:footnoteReference w:id="413"/>
      </w:r>
      <w:r w:rsidR="006B05D6" w:rsidRPr="007158E9">
        <w:rPr>
          <w:iCs/>
          <w:lang w:val="en-GB"/>
        </w:rPr>
        <w:t xml:space="preserve"> In a video, a CNDD-FDD official in Rumonge province said during a meeting: “We were asked to stand up and vote “yes”, to teach the population how to vote “yes”. In this respect, I would like to warn you that there are other people with different teachings. People who invite citizens to vote against or not to vote. Whoever you are, even God will abandon you. If you trust the person who encourages you to vote “no” instead of the one who advocates “yes”, you will have signed your death warrant. If this person is arrested tomorrow and reports you, you will be taken away and you will never be seen again”</w:t>
      </w:r>
      <w:r>
        <w:rPr>
          <w:iCs/>
          <w:lang w:val="en-GB"/>
        </w:rPr>
        <w:t>.</w:t>
      </w:r>
      <w:r w:rsidR="006B05D6" w:rsidRPr="007158E9">
        <w:rPr>
          <w:iCs/>
          <w:vertAlign w:val="superscript"/>
          <w:lang w:val="en-GB"/>
        </w:rPr>
        <w:footnoteReference w:id="414"/>
      </w:r>
    </w:p>
    <w:p w14:paraId="420E5B3A" w14:textId="10F0B16A" w:rsidR="006B05D6" w:rsidRPr="007158E9" w:rsidRDefault="006B05D6" w:rsidP="001A5901">
      <w:pPr>
        <w:pStyle w:val="SingleTxtG"/>
        <w:numPr>
          <w:ilvl w:val="0"/>
          <w:numId w:val="27"/>
        </w:numPr>
        <w:ind w:left="1138" w:right="562" w:firstLine="0"/>
        <w:rPr>
          <w:lang w:val="en-GB"/>
        </w:rPr>
      </w:pPr>
      <w:r w:rsidRPr="007158E9">
        <w:rPr>
          <w:lang w:val="en-GB"/>
        </w:rPr>
        <w:t xml:space="preserve">On 4 May 2018, Joseph Ntakarutimana, </w:t>
      </w:r>
      <w:r w:rsidR="005B484A">
        <w:rPr>
          <w:lang w:val="en-GB"/>
        </w:rPr>
        <w:t xml:space="preserve">the </w:t>
      </w:r>
      <w:r w:rsidRPr="007158E9">
        <w:rPr>
          <w:lang w:val="en-GB"/>
        </w:rPr>
        <w:t>deputy secretary-general of CNDD-FDD in the Gisuru commune, Ruyigi province</w:t>
      </w:r>
      <w:r w:rsidR="005B484A">
        <w:rPr>
          <w:lang w:val="en-GB"/>
        </w:rPr>
        <w:t>,</w:t>
      </w:r>
      <w:r w:rsidRPr="007158E9">
        <w:rPr>
          <w:lang w:val="en-GB"/>
        </w:rPr>
        <w:t xml:space="preserve"> declared on national radio: “As for our commune Gisuru, because we know that you live together with the “</w:t>
      </w:r>
      <w:r w:rsidRPr="007158E9">
        <w:rPr>
          <w:i/>
          <w:iCs/>
          <w:lang w:val="en-GB"/>
        </w:rPr>
        <w:t>Samandari</w:t>
      </w:r>
      <w:r w:rsidRPr="007158E9">
        <w:rPr>
          <w:lang w:val="en-GB"/>
        </w:rPr>
        <w:t xml:space="preserve">” [mythical character], it is you who rub shoulders with them, you know them, listen to them, do not abuse them... when the fateful date of 17 </w:t>
      </w:r>
      <w:r w:rsidR="005B484A">
        <w:rPr>
          <w:lang w:val="en-GB"/>
        </w:rPr>
        <w:t xml:space="preserve">[May] </w:t>
      </w:r>
      <w:r w:rsidRPr="007158E9">
        <w:rPr>
          <w:lang w:val="en-GB"/>
        </w:rPr>
        <w:t>comes, do not place yourself on the other side of fortune”</w:t>
      </w:r>
      <w:r w:rsidR="005B484A">
        <w:rPr>
          <w:lang w:val="en-GB"/>
        </w:rPr>
        <w:t>.</w:t>
      </w:r>
      <w:r w:rsidRPr="007158E9">
        <w:rPr>
          <w:vertAlign w:val="superscript"/>
          <w:lang w:val="en-GB"/>
        </w:rPr>
        <w:footnoteReference w:id="415"/>
      </w:r>
      <w:r w:rsidRPr="007158E9">
        <w:rPr>
          <w:lang w:val="en-GB"/>
        </w:rPr>
        <w:t xml:space="preserve"> Similarly, according to witnesses, on 9 May 2018, in Muhuta, in Rumonge province, </w:t>
      </w:r>
      <w:r w:rsidR="005B484A" w:rsidRPr="007158E9">
        <w:rPr>
          <w:lang w:val="en-GB"/>
        </w:rPr>
        <w:t>Leonidas Mukeshimana</w:t>
      </w:r>
      <w:r w:rsidR="005B484A">
        <w:rPr>
          <w:lang w:val="en-GB"/>
        </w:rPr>
        <w:t xml:space="preserve">, a </w:t>
      </w:r>
      <w:r w:rsidRPr="007158E9">
        <w:rPr>
          <w:lang w:val="en-GB"/>
        </w:rPr>
        <w:t xml:space="preserve">CNDD-FDD </w:t>
      </w:r>
      <w:r w:rsidR="005B484A">
        <w:rPr>
          <w:lang w:val="en-GB"/>
        </w:rPr>
        <w:t>member of Parliament,</w:t>
      </w:r>
      <w:r w:rsidRPr="007158E9">
        <w:rPr>
          <w:lang w:val="en-GB"/>
        </w:rPr>
        <w:t xml:space="preserve"> allegedly called the “no” campaigners as bearers of “misfortune” and warned the ‘no’ campaigners from opposition parties that they will be hunted down to their last rentrenchments. “</w:t>
      </w:r>
      <w:r w:rsidRPr="007158E9">
        <w:rPr>
          <w:i/>
          <w:lang w:val="en-GB"/>
        </w:rPr>
        <w:t>Abigisha oya tuzobirukako n’ibirenge bishuhe</w:t>
      </w:r>
      <w:r w:rsidRPr="007158E9">
        <w:rPr>
          <w:lang w:val="en-GB"/>
        </w:rPr>
        <w:t>”, he reportedly said, which literally means: “We will run after those who call for a no vote [in the referendum] with all our energy”</w:t>
      </w:r>
      <w:r w:rsidR="00174BA9">
        <w:rPr>
          <w:lang w:val="en-GB"/>
        </w:rPr>
        <w:t>.</w:t>
      </w:r>
      <w:r w:rsidRPr="007158E9">
        <w:rPr>
          <w:vertAlign w:val="superscript"/>
          <w:lang w:val="en-GB"/>
        </w:rPr>
        <w:footnoteReference w:id="416"/>
      </w:r>
    </w:p>
    <w:p w14:paraId="3BCE8E25" w14:textId="6141FDE8" w:rsidR="006B05D6" w:rsidRPr="007158E9" w:rsidRDefault="006B05D6" w:rsidP="001A5901">
      <w:pPr>
        <w:pStyle w:val="SingleTxtG"/>
        <w:numPr>
          <w:ilvl w:val="0"/>
          <w:numId w:val="27"/>
        </w:numPr>
        <w:ind w:left="1138" w:right="562" w:firstLine="0"/>
        <w:rPr>
          <w:lang w:val="en-GB"/>
        </w:rPr>
      </w:pPr>
      <w:r w:rsidRPr="007158E9">
        <w:rPr>
          <w:lang w:val="en-GB"/>
        </w:rPr>
        <w:t>It is also not uncommon to see videos circulating where Imbonerakure chant warrior songs as a show of force. For example, in a video published on 4 May 2018 by France 24, Gad Niyukuri, Governor of Makamba province leads President Nkurunziza’s supporters in a song. We hear Imbonerakure members singing: “Nkurunziza has taken over the country, he will not let go! The elections are approaching! All who take the sword will perish by the sword!”</w:t>
      </w:r>
      <w:r w:rsidR="00174BA9">
        <w:rPr>
          <w:lang w:val="en-GB"/>
        </w:rPr>
        <w:t>.</w:t>
      </w:r>
      <w:r w:rsidRPr="007158E9">
        <w:rPr>
          <w:vertAlign w:val="superscript"/>
          <w:lang w:val="en-GB"/>
        </w:rPr>
        <w:footnoteReference w:id="417"/>
      </w:r>
      <w:r w:rsidRPr="007158E9">
        <w:rPr>
          <w:lang w:val="en-GB"/>
        </w:rPr>
        <w:t xml:space="preserve"> In its previous report, the Commission also noted songs by Imbonerakure inciting hatred and violence against opponents of CNDD-FDD</w:t>
      </w:r>
      <w:r w:rsidR="006F6948">
        <w:rPr>
          <w:lang w:val="en-GB"/>
        </w:rPr>
        <w:t>.</w:t>
      </w:r>
      <w:r w:rsidRPr="007158E9">
        <w:rPr>
          <w:vertAlign w:val="superscript"/>
          <w:lang w:val="en-GB"/>
        </w:rPr>
        <w:footnoteReference w:id="418"/>
      </w:r>
    </w:p>
    <w:p w14:paraId="7E30059E" w14:textId="0234265E" w:rsidR="006B05D6" w:rsidRPr="007158E9" w:rsidRDefault="006B05D6" w:rsidP="001A5901">
      <w:pPr>
        <w:pStyle w:val="SingleTxtG"/>
        <w:numPr>
          <w:ilvl w:val="0"/>
          <w:numId w:val="27"/>
        </w:numPr>
        <w:ind w:left="1138" w:right="562" w:firstLine="0"/>
        <w:rPr>
          <w:lang w:val="en-GB"/>
        </w:rPr>
      </w:pPr>
      <w:r w:rsidRPr="007158E9">
        <w:rPr>
          <w:lang w:val="en-GB"/>
        </w:rPr>
        <w:t xml:space="preserve">Opponents of constitutional reform have also been repeatedly identified as traitors in colonial powers’ employ. Thus, on 10 May 2018, the CNDD-FDD </w:t>
      </w:r>
      <w:r w:rsidR="006F6948" w:rsidRPr="007158E9">
        <w:rPr>
          <w:lang w:val="en-GB"/>
        </w:rPr>
        <w:t xml:space="preserve">president </w:t>
      </w:r>
      <w:r w:rsidRPr="007158E9">
        <w:rPr>
          <w:lang w:val="en-GB"/>
        </w:rPr>
        <w:t xml:space="preserve">in </w:t>
      </w:r>
      <w:r w:rsidRPr="007158E9">
        <w:rPr>
          <w:i/>
          <w:iCs/>
          <w:lang w:val="en-GB"/>
        </w:rPr>
        <w:t>Bujumbura mairie</w:t>
      </w:r>
      <w:r w:rsidRPr="007158E9">
        <w:rPr>
          <w:lang w:val="en-GB"/>
        </w:rPr>
        <w:t xml:space="preserve"> declared on national radio: “To vote in favour of the revised Constitution is to wash away contempt and free oneself from the yoke of the </w:t>
      </w:r>
      <w:r w:rsidR="006F6948" w:rsidRPr="007158E9">
        <w:rPr>
          <w:lang w:val="en-GB"/>
        </w:rPr>
        <w:t>colonisers</w:t>
      </w:r>
      <w:r w:rsidRPr="007158E9">
        <w:rPr>
          <w:lang w:val="en-GB"/>
        </w:rPr>
        <w:t xml:space="preserve">, we have seen the latter in the past, when they ganged up with the followers of the </w:t>
      </w:r>
      <w:r w:rsidRPr="007158E9">
        <w:rPr>
          <w:i/>
          <w:iCs/>
          <w:lang w:val="en-GB"/>
        </w:rPr>
        <w:t>Parti démocrate-chrétien</w:t>
      </w:r>
      <w:r w:rsidRPr="007158E9" w:rsidDel="00274EFB">
        <w:rPr>
          <w:lang w:val="en-GB"/>
        </w:rPr>
        <w:t xml:space="preserve"> </w:t>
      </w:r>
      <w:r w:rsidRPr="007158E9">
        <w:rPr>
          <w:lang w:val="en-GB"/>
        </w:rPr>
        <w:t xml:space="preserve">(the anti-independence fighters) to deceive the urban population and push them to burn vehicles, burn tires, burn markets, knowing full well that many residents of the municipality move on buses. All this happened while the sponsors had their tickets in their pockets </w:t>
      </w:r>
      <w:r w:rsidR="006F6948">
        <w:rPr>
          <w:lang w:val="en-GB"/>
        </w:rPr>
        <w:t>and their stay already prepared</w:t>
      </w:r>
      <w:r w:rsidRPr="007158E9">
        <w:rPr>
          <w:lang w:val="en-GB"/>
        </w:rPr>
        <w:t>”</w:t>
      </w:r>
      <w:r w:rsidR="006F6948">
        <w:rPr>
          <w:lang w:val="en-GB"/>
        </w:rPr>
        <w:t>.</w:t>
      </w:r>
      <w:r w:rsidRPr="007158E9">
        <w:rPr>
          <w:vertAlign w:val="superscript"/>
          <w:lang w:val="en-GB"/>
        </w:rPr>
        <w:footnoteReference w:id="419"/>
      </w:r>
      <w:r w:rsidRPr="007158E9">
        <w:rPr>
          <w:lang w:val="en-GB"/>
        </w:rPr>
        <w:t xml:space="preserve"> On 14 May 2018, at a rally in Bujumbura to close the referendum campaign, Évariste Ndayishimiye, the secretary-general of CNDD-FDD, said: “I am stating this and I repeat it. Whoever votes “no” will be a traitor in the white colonizers’ employ. In fact, they are evil. Because to vote “no” is to bring a curse”. Mr. Ndayishimiye continued his speech in a more threatening tone: “I warn these colonizers not to interfere in the internal affairs of our country </w:t>
      </w:r>
      <w:r w:rsidR="006F6948">
        <w:rPr>
          <w:lang w:val="en-GB"/>
        </w:rPr>
        <w:t>[</w:t>
      </w:r>
      <w:r w:rsidRPr="007158E9">
        <w:rPr>
          <w:lang w:val="en-GB"/>
        </w:rPr>
        <w:t>...</w:t>
      </w:r>
      <w:r w:rsidR="006F6948">
        <w:rPr>
          <w:lang w:val="en-GB"/>
        </w:rPr>
        <w:t>]</w:t>
      </w:r>
      <w:r w:rsidRPr="007158E9">
        <w:rPr>
          <w:lang w:val="en-GB"/>
        </w:rPr>
        <w:t xml:space="preserve"> Down with colonialism”, he said. And to hammer: “I warn those who are going to vote “no”, they are enemies of the country”</w:t>
      </w:r>
      <w:r w:rsidR="006F6948">
        <w:rPr>
          <w:lang w:val="en-GB"/>
        </w:rPr>
        <w:t>.</w:t>
      </w:r>
      <w:r w:rsidRPr="007158E9">
        <w:rPr>
          <w:vertAlign w:val="superscript"/>
          <w:lang w:val="en-GB"/>
        </w:rPr>
        <w:footnoteReference w:id="420"/>
      </w:r>
      <w:r w:rsidRPr="007158E9">
        <w:rPr>
          <w:lang w:val="en-GB"/>
        </w:rPr>
        <w:t xml:space="preserve"> Évariste Ndayishimiye had already attacked “the Burundian traitors who sold their country” in a speech made on 16 September 2017 before activists gathered to protest against the report of this Commission</w:t>
      </w:r>
      <w:r w:rsidR="006F6948">
        <w:rPr>
          <w:lang w:val="en-GB"/>
        </w:rPr>
        <w:t>.</w:t>
      </w:r>
      <w:r w:rsidRPr="007158E9">
        <w:rPr>
          <w:vertAlign w:val="superscript"/>
          <w:lang w:val="en-GB"/>
        </w:rPr>
        <w:footnoteReference w:id="421"/>
      </w:r>
      <w:r w:rsidRPr="007158E9">
        <w:rPr>
          <w:lang w:val="en-GB"/>
        </w:rPr>
        <w:t xml:space="preserve"> Similarly, on 31 March 2018 during the celebration of International Women’s Rights Day, members of the National Forum of Women allegedly performed songs calling the colonizers, Europeans and opponents of Pierre Nkurunziza “poisonous snakes who deserve to be beheaded” before the end of 2018. The women gathered that day also allegedly threatened “CNDD-FDD’s enemies” that they would be hung</w:t>
      </w:r>
      <w:r w:rsidR="006F6948">
        <w:rPr>
          <w:lang w:val="en-GB"/>
        </w:rPr>
        <w:t>.</w:t>
      </w:r>
      <w:r w:rsidRPr="007158E9">
        <w:rPr>
          <w:vertAlign w:val="superscript"/>
          <w:lang w:val="en-GB"/>
        </w:rPr>
        <w:footnoteReference w:id="422"/>
      </w:r>
    </w:p>
    <w:p w14:paraId="135478FC" w14:textId="77777777" w:rsidR="006B05D6" w:rsidRPr="00980312" w:rsidRDefault="006B05D6" w:rsidP="00980312">
      <w:pPr>
        <w:pStyle w:val="H4G"/>
        <w:numPr>
          <w:ilvl w:val="0"/>
          <w:numId w:val="29"/>
        </w:numPr>
        <w:tabs>
          <w:tab w:val="clear" w:pos="851"/>
          <w:tab w:val="right" w:pos="1170"/>
        </w:tabs>
        <w:ind w:left="922" w:right="1138"/>
        <w:rPr>
          <w:b/>
          <w:i w:val="0"/>
          <w:lang w:val="en-GB"/>
        </w:rPr>
      </w:pPr>
      <w:r w:rsidRPr="00980312">
        <w:rPr>
          <w:b/>
          <w:i w:val="0"/>
          <w:lang w:val="en-GB"/>
        </w:rPr>
        <w:tab/>
        <w:t>Freedom of Association</w:t>
      </w:r>
    </w:p>
    <w:p w14:paraId="2AB21551" w14:textId="06E0DCE4" w:rsidR="006B05D6" w:rsidRPr="007158E9" w:rsidRDefault="006B05D6" w:rsidP="001A5901">
      <w:pPr>
        <w:pStyle w:val="SingleTxtG"/>
        <w:numPr>
          <w:ilvl w:val="0"/>
          <w:numId w:val="27"/>
        </w:numPr>
        <w:ind w:left="1138" w:right="562" w:firstLine="0"/>
        <w:rPr>
          <w:lang w:val="en-GB"/>
        </w:rPr>
      </w:pPr>
      <w:r w:rsidRPr="007158E9">
        <w:rPr>
          <w:lang w:val="en-GB"/>
        </w:rPr>
        <w:t>In its previous report</w:t>
      </w:r>
      <w:r w:rsidRPr="007158E9">
        <w:rPr>
          <w:vertAlign w:val="superscript"/>
          <w:lang w:val="en-GB"/>
        </w:rPr>
        <w:footnoteReference w:id="423"/>
      </w:r>
      <w:r w:rsidRPr="007158E9">
        <w:rPr>
          <w:lang w:val="en-GB"/>
        </w:rPr>
        <w:t xml:space="preserve">, the Commission highlighted the pressures faced by Civil Society Organisations, in particular those </w:t>
      </w:r>
      <w:r w:rsidR="00F9561A">
        <w:rPr>
          <w:lang w:val="en-GB"/>
        </w:rPr>
        <w:t>working on</w:t>
      </w:r>
      <w:r w:rsidRPr="007158E9">
        <w:rPr>
          <w:lang w:val="en-GB"/>
        </w:rPr>
        <w:t xml:space="preserve"> </w:t>
      </w:r>
      <w:r w:rsidR="00F9561A">
        <w:rPr>
          <w:lang w:val="en-GB"/>
        </w:rPr>
        <w:t>h</w:t>
      </w:r>
      <w:r w:rsidRPr="007158E9">
        <w:rPr>
          <w:lang w:val="en-GB"/>
        </w:rPr>
        <w:t xml:space="preserve">uman </w:t>
      </w:r>
      <w:r w:rsidR="00F9561A">
        <w:rPr>
          <w:lang w:val="en-GB"/>
        </w:rPr>
        <w:t>r</w:t>
      </w:r>
      <w:r w:rsidRPr="007158E9">
        <w:rPr>
          <w:lang w:val="en-GB"/>
        </w:rPr>
        <w:t>ights</w:t>
      </w:r>
      <w:r w:rsidR="00F9561A">
        <w:rPr>
          <w:lang w:val="en-GB"/>
        </w:rPr>
        <w:t xml:space="preserve"> issues</w:t>
      </w:r>
      <w:r w:rsidRPr="007158E9">
        <w:rPr>
          <w:lang w:val="en-GB"/>
        </w:rPr>
        <w:t>, as well as prosecution, threats and other violations against their members and Human Rights Defenders. The situation has not improved since September 2017. Organisations that had been suspended, deregistered and whose bank accounts had been frozen have not seen their situation change during the period covered by the present report. These associations, most of which, were involved in the “Halt-the-third-mandate” movement launched in January 2015</w:t>
      </w:r>
      <w:r w:rsidR="00F9561A">
        <w:rPr>
          <w:lang w:val="en-GB"/>
        </w:rPr>
        <w:t>,</w:t>
      </w:r>
      <w:r w:rsidRPr="007158E9">
        <w:rPr>
          <w:lang w:val="en-GB"/>
        </w:rPr>
        <w:t xml:space="preserve"> continue to be perceived by the Burundian Government and CNDD-FDD as affiliated with political opposition. International arrest warrants against their leaders have not been lifted. The attitude of the Burundian authorities towards these organisations and their members not only raises questions about the exercise of the freedom of expression in Burundi but more generally about the capacity of independent organisations to operate freely in Burundi.</w:t>
      </w:r>
    </w:p>
    <w:p w14:paraId="0CE89FFE" w14:textId="3809F601" w:rsidR="006B05D6" w:rsidRPr="007158E9" w:rsidRDefault="006B05D6" w:rsidP="001A5901">
      <w:pPr>
        <w:pStyle w:val="SingleTxtG"/>
        <w:numPr>
          <w:ilvl w:val="0"/>
          <w:numId w:val="27"/>
        </w:numPr>
        <w:ind w:left="1138" w:right="562" w:firstLine="0"/>
        <w:rPr>
          <w:lang w:val="en-GB"/>
        </w:rPr>
      </w:pPr>
      <w:r w:rsidRPr="007158E9">
        <w:rPr>
          <w:lang w:val="en-GB"/>
        </w:rPr>
        <w:t>In this regard, the two laws adopted in January 2017 on national non-profit associations (ASBL) and foreign non-governmental organisations (FNGOs)</w:t>
      </w:r>
      <w:r w:rsidR="00F9561A">
        <w:rPr>
          <w:lang w:val="en-GB"/>
        </w:rPr>
        <w:t>,</w:t>
      </w:r>
      <w:r w:rsidRPr="007158E9">
        <w:rPr>
          <w:vertAlign w:val="superscript"/>
          <w:lang w:val="en-GB"/>
        </w:rPr>
        <w:footnoteReference w:id="424"/>
      </w:r>
      <w:r w:rsidRPr="007158E9">
        <w:rPr>
          <w:lang w:val="en-GB"/>
        </w:rPr>
        <w:t xml:space="preserve"> which are still in force, help limit freedom of association in Burundi by considerably strengthening the control by the authorities over these entities’ activities and resources</w:t>
      </w:r>
      <w:r w:rsidR="00F9561A">
        <w:rPr>
          <w:lang w:val="en-GB"/>
        </w:rPr>
        <w:t>.</w:t>
      </w:r>
      <w:r w:rsidRPr="007158E9">
        <w:rPr>
          <w:vertAlign w:val="superscript"/>
          <w:lang w:val="en-GB"/>
        </w:rPr>
        <w:footnoteReference w:id="425"/>
      </w:r>
      <w:r w:rsidRPr="007158E9">
        <w:rPr>
          <w:lang w:val="en-GB"/>
        </w:rPr>
        <w:t xml:space="preserve"> As one witness noted:</w:t>
      </w:r>
    </w:p>
    <w:p w14:paraId="534E8566" w14:textId="2E02613C" w:rsidR="006B05D6" w:rsidRPr="007158E9" w:rsidRDefault="006B05D6" w:rsidP="00F9561A">
      <w:pPr>
        <w:pStyle w:val="SingleTxtG"/>
        <w:ind w:left="1701" w:right="562"/>
        <w:rPr>
          <w:lang w:val="en-GB"/>
        </w:rPr>
      </w:pPr>
      <w:r w:rsidRPr="007158E9">
        <w:rPr>
          <w:lang w:val="en-GB"/>
        </w:rPr>
        <w:t>“</w:t>
      </w:r>
      <w:r w:rsidRPr="007158E9">
        <w:rPr>
          <w:i/>
          <w:lang w:val="en-GB"/>
        </w:rPr>
        <w:t>Today, only associations that agree to cooperate with the ruling party are free. The National Assembly passed a law giving full powers to the Ministry of the Interior to suspend associations. All associations operating today must have the consent of the authorities</w:t>
      </w:r>
      <w:r w:rsidRPr="007158E9">
        <w:rPr>
          <w:lang w:val="en-GB"/>
        </w:rPr>
        <w:t>”</w:t>
      </w:r>
      <w:r w:rsidR="00F9561A">
        <w:rPr>
          <w:lang w:val="en-GB"/>
        </w:rPr>
        <w:t>.</w:t>
      </w:r>
      <w:r w:rsidRPr="007158E9">
        <w:rPr>
          <w:vertAlign w:val="superscript"/>
          <w:lang w:val="en-GB"/>
        </w:rPr>
        <w:footnoteReference w:id="426"/>
      </w:r>
      <w:r w:rsidRPr="007158E9">
        <w:rPr>
          <w:lang w:val="en-GB"/>
        </w:rPr>
        <w:t xml:space="preserve"> </w:t>
      </w:r>
    </w:p>
    <w:p w14:paraId="10FB4191" w14:textId="77777777" w:rsidR="00F9561A" w:rsidRDefault="006B05D6" w:rsidP="00FB4AE0">
      <w:pPr>
        <w:pStyle w:val="SingleTxtG"/>
        <w:ind w:left="1138" w:right="562"/>
        <w:rPr>
          <w:lang w:val="en-GB"/>
        </w:rPr>
      </w:pPr>
      <w:r w:rsidRPr="007158E9">
        <w:rPr>
          <w:lang w:val="en-GB"/>
        </w:rPr>
        <w:t xml:space="preserve">A member of an organisation working in Burundi also testified: </w:t>
      </w:r>
    </w:p>
    <w:p w14:paraId="066087C1" w14:textId="2636C201" w:rsidR="006B05D6" w:rsidRPr="007158E9" w:rsidRDefault="006B05D6" w:rsidP="00F9561A">
      <w:pPr>
        <w:pStyle w:val="SingleTxtG"/>
        <w:ind w:left="1701" w:right="562"/>
        <w:rPr>
          <w:lang w:val="en-GB"/>
        </w:rPr>
      </w:pPr>
      <w:r w:rsidRPr="007158E9">
        <w:rPr>
          <w:lang w:val="en-GB"/>
        </w:rPr>
        <w:t>“</w:t>
      </w:r>
      <w:r w:rsidRPr="007158E9">
        <w:rPr>
          <w:i/>
          <w:lang w:val="en-GB"/>
        </w:rPr>
        <w:t>Following the law of January 2017, we had to resubmit a request for approval. [Once this new submission was made], we were told to do it again […] To resubmit our request; we were introduced to someone who should help us resubmit it. Our request could not succeed without this person. We had to give this person [money]. All associations must do the same. It is a mafia system at all levels.  Working conditions are untenable</w:t>
      </w:r>
      <w:r w:rsidRPr="007158E9">
        <w:rPr>
          <w:lang w:val="en-GB"/>
        </w:rPr>
        <w:t>”</w:t>
      </w:r>
      <w:r w:rsidR="00F9561A">
        <w:rPr>
          <w:lang w:val="en-GB"/>
        </w:rPr>
        <w:t>.</w:t>
      </w:r>
      <w:r w:rsidRPr="007158E9">
        <w:rPr>
          <w:vertAlign w:val="superscript"/>
          <w:lang w:val="en-GB"/>
        </w:rPr>
        <w:footnoteReference w:id="427"/>
      </w:r>
    </w:p>
    <w:p w14:paraId="4044A798" w14:textId="4528773E" w:rsidR="006B05D6" w:rsidRPr="007158E9" w:rsidRDefault="006B05D6" w:rsidP="001A5901">
      <w:pPr>
        <w:pStyle w:val="SingleTxtG"/>
        <w:numPr>
          <w:ilvl w:val="0"/>
          <w:numId w:val="27"/>
        </w:numPr>
        <w:ind w:left="1138" w:right="562" w:firstLine="0"/>
        <w:rPr>
          <w:lang w:val="en-GB"/>
        </w:rPr>
      </w:pPr>
      <w:r w:rsidRPr="007158E9">
        <w:rPr>
          <w:lang w:val="en-GB"/>
        </w:rPr>
        <w:t xml:space="preserve">The United Nations </w:t>
      </w:r>
      <w:r w:rsidR="00F9561A">
        <w:rPr>
          <w:lang w:val="en-GB"/>
        </w:rPr>
        <w:t>Country Humanitarian T</w:t>
      </w:r>
      <w:r w:rsidRPr="007158E9">
        <w:rPr>
          <w:lang w:val="en-GB"/>
        </w:rPr>
        <w:t>eam stressed in its 2018 Humanitarian Response Plan “administrative or legal restrictions and constraints affect humanitarian organisations and limit their operational effectiveness, now and in the future.” Among these administrative constraints, the Humanitarian Response Plan specifically mentioned a “random” visa procedure and “the NGO law of January 2017 [which] added an additional layer of difficulty for the partners, introducing considerable uncertainty as to independent action with due respect to humanitarian principles”</w:t>
      </w:r>
      <w:r w:rsidR="00F9561A">
        <w:rPr>
          <w:lang w:val="en-GB"/>
        </w:rPr>
        <w:t>.</w:t>
      </w:r>
      <w:r w:rsidRPr="007158E9">
        <w:rPr>
          <w:vertAlign w:val="superscript"/>
          <w:lang w:val="en-GB"/>
        </w:rPr>
        <w:footnoteReference w:id="428"/>
      </w:r>
      <w:r w:rsidRPr="007158E9">
        <w:rPr>
          <w:lang w:val="en-GB"/>
        </w:rPr>
        <w:t xml:space="preserve"> To date, no independent organisation has been able to carry out unhindered work in the collection and analysis of Human Rights information in Burundi.</w:t>
      </w:r>
    </w:p>
    <w:p w14:paraId="24DE39B4" w14:textId="77777777" w:rsidR="006B05D6" w:rsidRPr="007158E9" w:rsidRDefault="006B05D6" w:rsidP="0099622B">
      <w:pPr>
        <w:pStyle w:val="SingleTxtG"/>
        <w:numPr>
          <w:ilvl w:val="0"/>
          <w:numId w:val="34"/>
        </w:numPr>
        <w:spacing w:before="240"/>
        <w:ind w:right="1138"/>
        <w:rPr>
          <w:b/>
          <w:lang w:val="en-GB"/>
        </w:rPr>
      </w:pPr>
      <w:r w:rsidRPr="007158E9">
        <w:rPr>
          <w:b/>
          <w:lang w:val="en-GB"/>
        </w:rPr>
        <w:t xml:space="preserve">Restrictions on the work of Human Rights Defenders </w:t>
      </w:r>
    </w:p>
    <w:p w14:paraId="7C586CCD" w14:textId="77777777" w:rsidR="006B05D6" w:rsidRPr="007158E9" w:rsidRDefault="006B05D6" w:rsidP="001A5901">
      <w:pPr>
        <w:pStyle w:val="SingleTxtG"/>
        <w:numPr>
          <w:ilvl w:val="0"/>
          <w:numId w:val="27"/>
        </w:numPr>
        <w:ind w:left="1138" w:right="562" w:firstLine="0"/>
        <w:rPr>
          <w:b/>
          <w:lang w:val="en-GB"/>
        </w:rPr>
      </w:pPr>
      <w:r w:rsidRPr="007158E9">
        <w:rPr>
          <w:lang w:val="en-GB"/>
        </w:rPr>
        <w:t>During the period covered by the present report, the work of Human Rights Defenders and of members of Human Rights organisations also continued to be hindered.</w:t>
      </w:r>
    </w:p>
    <w:p w14:paraId="67530070" w14:textId="15E6E1A1" w:rsidR="006B05D6" w:rsidRPr="007158E9" w:rsidRDefault="006B05D6" w:rsidP="001A5901">
      <w:pPr>
        <w:pStyle w:val="SingleTxtG"/>
        <w:numPr>
          <w:ilvl w:val="0"/>
          <w:numId w:val="27"/>
        </w:numPr>
        <w:ind w:left="1138" w:right="562" w:firstLine="0"/>
        <w:rPr>
          <w:lang w:val="en-GB"/>
        </w:rPr>
      </w:pPr>
      <w:r w:rsidRPr="007158E9">
        <w:rPr>
          <w:lang w:val="en-GB"/>
        </w:rPr>
        <w:t>Human Rights Defenders were arbitrarily arrested and detained in 2017 and 2018</w:t>
      </w:r>
      <w:r w:rsidR="00F9561A">
        <w:rPr>
          <w:lang w:val="en-GB"/>
        </w:rPr>
        <w:t>.</w:t>
      </w:r>
      <w:r w:rsidRPr="007158E9">
        <w:rPr>
          <w:vertAlign w:val="superscript"/>
          <w:lang w:val="en-GB"/>
        </w:rPr>
        <w:footnoteReference w:id="429"/>
      </w:r>
      <w:r w:rsidRPr="007158E9">
        <w:rPr>
          <w:lang w:val="en-GB"/>
        </w:rPr>
        <w:t xml:space="preserve"> According to several </w:t>
      </w:r>
      <w:r w:rsidR="009A5841">
        <w:rPr>
          <w:lang w:val="en-GB"/>
        </w:rPr>
        <w:t>h</w:t>
      </w:r>
      <w:r w:rsidRPr="007158E9">
        <w:rPr>
          <w:lang w:val="en-GB"/>
        </w:rPr>
        <w:t xml:space="preserve">uman </w:t>
      </w:r>
      <w:r w:rsidR="009A5841">
        <w:rPr>
          <w:lang w:val="en-GB"/>
        </w:rPr>
        <w:t>r</w:t>
      </w:r>
      <w:r w:rsidRPr="007158E9">
        <w:rPr>
          <w:lang w:val="en-GB"/>
        </w:rPr>
        <w:t>ights organisations</w:t>
      </w:r>
      <w:r w:rsidRPr="007158E9">
        <w:rPr>
          <w:vertAlign w:val="superscript"/>
          <w:lang w:val="en-GB"/>
        </w:rPr>
        <w:footnoteReference w:id="430"/>
      </w:r>
      <w:r w:rsidRPr="007158E9">
        <w:rPr>
          <w:lang w:val="en-GB"/>
        </w:rPr>
        <w:t xml:space="preserve"> and information gathered by the Commission</w:t>
      </w:r>
      <w:r w:rsidR="00F9561A">
        <w:rPr>
          <w:lang w:val="en-GB"/>
        </w:rPr>
        <w:t>,</w:t>
      </w:r>
      <w:r w:rsidRPr="007158E9">
        <w:rPr>
          <w:vertAlign w:val="superscript"/>
          <w:lang w:val="en-GB"/>
        </w:rPr>
        <w:footnoteReference w:id="431"/>
      </w:r>
      <w:r w:rsidRPr="007158E9">
        <w:rPr>
          <w:lang w:val="en-GB"/>
        </w:rPr>
        <w:t xml:space="preserve"> on the morning of 21 November 2017, members of the Burundian police, under the command of the police commissioner responsible for Gitega province, came to Nestor Nibitanga’s home, a former member of the Burundian Association for the Protection of Human Rights and Detained Persons (APRODH), in Gitega</w:t>
      </w:r>
      <w:r w:rsidR="00F9561A">
        <w:rPr>
          <w:lang w:val="en-GB"/>
        </w:rPr>
        <w:t>,</w:t>
      </w:r>
      <w:r w:rsidRPr="007158E9">
        <w:rPr>
          <w:lang w:val="en-GB"/>
        </w:rPr>
        <w:t xml:space="preserve"> and searched his house. They allegedly confiscated working documents from the time Mr. Nibitanga worked for APRODH. The latter was then taken to SNR premises in Gitega where he remained in detention until 22 November before being transferred to </w:t>
      </w:r>
      <w:r w:rsidR="00F9561A">
        <w:rPr>
          <w:lang w:val="en-GB"/>
        </w:rPr>
        <w:t xml:space="preserve">the </w:t>
      </w:r>
      <w:r w:rsidRPr="007158E9">
        <w:rPr>
          <w:lang w:val="en-GB"/>
        </w:rPr>
        <w:t>SNR premises in Bujumbura, where he was allegedly held incommunicado, with no official charge against him and without access to his family or to a lawyer, until 4 December 2017. According to a witness questioned by the Commission</w:t>
      </w:r>
      <w:r w:rsidR="00F9561A">
        <w:rPr>
          <w:lang w:val="en-GB"/>
        </w:rPr>
        <w:t>,</w:t>
      </w:r>
      <w:r w:rsidRPr="007158E9">
        <w:rPr>
          <w:vertAlign w:val="superscript"/>
          <w:lang w:val="en-GB"/>
        </w:rPr>
        <w:footnoteReference w:id="432"/>
      </w:r>
      <w:r w:rsidRPr="007158E9">
        <w:rPr>
          <w:lang w:val="en-GB"/>
        </w:rPr>
        <w:t xml:space="preserve"> Mr. Nibitanga should have appeared before the Council Chamber 15 days after his arrest for the latter to rule on the lawfulness of his detention. This, however, did not happen until two months after Mr. Nibitanga’s arrest. He was then transferred to Rumonge prison, </w:t>
      </w:r>
      <w:r w:rsidR="00F9561A">
        <w:rPr>
          <w:lang w:val="en-GB"/>
        </w:rPr>
        <w:t>S</w:t>
      </w:r>
      <w:r w:rsidRPr="007158E9">
        <w:rPr>
          <w:lang w:val="en-GB"/>
        </w:rPr>
        <w:t>outh of Bujumbura, where he is still detained. A witness commented:</w:t>
      </w:r>
    </w:p>
    <w:p w14:paraId="7644AE36" w14:textId="7243CAEB" w:rsidR="006B05D6" w:rsidRPr="007158E9" w:rsidRDefault="006B05D6" w:rsidP="00F9561A">
      <w:pPr>
        <w:pStyle w:val="SingleTxtG"/>
        <w:ind w:left="1701" w:right="562"/>
        <w:rPr>
          <w:lang w:val="en-GB"/>
        </w:rPr>
      </w:pPr>
      <w:r w:rsidRPr="007158E9">
        <w:rPr>
          <w:i/>
          <w:lang w:val="en-GB"/>
        </w:rPr>
        <w:t xml:space="preserve">“What is surprising is that Nestor was arrested in Gitega, transferred to the Public Prosecutor’s Office of the Bujumbura </w:t>
      </w:r>
      <w:r w:rsidR="00B622EE">
        <w:rPr>
          <w:i/>
          <w:lang w:val="en-GB"/>
        </w:rPr>
        <w:t>Court of Frist-Instnce (TGI)</w:t>
      </w:r>
      <w:r w:rsidRPr="007158E9">
        <w:rPr>
          <w:i/>
          <w:lang w:val="en-GB"/>
        </w:rPr>
        <w:t xml:space="preserve"> and imprisoned in Rumonge. It is unclear why he was tried in Bujumbura when he was arrested in Gitega which is also where the offense is believed to have been committed. In addition, he was transferred to a prison very far from his legal case, especially since Rumonge prison is a prison which </w:t>
      </w:r>
      <w:r w:rsidR="00F9561A">
        <w:rPr>
          <w:i/>
          <w:lang w:val="en-GB"/>
        </w:rPr>
        <w:t>is for</w:t>
      </w:r>
      <w:r w:rsidRPr="007158E9">
        <w:rPr>
          <w:i/>
          <w:lang w:val="en-GB"/>
        </w:rPr>
        <w:t xml:space="preserve"> convicts or those whose judgment has been pronounced and not provisional detainees such as Nestor”</w:t>
      </w:r>
      <w:r w:rsidR="00F9561A">
        <w:rPr>
          <w:i/>
          <w:lang w:val="en-GB"/>
        </w:rPr>
        <w:t>.</w:t>
      </w:r>
      <w:r w:rsidRPr="007158E9">
        <w:rPr>
          <w:vertAlign w:val="superscript"/>
          <w:lang w:val="en-GB"/>
        </w:rPr>
        <w:footnoteReference w:id="433"/>
      </w:r>
    </w:p>
    <w:p w14:paraId="43DC528A" w14:textId="75D16DE8" w:rsidR="006B05D6" w:rsidRPr="007158E9" w:rsidRDefault="006B05D6" w:rsidP="001A5901">
      <w:pPr>
        <w:pStyle w:val="SingleTxtG"/>
        <w:numPr>
          <w:ilvl w:val="0"/>
          <w:numId w:val="27"/>
        </w:numPr>
        <w:ind w:left="1138" w:right="562" w:firstLine="0"/>
        <w:rPr>
          <w:lang w:val="en-GB"/>
        </w:rPr>
      </w:pPr>
      <w:r w:rsidRPr="007158E9">
        <w:rPr>
          <w:lang w:val="en-GB"/>
        </w:rPr>
        <w:t xml:space="preserve">On 13 August 2018, Nestor Nibitanga was sentenced by the Mukaza </w:t>
      </w:r>
      <w:r w:rsidR="00B622EE">
        <w:rPr>
          <w:lang w:val="en-GB"/>
        </w:rPr>
        <w:t xml:space="preserve">Court of First- Instance (TGI) </w:t>
      </w:r>
      <w:r w:rsidRPr="007158E9">
        <w:rPr>
          <w:lang w:val="en-GB"/>
        </w:rPr>
        <w:t>five years’ imprisonment</w:t>
      </w:r>
      <w:r w:rsidR="00F9561A">
        <w:rPr>
          <w:lang w:val="en-GB"/>
        </w:rPr>
        <w:t>.</w:t>
      </w:r>
      <w:r w:rsidRPr="007158E9">
        <w:rPr>
          <w:vertAlign w:val="superscript"/>
          <w:lang w:val="en-GB"/>
        </w:rPr>
        <w:footnoteReference w:id="434"/>
      </w:r>
      <w:r w:rsidRPr="007158E9">
        <w:rPr>
          <w:lang w:val="en-GB"/>
        </w:rPr>
        <w:t xml:space="preserve"> The prosecution had required 20 years of penal servitude against him. In their decision, the judges argued that Mr. Nibitanga had continued to provide reports on the </w:t>
      </w:r>
      <w:r w:rsidR="00F9561A">
        <w:rPr>
          <w:lang w:val="en-GB"/>
        </w:rPr>
        <w:t>h</w:t>
      </w:r>
      <w:r w:rsidRPr="007158E9">
        <w:rPr>
          <w:lang w:val="en-GB"/>
        </w:rPr>
        <w:t xml:space="preserve">uman </w:t>
      </w:r>
      <w:r w:rsidR="00F9561A">
        <w:rPr>
          <w:lang w:val="en-GB"/>
        </w:rPr>
        <w:t>r</w:t>
      </w:r>
      <w:r w:rsidRPr="007158E9">
        <w:rPr>
          <w:lang w:val="en-GB"/>
        </w:rPr>
        <w:t xml:space="preserve">ights situation to the APRODH </w:t>
      </w:r>
      <w:r w:rsidR="00F9561A">
        <w:rPr>
          <w:lang w:val="en-GB"/>
        </w:rPr>
        <w:t>while</w:t>
      </w:r>
      <w:r w:rsidRPr="007158E9">
        <w:rPr>
          <w:lang w:val="en-GB"/>
        </w:rPr>
        <w:t xml:space="preserve"> this organisation had been definitively suspended in October 2016</w:t>
      </w:r>
      <w:r w:rsidR="00F9561A">
        <w:rPr>
          <w:lang w:val="en-GB"/>
        </w:rPr>
        <w:t>.</w:t>
      </w:r>
      <w:r w:rsidRPr="007158E9">
        <w:rPr>
          <w:vertAlign w:val="superscript"/>
          <w:lang w:val="en-GB"/>
        </w:rPr>
        <w:footnoteReference w:id="435"/>
      </w:r>
      <w:r w:rsidRPr="007158E9">
        <w:rPr>
          <w:lang w:val="en-GB"/>
        </w:rPr>
        <w:t xml:space="preserve"> Nibitanga’s lawyer said he would appeal against this decision.</w:t>
      </w:r>
    </w:p>
    <w:p w14:paraId="76575AF6" w14:textId="45945617" w:rsidR="006B05D6" w:rsidRPr="007158E9" w:rsidRDefault="006B05D6" w:rsidP="001A5901">
      <w:pPr>
        <w:pStyle w:val="SingleTxtG"/>
        <w:numPr>
          <w:ilvl w:val="0"/>
          <w:numId w:val="27"/>
        </w:numPr>
        <w:ind w:left="1138" w:right="562" w:firstLine="0"/>
        <w:rPr>
          <w:lang w:val="en-GB"/>
        </w:rPr>
      </w:pPr>
      <w:r w:rsidRPr="007158E9">
        <w:rPr>
          <w:lang w:val="en-GB"/>
        </w:rPr>
        <w:t>On 17 February 2018, Aloys Habimana, project coordinator for “Protection for Africa” within the international NGO Front Line Defenders, was arrested by SNR in Gatumba near the Burundian-Congolese border while on his way to the DRC. He was later transferred to the SNR headquarters in Bujumbura</w:t>
      </w:r>
      <w:r w:rsidR="00F9561A">
        <w:rPr>
          <w:lang w:val="en-GB"/>
        </w:rPr>
        <w:t>.</w:t>
      </w:r>
      <w:r w:rsidRPr="007158E9">
        <w:rPr>
          <w:vertAlign w:val="superscript"/>
          <w:lang w:val="en-GB"/>
        </w:rPr>
        <w:footnoteReference w:id="436"/>
      </w:r>
      <w:r w:rsidRPr="007158E9">
        <w:rPr>
          <w:lang w:val="en-GB"/>
        </w:rPr>
        <w:t xml:space="preserve"> Several organisations, including Pan Africa Human Rights Advocates’ Coalition (PAHRA Coalition), South Sudan Human Rights Society for Advocacy (SSHURSA), Our Lives Matter Action-International (OLiMA-International), Parents-Elders Action for Children’s Education (Peace-Africa), International Children’s Foundation (ICF), Global Youth for Security and Peace Advocacy (GYoSPA), African Center for Justice, Peace and Reconciliation (ACJPR), Africa Women’s Rights Empowerment Institute (AWoRE Institute), publicly requested for the release of Mr. Habimana on 18 February 2018</w:t>
      </w:r>
      <w:r w:rsidR="00F9561A">
        <w:rPr>
          <w:lang w:val="en-GB"/>
        </w:rPr>
        <w:t>.</w:t>
      </w:r>
      <w:r w:rsidRPr="007158E9">
        <w:rPr>
          <w:vertAlign w:val="superscript"/>
          <w:lang w:val="en-GB"/>
        </w:rPr>
        <w:footnoteReference w:id="437"/>
      </w:r>
      <w:r w:rsidRPr="007158E9">
        <w:rPr>
          <w:lang w:val="en-GB"/>
        </w:rPr>
        <w:t>. His release came the next day.</w:t>
      </w:r>
      <w:r w:rsidRPr="007158E9">
        <w:rPr>
          <w:vertAlign w:val="superscript"/>
          <w:lang w:val="en-GB"/>
        </w:rPr>
        <w:footnoteReference w:id="438"/>
      </w:r>
    </w:p>
    <w:p w14:paraId="10497F9D" w14:textId="7349F3A4" w:rsidR="006B05D6" w:rsidRPr="007158E9" w:rsidRDefault="006B05D6" w:rsidP="001A5901">
      <w:pPr>
        <w:pStyle w:val="SingleTxtG"/>
        <w:numPr>
          <w:ilvl w:val="0"/>
          <w:numId w:val="27"/>
        </w:numPr>
        <w:ind w:left="1138" w:right="562" w:firstLine="0"/>
        <w:rPr>
          <w:lang w:val="en-GB"/>
        </w:rPr>
      </w:pPr>
      <w:r w:rsidRPr="007158E9">
        <w:rPr>
          <w:lang w:val="en-GB"/>
        </w:rPr>
        <w:t>Human Rights Defenders arrested during the period covered by the previous Commission report</w:t>
      </w:r>
      <w:r w:rsidRPr="007158E9">
        <w:rPr>
          <w:vertAlign w:val="superscript"/>
          <w:lang w:val="en-GB"/>
        </w:rPr>
        <w:footnoteReference w:id="439"/>
      </w:r>
      <w:r w:rsidRPr="007158E9">
        <w:rPr>
          <w:lang w:val="en-GB"/>
        </w:rPr>
        <w:t xml:space="preserve"> have also been condemned to heavy sentences following procedures marred by irregularities and violations of the rules of criminal procedures</w:t>
      </w:r>
      <w:r w:rsidR="00F9561A">
        <w:rPr>
          <w:lang w:val="en-GB"/>
        </w:rPr>
        <w:t>.</w:t>
      </w:r>
      <w:r w:rsidRPr="007158E9">
        <w:rPr>
          <w:vertAlign w:val="superscript"/>
          <w:lang w:val="en-GB"/>
        </w:rPr>
        <w:footnoteReference w:id="440"/>
      </w:r>
      <w:r w:rsidRPr="007158E9">
        <w:rPr>
          <w:lang w:val="en-GB"/>
        </w:rPr>
        <w:t xml:space="preserve"> On 8 March 2018, three members of the organisation Word and Actions for the Awakening of Consciousness and the Evolution of Mentalities (PARCEM) were sentenced to 10 years’ imprisonment for “undermining </w:t>
      </w:r>
      <w:r w:rsidR="009A5841">
        <w:rPr>
          <w:lang w:val="en-GB"/>
        </w:rPr>
        <w:t xml:space="preserve">the </w:t>
      </w:r>
      <w:r w:rsidR="00F9561A">
        <w:rPr>
          <w:lang w:val="en-GB"/>
        </w:rPr>
        <w:t>internal security of the S</w:t>
      </w:r>
      <w:r w:rsidRPr="007158E9">
        <w:rPr>
          <w:lang w:val="en-GB"/>
        </w:rPr>
        <w:t xml:space="preserve">tate” after they were arrested on 13 June 2017 while preparing a workshop on </w:t>
      </w:r>
      <w:r w:rsidR="00F9561A">
        <w:rPr>
          <w:lang w:val="en-GB"/>
        </w:rPr>
        <w:t>h</w:t>
      </w:r>
      <w:r w:rsidRPr="007158E9">
        <w:rPr>
          <w:lang w:val="en-GB"/>
        </w:rPr>
        <w:t xml:space="preserve">uman </w:t>
      </w:r>
      <w:r w:rsidR="00F9561A">
        <w:rPr>
          <w:lang w:val="en-GB"/>
        </w:rPr>
        <w:t>r</w:t>
      </w:r>
      <w:r w:rsidRPr="007158E9">
        <w:rPr>
          <w:lang w:val="en-GB"/>
        </w:rPr>
        <w:t>ights violations in Burundi</w:t>
      </w:r>
      <w:r w:rsidR="00F9561A">
        <w:rPr>
          <w:lang w:val="en-GB"/>
        </w:rPr>
        <w:t>.</w:t>
      </w:r>
      <w:r w:rsidRPr="007158E9">
        <w:rPr>
          <w:vertAlign w:val="superscript"/>
          <w:lang w:val="en-GB"/>
        </w:rPr>
        <w:footnoteReference w:id="441"/>
      </w:r>
      <w:r w:rsidRPr="007158E9">
        <w:rPr>
          <w:lang w:val="en-GB"/>
        </w:rPr>
        <w:t xml:space="preserve"> Similarly, Germain Rukuki, former employee of the Burundi Association of Christians for the Abolition of Torture (ACAT), member of the Association of Catholic Jurists of Burundi (AJCB) and president of the association “Njabutsa Tujane”, was sentenced on 26 April 2018 to 32 years’ imprisonment for “rebellion”, “undermining the internal security of the State” and “participation in an insurrectional movement”, while no material evidence was presented by the Prosecutor’s Office to demonstrate these offenses and, during the procedure, his lawyers h</w:t>
      </w:r>
      <w:r w:rsidR="00F9561A">
        <w:rPr>
          <w:lang w:val="en-GB"/>
        </w:rPr>
        <w:t>ad difficulty accessing his file,</w:t>
      </w:r>
      <w:r w:rsidRPr="007158E9">
        <w:rPr>
          <w:lang w:val="en-GB"/>
        </w:rPr>
        <w:t xml:space="preserve"> and </w:t>
      </w:r>
      <w:r w:rsidR="00F9561A">
        <w:rPr>
          <w:lang w:val="en-GB"/>
        </w:rPr>
        <w:t xml:space="preserve">furthermore, </w:t>
      </w:r>
      <w:r w:rsidRPr="007158E9">
        <w:rPr>
          <w:lang w:val="en-GB"/>
        </w:rPr>
        <w:t>new charges, not mentioned during the investigation phase, were added against him</w:t>
      </w:r>
      <w:r w:rsidR="00F9561A">
        <w:rPr>
          <w:lang w:val="en-GB"/>
        </w:rPr>
        <w:t>.</w:t>
      </w:r>
      <w:r w:rsidRPr="007158E9">
        <w:rPr>
          <w:vertAlign w:val="superscript"/>
          <w:lang w:val="en-GB"/>
        </w:rPr>
        <w:footnoteReference w:id="442"/>
      </w:r>
    </w:p>
    <w:p w14:paraId="6EB16168" w14:textId="77777777" w:rsidR="006B05D6" w:rsidRPr="007158E9" w:rsidRDefault="006B05D6" w:rsidP="00983B3C">
      <w:pPr>
        <w:pStyle w:val="SingleTxtG"/>
        <w:numPr>
          <w:ilvl w:val="0"/>
          <w:numId w:val="34"/>
        </w:numPr>
        <w:spacing w:before="240"/>
        <w:ind w:right="1138"/>
        <w:rPr>
          <w:b/>
          <w:lang w:val="en-GB"/>
        </w:rPr>
      </w:pPr>
      <w:r w:rsidRPr="00983B3C">
        <w:rPr>
          <w:b/>
          <w:lang w:val="en-GB"/>
        </w:rPr>
        <w:tab/>
      </w:r>
      <w:r w:rsidRPr="007158E9">
        <w:rPr>
          <w:b/>
          <w:lang w:val="en-GB"/>
        </w:rPr>
        <w:t>Violations of the freedom not to associate</w:t>
      </w:r>
    </w:p>
    <w:p w14:paraId="25F2B58A" w14:textId="075E5567" w:rsidR="006B05D6" w:rsidRPr="007158E9" w:rsidRDefault="006B05D6" w:rsidP="001A5901">
      <w:pPr>
        <w:pStyle w:val="SingleTxtG"/>
        <w:numPr>
          <w:ilvl w:val="0"/>
          <w:numId w:val="27"/>
        </w:numPr>
        <w:ind w:left="1138" w:right="562" w:firstLine="0"/>
        <w:rPr>
          <w:lang w:val="en-GB"/>
        </w:rPr>
      </w:pPr>
      <w:r w:rsidRPr="007158E9">
        <w:rPr>
          <w:lang w:val="en-GB"/>
        </w:rPr>
        <w:t>If freedom of association is compromised in Burundi, its corollary, the freedom not to associate is equally undermined. As in previous years</w:t>
      </w:r>
      <w:r w:rsidR="00F9561A">
        <w:rPr>
          <w:lang w:val="en-GB"/>
        </w:rPr>
        <w:t>,</w:t>
      </w:r>
      <w:r w:rsidRPr="007158E9">
        <w:rPr>
          <w:vertAlign w:val="superscript"/>
          <w:lang w:val="en-GB"/>
        </w:rPr>
        <w:footnoteReference w:id="443"/>
      </w:r>
      <w:r w:rsidRPr="007158E9">
        <w:rPr>
          <w:lang w:val="en-GB"/>
        </w:rPr>
        <w:t xml:space="preserve"> the Commission has received several testimonies since September 2017 of cases of forced affiliation or attempted recruitment into CNDD-FDD and/or Imbonerakure primarily instigated by Imbonerakure</w:t>
      </w:r>
      <w:r w:rsidRPr="007158E9">
        <w:rPr>
          <w:vertAlign w:val="superscript"/>
        </w:rPr>
        <w:footnoteReference w:id="444"/>
      </w:r>
      <w:r w:rsidRPr="007158E9">
        <w:rPr>
          <w:lang w:val="en-GB"/>
        </w:rPr>
        <w:t xml:space="preserve"> and local officials from the ruling party</w:t>
      </w:r>
      <w:r w:rsidRPr="007158E9">
        <w:rPr>
          <w:vertAlign w:val="superscript"/>
          <w:lang w:val="en-GB"/>
        </w:rPr>
        <w:footnoteReference w:id="445"/>
      </w:r>
      <w:r w:rsidRPr="007158E9">
        <w:rPr>
          <w:lang w:val="en-GB"/>
        </w:rPr>
        <w:t>. These cases mainly affected members of opposition parties</w:t>
      </w:r>
      <w:r w:rsidRPr="007158E9">
        <w:rPr>
          <w:vertAlign w:val="superscript"/>
          <w:lang w:val="en-GB"/>
        </w:rPr>
        <w:footnoteReference w:id="446"/>
      </w:r>
      <w:r w:rsidRPr="007158E9">
        <w:rPr>
          <w:lang w:val="en-GB"/>
        </w:rPr>
        <w:t xml:space="preserve"> or those with no political affiliation</w:t>
      </w:r>
      <w:r w:rsidRPr="007158E9">
        <w:rPr>
          <w:vertAlign w:val="superscript"/>
        </w:rPr>
        <w:footnoteReference w:id="447"/>
      </w:r>
      <w:r w:rsidRPr="007158E9">
        <w:rPr>
          <w:lang w:val="en-GB"/>
        </w:rPr>
        <w:t>. One victim testified as follows:</w:t>
      </w:r>
    </w:p>
    <w:p w14:paraId="6B2B3231" w14:textId="24C75CEC" w:rsidR="006B05D6" w:rsidRPr="007158E9" w:rsidRDefault="006B05D6" w:rsidP="00F9561A">
      <w:pPr>
        <w:pStyle w:val="SingleTxtG"/>
        <w:ind w:left="1701" w:right="562"/>
        <w:rPr>
          <w:i/>
          <w:lang w:val="en-GB"/>
        </w:rPr>
      </w:pPr>
      <w:r w:rsidRPr="007158E9">
        <w:rPr>
          <w:i/>
          <w:lang w:val="en-GB"/>
        </w:rPr>
        <w:t xml:space="preserve">“[The chief of Imbonerakure in my commune] came asking me to join them, telling me that he had spoken with my colleagues who told him that I was not a member of the ruling party. I told him I own a non-profit association […] and therefore </w:t>
      </w:r>
      <w:r w:rsidR="00723734">
        <w:rPr>
          <w:i/>
          <w:lang w:val="en-GB"/>
        </w:rPr>
        <w:t xml:space="preserve">I </w:t>
      </w:r>
      <w:r w:rsidRPr="007158E9">
        <w:rPr>
          <w:i/>
          <w:lang w:val="en-GB"/>
        </w:rPr>
        <w:t>cannot be in a political party. He replied that if I loved my country and myself, I had to join the ruling party, that it was for my own good and in my interest to join the ruling party</w:t>
      </w:r>
      <w:r w:rsidRPr="007158E9">
        <w:rPr>
          <w:lang w:val="en-GB"/>
        </w:rPr>
        <w:t>”</w:t>
      </w:r>
      <w:r w:rsidR="00F9561A">
        <w:rPr>
          <w:lang w:val="en-GB"/>
        </w:rPr>
        <w:t>.</w:t>
      </w:r>
      <w:r w:rsidRPr="007158E9">
        <w:rPr>
          <w:vertAlign w:val="superscript"/>
          <w:lang w:val="en-GB"/>
        </w:rPr>
        <w:footnoteReference w:id="448"/>
      </w:r>
    </w:p>
    <w:p w14:paraId="4CA0FE7C" w14:textId="77777777" w:rsidR="00723734" w:rsidRDefault="006B05D6" w:rsidP="00FB4AE0">
      <w:pPr>
        <w:pStyle w:val="SingleTxtG"/>
        <w:ind w:left="1138" w:right="562"/>
        <w:rPr>
          <w:lang w:val="en-GB"/>
        </w:rPr>
      </w:pPr>
      <w:r w:rsidRPr="007158E9">
        <w:rPr>
          <w:lang w:val="en-GB"/>
        </w:rPr>
        <w:t xml:space="preserve">Another victim reported: </w:t>
      </w:r>
    </w:p>
    <w:p w14:paraId="73317171" w14:textId="603F5B63" w:rsidR="006B05D6" w:rsidRPr="007158E9" w:rsidRDefault="006B05D6" w:rsidP="00723734">
      <w:pPr>
        <w:pStyle w:val="SingleTxtG"/>
        <w:ind w:left="1701" w:right="562"/>
        <w:rPr>
          <w:i/>
          <w:lang w:val="en-GB"/>
        </w:rPr>
      </w:pPr>
      <w:r w:rsidRPr="007158E9">
        <w:rPr>
          <w:lang w:val="en-GB"/>
        </w:rPr>
        <w:t>“</w:t>
      </w:r>
      <w:r w:rsidRPr="007158E9">
        <w:rPr>
          <w:i/>
          <w:lang w:val="en-GB"/>
        </w:rPr>
        <w:t>There are CNDD-FDD pe</w:t>
      </w:r>
      <w:r w:rsidR="006C5215">
        <w:rPr>
          <w:i/>
          <w:lang w:val="en-GB"/>
        </w:rPr>
        <w:t>ople who come from the city to ‘</w:t>
      </w:r>
      <w:r w:rsidRPr="007158E9">
        <w:rPr>
          <w:i/>
          <w:lang w:val="en-GB"/>
        </w:rPr>
        <w:t>sensitize</w:t>
      </w:r>
      <w:r w:rsidR="006C5215">
        <w:rPr>
          <w:i/>
          <w:lang w:val="en-GB"/>
        </w:rPr>
        <w:t>’</w:t>
      </w:r>
      <w:r w:rsidRPr="007158E9">
        <w:rPr>
          <w:i/>
          <w:lang w:val="en-GB"/>
        </w:rPr>
        <w:t xml:space="preserve"> people in the collines so that they become part of CNDD-FDD</w:t>
      </w:r>
      <w:r w:rsidRPr="007158E9">
        <w:rPr>
          <w:lang w:val="en-GB"/>
        </w:rPr>
        <w:t>”</w:t>
      </w:r>
      <w:r w:rsidR="00723734">
        <w:rPr>
          <w:lang w:val="en-GB"/>
        </w:rPr>
        <w:t>.</w:t>
      </w:r>
      <w:r w:rsidRPr="007158E9">
        <w:rPr>
          <w:vertAlign w:val="superscript"/>
          <w:lang w:val="en-GB"/>
        </w:rPr>
        <w:footnoteReference w:id="449"/>
      </w:r>
    </w:p>
    <w:p w14:paraId="12E6BA62" w14:textId="77777777" w:rsidR="00723734" w:rsidRDefault="006B05D6" w:rsidP="00FB4AE0">
      <w:pPr>
        <w:pStyle w:val="SingleTxtG"/>
        <w:ind w:left="1138" w:right="562"/>
        <w:rPr>
          <w:lang w:val="en-GB"/>
        </w:rPr>
      </w:pPr>
      <w:r w:rsidRPr="007158E9">
        <w:rPr>
          <w:lang w:val="en-GB"/>
        </w:rPr>
        <w:t xml:space="preserve">One woman, whose husband has disappeared, said: </w:t>
      </w:r>
    </w:p>
    <w:p w14:paraId="4AD9EEC4" w14:textId="22C1E85B" w:rsidR="006B05D6" w:rsidRPr="007158E9" w:rsidRDefault="006B05D6" w:rsidP="00723734">
      <w:pPr>
        <w:pStyle w:val="SingleTxtG"/>
        <w:ind w:left="1701" w:right="562"/>
        <w:rPr>
          <w:lang w:val="en-GB"/>
        </w:rPr>
      </w:pPr>
      <w:r w:rsidRPr="007158E9">
        <w:rPr>
          <w:lang w:val="en-GB"/>
        </w:rPr>
        <w:t>“</w:t>
      </w:r>
      <w:r w:rsidRPr="007158E9">
        <w:rPr>
          <w:i/>
          <w:lang w:val="en-GB"/>
        </w:rPr>
        <w:t>Imbonerakure had often asked my husband to join the ruling party, but he was not interested in politics. Even during the elections, he did not vote. On Election Day, he was in the fields. Imbonerakure told him that he had to join the ruling party. They took his hoe to keep him from working. I witnessed this myself, I was sometimes present when they came</w:t>
      </w:r>
      <w:r w:rsidRPr="007158E9">
        <w:rPr>
          <w:lang w:val="en-GB"/>
        </w:rPr>
        <w:t>”</w:t>
      </w:r>
      <w:r w:rsidR="00723734">
        <w:rPr>
          <w:lang w:val="en-GB"/>
        </w:rPr>
        <w:t>.</w:t>
      </w:r>
      <w:r w:rsidRPr="007158E9">
        <w:rPr>
          <w:vertAlign w:val="superscript"/>
          <w:lang w:val="en-GB"/>
        </w:rPr>
        <w:footnoteReference w:id="450"/>
      </w:r>
    </w:p>
    <w:p w14:paraId="25A9B2A4" w14:textId="0DBCF8D7" w:rsidR="006B05D6" w:rsidRPr="007158E9" w:rsidRDefault="006B05D6" w:rsidP="001A5901">
      <w:pPr>
        <w:pStyle w:val="SingleTxtG"/>
        <w:numPr>
          <w:ilvl w:val="0"/>
          <w:numId w:val="27"/>
        </w:numPr>
        <w:ind w:left="1138" w:right="562" w:firstLine="0"/>
        <w:rPr>
          <w:lang w:val="en-GB"/>
        </w:rPr>
      </w:pPr>
      <w:r w:rsidRPr="007158E9">
        <w:rPr>
          <w:lang w:val="en-GB"/>
        </w:rPr>
        <w:t xml:space="preserve">Cases of forced recruitment documented by the Commission have revealed that several </w:t>
      </w:r>
      <w:r w:rsidR="00723734">
        <w:rPr>
          <w:lang w:val="en-GB"/>
        </w:rPr>
        <w:t>h</w:t>
      </w:r>
      <w:r w:rsidRPr="007158E9">
        <w:rPr>
          <w:lang w:val="en-GB"/>
        </w:rPr>
        <w:t xml:space="preserve">uman </w:t>
      </w:r>
      <w:r w:rsidR="00723734">
        <w:rPr>
          <w:lang w:val="en-GB"/>
        </w:rPr>
        <w:t>r</w:t>
      </w:r>
      <w:r w:rsidRPr="007158E9">
        <w:rPr>
          <w:lang w:val="en-GB"/>
        </w:rPr>
        <w:t>ights violations have been committed against recalcitrant persons or their family members, including cases of arbitrary executions</w:t>
      </w:r>
      <w:r w:rsidR="00723734">
        <w:rPr>
          <w:lang w:val="en-GB"/>
        </w:rPr>
        <w:t>,</w:t>
      </w:r>
      <w:r w:rsidRPr="007158E9">
        <w:rPr>
          <w:vertAlign w:val="superscript"/>
          <w:lang w:val="en-GB"/>
        </w:rPr>
        <w:footnoteReference w:id="451"/>
      </w:r>
      <w:r w:rsidRPr="007158E9">
        <w:rPr>
          <w:lang w:val="en-GB"/>
        </w:rPr>
        <w:t xml:space="preserve"> arrest and detention arbitrariness</w:t>
      </w:r>
      <w:r w:rsidR="00723734">
        <w:rPr>
          <w:lang w:val="en-GB"/>
        </w:rPr>
        <w:t>,</w:t>
      </w:r>
      <w:r w:rsidRPr="007158E9">
        <w:rPr>
          <w:vertAlign w:val="superscript"/>
          <w:lang w:val="en-GB"/>
        </w:rPr>
        <w:footnoteReference w:id="452"/>
      </w:r>
      <w:r w:rsidRPr="007158E9">
        <w:rPr>
          <w:lang w:val="en-GB"/>
        </w:rPr>
        <w:t xml:space="preserve"> kidnapping</w:t>
      </w:r>
      <w:r w:rsidR="00723734">
        <w:rPr>
          <w:lang w:val="en-GB"/>
        </w:rPr>
        <w:t>,</w:t>
      </w:r>
      <w:r w:rsidRPr="007158E9">
        <w:rPr>
          <w:vertAlign w:val="superscript"/>
          <w:lang w:val="en-GB"/>
        </w:rPr>
        <w:footnoteReference w:id="453"/>
      </w:r>
      <w:r w:rsidRPr="007158E9">
        <w:rPr>
          <w:lang w:val="en-GB"/>
        </w:rPr>
        <w:t xml:space="preserve"> ill treatments</w:t>
      </w:r>
      <w:r w:rsidRPr="007158E9">
        <w:rPr>
          <w:vertAlign w:val="superscript"/>
          <w:lang w:val="en-GB"/>
        </w:rPr>
        <w:footnoteReference w:id="454"/>
      </w:r>
      <w:r w:rsidRPr="007158E9">
        <w:rPr>
          <w:lang w:val="en-GB"/>
        </w:rPr>
        <w:t xml:space="preserve"> and sexual violence</w:t>
      </w:r>
      <w:r w:rsidRPr="007158E9">
        <w:rPr>
          <w:vertAlign w:val="superscript"/>
          <w:lang w:val="en-GB"/>
        </w:rPr>
        <w:footnoteReference w:id="455"/>
      </w:r>
      <w:r w:rsidRPr="007158E9">
        <w:rPr>
          <w:lang w:val="en-GB"/>
        </w:rPr>
        <w:t>. These attacks were mainly committed by Imbonerakure or persons believed to belong to or to be related to Imbonerakure. In several cases, they acted at night by attacking the victims’ homes</w:t>
      </w:r>
      <w:r w:rsidR="00723734">
        <w:rPr>
          <w:lang w:val="en-GB"/>
        </w:rPr>
        <w:t>.</w:t>
      </w:r>
      <w:r w:rsidRPr="007158E9">
        <w:rPr>
          <w:vertAlign w:val="superscript"/>
          <w:lang w:val="en-GB"/>
        </w:rPr>
        <w:footnoteReference w:id="456"/>
      </w:r>
    </w:p>
    <w:p w14:paraId="7A370475" w14:textId="77777777" w:rsidR="006B05D6" w:rsidRPr="00062541" w:rsidRDefault="006B05D6" w:rsidP="00062541">
      <w:pPr>
        <w:pStyle w:val="H4G"/>
        <w:numPr>
          <w:ilvl w:val="0"/>
          <w:numId w:val="29"/>
        </w:numPr>
        <w:tabs>
          <w:tab w:val="clear" w:pos="851"/>
          <w:tab w:val="right" w:pos="1170"/>
        </w:tabs>
        <w:ind w:left="922" w:right="1138"/>
        <w:rPr>
          <w:b/>
          <w:i w:val="0"/>
          <w:lang w:val="en-GB"/>
        </w:rPr>
      </w:pPr>
      <w:r w:rsidRPr="00062541">
        <w:rPr>
          <w:b/>
          <w:i w:val="0"/>
          <w:lang w:val="en-GB"/>
        </w:rPr>
        <w:tab/>
        <w:t>Freedom of assembly</w:t>
      </w:r>
    </w:p>
    <w:p w14:paraId="2BB2F644" w14:textId="1AD6CF30" w:rsidR="006B05D6" w:rsidRPr="007158E9" w:rsidRDefault="006B05D6" w:rsidP="001A5901">
      <w:pPr>
        <w:pStyle w:val="SingleTxtG"/>
        <w:numPr>
          <w:ilvl w:val="0"/>
          <w:numId w:val="27"/>
        </w:numPr>
        <w:ind w:left="1138" w:right="562" w:firstLine="0"/>
        <w:rPr>
          <w:lang w:val="en-GB"/>
        </w:rPr>
      </w:pPr>
      <w:r w:rsidRPr="007158E9">
        <w:rPr>
          <w:lang w:val="en-GB"/>
        </w:rPr>
        <w:t>As in its previous report</w:t>
      </w:r>
      <w:r w:rsidR="00064D91">
        <w:rPr>
          <w:lang w:val="en-GB"/>
        </w:rPr>
        <w:t>,</w:t>
      </w:r>
      <w:r w:rsidRPr="007158E9">
        <w:rPr>
          <w:vertAlign w:val="superscript"/>
          <w:lang w:val="en-GB"/>
        </w:rPr>
        <w:footnoteReference w:id="457"/>
      </w:r>
      <w:r w:rsidRPr="007158E9">
        <w:rPr>
          <w:lang w:val="en-GB"/>
        </w:rPr>
        <w:t xml:space="preserve"> the Commission noted that opposition political parties</w:t>
      </w:r>
      <w:r w:rsidRPr="007158E9">
        <w:rPr>
          <w:vertAlign w:val="superscript"/>
          <w:lang w:val="en-GB"/>
        </w:rPr>
        <w:footnoteReference w:id="458"/>
      </w:r>
      <w:r w:rsidRPr="007158E9">
        <w:rPr>
          <w:lang w:val="en-GB"/>
        </w:rPr>
        <w:t xml:space="preserve">or even </w:t>
      </w:r>
      <w:r w:rsidR="00064D91">
        <w:rPr>
          <w:lang w:val="en-GB"/>
        </w:rPr>
        <w:t xml:space="preserve">labour </w:t>
      </w:r>
      <w:r w:rsidRPr="007158E9">
        <w:rPr>
          <w:lang w:val="en-GB"/>
        </w:rPr>
        <w:t>unions</w:t>
      </w:r>
      <w:r w:rsidRPr="007158E9">
        <w:rPr>
          <w:vertAlign w:val="superscript"/>
          <w:lang w:val="en-GB"/>
        </w:rPr>
        <w:footnoteReference w:id="459"/>
      </w:r>
      <w:r w:rsidRPr="007158E9">
        <w:rPr>
          <w:lang w:val="en-GB"/>
        </w:rPr>
        <w:t xml:space="preserve"> had a difficult time organising meetings either because authorisation had been refused by the competent authorities</w:t>
      </w:r>
      <w:r w:rsidRPr="007158E9">
        <w:rPr>
          <w:vertAlign w:val="superscript"/>
          <w:lang w:val="en-GB"/>
        </w:rPr>
        <w:footnoteReference w:id="460"/>
      </w:r>
      <w:r w:rsidR="00064D91">
        <w:rPr>
          <w:lang w:val="en-GB"/>
        </w:rPr>
        <w:t xml:space="preserve"> </w:t>
      </w:r>
      <w:r w:rsidRPr="007158E9">
        <w:rPr>
          <w:lang w:val="en-GB"/>
        </w:rPr>
        <w:t>or because meetings, when held, were disturbed by members of CNDD-FDD or Imbonerakure</w:t>
      </w:r>
      <w:r w:rsidRPr="007158E9">
        <w:rPr>
          <w:vertAlign w:val="superscript"/>
          <w:lang w:val="en-GB"/>
        </w:rPr>
        <w:footnoteReference w:id="461"/>
      </w:r>
      <w:r w:rsidRPr="007158E9">
        <w:rPr>
          <w:lang w:val="en-GB"/>
        </w:rPr>
        <w:t>. A witness reported:</w:t>
      </w:r>
    </w:p>
    <w:p w14:paraId="0B9E48A0" w14:textId="142728BA" w:rsidR="006B05D6" w:rsidRPr="007158E9" w:rsidRDefault="006B05D6" w:rsidP="00064D91">
      <w:pPr>
        <w:pStyle w:val="SingleTxtG"/>
        <w:ind w:left="1701" w:right="562"/>
        <w:rPr>
          <w:lang w:val="en-GB"/>
        </w:rPr>
      </w:pPr>
      <w:r w:rsidRPr="007158E9">
        <w:rPr>
          <w:lang w:val="en-GB"/>
        </w:rPr>
        <w:t>“</w:t>
      </w:r>
      <w:r w:rsidRPr="007158E9">
        <w:rPr>
          <w:i/>
          <w:lang w:val="en-GB"/>
        </w:rPr>
        <w:t>The police came to arrest [FNL] members because they were accused of holding sensitisation meetings for a “no” vote at the referendum […] The arrest took place in a bar […] they were suspected of getting together in this bar to encourage a “no” vote during the referendum and yet they were there for a party. But because they were all FNL affiliates and someone said there were FNL members in the bar, the police hurried to arrest them</w:t>
      </w:r>
      <w:r w:rsidRPr="007158E9">
        <w:rPr>
          <w:lang w:val="en-GB"/>
        </w:rPr>
        <w:t>”</w:t>
      </w:r>
      <w:r w:rsidR="00064D91">
        <w:rPr>
          <w:lang w:val="en-GB"/>
        </w:rPr>
        <w:t>.</w:t>
      </w:r>
      <w:r w:rsidRPr="007158E9">
        <w:rPr>
          <w:vertAlign w:val="superscript"/>
          <w:lang w:val="en-GB"/>
        </w:rPr>
        <w:footnoteReference w:id="462"/>
      </w:r>
    </w:p>
    <w:p w14:paraId="6DB3BBC3" w14:textId="37CE03DB" w:rsidR="00064D91" w:rsidRDefault="006B05D6" w:rsidP="00FB4AE0">
      <w:pPr>
        <w:pStyle w:val="SingleTxtG"/>
        <w:ind w:left="1138" w:right="562"/>
        <w:rPr>
          <w:lang w:val="en-GB"/>
        </w:rPr>
      </w:pPr>
      <w:r w:rsidRPr="007158E9">
        <w:rPr>
          <w:lang w:val="en-GB"/>
        </w:rPr>
        <w:t>A former Imbonerakure narrated that when an organisation other than CNDD-FDD requested authorisation to meet, Imbonerakure</w:t>
      </w:r>
      <w:r w:rsidRPr="007158E9">
        <w:rPr>
          <w:i/>
          <w:lang w:val="en-GB"/>
        </w:rPr>
        <w:t xml:space="preserve"> </w:t>
      </w:r>
      <w:r w:rsidRPr="007158E9">
        <w:rPr>
          <w:lang w:val="en-GB"/>
        </w:rPr>
        <w:t xml:space="preserve">were informed by the leader of Imbonerakure at the colline: </w:t>
      </w:r>
    </w:p>
    <w:p w14:paraId="5254E543" w14:textId="7F644880" w:rsidR="006B05D6" w:rsidRPr="007158E9" w:rsidRDefault="006B05D6" w:rsidP="00064D91">
      <w:pPr>
        <w:pStyle w:val="SingleTxtG"/>
        <w:ind w:left="1701" w:right="562"/>
        <w:rPr>
          <w:lang w:val="en-GB"/>
        </w:rPr>
      </w:pPr>
      <w:r w:rsidRPr="007158E9">
        <w:rPr>
          <w:lang w:val="en-GB"/>
        </w:rPr>
        <w:t>“</w:t>
      </w:r>
      <w:r w:rsidRPr="007158E9">
        <w:rPr>
          <w:i/>
          <w:lang w:val="en-GB"/>
        </w:rPr>
        <w:t>When a meeting began, [the Imbonerakure] showed up, made trouble by beating all those who were in attendance and dispersed them. In the end, these meetings no longer took place. Imbonerakure asked organizers to provide written authorisation before they could meet. Even when the organizers presented their permits, Imbonerakure often said it was not enough</w:t>
      </w:r>
      <w:r w:rsidRPr="007158E9">
        <w:rPr>
          <w:lang w:val="en-GB"/>
        </w:rPr>
        <w:t>”</w:t>
      </w:r>
      <w:r w:rsidR="00064D91">
        <w:rPr>
          <w:lang w:val="en-GB"/>
        </w:rPr>
        <w:t>.</w:t>
      </w:r>
      <w:r w:rsidRPr="007158E9">
        <w:rPr>
          <w:vertAlign w:val="superscript"/>
          <w:lang w:val="en-GB"/>
        </w:rPr>
        <w:footnoteReference w:id="463"/>
      </w:r>
      <w:r w:rsidRPr="007158E9">
        <w:rPr>
          <w:lang w:val="en-GB"/>
        </w:rPr>
        <w:t xml:space="preserve"> </w:t>
      </w:r>
    </w:p>
    <w:p w14:paraId="1DEC0B97" w14:textId="48D6F823" w:rsidR="006B05D6" w:rsidRPr="007158E9" w:rsidRDefault="006B05D6" w:rsidP="001A5901">
      <w:pPr>
        <w:pStyle w:val="SingleTxtG"/>
        <w:numPr>
          <w:ilvl w:val="0"/>
          <w:numId w:val="27"/>
        </w:numPr>
        <w:ind w:left="1138" w:right="562" w:firstLine="0"/>
        <w:rPr>
          <w:lang w:val="en-GB"/>
        </w:rPr>
      </w:pPr>
      <w:r w:rsidRPr="007158E9">
        <w:rPr>
          <w:lang w:val="en-GB"/>
        </w:rPr>
        <w:t>The Commission also received confirmation that opposition political parties often have to meet secretly for fear of persecution by law enforcement officers and Imbonerakure</w:t>
      </w:r>
      <w:r w:rsidR="00064D91">
        <w:rPr>
          <w:lang w:val="en-GB"/>
        </w:rPr>
        <w:t>.</w:t>
      </w:r>
      <w:r w:rsidRPr="007158E9">
        <w:rPr>
          <w:vertAlign w:val="superscript"/>
          <w:lang w:val="en-GB"/>
        </w:rPr>
        <w:footnoteReference w:id="464"/>
      </w:r>
      <w:r w:rsidRPr="007158E9">
        <w:rPr>
          <w:lang w:val="en-GB"/>
        </w:rPr>
        <w:t xml:space="preserve"> It also received testimonies from people who were forced to participate in meetings organized at the local level by CNDD-FDD or Imbonerakure, in particular </w:t>
      </w:r>
      <w:r w:rsidR="00064D91">
        <w:rPr>
          <w:lang w:val="en-GB"/>
        </w:rPr>
        <w:t xml:space="preserve">in </w:t>
      </w:r>
      <w:r w:rsidRPr="007158E9">
        <w:rPr>
          <w:lang w:val="en-GB"/>
        </w:rPr>
        <w:t xml:space="preserve">meetings </w:t>
      </w:r>
      <w:r w:rsidR="00064D91">
        <w:rPr>
          <w:lang w:val="en-GB"/>
        </w:rPr>
        <w:t xml:space="preserve">to raise awareness about the revision of </w:t>
      </w:r>
      <w:r w:rsidRPr="007158E9">
        <w:rPr>
          <w:lang w:val="en-GB"/>
        </w:rPr>
        <w:t>the Constitution</w:t>
      </w:r>
      <w:r w:rsidR="00064D91">
        <w:rPr>
          <w:lang w:val="en-GB"/>
        </w:rPr>
        <w:t>.</w:t>
      </w:r>
      <w:r w:rsidRPr="007158E9">
        <w:rPr>
          <w:vertAlign w:val="superscript"/>
          <w:lang w:val="en-GB"/>
        </w:rPr>
        <w:footnoteReference w:id="465"/>
      </w:r>
      <w:r w:rsidRPr="007158E9">
        <w:rPr>
          <w:lang w:val="en-GB"/>
        </w:rPr>
        <w:t xml:space="preserve"> One person testified as follows: </w:t>
      </w:r>
    </w:p>
    <w:p w14:paraId="038567F1" w14:textId="0B50E58D" w:rsidR="006B05D6" w:rsidRPr="007158E9" w:rsidRDefault="006B05D6" w:rsidP="00064D91">
      <w:pPr>
        <w:pStyle w:val="SingleTxtG"/>
        <w:ind w:left="1701" w:right="562"/>
        <w:rPr>
          <w:i/>
          <w:lang w:val="en-GB"/>
        </w:rPr>
      </w:pPr>
      <w:r w:rsidRPr="007158E9">
        <w:rPr>
          <w:i/>
          <w:lang w:val="en-GB"/>
        </w:rPr>
        <w:t>“It was the leader of [X] district who invited me to the meeting. He was going door to door. He cam</w:t>
      </w:r>
      <w:r w:rsidR="006C5215">
        <w:rPr>
          <w:i/>
          <w:lang w:val="en-GB"/>
        </w:rPr>
        <w:t>e and he said to me: ‘</w:t>
      </w:r>
      <w:r w:rsidRPr="007158E9">
        <w:rPr>
          <w:i/>
          <w:lang w:val="en-GB"/>
        </w:rPr>
        <w:t>Tomorrow at such and such time, you a</w:t>
      </w:r>
      <w:r w:rsidR="00064D91">
        <w:rPr>
          <w:i/>
          <w:lang w:val="en-GB"/>
        </w:rPr>
        <w:t>re coming to the meeting organis</w:t>
      </w:r>
      <w:r w:rsidRPr="007158E9">
        <w:rPr>
          <w:i/>
          <w:lang w:val="en-GB"/>
        </w:rPr>
        <w:t>ed in this zone, you must be there</w:t>
      </w:r>
      <w:r w:rsidR="006C5215">
        <w:rPr>
          <w:i/>
          <w:lang w:val="en-GB"/>
        </w:rPr>
        <w:t>’</w:t>
      </w:r>
      <w:r w:rsidRPr="007158E9">
        <w:rPr>
          <w:i/>
          <w:lang w:val="en-GB"/>
        </w:rPr>
        <w:t>. He did not tell me the meeting agenda but it was a meeting</w:t>
      </w:r>
      <w:r w:rsidR="00064D91">
        <w:rPr>
          <w:i/>
          <w:lang w:val="en-GB"/>
        </w:rPr>
        <w:t xml:space="preserve"> to brief</w:t>
      </w:r>
      <w:r w:rsidRPr="007158E9">
        <w:rPr>
          <w:i/>
          <w:lang w:val="en-GB"/>
        </w:rPr>
        <w:t xml:space="preserve"> </w:t>
      </w:r>
      <w:r w:rsidR="00064D91">
        <w:rPr>
          <w:i/>
          <w:lang w:val="en-GB"/>
        </w:rPr>
        <w:t xml:space="preserve">us </w:t>
      </w:r>
      <w:r w:rsidRPr="007158E9">
        <w:rPr>
          <w:i/>
          <w:lang w:val="en-GB"/>
        </w:rPr>
        <w:t xml:space="preserve">on the </w:t>
      </w:r>
      <w:r w:rsidR="00064D91">
        <w:rPr>
          <w:i/>
          <w:lang w:val="en-GB"/>
        </w:rPr>
        <w:t>revision</w:t>
      </w:r>
      <w:r w:rsidRPr="007158E9">
        <w:rPr>
          <w:i/>
          <w:lang w:val="en-GB"/>
        </w:rPr>
        <w:t xml:space="preserve"> of the Constitution and how we </w:t>
      </w:r>
      <w:r w:rsidR="00064D91">
        <w:rPr>
          <w:i/>
          <w:lang w:val="en-GB"/>
        </w:rPr>
        <w:t xml:space="preserve">must </w:t>
      </w:r>
      <w:r w:rsidRPr="007158E9">
        <w:rPr>
          <w:i/>
          <w:lang w:val="en-GB"/>
        </w:rPr>
        <w:t>vote in the referendum. These meetings are frequent. We are called two to three times a month. I have been summoned several times; e</w:t>
      </w:r>
      <w:r w:rsidR="00064D91">
        <w:rPr>
          <w:i/>
          <w:lang w:val="en-GB"/>
        </w:rPr>
        <w:t xml:space="preserve">veryone has been. I went to such </w:t>
      </w:r>
      <w:r w:rsidRPr="007158E9">
        <w:rPr>
          <w:i/>
          <w:lang w:val="en-GB"/>
        </w:rPr>
        <w:t>meetings several times because I had no choice, otherwise you are labelled as disobedient. Even w</w:t>
      </w:r>
      <w:r w:rsidR="00064D91">
        <w:rPr>
          <w:i/>
          <w:lang w:val="en-GB"/>
        </w:rPr>
        <w:t xml:space="preserve">hen you do not want to go, </w:t>
      </w:r>
      <w:r w:rsidRPr="007158E9">
        <w:rPr>
          <w:i/>
          <w:lang w:val="en-GB"/>
        </w:rPr>
        <w:t xml:space="preserve">you must </w:t>
      </w:r>
      <w:r w:rsidR="00064D91">
        <w:rPr>
          <w:i/>
          <w:lang w:val="en-GB"/>
        </w:rPr>
        <w:t>go</w:t>
      </w:r>
      <w:r w:rsidRPr="007158E9">
        <w:rPr>
          <w:i/>
          <w:lang w:val="en-GB"/>
        </w:rPr>
        <w:t xml:space="preserve"> or else you are risking your life”</w:t>
      </w:r>
      <w:r w:rsidR="00064D91">
        <w:rPr>
          <w:i/>
          <w:lang w:val="en-GB"/>
        </w:rPr>
        <w:t>.</w:t>
      </w:r>
      <w:r w:rsidRPr="007158E9">
        <w:rPr>
          <w:vertAlign w:val="superscript"/>
          <w:lang w:val="en-GB"/>
        </w:rPr>
        <w:footnoteReference w:id="466"/>
      </w:r>
    </w:p>
    <w:p w14:paraId="2FF131FD" w14:textId="033763EB" w:rsidR="006B05D6" w:rsidRPr="00062541" w:rsidRDefault="006B05D6" w:rsidP="00062541">
      <w:pPr>
        <w:pStyle w:val="H4G"/>
        <w:numPr>
          <w:ilvl w:val="0"/>
          <w:numId w:val="29"/>
        </w:numPr>
        <w:tabs>
          <w:tab w:val="clear" w:pos="851"/>
          <w:tab w:val="right" w:pos="1170"/>
        </w:tabs>
        <w:ind w:left="922" w:right="1138"/>
        <w:rPr>
          <w:b/>
          <w:i w:val="0"/>
          <w:lang w:val="en-GB"/>
        </w:rPr>
      </w:pPr>
      <w:r w:rsidRPr="00062541">
        <w:rPr>
          <w:b/>
          <w:i w:val="0"/>
          <w:lang w:val="en-GB"/>
        </w:rPr>
        <w:tab/>
        <w:t>Freedom of movement</w:t>
      </w:r>
    </w:p>
    <w:p w14:paraId="53177B8B" w14:textId="7CDEDB95" w:rsidR="006B05D6" w:rsidRPr="007158E9" w:rsidRDefault="00064D91" w:rsidP="001A5901">
      <w:pPr>
        <w:pStyle w:val="SingleTxtG"/>
        <w:numPr>
          <w:ilvl w:val="0"/>
          <w:numId w:val="27"/>
        </w:numPr>
        <w:ind w:left="1138" w:right="562" w:firstLine="0"/>
        <w:rPr>
          <w:bCs/>
          <w:lang w:val="en-GB"/>
        </w:rPr>
      </w:pPr>
      <w:r>
        <w:rPr>
          <w:lang w:val="en-GB"/>
        </w:rPr>
        <w:t>Similarly to the</w:t>
      </w:r>
      <w:r w:rsidR="006B05D6" w:rsidRPr="007158E9">
        <w:rPr>
          <w:lang w:val="en-GB"/>
        </w:rPr>
        <w:t xml:space="preserve"> first term of its mandate</w:t>
      </w:r>
      <w:r>
        <w:rPr>
          <w:lang w:val="en-GB"/>
        </w:rPr>
        <w:t>,</w:t>
      </w:r>
      <w:r w:rsidR="006B05D6" w:rsidRPr="007158E9">
        <w:rPr>
          <w:vertAlign w:val="superscript"/>
        </w:rPr>
        <w:footnoteReference w:id="467"/>
      </w:r>
      <w:r w:rsidR="006B05D6" w:rsidRPr="007158E9">
        <w:rPr>
          <w:lang w:val="en-GB"/>
        </w:rPr>
        <w:t xml:space="preserve"> the Commission has documented numerous restrictions on the freedom of movement </w:t>
      </w:r>
      <w:r>
        <w:rPr>
          <w:lang w:val="en-GB"/>
        </w:rPr>
        <w:t xml:space="preserve">that took </w:t>
      </w:r>
      <w:r w:rsidR="006B05D6" w:rsidRPr="007158E9">
        <w:rPr>
          <w:lang w:val="en-GB"/>
        </w:rPr>
        <w:t xml:space="preserve">multiple forms. The Commission collected several testimonies attesting to tighter controls and roadblocks </w:t>
      </w:r>
      <w:r w:rsidRPr="007158E9">
        <w:rPr>
          <w:lang w:val="en-GB"/>
        </w:rPr>
        <w:t xml:space="preserve">mainly </w:t>
      </w:r>
      <w:r w:rsidR="006B05D6" w:rsidRPr="007158E9">
        <w:rPr>
          <w:lang w:val="en-GB"/>
        </w:rPr>
        <w:t>near Burundi borders with Tanzania and Rwanda</w:t>
      </w:r>
      <w:r>
        <w:rPr>
          <w:lang w:val="en-GB"/>
        </w:rPr>
        <w:t>.</w:t>
      </w:r>
      <w:r w:rsidR="006B05D6" w:rsidRPr="007158E9">
        <w:rPr>
          <w:bCs/>
          <w:vertAlign w:val="superscript"/>
          <w:lang w:val="en-GB"/>
        </w:rPr>
        <w:footnoteReference w:id="468"/>
      </w:r>
      <w:r w:rsidR="006B05D6" w:rsidRPr="007158E9">
        <w:rPr>
          <w:lang w:val="en-GB"/>
        </w:rPr>
        <w:t xml:space="preserve"> These border controls and roadblocks are </w:t>
      </w:r>
      <w:r w:rsidRPr="007158E9">
        <w:rPr>
          <w:lang w:val="en-GB"/>
        </w:rPr>
        <w:t>mostly</w:t>
      </w:r>
      <w:r w:rsidR="006B05D6" w:rsidRPr="007158E9">
        <w:rPr>
          <w:lang w:val="en-GB"/>
        </w:rPr>
        <w:t xml:space="preserve"> carried out and </w:t>
      </w:r>
      <w:r w:rsidRPr="007158E9">
        <w:rPr>
          <w:lang w:val="en-GB"/>
        </w:rPr>
        <w:t>ma</w:t>
      </w:r>
      <w:r>
        <w:rPr>
          <w:lang w:val="en-GB"/>
        </w:rPr>
        <w:t>n</w:t>
      </w:r>
      <w:r w:rsidRPr="007158E9">
        <w:rPr>
          <w:lang w:val="en-GB"/>
        </w:rPr>
        <w:t>aged</w:t>
      </w:r>
      <w:r w:rsidR="006B05D6" w:rsidRPr="007158E9">
        <w:rPr>
          <w:lang w:val="en-GB"/>
        </w:rPr>
        <w:t xml:space="preserve"> by Imbonerakure, in some cases in collaboration with the police</w:t>
      </w:r>
      <w:r>
        <w:rPr>
          <w:lang w:val="en-GB"/>
        </w:rPr>
        <w:t>.</w:t>
      </w:r>
      <w:r w:rsidR="006B05D6" w:rsidRPr="007158E9">
        <w:rPr>
          <w:vertAlign w:val="superscript"/>
          <w:lang w:val="en-GB"/>
        </w:rPr>
        <w:footnoteReference w:id="469"/>
      </w:r>
    </w:p>
    <w:p w14:paraId="46EB6C05" w14:textId="3DDDC6F1" w:rsidR="006B05D6" w:rsidRPr="007158E9" w:rsidRDefault="006B05D6" w:rsidP="001A5901">
      <w:pPr>
        <w:pStyle w:val="SingleTxtG"/>
        <w:numPr>
          <w:ilvl w:val="0"/>
          <w:numId w:val="27"/>
        </w:numPr>
        <w:ind w:left="1138" w:right="562" w:firstLine="0"/>
        <w:rPr>
          <w:bCs/>
          <w:lang w:val="en-GB"/>
        </w:rPr>
      </w:pPr>
      <w:r w:rsidRPr="007158E9">
        <w:rPr>
          <w:lang w:val="en-GB"/>
        </w:rPr>
        <w:t>People who fled Burundi described human rights violations they suffered as they were fleeing. Several of them have been victims of arbitrary arrests and/or other human rights violations, including ill treatments and extortions</w:t>
      </w:r>
      <w:r w:rsidR="00064D91">
        <w:rPr>
          <w:lang w:val="en-GB"/>
        </w:rPr>
        <w:t>.</w:t>
      </w:r>
      <w:r w:rsidRPr="007158E9">
        <w:rPr>
          <w:bCs/>
          <w:vertAlign w:val="superscript"/>
          <w:lang w:val="en-GB"/>
        </w:rPr>
        <w:footnoteReference w:id="470"/>
      </w:r>
      <w:r w:rsidRPr="007158E9">
        <w:rPr>
          <w:lang w:val="en-GB"/>
        </w:rPr>
        <w:t xml:space="preserve"> One of them testified:</w:t>
      </w:r>
    </w:p>
    <w:p w14:paraId="509BE491" w14:textId="25296F54" w:rsidR="006B05D6" w:rsidRPr="007158E9" w:rsidRDefault="006B05D6" w:rsidP="00064D91">
      <w:pPr>
        <w:pStyle w:val="SingleTxtG"/>
        <w:ind w:left="1701" w:right="562"/>
        <w:rPr>
          <w:bCs/>
          <w:i/>
          <w:lang w:val="en-GB"/>
        </w:rPr>
      </w:pPr>
      <w:r w:rsidRPr="007158E9">
        <w:rPr>
          <w:i/>
          <w:lang w:val="en-GB"/>
        </w:rPr>
        <w:t>“[In] […] 2017, […] my younger brother, […] and I were on the road […] to Rwanda when we met a group of Imbonerakure […] These Imbonerakure surrounded us and then the police came to watch what was going on […] The Imbonerakure tied us up […] They beat us and threatened us with military knives […]</w:t>
      </w:r>
      <w:r w:rsidR="00064D91">
        <w:rPr>
          <w:i/>
          <w:lang w:val="en-GB"/>
        </w:rPr>
        <w:t xml:space="preserve"> saying they would kill us […]</w:t>
      </w:r>
      <w:r w:rsidRPr="007158E9">
        <w:rPr>
          <w:i/>
          <w:lang w:val="en-GB"/>
        </w:rPr>
        <w:t xml:space="preserve"> A </w:t>
      </w:r>
      <w:r w:rsidR="006C5215">
        <w:rPr>
          <w:i/>
          <w:lang w:val="en-GB"/>
        </w:rPr>
        <w:t>police officer […] asked them: ‘</w:t>
      </w:r>
      <w:r w:rsidRPr="007158E9">
        <w:rPr>
          <w:i/>
          <w:lang w:val="en-GB"/>
        </w:rPr>
        <w:t>Why are you arresting these people? What have they d</w:t>
      </w:r>
      <w:r w:rsidR="006C5215">
        <w:rPr>
          <w:i/>
          <w:lang w:val="en-GB"/>
        </w:rPr>
        <w:t>one?’ The Imbonerakure replied: ‘</w:t>
      </w:r>
      <w:r w:rsidRPr="007158E9">
        <w:rPr>
          <w:i/>
          <w:lang w:val="en-GB"/>
        </w:rPr>
        <w:t xml:space="preserve">These are rebels heading </w:t>
      </w:r>
      <w:r w:rsidR="006C5215">
        <w:rPr>
          <w:i/>
          <w:lang w:val="en-GB"/>
        </w:rPr>
        <w:t>to Rwanda’</w:t>
      </w:r>
      <w:r w:rsidR="00064D91">
        <w:rPr>
          <w:i/>
          <w:lang w:val="en-GB"/>
        </w:rPr>
        <w:t>.”</w:t>
      </w:r>
      <w:r w:rsidRPr="007158E9">
        <w:rPr>
          <w:vertAlign w:val="superscript"/>
          <w:lang w:val="en-GB"/>
        </w:rPr>
        <w:footnoteReference w:id="471"/>
      </w:r>
    </w:p>
    <w:p w14:paraId="079C65F9" w14:textId="11CDEC11" w:rsidR="006B05D6" w:rsidRPr="007158E9" w:rsidRDefault="006B05D6" w:rsidP="001A5901">
      <w:pPr>
        <w:pStyle w:val="SingleTxtG"/>
        <w:numPr>
          <w:ilvl w:val="0"/>
          <w:numId w:val="27"/>
        </w:numPr>
        <w:ind w:left="1138" w:right="562" w:firstLine="0"/>
        <w:rPr>
          <w:bCs/>
          <w:lang w:val="en-GB"/>
        </w:rPr>
      </w:pPr>
      <w:r w:rsidRPr="007158E9">
        <w:rPr>
          <w:lang w:val="en-GB"/>
        </w:rPr>
        <w:t>Relatives of people who have successfully left the country have continued to be subjected to harassment, threats and other human rights abuses</w:t>
      </w:r>
      <w:r w:rsidR="00064D91">
        <w:rPr>
          <w:lang w:val="en-GB"/>
        </w:rPr>
        <w:t>.</w:t>
      </w:r>
      <w:r w:rsidRPr="007158E9">
        <w:rPr>
          <w:bCs/>
          <w:vertAlign w:val="superscript"/>
          <w:lang w:val="en-GB"/>
        </w:rPr>
        <w:footnoteReference w:id="472"/>
      </w:r>
      <w:r w:rsidRPr="007158E9">
        <w:rPr>
          <w:lang w:val="en-GB"/>
        </w:rPr>
        <w:t xml:space="preserve"> In particular, the Commission received the testimony of one person: </w:t>
      </w:r>
    </w:p>
    <w:p w14:paraId="1600A606" w14:textId="57085074" w:rsidR="006B05D6" w:rsidRPr="007158E9" w:rsidRDefault="006B05D6" w:rsidP="0017709B">
      <w:pPr>
        <w:pStyle w:val="SingleTxtG"/>
        <w:ind w:left="1701" w:right="562"/>
        <w:rPr>
          <w:bCs/>
          <w:i/>
          <w:lang w:val="en-GB"/>
        </w:rPr>
      </w:pPr>
      <w:r w:rsidRPr="0017709B">
        <w:rPr>
          <w:i/>
          <w:lang w:val="en-GB"/>
        </w:rPr>
        <w:t xml:space="preserve">“[X] has been persecuted by Imbonerakure because after [I] went […] into exile, [X] occupied [my] house. As the Imbonerakure were looking for </w:t>
      </w:r>
      <w:r w:rsidR="0017709B">
        <w:rPr>
          <w:i/>
          <w:lang w:val="en-GB"/>
        </w:rPr>
        <w:t>me [but</w:t>
      </w:r>
      <w:r w:rsidRPr="0017709B">
        <w:rPr>
          <w:i/>
          <w:lang w:val="en-GB"/>
        </w:rPr>
        <w:t>] had not found [me], they decided to attack [X]. [X was arres</w:t>
      </w:r>
      <w:r w:rsidR="00064D91" w:rsidRPr="0017709B">
        <w:rPr>
          <w:i/>
          <w:lang w:val="en-GB"/>
        </w:rPr>
        <w:t>ted and has been missing since]</w:t>
      </w:r>
      <w:r w:rsidRPr="0017709B">
        <w:rPr>
          <w:i/>
          <w:lang w:val="en-GB"/>
        </w:rPr>
        <w:t>”</w:t>
      </w:r>
      <w:r w:rsidR="00064D91" w:rsidRPr="0017709B">
        <w:rPr>
          <w:i/>
          <w:lang w:val="en-GB"/>
        </w:rPr>
        <w:t>.</w:t>
      </w:r>
      <w:r w:rsidRPr="007158E9">
        <w:rPr>
          <w:bCs/>
          <w:vertAlign w:val="superscript"/>
          <w:lang w:val="en-GB"/>
        </w:rPr>
        <w:footnoteReference w:id="473"/>
      </w:r>
    </w:p>
    <w:p w14:paraId="31EE003C" w14:textId="23CC05CD" w:rsidR="006B05D6" w:rsidRPr="007158E9" w:rsidRDefault="006B05D6" w:rsidP="001A5901">
      <w:pPr>
        <w:pStyle w:val="SingleTxtG"/>
        <w:numPr>
          <w:ilvl w:val="0"/>
          <w:numId w:val="27"/>
        </w:numPr>
        <w:ind w:left="1138" w:right="562" w:firstLine="0"/>
        <w:rPr>
          <w:bCs/>
          <w:lang w:val="en-GB"/>
        </w:rPr>
      </w:pPr>
      <w:r w:rsidRPr="007158E9">
        <w:rPr>
          <w:lang w:val="en-GB"/>
        </w:rPr>
        <w:t>Roadblocks have also been erected and inspections carried out across the country, limiting the movement of Burundian citizens who, for private or professional reasons, have to move from one province, commune or colline to another</w:t>
      </w:r>
      <w:r w:rsidR="0017709B">
        <w:rPr>
          <w:lang w:val="en-GB"/>
        </w:rPr>
        <w:t>.</w:t>
      </w:r>
      <w:r w:rsidRPr="007158E9">
        <w:rPr>
          <w:bCs/>
          <w:vertAlign w:val="superscript"/>
          <w:lang w:val="en-GB"/>
        </w:rPr>
        <w:footnoteReference w:id="474"/>
      </w:r>
      <w:r w:rsidRPr="007158E9">
        <w:rPr>
          <w:lang w:val="en-GB"/>
        </w:rPr>
        <w:t xml:space="preserve"> A person living in Makamba province testified:</w:t>
      </w:r>
    </w:p>
    <w:p w14:paraId="128BBF4A" w14:textId="47FC412A" w:rsidR="006B05D6" w:rsidRPr="007158E9" w:rsidRDefault="006B05D6" w:rsidP="0017709B">
      <w:pPr>
        <w:pStyle w:val="SingleTxtG"/>
        <w:ind w:left="1701" w:right="562"/>
        <w:rPr>
          <w:i/>
          <w:lang w:val="en-GB"/>
        </w:rPr>
      </w:pPr>
      <w:r w:rsidRPr="0017709B">
        <w:rPr>
          <w:i/>
          <w:lang w:val="en-GB"/>
        </w:rPr>
        <w:t>“There are a dozen Imbonerakure at every roadblock. You cannot go from one sous-colline to another without crossing two barriers. Imbonerakure check all roadblocks. The police appear to be overseeing the activities of Imbonerakure. If a person cannot pay, the Imbonerakure seizes the person’s property and keeps it until the person is able to pay, and all of this happens in front of the police. I witnessed this with my own eyes”</w:t>
      </w:r>
      <w:r w:rsidR="0017709B">
        <w:rPr>
          <w:i/>
          <w:lang w:val="en-GB"/>
        </w:rPr>
        <w:t>.</w:t>
      </w:r>
      <w:r w:rsidRPr="007158E9">
        <w:rPr>
          <w:vertAlign w:val="superscript"/>
          <w:lang w:val="en-GB"/>
        </w:rPr>
        <w:footnoteReference w:id="475"/>
      </w:r>
    </w:p>
    <w:p w14:paraId="163623EC" w14:textId="2EF4C748" w:rsidR="006B05D6" w:rsidRPr="007158E9" w:rsidRDefault="006B05D6" w:rsidP="001A5901">
      <w:pPr>
        <w:pStyle w:val="SingleTxtG"/>
        <w:numPr>
          <w:ilvl w:val="0"/>
          <w:numId w:val="27"/>
        </w:numPr>
        <w:ind w:left="1138" w:right="562" w:firstLine="0"/>
        <w:rPr>
          <w:lang w:val="en-GB"/>
        </w:rPr>
      </w:pPr>
      <w:r w:rsidRPr="007158E9">
        <w:rPr>
          <w:lang w:val="en-GB"/>
        </w:rPr>
        <w:t>The Commission has also received numerous reports of obstacles to freedom of movement in connection with the constitutional referendum</w:t>
      </w:r>
      <w:r w:rsidR="0017709B">
        <w:rPr>
          <w:lang w:val="en-GB"/>
        </w:rPr>
        <w:t>.</w:t>
      </w:r>
      <w:r w:rsidRPr="007158E9">
        <w:rPr>
          <w:bCs/>
          <w:vertAlign w:val="superscript"/>
          <w:lang w:val="en-GB"/>
        </w:rPr>
        <w:footnoteReference w:id="476"/>
      </w:r>
      <w:r w:rsidRPr="007158E9">
        <w:rPr>
          <w:lang w:val="en-GB"/>
        </w:rPr>
        <w:t xml:space="preserve"> In particular, a person interviewed by the Commission referred to the receipt issued to a per</w:t>
      </w:r>
      <w:r w:rsidR="0017709B">
        <w:rPr>
          <w:lang w:val="en-GB"/>
        </w:rPr>
        <w:t>son after having registeres as voter as</w:t>
      </w:r>
      <w:r w:rsidRPr="007158E9">
        <w:rPr>
          <w:lang w:val="en-GB"/>
        </w:rPr>
        <w:t xml:space="preserve"> “an identity card” because “the police can require the receipts anytime”</w:t>
      </w:r>
      <w:r w:rsidR="0017709B">
        <w:rPr>
          <w:lang w:val="en-GB"/>
        </w:rPr>
        <w:t>.</w:t>
      </w:r>
      <w:r w:rsidRPr="007158E9">
        <w:rPr>
          <w:vertAlign w:val="superscript"/>
          <w:lang w:val="en-GB"/>
        </w:rPr>
        <w:footnoteReference w:id="477"/>
      </w:r>
      <w:r w:rsidRPr="007158E9">
        <w:rPr>
          <w:lang w:val="en-GB"/>
        </w:rPr>
        <w:t xml:space="preserve"> A person interviewed by the Commission described the difficulties associated with checking receipts:</w:t>
      </w:r>
    </w:p>
    <w:p w14:paraId="360CC464" w14:textId="7DC24465" w:rsidR="006B05D6" w:rsidRPr="007158E9" w:rsidRDefault="006B05D6" w:rsidP="0017709B">
      <w:pPr>
        <w:pStyle w:val="SingleTxtG"/>
        <w:ind w:left="1701" w:right="562"/>
        <w:rPr>
          <w:bCs/>
          <w:i/>
          <w:lang w:val="en-GB"/>
        </w:rPr>
      </w:pPr>
      <w:r w:rsidRPr="007158E9">
        <w:rPr>
          <w:bCs/>
          <w:i/>
          <w:lang w:val="en-GB"/>
        </w:rPr>
        <w:t xml:space="preserve">“I saw the Imbonerakure inspecting the streets and asking for the voter </w:t>
      </w:r>
      <w:r w:rsidR="0017709B">
        <w:rPr>
          <w:bCs/>
          <w:i/>
          <w:lang w:val="en-GB"/>
        </w:rPr>
        <w:t xml:space="preserve">registration </w:t>
      </w:r>
      <w:r w:rsidRPr="007158E9">
        <w:rPr>
          <w:bCs/>
          <w:i/>
          <w:lang w:val="en-GB"/>
        </w:rPr>
        <w:t>cards. It is difficult to get around without the card because there are many roadblocks and, if you do not have the card, you are turned back and you go back to where you came from; so people are confined to their homes. My grandmother did not register. She is very old and therefore she does not go out of her house”</w:t>
      </w:r>
      <w:r w:rsidR="0017709B">
        <w:rPr>
          <w:bCs/>
          <w:i/>
          <w:lang w:val="en-GB"/>
        </w:rPr>
        <w:t>.</w:t>
      </w:r>
      <w:r w:rsidRPr="007158E9">
        <w:rPr>
          <w:bCs/>
          <w:i/>
          <w:vertAlign w:val="superscript"/>
          <w:lang w:val="en-GB"/>
        </w:rPr>
        <w:footnoteReference w:id="478"/>
      </w:r>
    </w:p>
    <w:p w14:paraId="22D6F7E3" w14:textId="0B5E511D" w:rsidR="006B05D6" w:rsidRPr="007158E9" w:rsidRDefault="006B05D6" w:rsidP="001A5901">
      <w:pPr>
        <w:pStyle w:val="SingleTxtG"/>
        <w:numPr>
          <w:ilvl w:val="0"/>
          <w:numId w:val="27"/>
        </w:numPr>
        <w:ind w:left="1138" w:right="562" w:firstLine="0"/>
        <w:rPr>
          <w:lang w:val="en-GB"/>
        </w:rPr>
      </w:pPr>
      <w:r w:rsidRPr="007158E9">
        <w:rPr>
          <w:lang w:val="en-GB"/>
        </w:rPr>
        <w:t>These receipts are particularly required at market places</w:t>
      </w:r>
      <w:r w:rsidR="0017709B">
        <w:rPr>
          <w:lang w:val="en-GB"/>
        </w:rPr>
        <w:t>.</w:t>
      </w:r>
      <w:r w:rsidRPr="007158E9">
        <w:rPr>
          <w:vertAlign w:val="superscript"/>
          <w:lang w:val="en-GB"/>
        </w:rPr>
        <w:footnoteReference w:id="479"/>
      </w:r>
      <w:r w:rsidRPr="007158E9">
        <w:rPr>
          <w:lang w:val="en-GB"/>
        </w:rPr>
        <w:t xml:space="preserve"> One person told the Commission:</w:t>
      </w:r>
    </w:p>
    <w:p w14:paraId="2BF084DA" w14:textId="1F7EB9F2" w:rsidR="006B05D6" w:rsidRPr="007158E9" w:rsidRDefault="006B05D6" w:rsidP="0017709B">
      <w:pPr>
        <w:pStyle w:val="SingleTxtG"/>
        <w:ind w:left="1701" w:right="562"/>
        <w:rPr>
          <w:bCs/>
          <w:i/>
          <w:lang w:val="en-GB"/>
        </w:rPr>
      </w:pPr>
      <w:r w:rsidRPr="007158E9">
        <w:rPr>
          <w:bCs/>
          <w:i/>
          <w:lang w:val="en-GB"/>
        </w:rPr>
        <w:t xml:space="preserve">“Life becomes very difficult without a voter </w:t>
      </w:r>
      <w:r w:rsidR="0017709B">
        <w:rPr>
          <w:bCs/>
          <w:i/>
          <w:lang w:val="en-GB"/>
        </w:rPr>
        <w:t xml:space="preserve">registration </w:t>
      </w:r>
      <w:r w:rsidRPr="007158E9">
        <w:rPr>
          <w:bCs/>
          <w:i/>
          <w:lang w:val="en-GB"/>
        </w:rPr>
        <w:t xml:space="preserve">card. For example, you cannot go to the market. It is as if </w:t>
      </w:r>
      <w:r w:rsidR="0017709B">
        <w:rPr>
          <w:bCs/>
          <w:i/>
          <w:lang w:val="en-GB"/>
        </w:rPr>
        <w:t>this</w:t>
      </w:r>
      <w:r w:rsidRPr="007158E9">
        <w:rPr>
          <w:bCs/>
          <w:i/>
          <w:lang w:val="en-GB"/>
        </w:rPr>
        <w:t xml:space="preserve"> card is a ticket. Imbonerakure are posted at the entrance of the market, checking whether we have it or not. Those who do not have it are not allowed in. Imbonerakure can even request that </w:t>
      </w:r>
      <w:r w:rsidR="0017709B">
        <w:rPr>
          <w:bCs/>
          <w:i/>
          <w:lang w:val="en-GB"/>
        </w:rPr>
        <w:t>this</w:t>
      </w:r>
      <w:r w:rsidRPr="007158E9">
        <w:rPr>
          <w:bCs/>
          <w:i/>
          <w:lang w:val="en-GB"/>
        </w:rPr>
        <w:t xml:space="preserve"> document be shown by citizens on t</w:t>
      </w:r>
      <w:r w:rsidR="0017709B">
        <w:rPr>
          <w:bCs/>
          <w:i/>
          <w:lang w:val="en-GB"/>
        </w:rPr>
        <w:t>heir way to carry out fieldwork”.</w:t>
      </w:r>
      <w:r w:rsidRPr="007158E9">
        <w:rPr>
          <w:bCs/>
          <w:vertAlign w:val="superscript"/>
          <w:lang w:val="en-GB"/>
        </w:rPr>
        <w:footnoteReference w:id="480"/>
      </w:r>
    </w:p>
    <w:p w14:paraId="45255A50" w14:textId="77A10EF4" w:rsidR="006B05D6" w:rsidRPr="007158E9" w:rsidRDefault="006B05D6" w:rsidP="001A5901">
      <w:pPr>
        <w:pStyle w:val="SingleTxtG"/>
        <w:numPr>
          <w:ilvl w:val="0"/>
          <w:numId w:val="27"/>
        </w:numPr>
        <w:ind w:left="1138" w:right="562" w:firstLine="0"/>
        <w:rPr>
          <w:bCs/>
          <w:lang w:val="en-GB"/>
        </w:rPr>
      </w:pPr>
      <w:r w:rsidRPr="007158E9">
        <w:rPr>
          <w:lang w:val="en-GB"/>
        </w:rPr>
        <w:t>Imbonerakure, sometimes in collaboration with the local administration, refused passage to people who could not show the receipts proving that they paid their contributions towards the 2020 elections or other types of contribution</w:t>
      </w:r>
      <w:r w:rsidR="0017709B">
        <w:rPr>
          <w:lang w:val="en-GB"/>
        </w:rPr>
        <w:t>.</w:t>
      </w:r>
      <w:r w:rsidRPr="007158E9">
        <w:rPr>
          <w:bCs/>
          <w:vertAlign w:val="superscript"/>
          <w:lang w:val="en-GB"/>
        </w:rPr>
        <w:footnoteReference w:id="481"/>
      </w:r>
      <w:r w:rsidRPr="007158E9">
        <w:rPr>
          <w:lang w:val="en-GB"/>
        </w:rPr>
        <w:t xml:space="preserve"> One person s</w:t>
      </w:r>
      <w:r w:rsidR="0017709B">
        <w:rPr>
          <w:lang w:val="en-GB"/>
        </w:rPr>
        <w:t>tate</w:t>
      </w:r>
      <w:r w:rsidRPr="007158E9">
        <w:rPr>
          <w:lang w:val="en-GB"/>
        </w:rPr>
        <w:t xml:space="preserve">d: </w:t>
      </w:r>
    </w:p>
    <w:p w14:paraId="450694F7" w14:textId="5266BDD1" w:rsidR="006B05D6" w:rsidRPr="007158E9" w:rsidRDefault="006B05D6" w:rsidP="0017709B">
      <w:pPr>
        <w:pStyle w:val="SingleTxtG"/>
        <w:ind w:left="1701" w:right="562"/>
        <w:rPr>
          <w:bCs/>
          <w:i/>
          <w:lang w:val="en-GB"/>
        </w:rPr>
      </w:pPr>
      <w:r w:rsidRPr="007158E9">
        <w:rPr>
          <w:bCs/>
          <w:i/>
          <w:lang w:val="en-GB"/>
        </w:rPr>
        <w:t>“For [...] contributions, the Imbonerakure gave a receipt, and we were not free to travel without this receipt. The Imbonerakure established checkpoints where they checked for the required receipt. These roadblocks were erected between two collines so that one had to go through a roadblock to move from one colline to another. If you were stopped at a roadblock without the required receipt, the Imbonerakure concluded that you had not paid yet, and sometimes demanded ten times the amount, or they beat people severely”</w:t>
      </w:r>
      <w:r w:rsidR="0017709B">
        <w:rPr>
          <w:bCs/>
          <w:i/>
          <w:lang w:val="en-GB"/>
        </w:rPr>
        <w:t>.</w:t>
      </w:r>
      <w:r w:rsidRPr="007158E9">
        <w:rPr>
          <w:bCs/>
          <w:vertAlign w:val="superscript"/>
          <w:lang w:val="en-GB"/>
        </w:rPr>
        <w:footnoteReference w:id="482"/>
      </w:r>
    </w:p>
    <w:p w14:paraId="288DA2C5" w14:textId="47233B4A" w:rsidR="006B05D6" w:rsidRPr="007158E9" w:rsidRDefault="006B05D6" w:rsidP="001A5901">
      <w:pPr>
        <w:pStyle w:val="SingleTxtG"/>
        <w:numPr>
          <w:ilvl w:val="0"/>
          <w:numId w:val="27"/>
        </w:numPr>
        <w:ind w:left="1138" w:right="562" w:firstLine="0"/>
        <w:rPr>
          <w:bCs/>
          <w:lang w:val="en-GB"/>
        </w:rPr>
      </w:pPr>
      <w:r w:rsidRPr="007158E9">
        <w:rPr>
          <w:lang w:val="en-GB"/>
        </w:rPr>
        <w:t>The Commission also continued to receive reports confirming the use of household record booklets to monitor population movements</w:t>
      </w:r>
      <w:r w:rsidR="0017709B">
        <w:rPr>
          <w:lang w:val="en-GB"/>
        </w:rPr>
        <w:t>.</w:t>
      </w:r>
      <w:r w:rsidRPr="007158E9">
        <w:rPr>
          <w:bCs/>
          <w:vertAlign w:val="superscript"/>
          <w:lang w:val="en-GB"/>
        </w:rPr>
        <w:footnoteReference w:id="483"/>
      </w:r>
      <w:r w:rsidRPr="007158E9">
        <w:rPr>
          <w:lang w:val="en-GB"/>
        </w:rPr>
        <w:t xml:space="preserve"> Witnesses received by the Commission even report frequent cases of extortion in connection with the verification of household record booklets</w:t>
      </w:r>
      <w:r w:rsidR="0017709B">
        <w:rPr>
          <w:lang w:val="en-GB"/>
        </w:rPr>
        <w:t>.</w:t>
      </w:r>
      <w:r w:rsidRPr="007158E9">
        <w:rPr>
          <w:bCs/>
          <w:vertAlign w:val="superscript"/>
          <w:lang w:val="en-GB"/>
        </w:rPr>
        <w:footnoteReference w:id="484"/>
      </w:r>
      <w:r w:rsidRPr="007158E9">
        <w:rPr>
          <w:lang w:val="en-GB"/>
        </w:rPr>
        <w:t xml:space="preserve"> A witness reported:</w:t>
      </w:r>
    </w:p>
    <w:p w14:paraId="5CAA2DA4" w14:textId="350D7E26" w:rsidR="006B05D6" w:rsidRPr="007158E9" w:rsidRDefault="006B05D6" w:rsidP="0017709B">
      <w:pPr>
        <w:pStyle w:val="SingleTxtG"/>
        <w:ind w:left="1701" w:right="562"/>
        <w:rPr>
          <w:bCs/>
          <w:i/>
          <w:lang w:val="en-GB"/>
        </w:rPr>
      </w:pPr>
      <w:r w:rsidRPr="007158E9">
        <w:rPr>
          <w:i/>
          <w:lang w:val="en-GB"/>
        </w:rPr>
        <w:t>“Most often, the police arrest people in a group, supposedly in search of household record booklets, but, in reality, people get arrested in order to extort [money from] the</w:t>
      </w:r>
      <w:r w:rsidR="0017709B">
        <w:rPr>
          <w:i/>
          <w:lang w:val="en-GB"/>
        </w:rPr>
        <w:t>m in exchange for their release”.</w:t>
      </w:r>
      <w:r w:rsidRPr="007158E9">
        <w:rPr>
          <w:vertAlign w:val="superscript"/>
          <w:lang w:val="en-GB"/>
        </w:rPr>
        <w:footnoteReference w:id="485"/>
      </w:r>
    </w:p>
    <w:p w14:paraId="07A5D0C3" w14:textId="1F97C0FF" w:rsidR="006B05D6" w:rsidRPr="007158E9" w:rsidRDefault="006B05D6" w:rsidP="001A5901">
      <w:pPr>
        <w:pStyle w:val="SingleTxtG"/>
        <w:numPr>
          <w:ilvl w:val="0"/>
          <w:numId w:val="27"/>
        </w:numPr>
        <w:ind w:left="1138" w:right="562" w:firstLine="0"/>
        <w:rPr>
          <w:bCs/>
          <w:lang w:val="en-GB"/>
        </w:rPr>
      </w:pPr>
      <w:r w:rsidRPr="007158E9">
        <w:rPr>
          <w:lang w:val="en-GB"/>
        </w:rPr>
        <w:t>The Commission was finally able to meet with many people who, after having stayed in a neighbouring country, even briefly, returned to Burundi and were victims of human rights violations, including arbitrary arrests, detentions, torture and ill treatments</w:t>
      </w:r>
      <w:r w:rsidR="0017709B">
        <w:rPr>
          <w:lang w:val="en-GB"/>
        </w:rPr>
        <w:t>.</w:t>
      </w:r>
      <w:r w:rsidRPr="007158E9">
        <w:rPr>
          <w:bCs/>
          <w:vertAlign w:val="superscript"/>
        </w:rPr>
        <w:footnoteReference w:id="486"/>
      </w:r>
      <w:r w:rsidRPr="007158E9">
        <w:rPr>
          <w:lang w:val="en-GB"/>
        </w:rPr>
        <w:t xml:space="preserve"> Some people were reportedly killed after returning to the country</w:t>
      </w:r>
      <w:r w:rsidR="0017709B">
        <w:rPr>
          <w:lang w:val="en-GB"/>
        </w:rPr>
        <w:t>.</w:t>
      </w:r>
      <w:r w:rsidRPr="007158E9">
        <w:rPr>
          <w:bCs/>
          <w:vertAlign w:val="superscript"/>
        </w:rPr>
        <w:footnoteReference w:id="487"/>
      </w:r>
      <w:r w:rsidRPr="007158E9">
        <w:rPr>
          <w:lang w:val="en-GB"/>
        </w:rPr>
        <w:t xml:space="preserve"> They have often been accused of collaborating or wanting to join armed opposition groups. One person who returned from Tanzania explained: </w:t>
      </w:r>
    </w:p>
    <w:p w14:paraId="7F4676B1" w14:textId="38C9D1CB" w:rsidR="006B05D6" w:rsidRPr="007158E9" w:rsidRDefault="006B05D6" w:rsidP="0017709B">
      <w:pPr>
        <w:pStyle w:val="SingleTxtG"/>
        <w:ind w:left="1701" w:right="562"/>
        <w:rPr>
          <w:bCs/>
          <w:i/>
          <w:lang w:val="en-GB"/>
        </w:rPr>
      </w:pPr>
      <w:r w:rsidRPr="007158E9">
        <w:rPr>
          <w:bCs/>
          <w:i/>
          <w:lang w:val="en-GB"/>
        </w:rPr>
        <w:t>“I left Burundi [in] 2016 [...] I returned to Burundi in [...] 2017 [...] Upon arrival, I wanted to go home. I found a new building […] When I got to the commune, the chef de zone told the commune administrator that I was coming back from a refugee camp and that I had come to disrupt order […] The commune administrator called [the] police who came and put me in a cell... Before entering the cell, the police hit me [...] They accused me of having been in exile and wanting to disrupt order”</w:t>
      </w:r>
      <w:r w:rsidR="0017709B">
        <w:rPr>
          <w:bCs/>
          <w:i/>
          <w:lang w:val="en-GB"/>
        </w:rPr>
        <w:t>.</w:t>
      </w:r>
      <w:r w:rsidRPr="007158E9">
        <w:rPr>
          <w:bCs/>
          <w:vertAlign w:val="superscript"/>
          <w:lang w:val="en-GB"/>
        </w:rPr>
        <w:footnoteReference w:id="488"/>
      </w:r>
    </w:p>
    <w:p w14:paraId="4D446ACC" w14:textId="393B249B" w:rsidR="006B05D6" w:rsidRPr="007158E9" w:rsidRDefault="006B05D6" w:rsidP="001A5901">
      <w:pPr>
        <w:pStyle w:val="SingleTxtG"/>
        <w:numPr>
          <w:ilvl w:val="0"/>
          <w:numId w:val="27"/>
        </w:numPr>
        <w:ind w:left="1138" w:right="562" w:firstLine="0"/>
        <w:rPr>
          <w:bCs/>
          <w:lang w:val="en-GB"/>
        </w:rPr>
      </w:pPr>
      <w:r w:rsidRPr="007158E9">
        <w:rPr>
          <w:bCs/>
          <w:lang w:val="en-GB"/>
        </w:rPr>
        <w:t>In this regard, the Commission has received information on an organized system of exchange of information between various groups, composed of administrative authorities, members of the police and Imbonerakure, intended to monitor the movements of any person suspected of being against the Government or the party</w:t>
      </w:r>
      <w:r w:rsidR="0017709B">
        <w:rPr>
          <w:bCs/>
          <w:lang w:val="en-GB"/>
        </w:rPr>
        <w:t>.</w:t>
      </w:r>
      <w:r w:rsidRPr="007158E9">
        <w:rPr>
          <w:bCs/>
          <w:vertAlign w:val="superscript"/>
          <w:lang w:val="en-GB"/>
        </w:rPr>
        <w:footnoteReference w:id="489"/>
      </w:r>
      <w:r w:rsidRPr="007158E9">
        <w:rPr>
          <w:bCs/>
          <w:lang w:val="en-GB"/>
        </w:rPr>
        <w:t xml:space="preserve"> This system makes it possible to easily monitor the more or less long absences of members of the latter group from their colline of residence, but also their return. A person interviewed by the Commission recounted:</w:t>
      </w:r>
    </w:p>
    <w:p w14:paraId="54C1EFBF" w14:textId="176D8428" w:rsidR="006B05D6" w:rsidRPr="007158E9" w:rsidRDefault="006B05D6" w:rsidP="0017709B">
      <w:pPr>
        <w:pStyle w:val="SingleTxtG"/>
        <w:ind w:left="1701" w:right="562"/>
        <w:rPr>
          <w:bCs/>
          <w:i/>
          <w:lang w:val="en-GB"/>
        </w:rPr>
      </w:pPr>
      <w:r w:rsidRPr="007158E9">
        <w:rPr>
          <w:i/>
          <w:lang w:val="en-GB"/>
        </w:rPr>
        <w:t xml:space="preserve">“It was at this time [that I left my] commune to [take refuge in [...], in the same province </w:t>
      </w:r>
      <w:r w:rsidR="00761E5B" w:rsidRPr="007158E9">
        <w:rPr>
          <w:i/>
          <w:lang w:val="en-GB"/>
        </w:rPr>
        <w:t>[...]. Imbonerakure</w:t>
      </w:r>
      <w:r w:rsidRPr="007158E9">
        <w:rPr>
          <w:i/>
          <w:lang w:val="en-GB"/>
        </w:rPr>
        <w:t xml:space="preserve"> exchanged information with each other [in] the various </w:t>
      </w:r>
      <w:r w:rsidR="0017709B">
        <w:rPr>
          <w:i/>
          <w:lang w:val="en-GB"/>
        </w:rPr>
        <w:t xml:space="preserve">communes. They </w:t>
      </w:r>
      <w:r w:rsidRPr="007158E9">
        <w:rPr>
          <w:i/>
          <w:lang w:val="en-GB"/>
        </w:rPr>
        <w:t>chased me […] into [my] hiding place […] Not f</w:t>
      </w:r>
      <w:r w:rsidR="0017709B">
        <w:rPr>
          <w:i/>
          <w:lang w:val="en-GB"/>
        </w:rPr>
        <w:t>eeling safe, [I] fled Burundi</w:t>
      </w:r>
      <w:r w:rsidR="00761E5B" w:rsidRPr="007158E9">
        <w:rPr>
          <w:i/>
          <w:lang w:val="en-GB"/>
        </w:rPr>
        <w:t>”</w:t>
      </w:r>
      <w:r w:rsidR="0017709B">
        <w:rPr>
          <w:i/>
          <w:lang w:val="en-GB"/>
        </w:rPr>
        <w:t>.</w:t>
      </w:r>
      <w:r w:rsidRPr="007158E9">
        <w:rPr>
          <w:vertAlign w:val="superscript"/>
          <w:lang w:val="en-GB"/>
        </w:rPr>
        <w:footnoteReference w:id="490"/>
      </w:r>
    </w:p>
    <w:p w14:paraId="2F1751D9" w14:textId="51A314EF" w:rsidR="006B05D6" w:rsidRPr="00CE31E7" w:rsidRDefault="006B05D6" w:rsidP="001A5901">
      <w:pPr>
        <w:pStyle w:val="SingleTxtG"/>
        <w:numPr>
          <w:ilvl w:val="0"/>
          <w:numId w:val="27"/>
        </w:numPr>
        <w:ind w:left="1138" w:right="562" w:firstLine="0"/>
        <w:rPr>
          <w:bCs/>
          <w:lang w:val="en-GB"/>
        </w:rPr>
      </w:pPr>
      <w:r w:rsidRPr="007158E9">
        <w:rPr>
          <w:lang w:val="en-GB"/>
        </w:rPr>
        <w:t>All these restrictions to the freedom of movement have had the consequence of limiting the movements of Burundian citizens inside and outside their country.</w:t>
      </w:r>
    </w:p>
    <w:p w14:paraId="78670789" w14:textId="6F8C9DBA" w:rsidR="00CE31E7" w:rsidRPr="007158E9" w:rsidRDefault="00CE31E7" w:rsidP="00CE31E7">
      <w:pPr>
        <w:pStyle w:val="SingleTxtG"/>
        <w:ind w:left="1138" w:right="562"/>
        <w:rPr>
          <w:bCs/>
          <w:lang w:val="en-GB"/>
        </w:rPr>
      </w:pPr>
      <w:r>
        <w:rPr>
          <w:bCs/>
          <w:lang w:val="en-GB"/>
        </w:rPr>
        <w:t>[…]</w:t>
      </w:r>
    </w:p>
    <w:p w14:paraId="5BB3EC56" w14:textId="1705624F" w:rsidR="009C2349" w:rsidRDefault="009C2349" w:rsidP="001F3263">
      <w:pPr>
        <w:pStyle w:val="H1G"/>
        <w:numPr>
          <w:ilvl w:val="0"/>
          <w:numId w:val="40"/>
        </w:numPr>
      </w:pPr>
      <w:r w:rsidRPr="007158E9">
        <w:t xml:space="preserve">Violations of </w:t>
      </w:r>
      <w:r w:rsidRPr="00A212C5">
        <w:t xml:space="preserve">economic and social </w:t>
      </w:r>
      <w:r w:rsidRPr="007158E9">
        <w:t>rights</w:t>
      </w:r>
    </w:p>
    <w:p w14:paraId="44F0CA21" w14:textId="77777777" w:rsidR="00645FF1" w:rsidRPr="007158E9" w:rsidRDefault="00645FF1" w:rsidP="00645FF1">
      <w:pPr>
        <w:pStyle w:val="SingleTxtG"/>
        <w:ind w:left="1211" w:right="562"/>
        <w:rPr>
          <w:bCs/>
          <w:lang w:val="en-GB"/>
        </w:rPr>
      </w:pPr>
      <w:r>
        <w:rPr>
          <w:bCs/>
          <w:lang w:val="en-GB"/>
        </w:rPr>
        <w:t>[…]</w:t>
      </w:r>
    </w:p>
    <w:p w14:paraId="524D3E36" w14:textId="2531C82C" w:rsidR="006B05D6" w:rsidRPr="002B4CAB" w:rsidRDefault="006B05D6" w:rsidP="00752CB5">
      <w:pPr>
        <w:pStyle w:val="H23G"/>
        <w:numPr>
          <w:ilvl w:val="0"/>
          <w:numId w:val="42"/>
        </w:numPr>
        <w:ind w:right="1138"/>
        <w:rPr>
          <w:lang w:val="en-GB"/>
        </w:rPr>
      </w:pPr>
      <w:r w:rsidRPr="007158E9">
        <w:rPr>
          <w:lang w:val="en-GB"/>
        </w:rPr>
        <w:t>Political crisis and exacerbation of poverty</w:t>
      </w:r>
    </w:p>
    <w:p w14:paraId="785887F0" w14:textId="1A8CD73B" w:rsidR="006B05D6" w:rsidRPr="004B5796" w:rsidRDefault="006B05D6" w:rsidP="00164588">
      <w:pPr>
        <w:pStyle w:val="H4G"/>
        <w:numPr>
          <w:ilvl w:val="0"/>
          <w:numId w:val="38"/>
        </w:numPr>
        <w:tabs>
          <w:tab w:val="clear" w:pos="851"/>
          <w:tab w:val="right" w:pos="1170"/>
        </w:tabs>
        <w:ind w:right="1138"/>
        <w:rPr>
          <w:b/>
          <w:i w:val="0"/>
          <w:lang w:val="en-GB"/>
        </w:rPr>
      </w:pPr>
      <w:r w:rsidRPr="004B5796">
        <w:rPr>
          <w:b/>
          <w:i w:val="0"/>
          <w:lang w:val="en-GB"/>
        </w:rPr>
        <w:t>Increased “contributions”</w:t>
      </w:r>
    </w:p>
    <w:p w14:paraId="7763F8B9" w14:textId="77777777" w:rsidR="006B05D6" w:rsidRPr="00486D43" w:rsidRDefault="006B05D6" w:rsidP="006B05D6">
      <w:pPr>
        <w:pStyle w:val="SingleTxtG"/>
        <w:rPr>
          <w:bCs/>
          <w:lang w:val="en-GB"/>
        </w:rPr>
      </w:pPr>
      <w:r w:rsidRPr="00486D43">
        <w:rPr>
          <w:bCs/>
          <w:lang w:val="en-GB"/>
        </w:rPr>
        <w:t>630. The Commission has also noted and received numerous testimonies showing an increase in all kinds of “contributions” since the start of the political crisis in 2015. These donations add to the financial pressure to which Burundians are already subjected.</w:t>
      </w:r>
    </w:p>
    <w:p w14:paraId="5149B8D5" w14:textId="3C139D7F" w:rsidR="006B05D6" w:rsidRPr="00486D43" w:rsidRDefault="006B05D6" w:rsidP="006B05D6">
      <w:pPr>
        <w:pStyle w:val="SingleTxtG"/>
        <w:rPr>
          <w:bCs/>
          <w:i/>
          <w:lang w:val="en-GB"/>
        </w:rPr>
      </w:pPr>
      <w:r w:rsidRPr="00486D43">
        <w:rPr>
          <w:bCs/>
          <w:i/>
          <w:lang w:val="en-GB"/>
        </w:rPr>
        <w:tab/>
        <w:t>A longstanding practice</w:t>
      </w:r>
    </w:p>
    <w:p w14:paraId="1444A550" w14:textId="7568369A" w:rsidR="006B05D6" w:rsidRPr="00486D43" w:rsidRDefault="006B05D6" w:rsidP="006B05D6">
      <w:pPr>
        <w:pStyle w:val="SingleTxtG"/>
        <w:rPr>
          <w:bCs/>
          <w:lang w:val="en-GB"/>
        </w:rPr>
      </w:pPr>
      <w:r w:rsidRPr="00486D43">
        <w:rPr>
          <w:bCs/>
          <w:lang w:val="en-GB"/>
        </w:rPr>
        <w:t>631.</w:t>
      </w:r>
      <w:r w:rsidRPr="00486D43">
        <w:rPr>
          <w:bCs/>
          <w:i/>
          <w:lang w:val="en-GB"/>
        </w:rPr>
        <w:t xml:space="preserve"> </w:t>
      </w:r>
      <w:r w:rsidRPr="00486D43">
        <w:rPr>
          <w:bCs/>
          <w:lang w:val="en-GB"/>
        </w:rPr>
        <w:t>Analysts traced the origin of this practice at the time of the civil war when the CNDD-FDD rebellion imposed in-kind or financial contributions from the populations of the areas where the party was established</w:t>
      </w:r>
      <w:r w:rsidR="000A1F78">
        <w:rPr>
          <w:bCs/>
          <w:lang w:val="en-GB"/>
        </w:rPr>
        <w:t>.</w:t>
      </w:r>
      <w:r w:rsidRPr="00486D43">
        <w:rPr>
          <w:bCs/>
          <w:vertAlign w:val="superscript"/>
          <w:lang w:val="en-GB"/>
        </w:rPr>
        <w:footnoteReference w:id="491"/>
      </w:r>
      <w:r w:rsidRPr="00486D43">
        <w:rPr>
          <w:bCs/>
          <w:lang w:val="en-GB"/>
        </w:rPr>
        <w:t xml:space="preserve"> Several witnesses interviewed by the Commission confirmed that they had been required to make various contributions before 2015</w:t>
      </w:r>
      <w:r w:rsidR="000A1F78">
        <w:rPr>
          <w:bCs/>
          <w:lang w:val="en-GB"/>
        </w:rPr>
        <w:t>.</w:t>
      </w:r>
      <w:r w:rsidRPr="00486D43">
        <w:rPr>
          <w:bCs/>
          <w:vertAlign w:val="superscript"/>
          <w:lang w:val="en-GB"/>
        </w:rPr>
        <w:footnoteReference w:id="492"/>
      </w:r>
      <w:r w:rsidRPr="00486D43">
        <w:rPr>
          <w:bCs/>
          <w:lang w:val="en-GB"/>
        </w:rPr>
        <w:t xml:space="preserve"> Some dated this practice back to the 2000s</w:t>
      </w:r>
      <w:r w:rsidR="000A1F78">
        <w:rPr>
          <w:bCs/>
          <w:lang w:val="en-GB"/>
        </w:rPr>
        <w:t>.</w:t>
      </w:r>
      <w:r w:rsidRPr="00486D43">
        <w:rPr>
          <w:bCs/>
          <w:vertAlign w:val="superscript"/>
          <w:lang w:val="en-GB"/>
        </w:rPr>
        <w:footnoteReference w:id="493"/>
      </w:r>
      <w:r w:rsidRPr="00486D43">
        <w:rPr>
          <w:bCs/>
          <w:lang w:val="en-GB"/>
        </w:rPr>
        <w:t xml:space="preserve"> Others pointed out that the level of contributions has steadily increased since then</w:t>
      </w:r>
      <w:r w:rsidR="000A1F78">
        <w:rPr>
          <w:bCs/>
          <w:lang w:val="en-GB"/>
        </w:rPr>
        <w:t>.</w:t>
      </w:r>
      <w:r w:rsidRPr="00486D43">
        <w:rPr>
          <w:bCs/>
          <w:vertAlign w:val="superscript"/>
          <w:lang w:val="en-GB"/>
        </w:rPr>
        <w:footnoteReference w:id="494"/>
      </w:r>
    </w:p>
    <w:p w14:paraId="2886B10D" w14:textId="1DA6F46E" w:rsidR="006B05D6" w:rsidRPr="007158E9" w:rsidRDefault="006B05D6" w:rsidP="006B05D6">
      <w:pPr>
        <w:pStyle w:val="SingleTxtG"/>
        <w:rPr>
          <w:bCs/>
          <w:lang w:val="en-GB"/>
        </w:rPr>
      </w:pPr>
      <w:r w:rsidRPr="00486D43">
        <w:rPr>
          <w:bCs/>
          <w:lang w:val="en-GB"/>
        </w:rPr>
        <w:t>632.</w:t>
      </w:r>
      <w:r w:rsidRPr="00486D43">
        <w:rPr>
          <w:bCs/>
          <w:i/>
          <w:lang w:val="en-GB"/>
        </w:rPr>
        <w:t xml:space="preserve"> </w:t>
      </w:r>
      <w:r w:rsidRPr="00486D43">
        <w:rPr>
          <w:bCs/>
          <w:lang w:val="en-GB"/>
        </w:rPr>
        <w:t>To the knowledge of the Commission, the oldest form of contribution includes contributions towards local development</w:t>
      </w:r>
      <w:r w:rsidR="000A1F78">
        <w:rPr>
          <w:bCs/>
          <w:lang w:val="en-GB"/>
        </w:rPr>
        <w:t>.</w:t>
      </w:r>
      <w:r w:rsidRPr="00486D43">
        <w:rPr>
          <w:bCs/>
          <w:vertAlign w:val="superscript"/>
          <w:lang w:val="en-GB"/>
        </w:rPr>
        <w:footnoteReference w:id="495"/>
      </w:r>
      <w:r w:rsidRPr="00486D43">
        <w:rPr>
          <w:bCs/>
          <w:lang w:val="en-GB"/>
        </w:rPr>
        <w:t xml:space="preserve"> These can consist of community work in the public interest</w:t>
      </w:r>
      <w:r w:rsidRPr="00486D43">
        <w:rPr>
          <w:bCs/>
          <w:vertAlign w:val="superscript"/>
          <w:lang w:val="en-GB"/>
        </w:rPr>
        <w:footnoteReference w:id="496"/>
      </w:r>
      <w:r w:rsidRPr="00486D43">
        <w:rPr>
          <w:bCs/>
          <w:lang w:val="en-GB"/>
        </w:rPr>
        <w:t xml:space="preserve"> or financial contributions. In the latter case, the amount varies from one province to another, or even from</w:t>
      </w:r>
      <w:r w:rsidRPr="007158E9">
        <w:rPr>
          <w:lang w:val="en-GB"/>
        </w:rPr>
        <w:t xml:space="preserve"> one locality to another. Their purpose can be well defined. A witness who</w:t>
      </w:r>
      <w:r w:rsidR="000A1F78">
        <w:rPr>
          <w:lang w:val="en-GB"/>
        </w:rPr>
        <w:t>,</w:t>
      </w:r>
      <w:r w:rsidRPr="007158E9">
        <w:rPr>
          <w:bCs/>
          <w:vertAlign w:val="superscript"/>
          <w:lang w:val="en-GB"/>
        </w:rPr>
        <w:footnoteReference w:id="497"/>
      </w:r>
      <w:r w:rsidRPr="007158E9">
        <w:rPr>
          <w:lang w:val="en-GB"/>
        </w:rPr>
        <w:t xml:space="preserve"> among other things, had held political office at the local level mentioned </w:t>
      </w:r>
      <w:r w:rsidR="000A1F78">
        <w:rPr>
          <w:lang w:val="en-GB"/>
        </w:rPr>
        <w:t xml:space="preserve">the existence of </w:t>
      </w:r>
      <w:r w:rsidRPr="007158E9">
        <w:rPr>
          <w:lang w:val="en-GB"/>
        </w:rPr>
        <w:t>a 2008 voluntary community contribution for building secondary schools in his commune in order to accommodate children of former refugees. He also mentioned a similar initiative launched before the crisis started in 2015, aimed at building a university. These types of contribution continue to date</w:t>
      </w:r>
      <w:r w:rsidR="000A1F78">
        <w:rPr>
          <w:lang w:val="en-GB"/>
        </w:rPr>
        <w:t>.</w:t>
      </w:r>
      <w:r w:rsidRPr="007158E9">
        <w:rPr>
          <w:bCs/>
          <w:vertAlign w:val="superscript"/>
          <w:lang w:val="en-GB"/>
        </w:rPr>
        <w:footnoteReference w:id="498"/>
      </w:r>
      <w:r w:rsidRPr="007158E9">
        <w:rPr>
          <w:lang w:val="en-GB"/>
        </w:rPr>
        <w:t xml:space="preserve"> However, most of witnesses interviewed by the Commission expressed doubts about their actual destination. A former trader reported that Imbonerakure in the area where he operated used to collect 50,000 Burundian (28.5 US dollars) per month towards “</w:t>
      </w:r>
      <w:r w:rsidR="009A5841">
        <w:rPr>
          <w:lang w:val="en-GB"/>
        </w:rPr>
        <w:t>the development of the province”</w:t>
      </w:r>
      <w:r w:rsidRPr="007158E9">
        <w:rPr>
          <w:lang w:val="en-GB"/>
        </w:rPr>
        <w:t>. However, as he pointed out:</w:t>
      </w:r>
    </w:p>
    <w:p w14:paraId="52430209" w14:textId="63EA5D1E" w:rsidR="006B05D6" w:rsidRPr="007158E9" w:rsidRDefault="006B05D6" w:rsidP="000A1F78">
      <w:pPr>
        <w:pStyle w:val="SingleTxtG"/>
        <w:ind w:left="1701"/>
        <w:rPr>
          <w:bCs/>
          <w:i/>
          <w:lang w:val="en-GB"/>
        </w:rPr>
      </w:pPr>
      <w:r w:rsidRPr="007158E9">
        <w:rPr>
          <w:i/>
          <w:lang w:val="en-GB"/>
        </w:rPr>
        <w:t>“It is a well-known fact that the money [</w:t>
      </w:r>
      <w:r w:rsidR="000A1F78">
        <w:rPr>
          <w:i/>
          <w:lang w:val="en-GB"/>
        </w:rPr>
        <w:t xml:space="preserve">of these </w:t>
      </w:r>
      <w:r w:rsidRPr="007158E9">
        <w:rPr>
          <w:i/>
          <w:lang w:val="en-GB"/>
        </w:rPr>
        <w:t>contributions] was shared between them. I know this because Imbonerakure themselves bragged, saying, ‘This money you give us is our wages; you pay our wages.’ I overheard them saying this to another customer while they were having a beer at the bar I owned who had said to them: ‘We note that taxes continue to increase’.”</w:t>
      </w:r>
      <w:r w:rsidR="000A1F78" w:rsidRPr="000A1F78">
        <w:rPr>
          <w:bCs/>
          <w:vertAlign w:val="superscript"/>
          <w:lang w:val="en-GB"/>
        </w:rPr>
        <w:t xml:space="preserve"> </w:t>
      </w:r>
      <w:r w:rsidR="000A1F78" w:rsidRPr="007158E9">
        <w:rPr>
          <w:bCs/>
          <w:vertAlign w:val="superscript"/>
          <w:lang w:val="en-GB"/>
        </w:rPr>
        <w:footnoteReference w:id="499"/>
      </w:r>
    </w:p>
    <w:p w14:paraId="6FB1E397" w14:textId="3BE4F969" w:rsidR="006B05D6" w:rsidRPr="007158E9" w:rsidRDefault="006B05D6" w:rsidP="006B05D6">
      <w:pPr>
        <w:pStyle w:val="SingleTxtG"/>
        <w:rPr>
          <w:bCs/>
          <w:lang w:val="en-GB"/>
        </w:rPr>
      </w:pPr>
      <w:r w:rsidRPr="004916CA">
        <w:rPr>
          <w:bCs/>
          <w:lang w:val="en-GB"/>
        </w:rPr>
        <w:t>633.</w:t>
      </w:r>
      <w:r w:rsidRPr="004916CA">
        <w:rPr>
          <w:bCs/>
          <w:i/>
          <w:lang w:val="en-GB"/>
        </w:rPr>
        <w:t xml:space="preserve"> </w:t>
      </w:r>
      <w:r w:rsidRPr="004916CA">
        <w:rPr>
          <w:bCs/>
          <w:lang w:val="en-GB"/>
        </w:rPr>
        <w:t>The same witness also mentioned that, faced with continued financial pressure, he had teamed up with other traders to complain to local authorities. They then had a meeting with the municipal assistant administrator who ordered them to pay on the grounds that Imbonerakure were ensuring “security of goods and commodities in the commune”. This interview highlights the fact that development contributions that were originally “voluntary” have become mandatory overtime and have therefore taken the form of taxes. This trend was confirmed by the majority of those interviewed by the Commission</w:t>
      </w:r>
      <w:r w:rsidR="00372802">
        <w:rPr>
          <w:bCs/>
          <w:lang w:val="en-GB"/>
        </w:rPr>
        <w:t>.</w:t>
      </w:r>
      <w:r w:rsidRPr="004916CA">
        <w:rPr>
          <w:bCs/>
          <w:vertAlign w:val="superscript"/>
          <w:lang w:val="en-GB"/>
        </w:rPr>
        <w:footnoteReference w:id="500"/>
      </w:r>
      <w:r w:rsidRPr="004916CA">
        <w:rPr>
          <w:bCs/>
          <w:lang w:val="en-GB"/>
        </w:rPr>
        <w:t xml:space="preserve"> Yet, the principle of tax legality is guaranteed</w:t>
      </w:r>
      <w:r w:rsidRPr="004916CA" w:rsidDel="00B050C9">
        <w:rPr>
          <w:bCs/>
          <w:lang w:val="en-GB"/>
        </w:rPr>
        <w:t xml:space="preserve"> </w:t>
      </w:r>
      <w:r w:rsidR="00372802">
        <w:rPr>
          <w:bCs/>
          <w:lang w:val="en-GB"/>
        </w:rPr>
        <w:t>by the Constitution and law n</w:t>
      </w:r>
      <w:r w:rsidRPr="004916CA">
        <w:rPr>
          <w:bCs/>
          <w:lang w:val="en-GB"/>
        </w:rPr>
        <w:t xml:space="preserve">° 1/35 of </w:t>
      </w:r>
      <w:r w:rsidR="00372802">
        <w:rPr>
          <w:bCs/>
          <w:lang w:val="en-GB"/>
        </w:rPr>
        <w:t xml:space="preserve">4 </w:t>
      </w:r>
      <w:r w:rsidRPr="004916CA">
        <w:rPr>
          <w:bCs/>
          <w:lang w:val="en-GB"/>
        </w:rPr>
        <w:t>December 2008 on public finances</w:t>
      </w:r>
      <w:r w:rsidR="00372802">
        <w:rPr>
          <w:bCs/>
          <w:lang w:val="en-GB"/>
        </w:rPr>
        <w:t>.</w:t>
      </w:r>
      <w:r w:rsidRPr="004916CA">
        <w:rPr>
          <w:bCs/>
          <w:vertAlign w:val="superscript"/>
          <w:lang w:val="en-GB"/>
        </w:rPr>
        <w:footnoteReference w:id="501"/>
      </w:r>
      <w:r w:rsidRPr="004916CA">
        <w:rPr>
          <w:bCs/>
          <w:lang w:val="en-GB"/>
        </w:rPr>
        <w:t xml:space="preserve"> Development contributions that have no legal basis though meeting tax criteria</w:t>
      </w:r>
      <w:r w:rsidRPr="004916CA">
        <w:rPr>
          <w:bCs/>
          <w:vertAlign w:val="superscript"/>
          <w:lang w:val="en-GB"/>
        </w:rPr>
        <w:footnoteReference w:id="502"/>
      </w:r>
      <w:r w:rsidRPr="004916CA">
        <w:rPr>
          <w:bCs/>
          <w:lang w:val="en-GB"/>
        </w:rPr>
        <w:t xml:space="preserve"> are therefore unconstitutional</w:t>
      </w:r>
      <w:r w:rsidRPr="007158E9">
        <w:rPr>
          <w:lang w:val="en-GB"/>
        </w:rPr>
        <w:t>. The vagueness of their purpose further promotes a form of arbitrariness, as shown in the above testimony.</w:t>
      </w:r>
    </w:p>
    <w:p w14:paraId="16750D45" w14:textId="77777777" w:rsidR="006B05D6" w:rsidRPr="007158E9" w:rsidRDefault="006B05D6" w:rsidP="006B05D6">
      <w:pPr>
        <w:pStyle w:val="SingleTxtG"/>
        <w:rPr>
          <w:bCs/>
          <w:lang w:val="en-GB"/>
        </w:rPr>
      </w:pPr>
      <w:r w:rsidRPr="007158E9">
        <w:rPr>
          <w:i/>
          <w:lang w:val="en-GB"/>
        </w:rPr>
        <w:t>An increase in contributions of all kinds and with no legal basis</w:t>
      </w:r>
    </w:p>
    <w:p w14:paraId="238ADBD2" w14:textId="1C0839BC" w:rsidR="006B05D6" w:rsidRPr="004916CA" w:rsidRDefault="006B05D6" w:rsidP="006B05D6">
      <w:pPr>
        <w:pStyle w:val="SingleTxtG"/>
        <w:rPr>
          <w:bCs/>
          <w:lang w:val="en-GB"/>
        </w:rPr>
      </w:pPr>
      <w:r w:rsidRPr="004916CA">
        <w:rPr>
          <w:bCs/>
          <w:lang w:val="en-GB"/>
        </w:rPr>
        <w:t>634. The Commission has thus documented a multiplication of contributions without legal basis throughout Burundi</w:t>
      </w:r>
      <w:r w:rsidR="00372802">
        <w:rPr>
          <w:bCs/>
          <w:lang w:val="en-GB"/>
        </w:rPr>
        <w:t>.</w:t>
      </w:r>
      <w:r w:rsidRPr="004916CA">
        <w:rPr>
          <w:bCs/>
          <w:vertAlign w:val="superscript"/>
          <w:lang w:val="fr-FR"/>
        </w:rPr>
        <w:footnoteReference w:id="503"/>
      </w:r>
      <w:r w:rsidRPr="004916CA">
        <w:rPr>
          <w:bCs/>
          <w:lang w:val="en-GB"/>
        </w:rPr>
        <w:t xml:space="preserve"> For example, contributions to cover events and activities decided by the President of the Republic</w:t>
      </w:r>
      <w:r w:rsidRPr="004916CA">
        <w:rPr>
          <w:bCs/>
          <w:vertAlign w:val="superscript"/>
          <w:lang w:val="en-GB"/>
        </w:rPr>
        <w:footnoteReference w:id="504"/>
      </w:r>
      <w:r w:rsidRPr="004916CA">
        <w:rPr>
          <w:bCs/>
          <w:lang w:val="en-GB"/>
        </w:rPr>
        <w:t xml:space="preserve"> or contributions linked to cattle ownership</w:t>
      </w:r>
      <w:r w:rsidRPr="004916CA">
        <w:rPr>
          <w:bCs/>
          <w:vertAlign w:val="superscript"/>
          <w:lang w:val="en-GB"/>
        </w:rPr>
        <w:footnoteReference w:id="505"/>
      </w:r>
      <w:r w:rsidRPr="004916CA">
        <w:rPr>
          <w:bCs/>
          <w:lang w:val="en-GB"/>
        </w:rPr>
        <w:t>. Some contributions give rise to practices contrary to public freedoms, such as those that are requested from traders under penalty of closure of their stores or dismissal from the market</w:t>
      </w:r>
      <w:r w:rsidR="00372802">
        <w:rPr>
          <w:bCs/>
          <w:lang w:val="en-GB"/>
        </w:rPr>
        <w:t>.</w:t>
      </w:r>
      <w:r w:rsidRPr="004916CA">
        <w:rPr>
          <w:bCs/>
          <w:vertAlign w:val="superscript"/>
          <w:lang w:val="en-GB"/>
        </w:rPr>
        <w:footnoteReference w:id="506"/>
      </w:r>
      <w:r w:rsidRPr="004916CA">
        <w:rPr>
          <w:bCs/>
          <w:lang w:val="en-GB"/>
        </w:rPr>
        <w:t xml:space="preserve"> A former vendor testified:</w:t>
      </w:r>
    </w:p>
    <w:p w14:paraId="211FD345" w14:textId="59001533" w:rsidR="006B05D6" w:rsidRPr="007158E9" w:rsidRDefault="006B05D6" w:rsidP="00372802">
      <w:pPr>
        <w:pStyle w:val="SingleTxtG"/>
        <w:ind w:left="1701"/>
        <w:rPr>
          <w:bCs/>
          <w:lang w:val="en-GB"/>
        </w:rPr>
      </w:pPr>
      <w:r w:rsidRPr="004916CA">
        <w:rPr>
          <w:bCs/>
          <w:lang w:val="en-GB"/>
        </w:rPr>
        <w:t>“</w:t>
      </w:r>
      <w:r w:rsidRPr="004916CA">
        <w:rPr>
          <w:bCs/>
          <w:i/>
          <w:lang w:val="en-GB"/>
        </w:rPr>
        <w:t>As soon as we arrived at the big market and when everyone had exhibited their goods, Imbonerakure</w:t>
      </w:r>
      <w:r w:rsidRPr="007158E9">
        <w:rPr>
          <w:i/>
          <w:lang w:val="en-GB"/>
        </w:rPr>
        <w:t xml:space="preserve"> [accompanied by the </w:t>
      </w:r>
      <w:r w:rsidRPr="00372802">
        <w:rPr>
          <w:lang w:val="en-GB"/>
        </w:rPr>
        <w:t>chef de colline</w:t>
      </w:r>
      <w:r w:rsidRPr="007158E9">
        <w:rPr>
          <w:i/>
          <w:lang w:val="en-GB"/>
        </w:rPr>
        <w:t>] arrived and asked us to pay 500 Burundian francs [0.29 US dollar] […] We had to pay this sum each time you went to the market, that is to say if you were going to sell your goods every day, you had to pay every day. I went there on Wednesdays and Sundays and I had to pay the 500 Burundian francs each time. Some days, I went to the small market and there I had to pay 300 Burundian francs [0.17 US dollar] [...] The contribution was compulsory because if you did not pay you were chased from the market.</w:t>
      </w:r>
      <w:r w:rsidR="00372802">
        <w:rPr>
          <w:i/>
          <w:lang w:val="en-GB"/>
        </w:rPr>
        <w:t>”</w:t>
      </w:r>
      <w:r w:rsidRPr="007158E9">
        <w:rPr>
          <w:bCs/>
          <w:vertAlign w:val="superscript"/>
          <w:lang w:val="en-GB"/>
        </w:rPr>
        <w:footnoteReference w:id="507"/>
      </w:r>
    </w:p>
    <w:p w14:paraId="5CF8B895" w14:textId="1EEADB5D" w:rsidR="006B05D6" w:rsidRPr="004916CA" w:rsidRDefault="006B05D6" w:rsidP="006B05D6">
      <w:pPr>
        <w:pStyle w:val="SingleTxtG"/>
        <w:rPr>
          <w:bCs/>
          <w:lang w:val="en-GB"/>
        </w:rPr>
      </w:pPr>
      <w:r w:rsidRPr="004916CA">
        <w:rPr>
          <w:bCs/>
          <w:lang w:val="en-GB"/>
        </w:rPr>
        <w:t xml:space="preserve">635. </w:t>
      </w:r>
      <w:r w:rsidRPr="004916CA">
        <w:rPr>
          <w:bCs/>
          <w:lang w:val="en"/>
        </w:rPr>
        <w:t>The Commission has also gathered numerous testimonies</w:t>
      </w:r>
      <w:r w:rsidRPr="004916CA">
        <w:rPr>
          <w:bCs/>
          <w:vertAlign w:val="superscript"/>
          <w:lang w:val="fr-FR"/>
        </w:rPr>
        <w:footnoteReference w:id="508"/>
      </w:r>
      <w:r w:rsidRPr="004916CA">
        <w:rPr>
          <w:bCs/>
          <w:lang w:val="en"/>
        </w:rPr>
        <w:t xml:space="preserve"> on contributions forcibly taken to finance CNDD-FDD activities – internal meetings, public gatherings, headquarters, the arrival of a senior official, etc. – and this while the contributor was not necessarily a member of the ruling part</w:t>
      </w:r>
      <w:r w:rsidR="00372802">
        <w:rPr>
          <w:bCs/>
          <w:lang w:val="en"/>
        </w:rPr>
        <w:t>y. One witness even testified that</w:t>
      </w:r>
      <w:r w:rsidRPr="004916CA">
        <w:rPr>
          <w:bCs/>
          <w:lang w:val="en"/>
        </w:rPr>
        <w:t xml:space="preserve"> a portion of the salaries of civil servants </w:t>
      </w:r>
      <w:r w:rsidR="00372802">
        <w:rPr>
          <w:bCs/>
          <w:lang w:val="en"/>
        </w:rPr>
        <w:t xml:space="preserve">was </w:t>
      </w:r>
      <w:r w:rsidRPr="004916CA">
        <w:rPr>
          <w:bCs/>
          <w:lang w:val="en"/>
        </w:rPr>
        <w:t>withdrawn from the base salary in order to contribute to the functioning of CNDD-FDD</w:t>
      </w:r>
      <w:r w:rsidR="00372802">
        <w:rPr>
          <w:bCs/>
          <w:lang w:val="en"/>
        </w:rPr>
        <w:t>.</w:t>
      </w:r>
      <w:r w:rsidRPr="004916CA">
        <w:rPr>
          <w:bCs/>
          <w:vertAlign w:val="superscript"/>
          <w:lang w:val="fr-FR"/>
        </w:rPr>
        <w:footnoteReference w:id="509"/>
      </w:r>
      <w:r w:rsidRPr="004916CA">
        <w:rPr>
          <w:bCs/>
          <w:lang w:val="en"/>
        </w:rPr>
        <w:t xml:space="preserve"> This trend illustrates the confusion that exists today in Burund</w:t>
      </w:r>
      <w:r w:rsidR="00372802">
        <w:rPr>
          <w:bCs/>
          <w:lang w:val="en"/>
        </w:rPr>
        <w:t>i between the resources of the S</w:t>
      </w:r>
      <w:r w:rsidRPr="004916CA">
        <w:rPr>
          <w:bCs/>
          <w:lang w:val="en"/>
        </w:rPr>
        <w:t>tate and those of the ruling party. State agents at the local level, such as neighborhood and colline leaders or even SNR officials, may thus be found collecting contributions on behalf of CNDD-FDD</w:t>
      </w:r>
      <w:r w:rsidRPr="004916CA">
        <w:rPr>
          <w:bCs/>
          <w:vertAlign w:val="superscript"/>
          <w:lang w:val="fr-FR"/>
        </w:rPr>
        <w:footnoteReference w:id="510"/>
      </w:r>
      <w:r w:rsidRPr="004916CA">
        <w:rPr>
          <w:bCs/>
          <w:lang w:val="en"/>
        </w:rPr>
        <w:t xml:space="preserve"> and, conversely, as we have seen, Imbonerakure collecting contributions for local development or other forms of levy allegedly for the good of the community</w:t>
      </w:r>
      <w:r w:rsidR="00372802">
        <w:rPr>
          <w:bCs/>
          <w:lang w:val="en"/>
        </w:rPr>
        <w:t>.</w:t>
      </w:r>
      <w:r w:rsidRPr="004916CA">
        <w:rPr>
          <w:bCs/>
          <w:vertAlign w:val="superscript"/>
          <w:lang w:val="fr-FR"/>
        </w:rPr>
        <w:footnoteReference w:id="511"/>
      </w:r>
    </w:p>
    <w:p w14:paraId="4CCE2703" w14:textId="66D00DFD" w:rsidR="006B05D6" w:rsidRPr="004916CA" w:rsidRDefault="006B05D6" w:rsidP="006B05D6">
      <w:pPr>
        <w:pStyle w:val="SingleTxtG"/>
        <w:rPr>
          <w:bCs/>
          <w:lang w:val="en-GB"/>
        </w:rPr>
      </w:pPr>
      <w:r w:rsidRPr="004916CA">
        <w:rPr>
          <w:bCs/>
          <w:lang w:val="en-GB"/>
        </w:rPr>
        <w:t xml:space="preserve">636. </w:t>
      </w:r>
      <w:r w:rsidRPr="004916CA">
        <w:rPr>
          <w:bCs/>
          <w:lang w:val="en"/>
        </w:rPr>
        <w:t>Generally speak</w:t>
      </w:r>
      <w:r w:rsidR="00372802">
        <w:rPr>
          <w:bCs/>
          <w:lang w:val="en"/>
        </w:rPr>
        <w:t>ing, Imbonerakure operate with S</w:t>
      </w:r>
      <w:r w:rsidRPr="004916CA">
        <w:rPr>
          <w:bCs/>
          <w:lang w:val="en"/>
        </w:rPr>
        <w:t>tate power’s complicity, whether express or implied. They are sometimes used as auxiliaries in order to put pressure on people who do not want or cannot pay</w:t>
      </w:r>
      <w:r w:rsidR="00372802">
        <w:rPr>
          <w:bCs/>
          <w:lang w:val="en"/>
        </w:rPr>
        <w:t>.</w:t>
      </w:r>
      <w:r w:rsidRPr="004916CA">
        <w:rPr>
          <w:bCs/>
          <w:vertAlign w:val="superscript"/>
          <w:lang w:val="fr-FR"/>
        </w:rPr>
        <w:footnoteReference w:id="512"/>
      </w:r>
      <w:r w:rsidRPr="004916CA">
        <w:rPr>
          <w:bCs/>
          <w:lang w:val="en"/>
        </w:rPr>
        <w:t xml:space="preserve"> In other cases, they collect the contributions</w:t>
      </w:r>
      <w:r w:rsidR="00372802">
        <w:rPr>
          <w:bCs/>
          <w:lang w:val="en"/>
        </w:rPr>
        <w:t xml:space="preserve"> themselves in the presence of S</w:t>
      </w:r>
      <w:r w:rsidRPr="004916CA">
        <w:rPr>
          <w:bCs/>
          <w:lang w:val="en"/>
        </w:rPr>
        <w:t>tate agents or with impunity, without being worried by them</w:t>
      </w:r>
      <w:r w:rsidR="00372802">
        <w:rPr>
          <w:bCs/>
          <w:lang w:val="en"/>
        </w:rPr>
        <w:t>.</w:t>
      </w:r>
      <w:r w:rsidRPr="004916CA">
        <w:rPr>
          <w:bCs/>
          <w:vertAlign w:val="superscript"/>
          <w:lang w:val="fr-FR"/>
        </w:rPr>
        <w:footnoteReference w:id="513"/>
      </w:r>
      <w:r w:rsidRPr="004916CA">
        <w:rPr>
          <w:bCs/>
          <w:lang w:val="en"/>
        </w:rPr>
        <w:t xml:space="preserve"> Several testimonies collected by the Commission also mention receipts issued by Imbonerakure once they have collected contributions</w:t>
      </w:r>
      <w:r w:rsidR="00372802">
        <w:rPr>
          <w:bCs/>
          <w:lang w:val="en"/>
        </w:rPr>
        <w:t>.</w:t>
      </w:r>
      <w:r w:rsidRPr="004916CA">
        <w:rPr>
          <w:bCs/>
          <w:vertAlign w:val="superscript"/>
          <w:lang w:val="fr-FR"/>
        </w:rPr>
        <w:footnoteReference w:id="514"/>
      </w:r>
      <w:r w:rsidRPr="004916CA">
        <w:rPr>
          <w:bCs/>
          <w:lang w:val="en"/>
        </w:rPr>
        <w:t xml:space="preserve"> The issuance of official receipts by Imbonerakure or by public authorities</w:t>
      </w:r>
      <w:r w:rsidRPr="004916CA">
        <w:rPr>
          <w:bCs/>
          <w:vertAlign w:val="superscript"/>
          <w:lang w:val="fr-FR"/>
        </w:rPr>
        <w:footnoteReference w:id="515"/>
      </w:r>
      <w:r w:rsidR="00372802">
        <w:rPr>
          <w:bCs/>
          <w:lang w:val="en"/>
        </w:rPr>
        <w:t xml:space="preserve"> reinforces the idea of </w:t>
      </w:r>
      <w:r w:rsidRPr="004916CA">
        <w:rPr>
          <w:bCs/>
          <w:lang w:val="en"/>
        </w:rPr>
        <w:t>a practice authorized or tolerated by the State although it is not based on any legislative text.</w:t>
      </w:r>
    </w:p>
    <w:p w14:paraId="1BBB73BC" w14:textId="77777777" w:rsidR="006B05D6" w:rsidRPr="004916CA" w:rsidRDefault="006B05D6" w:rsidP="006B05D6">
      <w:pPr>
        <w:pStyle w:val="SingleTxtG"/>
        <w:rPr>
          <w:bCs/>
          <w:i/>
          <w:lang w:val="en-GB"/>
        </w:rPr>
      </w:pPr>
      <w:r w:rsidRPr="004916CA">
        <w:rPr>
          <w:bCs/>
          <w:i/>
          <w:lang w:val="en-GB"/>
        </w:rPr>
        <w:tab/>
        <w:t xml:space="preserve">Contributions for the 2020 elections </w:t>
      </w:r>
    </w:p>
    <w:p w14:paraId="0153BE61" w14:textId="2092EF79" w:rsidR="006B05D6" w:rsidRPr="004916CA" w:rsidRDefault="006B05D6" w:rsidP="006B05D6">
      <w:pPr>
        <w:pStyle w:val="SingleTxtG"/>
        <w:rPr>
          <w:bCs/>
          <w:lang w:val="en-GB"/>
        </w:rPr>
      </w:pPr>
      <w:r w:rsidRPr="004916CA">
        <w:rPr>
          <w:bCs/>
          <w:lang w:val="en-GB"/>
        </w:rPr>
        <w:t xml:space="preserve">637. In addition to these various contributions, most of which existed prior to 2015, a new levy has been in effect since last year. On 11 December 2017, the Minister of </w:t>
      </w:r>
      <w:r w:rsidR="00EE3143">
        <w:rPr>
          <w:bCs/>
          <w:lang w:val="en-GB"/>
        </w:rPr>
        <w:t>Interior</w:t>
      </w:r>
      <w:r w:rsidRPr="004916CA">
        <w:rPr>
          <w:bCs/>
          <w:lang w:val="en-GB"/>
        </w:rPr>
        <w:t xml:space="preserve"> and Patriotic Education and the Minister of Finance, Budget and Privatisation jointly promulgated </w:t>
      </w:r>
      <w:r w:rsidR="00691A23">
        <w:rPr>
          <w:bCs/>
          <w:lang w:val="en-GB"/>
        </w:rPr>
        <w:t>o</w:t>
      </w:r>
      <w:r w:rsidRPr="004916CA">
        <w:rPr>
          <w:bCs/>
          <w:lang w:val="en-GB"/>
        </w:rPr>
        <w:t>rdinance n° 530/540/1772</w:t>
      </w:r>
      <w:r w:rsidRPr="004916CA">
        <w:rPr>
          <w:bCs/>
          <w:vertAlign w:val="superscript"/>
          <w:lang w:val="en-GB"/>
        </w:rPr>
        <w:footnoteReference w:id="516"/>
      </w:r>
      <w:r w:rsidRPr="004916CA">
        <w:rPr>
          <w:bCs/>
          <w:lang w:val="en-GB"/>
        </w:rPr>
        <w:t xml:space="preserve"> that sets monetary goals for contributions needed for the organisation of presidential, legislative and municipal elections scheduled in 2020</w:t>
      </w:r>
      <w:r w:rsidR="00EE3143">
        <w:rPr>
          <w:bCs/>
          <w:lang w:val="en-GB"/>
        </w:rPr>
        <w:t>.</w:t>
      </w:r>
      <w:r w:rsidRPr="004916CA">
        <w:rPr>
          <w:bCs/>
          <w:vertAlign w:val="superscript"/>
          <w:lang w:val="en-GB"/>
        </w:rPr>
        <w:footnoteReference w:id="517"/>
      </w:r>
      <w:r w:rsidRPr="004916CA">
        <w:rPr>
          <w:bCs/>
          <w:lang w:val="en-GB"/>
        </w:rPr>
        <w:t xml:space="preserve"> Whether this new contribution is legal remains contentious. An expert interviewed by the Commission</w:t>
      </w:r>
      <w:r w:rsidRPr="004916CA">
        <w:rPr>
          <w:bCs/>
          <w:vertAlign w:val="superscript"/>
          <w:lang w:val="en-GB"/>
        </w:rPr>
        <w:footnoteReference w:id="518"/>
      </w:r>
      <w:r w:rsidRPr="004916CA">
        <w:rPr>
          <w:bCs/>
          <w:lang w:val="en-GB"/>
        </w:rPr>
        <w:t xml:space="preserve"> concluded for instance that it is in contradiction with two articles of the</w:t>
      </w:r>
      <w:r w:rsidR="00EE3143">
        <w:rPr>
          <w:bCs/>
          <w:lang w:val="en-GB"/>
        </w:rPr>
        <w:t xml:space="preserve"> Burundian Constitution, namely: </w:t>
      </w:r>
      <w:r w:rsidRPr="004916CA">
        <w:rPr>
          <w:bCs/>
          <w:lang w:val="en-GB"/>
        </w:rPr>
        <w:t>article 70-4 that provides for citizens’ exceptional contribution only in the event of “natural and national calamities”</w:t>
      </w:r>
      <w:r w:rsidR="00EE3143">
        <w:rPr>
          <w:bCs/>
          <w:lang w:val="en-GB"/>
        </w:rPr>
        <w:t>;</w:t>
      </w:r>
      <w:r w:rsidRPr="004916CA">
        <w:rPr>
          <w:bCs/>
          <w:lang w:val="en-GB"/>
        </w:rPr>
        <w:t xml:space="preserve"> and article 159-5 which provides the “definition of the fiscal base and the rate of taxes and duties” as “a matter of law” and should consequently not be decided by way of</w:t>
      </w:r>
      <w:r w:rsidR="00EE3143">
        <w:rPr>
          <w:bCs/>
          <w:lang w:val="en-GB"/>
        </w:rPr>
        <w:t xml:space="preserve"> executive order. Article 3 of law</w:t>
      </w:r>
      <w:r w:rsidRPr="004916CA">
        <w:rPr>
          <w:bCs/>
          <w:lang w:val="en-GB"/>
        </w:rPr>
        <w:t xml:space="preserve"> n° 1/35 of 4 December 2008 relating to public finances also provides that “the base taxation, rate and methods of collecting taxes of any kind may only be created, cancelled or modified by way of a finance act”.</w:t>
      </w:r>
    </w:p>
    <w:p w14:paraId="04BB42DE" w14:textId="01CDCCC3" w:rsidR="006B05D6" w:rsidRPr="007158E9" w:rsidRDefault="006B05D6" w:rsidP="006B05D6">
      <w:pPr>
        <w:pStyle w:val="SingleTxtG"/>
        <w:rPr>
          <w:bCs/>
          <w:lang w:val="en-GB"/>
        </w:rPr>
      </w:pPr>
      <w:r w:rsidRPr="004916CA">
        <w:rPr>
          <w:bCs/>
          <w:lang w:val="en-GB"/>
        </w:rPr>
        <w:t>638. In addition to the contribution introduced</w:t>
      </w:r>
      <w:r w:rsidRPr="007158E9">
        <w:rPr>
          <w:lang w:val="en-GB"/>
        </w:rPr>
        <w:t xml:space="preserve"> by ordinance </w:t>
      </w:r>
      <w:r w:rsidRPr="007158E9">
        <w:rPr>
          <w:bCs/>
          <w:lang w:val="en-GB"/>
        </w:rPr>
        <w:t xml:space="preserve">n° </w:t>
      </w:r>
      <w:r w:rsidRPr="007158E9">
        <w:rPr>
          <w:lang w:val="en-GB"/>
        </w:rPr>
        <w:t xml:space="preserve">530/540/1772, there is a budgetary provision known as “provision for the 2020 </w:t>
      </w:r>
      <w:r w:rsidR="00EE3143">
        <w:rPr>
          <w:lang w:val="en-GB"/>
        </w:rPr>
        <w:t>elections” from the 2017 financial law</w:t>
      </w:r>
      <w:r w:rsidRPr="007158E9">
        <w:rPr>
          <w:lang w:val="en-GB"/>
        </w:rPr>
        <w:t>, which Burundi’s National Court of Auditors had at the time considered consistent with “the progressive search for the country’s financial independence in order to safeguard national sovereignty”</w:t>
      </w:r>
      <w:r w:rsidR="00EE3143">
        <w:rPr>
          <w:lang w:val="en-GB"/>
        </w:rPr>
        <w:t>.</w:t>
      </w:r>
      <w:r w:rsidRPr="007158E9">
        <w:rPr>
          <w:bCs/>
          <w:vertAlign w:val="superscript"/>
          <w:lang w:val="en-GB"/>
        </w:rPr>
        <w:footnoteReference w:id="519"/>
      </w:r>
      <w:r w:rsidRPr="007158E9">
        <w:rPr>
          <w:lang w:val="en-GB"/>
        </w:rPr>
        <w:t xml:space="preserve"> This provision, which amounted to 6.2 billion Burundian francs (3.5 million</w:t>
      </w:r>
      <w:r w:rsidR="00EE3143">
        <w:rPr>
          <w:lang w:val="en-GB"/>
        </w:rPr>
        <w:t xml:space="preserve"> US dollars</w:t>
      </w:r>
      <w:r w:rsidRPr="007158E9">
        <w:rPr>
          <w:lang w:val="en-GB"/>
        </w:rPr>
        <w:t>) in 2017, doubled and reached 12.5 billion Burundian francs (7.1 million</w:t>
      </w:r>
      <w:r w:rsidR="00EE3143">
        <w:rPr>
          <w:lang w:val="en-GB"/>
        </w:rPr>
        <w:t xml:space="preserve"> US dollars</w:t>
      </w:r>
      <w:r w:rsidRPr="007158E9">
        <w:rPr>
          <w:lang w:val="en-GB"/>
        </w:rPr>
        <w:t>) in 2018</w:t>
      </w:r>
      <w:r w:rsidR="00EE3143">
        <w:rPr>
          <w:lang w:val="en-GB"/>
        </w:rPr>
        <w:t>.</w:t>
      </w:r>
      <w:r w:rsidRPr="007158E9">
        <w:rPr>
          <w:bCs/>
          <w:vertAlign w:val="superscript"/>
          <w:lang w:val="en-GB"/>
        </w:rPr>
        <w:footnoteReference w:id="520"/>
      </w:r>
      <w:r w:rsidRPr="007158E9">
        <w:rPr>
          <w:lang w:val="en-GB"/>
        </w:rPr>
        <w:t xml:space="preserve"> It reached 33.2 billion Burundian francs (18.8 million</w:t>
      </w:r>
      <w:r w:rsidR="00EE3143">
        <w:rPr>
          <w:lang w:val="en-GB"/>
        </w:rPr>
        <w:t xml:space="preserve"> US dollars</w:t>
      </w:r>
      <w:r w:rsidRPr="007158E9">
        <w:rPr>
          <w:lang w:val="en-GB"/>
        </w:rPr>
        <w:t xml:space="preserve">) in the latest </w:t>
      </w:r>
      <w:r w:rsidR="00EE3143">
        <w:rPr>
          <w:lang w:val="en-GB"/>
        </w:rPr>
        <w:t>financial law</w:t>
      </w:r>
      <w:r w:rsidRPr="007158E9">
        <w:rPr>
          <w:lang w:val="en-GB"/>
        </w:rPr>
        <w:t xml:space="preserve"> covering the period of 2018-2019</w:t>
      </w:r>
      <w:r w:rsidR="00EE3143">
        <w:rPr>
          <w:lang w:val="en-GB"/>
        </w:rPr>
        <w:t>.</w:t>
      </w:r>
      <w:r w:rsidRPr="007158E9">
        <w:rPr>
          <w:bCs/>
          <w:vertAlign w:val="superscript"/>
          <w:lang w:val="en-GB"/>
        </w:rPr>
        <w:footnoteReference w:id="521"/>
      </w:r>
    </w:p>
    <w:p w14:paraId="1F00F7E6" w14:textId="7F6BD341" w:rsidR="006B05D6" w:rsidRPr="00903106" w:rsidRDefault="00EE3143" w:rsidP="006B05D6">
      <w:pPr>
        <w:pStyle w:val="SingleTxtG"/>
        <w:rPr>
          <w:bCs/>
          <w:lang w:val="en-GB"/>
        </w:rPr>
      </w:pPr>
      <w:r>
        <w:rPr>
          <w:bCs/>
          <w:lang w:val="en-GB"/>
        </w:rPr>
        <w:t>639. Under o</w:t>
      </w:r>
      <w:r w:rsidR="006B05D6" w:rsidRPr="00903106">
        <w:rPr>
          <w:bCs/>
          <w:lang w:val="en-GB"/>
        </w:rPr>
        <w:t>rdinance n° 530/540/1772, “self-employed citizens who live off agriculture or simple trade that does not generate a monthly income, will contribute 2,000 Burundian francs [1.14</w:t>
      </w:r>
      <w:r>
        <w:rPr>
          <w:bCs/>
          <w:lang w:val="en-GB"/>
        </w:rPr>
        <w:t xml:space="preserve"> US dollars</w:t>
      </w:r>
      <w:r w:rsidR="006B05D6" w:rsidRPr="00903106">
        <w:rPr>
          <w:bCs/>
          <w:lang w:val="en-GB"/>
        </w:rPr>
        <w:t>] per year and per household</w:t>
      </w:r>
      <w:r>
        <w:rPr>
          <w:bCs/>
          <w:lang w:val="en-GB"/>
        </w:rPr>
        <w:t xml:space="preserve"> and 1,000 Burundian francs [</w:t>
      </w:r>
      <w:r w:rsidR="006B05D6" w:rsidRPr="00903106">
        <w:rPr>
          <w:bCs/>
          <w:lang w:val="en-GB"/>
        </w:rPr>
        <w:t>0.57</w:t>
      </w:r>
      <w:r>
        <w:rPr>
          <w:bCs/>
          <w:lang w:val="en-GB"/>
        </w:rPr>
        <w:t xml:space="preserve"> US dollars</w:t>
      </w:r>
      <w:r w:rsidR="006B05D6" w:rsidRPr="00903106">
        <w:rPr>
          <w:bCs/>
          <w:lang w:val="en-GB"/>
        </w:rPr>
        <w:t>] per year for pupils and students of voting age”</w:t>
      </w:r>
      <w:r>
        <w:rPr>
          <w:bCs/>
          <w:lang w:val="en-GB"/>
        </w:rPr>
        <w:t>.</w:t>
      </w:r>
      <w:r w:rsidR="006B05D6" w:rsidRPr="00903106">
        <w:rPr>
          <w:bCs/>
          <w:vertAlign w:val="superscript"/>
          <w:lang w:val="en-GB"/>
        </w:rPr>
        <w:footnoteReference w:id="522"/>
      </w:r>
      <w:r w:rsidR="006B05D6" w:rsidRPr="00903106">
        <w:rPr>
          <w:bCs/>
          <w:lang w:val="en-GB"/>
        </w:rPr>
        <w:t xml:space="preserve"> Again, the Commission received statements that Imbonerakure are in charge of collecting these contributions from households and are also vested with the authority of issuing official receipts</w:t>
      </w:r>
      <w:r w:rsidR="00691A23">
        <w:rPr>
          <w:bCs/>
          <w:lang w:val="en-GB"/>
        </w:rPr>
        <w:t>.</w:t>
      </w:r>
      <w:r w:rsidR="006B05D6" w:rsidRPr="00903106">
        <w:rPr>
          <w:bCs/>
          <w:vertAlign w:val="superscript"/>
          <w:lang w:val="en-GB"/>
        </w:rPr>
        <w:footnoteReference w:id="523"/>
      </w:r>
    </w:p>
    <w:p w14:paraId="0332E8D7" w14:textId="6E2E43F7" w:rsidR="006B05D6" w:rsidRPr="00903106" w:rsidRDefault="006B05D6" w:rsidP="006B05D6">
      <w:pPr>
        <w:pStyle w:val="SingleTxtG"/>
        <w:rPr>
          <w:bCs/>
          <w:lang w:val="en-GB"/>
        </w:rPr>
      </w:pPr>
      <w:r w:rsidRPr="00903106">
        <w:rPr>
          <w:bCs/>
          <w:lang w:val="en-GB"/>
        </w:rPr>
        <w:t xml:space="preserve">640. Ordinance n° 530/540/1772 also stipulates that civil servants will have an average of 10 </w:t>
      </w:r>
      <w:r w:rsidR="00EE3143">
        <w:rPr>
          <w:bCs/>
          <w:lang w:val="en-GB"/>
        </w:rPr>
        <w:t>%</w:t>
      </w:r>
      <w:r w:rsidRPr="00903106">
        <w:rPr>
          <w:bCs/>
          <w:lang w:val="en-GB"/>
        </w:rPr>
        <w:t xml:space="preserve"> of their salary – or even beyond for those with higher earnings</w:t>
      </w:r>
      <w:r w:rsidRPr="00903106">
        <w:rPr>
          <w:bCs/>
          <w:vertAlign w:val="superscript"/>
          <w:lang w:val="en-GB"/>
        </w:rPr>
        <w:footnoteReference w:id="524"/>
      </w:r>
      <w:r w:rsidRPr="00903106">
        <w:rPr>
          <w:bCs/>
          <w:lang w:val="en-GB"/>
        </w:rPr>
        <w:t xml:space="preserve"> – deducted at source each month for two years starting in January 2018. As pointed out by a witness questioned by the Commission</w:t>
      </w:r>
      <w:r w:rsidR="00EE3143">
        <w:rPr>
          <w:bCs/>
          <w:lang w:val="en-GB"/>
        </w:rPr>
        <w:t>,</w:t>
      </w:r>
      <w:r w:rsidRPr="00903106">
        <w:rPr>
          <w:bCs/>
          <w:vertAlign w:val="superscript"/>
          <w:lang w:val="en-GB"/>
        </w:rPr>
        <w:footnoteReference w:id="525"/>
      </w:r>
      <w:r w:rsidRPr="00903106">
        <w:rPr>
          <w:bCs/>
          <w:lang w:val="en-GB"/>
        </w:rPr>
        <w:t xml:space="preserve"> this withholding tax is applied on a salary that is “in itself insufficient” and is added to the taxes “</w:t>
      </w:r>
      <w:r w:rsidRPr="00EE3143">
        <w:rPr>
          <w:bCs/>
          <w:lang w:val="en-GB"/>
        </w:rPr>
        <w:t xml:space="preserve">averaging between 20 and 30 </w:t>
      </w:r>
      <w:r w:rsidR="00EE3143">
        <w:rPr>
          <w:bCs/>
          <w:lang w:val="en-GB"/>
        </w:rPr>
        <w:t>%</w:t>
      </w:r>
      <w:r w:rsidRPr="00EE3143">
        <w:rPr>
          <w:bCs/>
          <w:lang w:val="en-GB"/>
        </w:rPr>
        <w:t xml:space="preserve"> of monthly salaries</w:t>
      </w:r>
      <w:r w:rsidRPr="00903106">
        <w:rPr>
          <w:bCs/>
          <w:lang w:val="en-GB"/>
        </w:rPr>
        <w:t>”. Convention n° 95 of the International Labour Organization (ILO) on the Protection of Wages also states, “deductions from wages [are] permitted under conditions and to the extent prescribed by national laws or regulations or fixed by collective agreement or arbitration award”</w:t>
      </w:r>
      <w:r w:rsidR="00EE3143">
        <w:rPr>
          <w:bCs/>
          <w:lang w:val="en-GB"/>
        </w:rPr>
        <w:t>.</w:t>
      </w:r>
      <w:r w:rsidRPr="00903106">
        <w:rPr>
          <w:bCs/>
          <w:vertAlign w:val="superscript"/>
          <w:lang w:val="en-GB"/>
        </w:rPr>
        <w:footnoteReference w:id="526"/>
      </w:r>
      <w:r w:rsidRPr="00903106">
        <w:rPr>
          <w:bCs/>
          <w:lang w:val="en-GB"/>
        </w:rPr>
        <w:t xml:space="preserve"> Yet, in the case of deductions from civil servants’ salaries as part of the contribution for the 2020 elections, these three elements are lacking.</w:t>
      </w:r>
    </w:p>
    <w:p w14:paraId="531B2FB9" w14:textId="2A4E47D1" w:rsidR="006B05D6" w:rsidRPr="007158E9" w:rsidRDefault="006B05D6" w:rsidP="006B05D6">
      <w:pPr>
        <w:pStyle w:val="SingleTxtG"/>
        <w:rPr>
          <w:bCs/>
          <w:lang w:val="en-GB"/>
        </w:rPr>
      </w:pPr>
      <w:r w:rsidRPr="00903106">
        <w:rPr>
          <w:bCs/>
          <w:lang w:val="en-GB"/>
        </w:rPr>
        <w:t xml:space="preserve">641. In this context, the application of ordinance n° 530/540/1772 has not been without dispute. Echoing officials opposed to the levy of the contribution at source, the Confederation of Burundi Trade Unions (COSYBU or </w:t>
      </w:r>
      <w:r w:rsidRPr="00903106">
        <w:rPr>
          <w:bCs/>
          <w:i/>
          <w:lang w:val="en-GB"/>
        </w:rPr>
        <w:t>Confédération des syndicats du Burundi</w:t>
      </w:r>
      <w:r w:rsidRPr="00903106">
        <w:rPr>
          <w:bCs/>
          <w:lang w:val="en-GB"/>
        </w:rPr>
        <w:t>) and the Confederation of Free Trade Unions of Burundi (</w:t>
      </w:r>
      <w:r w:rsidRPr="00903106">
        <w:rPr>
          <w:bCs/>
          <w:i/>
          <w:iCs/>
          <w:lang w:val="en-GB"/>
        </w:rPr>
        <w:t>la Confédération des syndi</w:t>
      </w:r>
      <w:r w:rsidRPr="007158E9">
        <w:rPr>
          <w:bCs/>
          <w:i/>
          <w:iCs/>
          <w:lang w:val="en-GB"/>
        </w:rPr>
        <w:t>cats libres du Burundi</w:t>
      </w:r>
      <w:r w:rsidRPr="007158E9">
        <w:rPr>
          <w:bCs/>
          <w:lang w:val="en-GB"/>
        </w:rPr>
        <w:t xml:space="preserve"> or CBS) </w:t>
      </w:r>
      <w:r w:rsidRPr="007158E9">
        <w:rPr>
          <w:lang w:val="en-GB"/>
        </w:rPr>
        <w:t>called for the opening of dialogue on voluntary contributions to the 2020 elections with the Government, in letter dated 8 January 2018 and addressed to the Minister</w:t>
      </w:r>
      <w:r w:rsidR="00EE3143">
        <w:rPr>
          <w:lang w:val="en-GB"/>
        </w:rPr>
        <w:t>s</w:t>
      </w:r>
      <w:r w:rsidRPr="007158E9">
        <w:rPr>
          <w:lang w:val="en-GB"/>
        </w:rPr>
        <w:t xml:space="preserve"> of </w:t>
      </w:r>
      <w:r w:rsidR="00EE3143">
        <w:rPr>
          <w:lang w:val="en-GB"/>
        </w:rPr>
        <w:t>Interior</w:t>
      </w:r>
      <w:r w:rsidRPr="007158E9">
        <w:rPr>
          <w:lang w:val="en-GB"/>
        </w:rPr>
        <w:t xml:space="preserve"> and of Finance</w:t>
      </w:r>
      <w:r w:rsidR="00EE3143">
        <w:rPr>
          <w:lang w:val="en-GB"/>
        </w:rPr>
        <w:t>.</w:t>
      </w:r>
      <w:r w:rsidRPr="007158E9">
        <w:rPr>
          <w:bCs/>
          <w:vertAlign w:val="superscript"/>
          <w:lang w:val="en-GB"/>
        </w:rPr>
        <w:footnoteReference w:id="527"/>
      </w:r>
      <w:r w:rsidRPr="007158E9">
        <w:rPr>
          <w:lang w:val="en-GB"/>
        </w:rPr>
        <w:t xml:space="preserve"> A meeting was organized on 25 January 2018 between the Ministers of </w:t>
      </w:r>
      <w:r w:rsidR="00EE3143">
        <w:rPr>
          <w:lang w:val="en-GB"/>
        </w:rPr>
        <w:t>Interior</w:t>
      </w:r>
      <w:r w:rsidRPr="007158E9">
        <w:rPr>
          <w:lang w:val="en-GB"/>
        </w:rPr>
        <w:t xml:space="preserve">, of Finance and of Public Service, more than 35 workers’ unions and Burundi employers’ association to find a way out of the contribution of civil servants and all workers in Burundi. During this meeting, the Minister of </w:t>
      </w:r>
      <w:r w:rsidR="00EE3143">
        <w:rPr>
          <w:lang w:val="en-GB"/>
        </w:rPr>
        <w:t>Interior</w:t>
      </w:r>
      <w:r w:rsidRPr="007158E9">
        <w:rPr>
          <w:lang w:val="en-GB"/>
        </w:rPr>
        <w:t xml:space="preserve"> is said to have declared that those who do not want to contribute only need to report it to the competent authority. “There is nothing against human rights,” he reportedly said. Anyone who does not want to contribute will speak […] anyone with a salary of zero fr</w:t>
      </w:r>
      <w:r w:rsidR="00EE3143">
        <w:rPr>
          <w:lang w:val="en-GB"/>
        </w:rPr>
        <w:t>ancs will simply not contribute</w:t>
      </w:r>
      <w:r w:rsidRPr="007158E9">
        <w:rPr>
          <w:lang w:val="en-GB"/>
        </w:rPr>
        <w:t>”</w:t>
      </w:r>
      <w:r w:rsidR="00EE3143">
        <w:rPr>
          <w:lang w:val="en-GB"/>
        </w:rPr>
        <w:t>.</w:t>
      </w:r>
      <w:r w:rsidRPr="007158E9">
        <w:rPr>
          <w:bCs/>
          <w:vertAlign w:val="superscript"/>
          <w:lang w:val="en-GB"/>
        </w:rPr>
        <w:footnoteReference w:id="528"/>
      </w:r>
      <w:r w:rsidRPr="007158E9">
        <w:rPr>
          <w:lang w:val="en-GB"/>
        </w:rPr>
        <w:t xml:space="preserve"> On 29 January 2018, the Minister of Finance also said in an interview with the newspaper Iwacu that “those who do not want to contribute only have to report it</w:t>
      </w:r>
      <w:r w:rsidR="00EE3143">
        <w:rPr>
          <w:lang w:val="en-GB"/>
        </w:rPr>
        <w:t>”.</w:t>
      </w:r>
      <w:r w:rsidRPr="007158E9">
        <w:rPr>
          <w:bCs/>
          <w:vertAlign w:val="superscript"/>
          <w:lang w:val="en-GB"/>
        </w:rPr>
        <w:footnoteReference w:id="529"/>
      </w:r>
    </w:p>
    <w:p w14:paraId="5502A376" w14:textId="6973435A" w:rsidR="006B05D6" w:rsidRPr="007158E9" w:rsidRDefault="006B05D6" w:rsidP="006B05D6">
      <w:pPr>
        <w:pStyle w:val="SingleTxtG"/>
        <w:rPr>
          <w:bCs/>
          <w:lang w:val="en-GB"/>
        </w:rPr>
      </w:pPr>
      <w:r w:rsidRPr="00903106">
        <w:rPr>
          <w:bCs/>
          <w:lang w:val="en-GB"/>
        </w:rPr>
        <w:t>642. Despite these declarations, statements gathered by the Commission show that civil servants’ contributions continued to be taken at source while their opinion was not taken into con</w:t>
      </w:r>
      <w:r w:rsidR="0064406F">
        <w:rPr>
          <w:bCs/>
          <w:lang w:val="en-GB"/>
        </w:rPr>
        <w:t>sideration. With regard to the A</w:t>
      </w:r>
      <w:r w:rsidRPr="00903106">
        <w:rPr>
          <w:bCs/>
          <w:lang w:val="en-GB"/>
        </w:rPr>
        <w:t xml:space="preserve">rmy, for instance, </w:t>
      </w:r>
      <w:r w:rsidR="0064406F" w:rsidRPr="00903106">
        <w:rPr>
          <w:bCs/>
          <w:lang w:val="en-GB"/>
        </w:rPr>
        <w:t>on 16 February 2018</w:t>
      </w:r>
      <w:r w:rsidR="0064406F">
        <w:rPr>
          <w:bCs/>
          <w:lang w:val="en-GB"/>
        </w:rPr>
        <w:t>, the Army spokesperson,</w:t>
      </w:r>
      <w:r w:rsidRPr="00903106">
        <w:rPr>
          <w:bCs/>
          <w:lang w:val="en-GB"/>
        </w:rPr>
        <w:t xml:space="preserve"> Colonel Gaspard Baratuza</w:t>
      </w:r>
      <w:r w:rsidR="0064406F">
        <w:rPr>
          <w:bCs/>
          <w:lang w:val="en-GB"/>
        </w:rPr>
        <w:t>,</w:t>
      </w:r>
      <w:r w:rsidRPr="00903106">
        <w:rPr>
          <w:bCs/>
          <w:lang w:val="en-GB"/>
        </w:rPr>
        <w:t xml:space="preserve"> stated in an interview with the online newspaper Iwacu</w:t>
      </w:r>
      <w:r w:rsidRPr="00903106">
        <w:rPr>
          <w:bCs/>
          <w:vertAlign w:val="superscript"/>
          <w:lang w:val="en-GB"/>
        </w:rPr>
        <w:footnoteReference w:id="530"/>
      </w:r>
      <w:r w:rsidRPr="00903106">
        <w:rPr>
          <w:bCs/>
          <w:lang w:val="en-GB"/>
        </w:rPr>
        <w:t xml:space="preserve"> that the contribution to the elections “will be withheld on local salaries of all military personnel”. In addition, the Commission has had confirmation</w:t>
      </w:r>
      <w:r w:rsidRPr="00903106">
        <w:rPr>
          <w:bCs/>
          <w:vertAlign w:val="superscript"/>
          <w:lang w:val="en-GB"/>
        </w:rPr>
        <w:footnoteReference w:id="531"/>
      </w:r>
      <w:r w:rsidRPr="007158E9">
        <w:rPr>
          <w:lang w:val="en-GB"/>
        </w:rPr>
        <w:t xml:space="preserve"> that several ministries coerce their agents into contributing to a common fund intended as the ministry’s contribution to the 2020 elections. The reality of such a practice has been reported by the Burundian press</w:t>
      </w:r>
      <w:r w:rsidRPr="007158E9">
        <w:rPr>
          <w:bCs/>
          <w:vertAlign w:val="superscript"/>
          <w:lang w:val="en-GB"/>
        </w:rPr>
        <w:footnoteReference w:id="532"/>
      </w:r>
      <w:r w:rsidR="0064406F">
        <w:rPr>
          <w:lang w:val="en-GB"/>
        </w:rPr>
        <w:t xml:space="preserve"> although o</w:t>
      </w:r>
      <w:r w:rsidRPr="007158E9">
        <w:rPr>
          <w:lang w:val="en-GB"/>
        </w:rPr>
        <w:t xml:space="preserve">rdinance </w:t>
      </w:r>
      <w:r w:rsidRPr="007158E9">
        <w:rPr>
          <w:bCs/>
          <w:lang w:val="en-GB"/>
        </w:rPr>
        <w:t xml:space="preserve">n° </w:t>
      </w:r>
      <w:r w:rsidRPr="007158E9">
        <w:rPr>
          <w:lang w:val="en-GB"/>
        </w:rPr>
        <w:t>530/540/1772 does not provide for it. An official testified:</w:t>
      </w:r>
    </w:p>
    <w:p w14:paraId="6145D775" w14:textId="2C8E7359" w:rsidR="006B05D6" w:rsidRPr="007158E9" w:rsidRDefault="006B05D6" w:rsidP="009276EA">
      <w:pPr>
        <w:pStyle w:val="SingleTxtG"/>
        <w:ind w:left="1701"/>
        <w:rPr>
          <w:bCs/>
          <w:lang w:val="en-GB"/>
        </w:rPr>
      </w:pPr>
      <w:r w:rsidRPr="007158E9">
        <w:rPr>
          <w:bCs/>
          <w:lang w:val="en-GB"/>
        </w:rPr>
        <w:t>“</w:t>
      </w:r>
      <w:r w:rsidRPr="007158E9">
        <w:rPr>
          <w:bCs/>
          <w:i/>
          <w:lang w:val="en-GB"/>
        </w:rPr>
        <w:t>Anyone who refuses to pay [...] risks losing their life, we are aware of what is going on in our country</w:t>
      </w:r>
      <w:r w:rsidRPr="007158E9">
        <w:rPr>
          <w:bCs/>
          <w:lang w:val="en-GB"/>
        </w:rPr>
        <w:t>”</w:t>
      </w:r>
      <w:r w:rsidR="009276EA">
        <w:rPr>
          <w:bCs/>
          <w:lang w:val="en-GB"/>
        </w:rPr>
        <w:t>.</w:t>
      </w:r>
      <w:r w:rsidRPr="007158E9">
        <w:rPr>
          <w:bCs/>
          <w:vertAlign w:val="superscript"/>
          <w:lang w:val="en-GB"/>
        </w:rPr>
        <w:footnoteReference w:id="533"/>
      </w:r>
    </w:p>
    <w:p w14:paraId="18719804" w14:textId="772F5550" w:rsidR="0064406F" w:rsidRDefault="006B05D6" w:rsidP="006B05D6">
      <w:pPr>
        <w:pStyle w:val="SingleTxtG"/>
        <w:rPr>
          <w:bCs/>
          <w:lang w:val="en-GB"/>
        </w:rPr>
      </w:pPr>
      <w:r w:rsidRPr="007158E9">
        <w:rPr>
          <w:bCs/>
          <w:lang w:val="en-GB"/>
        </w:rPr>
        <w:t>A teacher, who initially did n</w:t>
      </w:r>
      <w:r w:rsidR="0064406F">
        <w:rPr>
          <w:bCs/>
          <w:lang w:val="en-GB"/>
        </w:rPr>
        <w:t xml:space="preserve">ot want to contribute, reported: </w:t>
      </w:r>
    </w:p>
    <w:p w14:paraId="4F678B6E" w14:textId="5218EC18" w:rsidR="006B05D6" w:rsidRPr="007158E9" w:rsidRDefault="0064406F" w:rsidP="00691A23">
      <w:pPr>
        <w:pStyle w:val="SingleTxtG"/>
        <w:ind w:left="1701"/>
        <w:rPr>
          <w:bCs/>
          <w:lang w:val="en-GB"/>
        </w:rPr>
      </w:pPr>
      <w:r w:rsidRPr="0064406F">
        <w:rPr>
          <w:bCs/>
          <w:i/>
          <w:lang w:val="en-GB"/>
        </w:rPr>
        <w:t>“A</w:t>
      </w:r>
      <w:r w:rsidR="006B05D6" w:rsidRPr="0064406F">
        <w:rPr>
          <w:bCs/>
          <w:i/>
          <w:lang w:val="en-GB"/>
        </w:rPr>
        <w:t xml:space="preserve"> colleague came to </w:t>
      </w:r>
      <w:r w:rsidRPr="0064406F">
        <w:rPr>
          <w:bCs/>
          <w:i/>
          <w:lang w:val="en-GB"/>
        </w:rPr>
        <w:t>me saying: ‘</w:t>
      </w:r>
      <w:r w:rsidR="006B05D6" w:rsidRPr="0064406F">
        <w:rPr>
          <w:bCs/>
          <w:i/>
          <w:lang w:val="en-GB"/>
        </w:rPr>
        <w:t>Mr. [X], my advice to you is that you pay this money. This is for your own sake; you do not know what lies behind this</w:t>
      </w:r>
      <w:r w:rsidRPr="0064406F">
        <w:rPr>
          <w:bCs/>
          <w:i/>
          <w:lang w:val="en-GB"/>
        </w:rPr>
        <w:t>’. It was 8am</w:t>
      </w:r>
      <w:r w:rsidR="006B05D6" w:rsidRPr="0064406F">
        <w:rPr>
          <w:bCs/>
          <w:i/>
          <w:lang w:val="en-GB"/>
        </w:rPr>
        <w:t xml:space="preserve"> and I was giving a class </w:t>
      </w:r>
      <w:r w:rsidRPr="0064406F">
        <w:rPr>
          <w:bCs/>
          <w:i/>
          <w:lang w:val="en-GB"/>
        </w:rPr>
        <w:t>[</w:t>
      </w:r>
      <w:r w:rsidR="006B05D6" w:rsidRPr="0064406F">
        <w:rPr>
          <w:bCs/>
          <w:i/>
          <w:lang w:val="en-GB"/>
        </w:rPr>
        <w:t>...</w:t>
      </w:r>
      <w:r w:rsidRPr="0064406F">
        <w:rPr>
          <w:bCs/>
          <w:i/>
          <w:lang w:val="en-GB"/>
        </w:rPr>
        <w:t>] I gave the money at 9 am</w:t>
      </w:r>
      <w:r w:rsidR="006B05D6" w:rsidRPr="0064406F">
        <w:rPr>
          <w:bCs/>
          <w:i/>
          <w:lang w:val="en-GB"/>
        </w:rPr>
        <w:t xml:space="preserve">. Around 1 </w:t>
      </w:r>
      <w:r w:rsidRPr="0064406F">
        <w:rPr>
          <w:bCs/>
          <w:i/>
          <w:lang w:val="en-GB"/>
        </w:rPr>
        <w:t>pm</w:t>
      </w:r>
      <w:r w:rsidR="006B05D6" w:rsidRPr="0064406F">
        <w:rPr>
          <w:bCs/>
          <w:i/>
          <w:lang w:val="en-GB"/>
        </w:rPr>
        <w:t>, on the way home, another colleague approached me to give me a message f</w:t>
      </w:r>
      <w:r w:rsidRPr="0064406F">
        <w:rPr>
          <w:bCs/>
          <w:i/>
          <w:lang w:val="en-GB"/>
        </w:rPr>
        <w:t>rom the school director, which was:</w:t>
      </w:r>
      <w:r>
        <w:rPr>
          <w:bCs/>
          <w:lang w:val="en-GB"/>
        </w:rPr>
        <w:t xml:space="preserve"> ‘</w:t>
      </w:r>
      <w:r w:rsidR="006B05D6" w:rsidRPr="007158E9">
        <w:rPr>
          <w:bCs/>
          <w:i/>
          <w:lang w:val="en-GB"/>
        </w:rPr>
        <w:t>Mr. [X], I am asking you to stop making comments and to accept to pay this contribution</w:t>
      </w:r>
      <w:r>
        <w:rPr>
          <w:bCs/>
          <w:i/>
          <w:lang w:val="en-GB"/>
        </w:rPr>
        <w:t>’</w:t>
      </w:r>
      <w:r w:rsidR="006B05D6" w:rsidRPr="007158E9">
        <w:rPr>
          <w:bCs/>
          <w:i/>
          <w:lang w:val="en-GB"/>
        </w:rPr>
        <w:t xml:space="preserve"> [...] My reply to the director’s emissary was that I had paid the contribution via the school treasurer</w:t>
      </w:r>
      <w:r w:rsidR="006B05D6" w:rsidRPr="007158E9">
        <w:rPr>
          <w:bCs/>
          <w:lang w:val="en-GB"/>
        </w:rPr>
        <w:t>”</w:t>
      </w:r>
      <w:r>
        <w:rPr>
          <w:bCs/>
          <w:lang w:val="en-GB"/>
        </w:rPr>
        <w:t>.</w:t>
      </w:r>
      <w:r w:rsidR="006B05D6" w:rsidRPr="007158E9">
        <w:rPr>
          <w:bCs/>
          <w:vertAlign w:val="superscript"/>
          <w:lang w:val="en-GB"/>
        </w:rPr>
        <w:footnoteReference w:id="534"/>
      </w:r>
      <w:r w:rsidR="006B05D6" w:rsidRPr="007158E9">
        <w:rPr>
          <w:bCs/>
          <w:lang w:val="en-GB"/>
        </w:rPr>
        <w:t xml:space="preserve"> </w:t>
      </w:r>
    </w:p>
    <w:p w14:paraId="525CD254" w14:textId="73AB963B" w:rsidR="006B05D6" w:rsidRPr="0081511E" w:rsidRDefault="006B05D6" w:rsidP="006B05D6">
      <w:pPr>
        <w:pStyle w:val="SingleTxtG"/>
        <w:rPr>
          <w:bCs/>
          <w:lang w:val="en-GB"/>
        </w:rPr>
      </w:pPr>
      <w:r w:rsidRPr="0081511E">
        <w:rPr>
          <w:bCs/>
          <w:lang w:val="en-GB"/>
        </w:rPr>
        <w:t>643. This practice also affects institutions other than ministries, such as that of the Ombudsman</w:t>
      </w:r>
      <w:r w:rsidR="0064406F">
        <w:rPr>
          <w:bCs/>
          <w:lang w:val="en-GB"/>
        </w:rPr>
        <w:t>,</w:t>
      </w:r>
      <w:r w:rsidRPr="0081511E">
        <w:rPr>
          <w:bCs/>
          <w:vertAlign w:val="superscript"/>
          <w:lang w:val="en-GB"/>
        </w:rPr>
        <w:footnoteReference w:id="535"/>
      </w:r>
      <w:r w:rsidRPr="0081511E">
        <w:rPr>
          <w:bCs/>
          <w:lang w:val="en-GB"/>
        </w:rPr>
        <w:t xml:space="preserve"> the National Assembly</w:t>
      </w:r>
      <w:r w:rsidR="0064406F">
        <w:rPr>
          <w:bCs/>
          <w:lang w:val="en-GB"/>
        </w:rPr>
        <w:t>,</w:t>
      </w:r>
      <w:r w:rsidRPr="0081511E">
        <w:rPr>
          <w:bCs/>
          <w:vertAlign w:val="superscript"/>
          <w:lang w:val="en-GB"/>
        </w:rPr>
        <w:footnoteReference w:id="536"/>
      </w:r>
      <w:r w:rsidRPr="0081511E">
        <w:rPr>
          <w:bCs/>
          <w:lang w:val="en-GB"/>
        </w:rPr>
        <w:t xml:space="preserve"> the Senate</w:t>
      </w:r>
      <w:r w:rsidR="0064406F">
        <w:rPr>
          <w:bCs/>
          <w:lang w:val="en-GB"/>
        </w:rPr>
        <w:t>,</w:t>
      </w:r>
      <w:r w:rsidRPr="0081511E">
        <w:rPr>
          <w:bCs/>
          <w:vertAlign w:val="superscript"/>
          <w:lang w:val="en-GB"/>
        </w:rPr>
        <w:footnoteReference w:id="537"/>
      </w:r>
      <w:r w:rsidRPr="0081511E">
        <w:rPr>
          <w:bCs/>
          <w:lang w:val="en-GB"/>
        </w:rPr>
        <w:t xml:space="preserve"> both Vice-Presidencies</w:t>
      </w:r>
      <w:r w:rsidR="0064406F">
        <w:rPr>
          <w:bCs/>
          <w:lang w:val="en-GB"/>
        </w:rPr>
        <w:t>,</w:t>
      </w:r>
      <w:r w:rsidRPr="0081511E">
        <w:rPr>
          <w:bCs/>
          <w:vertAlign w:val="superscript"/>
          <w:lang w:val="en-GB"/>
        </w:rPr>
        <w:footnoteReference w:id="538"/>
      </w:r>
      <w:r w:rsidRPr="0081511E">
        <w:rPr>
          <w:bCs/>
          <w:lang w:val="en-GB"/>
        </w:rPr>
        <w:t xml:space="preserve"> </w:t>
      </w:r>
      <w:r w:rsidR="0064406F">
        <w:rPr>
          <w:bCs/>
          <w:lang w:val="en-GB"/>
        </w:rPr>
        <w:t>and</w:t>
      </w:r>
      <w:r w:rsidRPr="0081511E">
        <w:rPr>
          <w:bCs/>
          <w:lang w:val="en-GB"/>
        </w:rPr>
        <w:t xml:space="preserve"> universities</w:t>
      </w:r>
      <w:r w:rsidR="0064406F">
        <w:rPr>
          <w:bCs/>
          <w:lang w:val="en-GB"/>
        </w:rPr>
        <w:t>,</w:t>
      </w:r>
      <w:r w:rsidRPr="0081511E">
        <w:rPr>
          <w:bCs/>
          <w:vertAlign w:val="superscript"/>
          <w:lang w:val="en-GB"/>
        </w:rPr>
        <w:footnoteReference w:id="539"/>
      </w:r>
      <w:r w:rsidRPr="0081511E">
        <w:rPr>
          <w:bCs/>
          <w:lang w:val="en-GB"/>
        </w:rPr>
        <w:t xml:space="preserve"> even though workers’ respective </w:t>
      </w:r>
      <w:r w:rsidR="0064406F">
        <w:rPr>
          <w:bCs/>
          <w:lang w:val="en-GB"/>
        </w:rPr>
        <w:t>revenues</w:t>
      </w:r>
      <w:r w:rsidRPr="0081511E">
        <w:rPr>
          <w:bCs/>
          <w:lang w:val="en-GB"/>
        </w:rPr>
        <w:t xml:space="preserve"> have decreased due to the politico-economic context. Leading political figures have also contributed in a personal capacity such as the President of the Republic who paid ni</w:t>
      </w:r>
      <w:r w:rsidR="0064406F">
        <w:rPr>
          <w:bCs/>
          <w:lang w:val="en-GB"/>
        </w:rPr>
        <w:t>ne million Burundian francs (</w:t>
      </w:r>
      <w:r w:rsidRPr="0081511E">
        <w:rPr>
          <w:bCs/>
          <w:lang w:val="en-GB"/>
        </w:rPr>
        <w:t>5,140</w:t>
      </w:r>
      <w:r w:rsidR="0064406F">
        <w:rPr>
          <w:bCs/>
          <w:lang w:val="en-GB"/>
        </w:rPr>
        <w:t xml:space="preserve"> US dollars</w:t>
      </w:r>
      <w:r w:rsidRPr="0081511E">
        <w:rPr>
          <w:bCs/>
          <w:lang w:val="en-GB"/>
        </w:rPr>
        <w:t>)</w:t>
      </w:r>
      <w:r w:rsidRPr="0081511E">
        <w:rPr>
          <w:bCs/>
          <w:vertAlign w:val="superscript"/>
          <w:lang w:val="en-GB"/>
        </w:rPr>
        <w:footnoteReference w:id="540"/>
      </w:r>
      <w:r w:rsidRPr="0081511E">
        <w:rPr>
          <w:bCs/>
          <w:lang w:val="en-GB"/>
        </w:rPr>
        <w:t xml:space="preserve"> at the central bank, the Second Vice-President who contributed up to 2 million Burundian f</w:t>
      </w:r>
      <w:r w:rsidR="0064406F">
        <w:rPr>
          <w:bCs/>
          <w:lang w:val="en-GB"/>
        </w:rPr>
        <w:t>rancs (</w:t>
      </w:r>
      <w:r w:rsidRPr="0081511E">
        <w:rPr>
          <w:bCs/>
          <w:lang w:val="en-GB"/>
        </w:rPr>
        <w:t>1,142</w:t>
      </w:r>
      <w:r w:rsidR="0064406F">
        <w:rPr>
          <w:bCs/>
          <w:lang w:val="en-GB"/>
        </w:rPr>
        <w:t xml:space="preserve"> US dollars</w:t>
      </w:r>
      <w:r w:rsidRPr="0081511E">
        <w:rPr>
          <w:bCs/>
          <w:lang w:val="en-GB"/>
        </w:rPr>
        <w:t>)</w:t>
      </w:r>
      <w:r w:rsidRPr="0081511E">
        <w:rPr>
          <w:bCs/>
          <w:vertAlign w:val="superscript"/>
          <w:lang w:val="en-GB"/>
        </w:rPr>
        <w:footnoteReference w:id="541"/>
      </w:r>
      <w:r w:rsidRPr="0081511E">
        <w:rPr>
          <w:bCs/>
          <w:lang w:val="en-GB"/>
        </w:rPr>
        <w:t xml:space="preserve"> and the President of the National Assembly up to 4.8 million Burundian francs (2,741</w:t>
      </w:r>
      <w:r w:rsidR="0064406F">
        <w:rPr>
          <w:bCs/>
          <w:lang w:val="en-GB"/>
        </w:rPr>
        <w:t xml:space="preserve"> US dollars</w:t>
      </w:r>
      <w:r w:rsidRPr="0081511E">
        <w:rPr>
          <w:bCs/>
          <w:lang w:val="en-GB"/>
        </w:rPr>
        <w:t>)</w:t>
      </w:r>
      <w:r w:rsidR="0064406F">
        <w:rPr>
          <w:bCs/>
          <w:lang w:val="en-GB"/>
        </w:rPr>
        <w:t>,</w:t>
      </w:r>
      <w:r w:rsidRPr="0081511E">
        <w:rPr>
          <w:bCs/>
          <w:vertAlign w:val="superscript"/>
          <w:lang w:val="en-GB"/>
        </w:rPr>
        <w:footnoteReference w:id="542"/>
      </w:r>
      <w:r w:rsidRPr="0081511E">
        <w:rPr>
          <w:bCs/>
          <w:lang w:val="en-GB"/>
        </w:rPr>
        <w:t xml:space="preserve"> all of these represent significant sums in a country with a gross national income per capita o</w:t>
      </w:r>
      <w:r w:rsidR="00030F6C">
        <w:rPr>
          <w:bCs/>
          <w:lang w:val="en-GB"/>
        </w:rPr>
        <w:t xml:space="preserve">f </w:t>
      </w:r>
      <w:r w:rsidRPr="0081511E">
        <w:rPr>
          <w:bCs/>
          <w:lang w:val="en-GB"/>
        </w:rPr>
        <w:t>290</w:t>
      </w:r>
      <w:r w:rsidR="00030F6C">
        <w:rPr>
          <w:bCs/>
          <w:lang w:val="en-GB"/>
        </w:rPr>
        <w:t xml:space="preserve"> US dollars</w:t>
      </w:r>
      <w:r w:rsidRPr="0081511E">
        <w:rPr>
          <w:bCs/>
          <w:lang w:val="en-GB"/>
        </w:rPr>
        <w:t>.</w:t>
      </w:r>
    </w:p>
    <w:p w14:paraId="4DFDB269" w14:textId="2945ED29" w:rsidR="006B05D6" w:rsidRPr="0081511E" w:rsidRDefault="006B05D6" w:rsidP="006B05D6">
      <w:pPr>
        <w:pStyle w:val="SingleTxtG"/>
        <w:rPr>
          <w:bCs/>
          <w:lang w:val="en-GB"/>
        </w:rPr>
      </w:pPr>
      <w:r w:rsidRPr="0081511E">
        <w:rPr>
          <w:bCs/>
          <w:lang w:val="en-GB"/>
        </w:rPr>
        <w:t>644. As pointed out by an expert interviewed by the Commission</w:t>
      </w:r>
      <w:r w:rsidR="00030F6C">
        <w:rPr>
          <w:bCs/>
          <w:lang w:val="en-GB"/>
        </w:rPr>
        <w:t>,</w:t>
      </w:r>
      <w:r w:rsidRPr="0081511E">
        <w:rPr>
          <w:bCs/>
          <w:vertAlign w:val="superscript"/>
          <w:lang w:val="en-GB"/>
        </w:rPr>
        <w:footnoteReference w:id="543"/>
      </w:r>
      <w:r w:rsidRPr="0081511E">
        <w:rPr>
          <w:bCs/>
          <w:lang w:val="en-GB"/>
        </w:rPr>
        <w:t xml:space="preserve"> a civil servant in Burundi is now subjected to a five-level levy in relation to the 2020 elections: the monthly levy on basic salaries; one’s participation in the contribution by the ministry or supervising institution; the contribution in relation to the budgetary provision for the elections provided for in the </w:t>
      </w:r>
      <w:r w:rsidR="00030F6C">
        <w:rPr>
          <w:bCs/>
          <w:lang w:val="en-GB"/>
        </w:rPr>
        <w:t>financial law</w:t>
      </w:r>
      <w:r w:rsidRPr="0081511E">
        <w:rPr>
          <w:bCs/>
          <w:lang w:val="en-GB"/>
        </w:rPr>
        <w:t>; the annual contribution requested from households and, when the person has one or more dependents of school or voting age, a contribution paid on their behalf. All these contributions have, as we have seen, a direct impact on the standard of living of civil servants, but more generally on the population as a whole. In this regard, the Commission received evidence from a person who was forced, due to financial pressure, to reduce the number of meals for himself and his family</w:t>
      </w:r>
      <w:r w:rsidR="00030F6C">
        <w:rPr>
          <w:bCs/>
          <w:lang w:val="en-GB"/>
        </w:rPr>
        <w:t>,</w:t>
      </w:r>
      <w:r w:rsidRPr="0081511E">
        <w:rPr>
          <w:bCs/>
          <w:vertAlign w:val="superscript"/>
          <w:lang w:val="en-GB"/>
        </w:rPr>
        <w:footnoteReference w:id="544"/>
      </w:r>
      <w:r w:rsidRPr="0081511E">
        <w:rPr>
          <w:bCs/>
          <w:lang w:val="en-GB"/>
        </w:rPr>
        <w:t xml:space="preserve"> but also that of a parent unable to cover school costs for their child</w:t>
      </w:r>
      <w:r w:rsidR="00030F6C">
        <w:rPr>
          <w:bCs/>
          <w:lang w:val="en-GB"/>
        </w:rPr>
        <w:t>.</w:t>
      </w:r>
      <w:r w:rsidRPr="0081511E">
        <w:rPr>
          <w:bCs/>
          <w:vertAlign w:val="superscript"/>
          <w:lang w:val="en-GB"/>
        </w:rPr>
        <w:footnoteReference w:id="545"/>
      </w:r>
      <w:r w:rsidRPr="0081511E">
        <w:rPr>
          <w:bCs/>
          <w:lang w:val="en-GB"/>
        </w:rPr>
        <w:t xml:space="preserve"> </w:t>
      </w:r>
    </w:p>
    <w:p w14:paraId="18B25471" w14:textId="301DD810" w:rsidR="006B05D6" w:rsidRPr="007158E9" w:rsidRDefault="006B05D6" w:rsidP="006B05D6">
      <w:pPr>
        <w:pStyle w:val="SingleTxtG"/>
        <w:rPr>
          <w:bCs/>
          <w:lang w:val="en-GB"/>
        </w:rPr>
      </w:pPr>
      <w:r w:rsidRPr="0081511E">
        <w:rPr>
          <w:bCs/>
          <w:lang w:val="en-GB"/>
        </w:rPr>
        <w:t>645. Furthermore, the context in which these various contributions are planned and levied also prompts human rights violations. The Commission of Inquiry received several reports on roadblocks</w:t>
      </w:r>
      <w:r w:rsidRPr="007158E9">
        <w:rPr>
          <w:lang w:val="en-GB"/>
        </w:rPr>
        <w:t xml:space="preserve"> erected across the country by Imbonerakure in order to verify whether the residents of the area were indeed in possession of receipts proving that they had paid their contributions</w:t>
      </w:r>
      <w:r w:rsidR="00030F6C">
        <w:rPr>
          <w:lang w:val="en-GB"/>
        </w:rPr>
        <w:t>.</w:t>
      </w:r>
      <w:r w:rsidRPr="007158E9">
        <w:rPr>
          <w:bCs/>
          <w:vertAlign w:val="superscript"/>
          <w:lang w:val="en-GB"/>
        </w:rPr>
        <w:footnoteReference w:id="546"/>
      </w:r>
      <w:r w:rsidRPr="007158E9">
        <w:rPr>
          <w:lang w:val="en-GB"/>
        </w:rPr>
        <w:t xml:space="preserve"> These roadblocks</w:t>
      </w:r>
      <w:r w:rsidRPr="007158E9">
        <w:rPr>
          <w:bCs/>
          <w:lang w:val="en-GB"/>
        </w:rPr>
        <w:t xml:space="preserve"> </w:t>
      </w:r>
      <w:r w:rsidRPr="007158E9">
        <w:rPr>
          <w:lang w:val="en-GB"/>
        </w:rPr>
        <w:t>infringe on the freedom of movement, mobility and travel and lead to extortion. The Commission has also documented cases of ill treatment</w:t>
      </w:r>
      <w:r w:rsidR="00030F6C">
        <w:rPr>
          <w:lang w:val="en-GB"/>
        </w:rPr>
        <w:t>,</w:t>
      </w:r>
      <w:r w:rsidRPr="007158E9">
        <w:rPr>
          <w:bCs/>
          <w:vertAlign w:val="superscript"/>
          <w:lang w:val="en-GB"/>
        </w:rPr>
        <w:footnoteReference w:id="547"/>
      </w:r>
      <w:r w:rsidRPr="007158E9">
        <w:rPr>
          <w:lang w:val="en-GB"/>
        </w:rPr>
        <w:t xml:space="preserve"> arrest and illegal detention</w:t>
      </w:r>
      <w:r w:rsidR="00030F6C">
        <w:rPr>
          <w:lang w:val="en-GB"/>
        </w:rPr>
        <w:t>,</w:t>
      </w:r>
      <w:r w:rsidRPr="007158E9">
        <w:rPr>
          <w:bCs/>
          <w:vertAlign w:val="superscript"/>
          <w:lang w:val="en-GB"/>
        </w:rPr>
        <w:footnoteReference w:id="548"/>
      </w:r>
      <w:r w:rsidRPr="007158E9">
        <w:rPr>
          <w:lang w:val="en-GB"/>
        </w:rPr>
        <w:t xml:space="preserve"> threat, intimidation or persecution</w:t>
      </w:r>
      <w:r w:rsidR="00030F6C">
        <w:rPr>
          <w:lang w:val="en-GB"/>
        </w:rPr>
        <w:t>,</w:t>
      </w:r>
      <w:r w:rsidRPr="007158E9">
        <w:rPr>
          <w:bCs/>
          <w:vertAlign w:val="superscript"/>
          <w:lang w:val="en-GB"/>
        </w:rPr>
        <w:footnoteReference w:id="549"/>
      </w:r>
      <w:r w:rsidRPr="007158E9">
        <w:rPr>
          <w:lang w:val="en-GB"/>
        </w:rPr>
        <w:t xml:space="preserve"> in connection with victims’ refusal or inability to pay their contributions. This, in most cases, is the work of Imbonerakure</w:t>
      </w:r>
      <w:r w:rsidR="00030F6C">
        <w:rPr>
          <w:lang w:val="en-GB"/>
        </w:rPr>
        <w:t>.</w:t>
      </w:r>
      <w:r w:rsidRPr="007158E9">
        <w:rPr>
          <w:bCs/>
          <w:vertAlign w:val="superscript"/>
          <w:lang w:val="en-GB"/>
        </w:rPr>
        <w:footnoteReference w:id="550"/>
      </w:r>
      <w:r w:rsidRPr="007158E9">
        <w:rPr>
          <w:lang w:val="en-GB"/>
        </w:rPr>
        <w:t xml:space="preserve"> Several people stressed that the threats or pressure they had suffered following their refusal or inability to pay their contributions had pushed them to flee Burundi</w:t>
      </w:r>
      <w:r w:rsidR="00030F6C">
        <w:rPr>
          <w:lang w:val="en-GB"/>
        </w:rPr>
        <w:t>.</w:t>
      </w:r>
      <w:r w:rsidRPr="007158E9">
        <w:rPr>
          <w:bCs/>
          <w:vertAlign w:val="superscript"/>
          <w:lang w:val="en-GB"/>
        </w:rPr>
        <w:footnoteReference w:id="551"/>
      </w:r>
      <w:r w:rsidRPr="007158E9">
        <w:rPr>
          <w:lang w:val="en-GB"/>
        </w:rPr>
        <w:t xml:space="preserve"> </w:t>
      </w:r>
    </w:p>
    <w:p w14:paraId="0C5E34EB" w14:textId="44BC6CF1" w:rsidR="006B05D6" w:rsidRPr="007158E9" w:rsidRDefault="006B05D6" w:rsidP="00072E20">
      <w:pPr>
        <w:pStyle w:val="SingleTxtG"/>
        <w:ind w:left="1138" w:right="1138"/>
        <w:rPr>
          <w:bCs/>
          <w:lang w:val="en-GB"/>
        </w:rPr>
      </w:pPr>
      <w:r w:rsidRPr="0081511E">
        <w:rPr>
          <w:bCs/>
          <w:lang w:val="en-GB"/>
        </w:rPr>
        <w:t xml:space="preserve">646. </w:t>
      </w:r>
      <w:bookmarkStart w:id="8" w:name="_Toc522539566"/>
      <w:r w:rsidRPr="0081511E">
        <w:rPr>
          <w:bCs/>
          <w:lang w:val="en-GB"/>
        </w:rPr>
        <w:t xml:space="preserve">In his speech on 7 June 2018, on the occasion of the promulgation of the new Constitution, the President of the Republic called on Burundians “to continue [their] efforts to contribute” to the 2020 elections which, he said, are “on a voluntary basis, without any constraint”. Two days earlier, the Minister of Finance, Domitien Ndihokubwayo, had declared </w:t>
      </w:r>
      <w:r w:rsidR="00030F6C">
        <w:rPr>
          <w:bCs/>
          <w:lang w:val="en-GB"/>
        </w:rPr>
        <w:t>during</w:t>
      </w:r>
      <w:r w:rsidRPr="0081511E">
        <w:rPr>
          <w:bCs/>
          <w:lang w:val="en-GB"/>
        </w:rPr>
        <w:t xml:space="preserve"> a press conference</w:t>
      </w:r>
      <w:r w:rsidRPr="0081511E">
        <w:rPr>
          <w:bCs/>
          <w:vertAlign w:val="superscript"/>
          <w:lang w:val="en-GB"/>
        </w:rPr>
        <w:footnoteReference w:id="552"/>
      </w:r>
      <w:r w:rsidRPr="0081511E">
        <w:rPr>
          <w:bCs/>
          <w:lang w:val="en-GB"/>
        </w:rPr>
        <w:t xml:space="preserve"> that 1</w:t>
      </w:r>
      <w:r w:rsidR="00030F6C">
        <w:rPr>
          <w:bCs/>
          <w:lang w:val="en-GB"/>
        </w:rPr>
        <w:t>7.2 billion Burundian francs (</w:t>
      </w:r>
      <w:r w:rsidRPr="0081511E">
        <w:rPr>
          <w:bCs/>
          <w:lang w:val="en-GB"/>
        </w:rPr>
        <w:t>9.8 million</w:t>
      </w:r>
      <w:r w:rsidR="00030F6C">
        <w:rPr>
          <w:bCs/>
          <w:lang w:val="en-GB"/>
        </w:rPr>
        <w:t xml:space="preserve"> US dollars</w:t>
      </w:r>
      <w:r w:rsidRPr="0081511E">
        <w:rPr>
          <w:bCs/>
          <w:lang w:val="en-GB"/>
        </w:rPr>
        <w:t>) had been collected as of 31 May 2018 and that, in addition, the government intended to pay 12</w:t>
      </w:r>
      <w:r w:rsidR="00030F6C">
        <w:rPr>
          <w:bCs/>
          <w:lang w:val="en-GB"/>
        </w:rPr>
        <w:t>.5 billion Burundian francs (</w:t>
      </w:r>
      <w:r w:rsidRPr="0081511E">
        <w:rPr>
          <w:bCs/>
          <w:lang w:val="en-GB"/>
        </w:rPr>
        <w:t>7.1 million</w:t>
      </w:r>
      <w:r w:rsidR="00030F6C">
        <w:rPr>
          <w:bCs/>
          <w:lang w:val="en-GB"/>
        </w:rPr>
        <w:t xml:space="preserve"> US dollars</w:t>
      </w:r>
      <w:r w:rsidRPr="0081511E">
        <w:rPr>
          <w:bCs/>
          <w:lang w:val="en-GB"/>
        </w:rPr>
        <w:t xml:space="preserve">) under the budget line in the 2018 </w:t>
      </w:r>
      <w:r w:rsidR="00030F6C">
        <w:rPr>
          <w:bCs/>
          <w:lang w:val="en-GB"/>
        </w:rPr>
        <w:t>financial law</w:t>
      </w:r>
      <w:r w:rsidRPr="0081511E">
        <w:rPr>
          <w:bCs/>
          <w:lang w:val="en-GB"/>
        </w:rPr>
        <w:t>. H</w:t>
      </w:r>
      <w:r w:rsidR="00030F6C">
        <w:rPr>
          <w:bCs/>
          <w:lang w:val="en-GB"/>
        </w:rPr>
        <w:t>e also noted that the G</w:t>
      </w:r>
      <w:r w:rsidRPr="0081511E">
        <w:rPr>
          <w:bCs/>
          <w:lang w:val="en-GB"/>
        </w:rPr>
        <w:t>overnment had evaluated the total budget of the 2020 elections at 70 billion Burundian francs (40 million</w:t>
      </w:r>
      <w:r w:rsidR="00030F6C">
        <w:rPr>
          <w:bCs/>
          <w:lang w:val="en-GB"/>
        </w:rPr>
        <w:t xml:space="preserve"> US dollars</w:t>
      </w:r>
      <w:r w:rsidRPr="0081511E">
        <w:rPr>
          <w:bCs/>
          <w:lang w:val="en-GB"/>
        </w:rPr>
        <w:t>) while indicating that this budget was “provisional” and was going to be reassessed since CENI had “used material and equipment during the preparation of the constitutional referendum”. This implies t</w:t>
      </w:r>
      <w:r w:rsidR="00030F6C">
        <w:rPr>
          <w:bCs/>
          <w:lang w:val="en-GB"/>
        </w:rPr>
        <w:t>hat the Burundian G</w:t>
      </w:r>
      <w:r w:rsidRPr="0081511E">
        <w:rPr>
          <w:bCs/>
          <w:lang w:val="en-GB"/>
        </w:rPr>
        <w:t>overnment will still have to collect at least</w:t>
      </w:r>
      <w:r w:rsidRPr="007158E9">
        <w:rPr>
          <w:lang w:val="en-GB"/>
        </w:rPr>
        <w:t xml:space="preserve"> 40 billion Burundian francs (22.8 million</w:t>
      </w:r>
      <w:r w:rsidR="00030F6C">
        <w:rPr>
          <w:lang w:val="en-GB"/>
        </w:rPr>
        <w:t xml:space="preserve"> US dollars</w:t>
      </w:r>
      <w:r w:rsidRPr="007158E9">
        <w:rPr>
          <w:lang w:val="en-GB"/>
        </w:rPr>
        <w:t>) in 2019 and until the 2020 election deadline, a substantial amount in a poor country with an economic growth close to zero. Contrary to the Head of State’s statement, volunteer</w:t>
      </w:r>
      <w:r w:rsidR="00030F6C">
        <w:rPr>
          <w:lang w:val="en-GB"/>
        </w:rPr>
        <w:t xml:space="preserve"> contributions </w:t>
      </w:r>
      <w:r w:rsidRPr="007158E9">
        <w:rPr>
          <w:lang w:val="en-GB"/>
        </w:rPr>
        <w:t>would not suffice in order to raise such an amount. Again, it is all Burundians who risk being forced to contribute.</w:t>
      </w:r>
    </w:p>
    <w:p w14:paraId="1520C1E3" w14:textId="28846822" w:rsidR="006B05D6" w:rsidRPr="007158E9" w:rsidRDefault="006B05D6" w:rsidP="00F3729C">
      <w:pPr>
        <w:pStyle w:val="H4G"/>
        <w:numPr>
          <w:ilvl w:val="0"/>
          <w:numId w:val="41"/>
        </w:numPr>
        <w:tabs>
          <w:tab w:val="clear" w:pos="851"/>
          <w:tab w:val="right" w:pos="1170"/>
        </w:tabs>
        <w:ind w:right="1138"/>
        <w:rPr>
          <w:b/>
          <w:lang w:val="en-GB"/>
        </w:rPr>
      </w:pPr>
      <w:r w:rsidRPr="008B1B58">
        <w:rPr>
          <w:b/>
          <w:i w:val="0"/>
          <w:lang w:val="en-GB"/>
        </w:rPr>
        <w:t>Impact of violations of civil and political rights on the socio-economic situation</w:t>
      </w:r>
      <w:r w:rsidRPr="006259E3">
        <w:rPr>
          <w:b/>
          <w:i w:val="0"/>
          <w:lang w:val="en-GB"/>
        </w:rPr>
        <w:t xml:space="preserve"> of the victims’ </w:t>
      </w:r>
      <w:r w:rsidR="00172561">
        <w:rPr>
          <w:b/>
          <w:i w:val="0"/>
          <w:lang w:val="en-GB"/>
        </w:rPr>
        <w:t>spouses</w:t>
      </w:r>
      <w:r w:rsidRPr="006259E3">
        <w:rPr>
          <w:b/>
          <w:i w:val="0"/>
          <w:lang w:val="en-GB"/>
        </w:rPr>
        <w:t xml:space="preserve"> and children.</w:t>
      </w:r>
      <w:r w:rsidRPr="007158E9">
        <w:rPr>
          <w:b/>
          <w:lang w:val="en-GB"/>
        </w:rPr>
        <w:t xml:space="preserve"> </w:t>
      </w:r>
    </w:p>
    <w:p w14:paraId="24BAE2E1" w14:textId="3ED401E8" w:rsidR="006B05D6" w:rsidRPr="0081511E" w:rsidRDefault="006B05D6" w:rsidP="006B05D6">
      <w:pPr>
        <w:pStyle w:val="SingleTxtG"/>
        <w:rPr>
          <w:lang w:val="en-GB"/>
        </w:rPr>
      </w:pPr>
      <w:r w:rsidRPr="001B266A">
        <w:rPr>
          <w:bCs/>
          <w:lang w:val="en-GB"/>
        </w:rPr>
        <w:t xml:space="preserve">647. As </w:t>
      </w:r>
      <w:r w:rsidR="00172561">
        <w:rPr>
          <w:bCs/>
          <w:lang w:val="en-GB"/>
        </w:rPr>
        <w:t>previously stated</w:t>
      </w:r>
      <w:r w:rsidRPr="001B266A">
        <w:rPr>
          <w:bCs/>
          <w:lang w:val="en-GB"/>
        </w:rPr>
        <w:t xml:space="preserve">, violations of civil and political rights </w:t>
      </w:r>
      <w:r w:rsidR="00172561" w:rsidRPr="001B266A">
        <w:rPr>
          <w:bCs/>
          <w:lang w:val="en-GB"/>
        </w:rPr>
        <w:t xml:space="preserve">documented in the Commission’s current and previous report </w:t>
      </w:r>
      <w:r w:rsidRPr="001B266A">
        <w:rPr>
          <w:bCs/>
          <w:lang w:val="en-GB"/>
        </w:rPr>
        <w:t xml:space="preserve">– specifically arbitrary executions, arbitrary detentions and enforced disappearances – </w:t>
      </w:r>
      <w:r w:rsidR="00172561" w:rsidRPr="001B266A">
        <w:rPr>
          <w:bCs/>
          <w:lang w:val="en-GB"/>
        </w:rPr>
        <w:t>predominantly affect men</w:t>
      </w:r>
      <w:r w:rsidR="00172561">
        <w:rPr>
          <w:bCs/>
          <w:lang w:val="en-GB"/>
        </w:rPr>
        <w:t>, but they</w:t>
      </w:r>
      <w:r w:rsidR="00172561" w:rsidRPr="001B266A">
        <w:rPr>
          <w:bCs/>
          <w:lang w:val="en-GB"/>
        </w:rPr>
        <w:t xml:space="preserve"> </w:t>
      </w:r>
      <w:r w:rsidRPr="001B266A">
        <w:rPr>
          <w:bCs/>
          <w:lang w:val="en-GB"/>
        </w:rPr>
        <w:t>have an impact not only on the victims but also on their families. In addition to the threats</w:t>
      </w:r>
      <w:r w:rsidRPr="0081511E">
        <w:rPr>
          <w:lang w:val="en-GB"/>
        </w:rPr>
        <w:t>, violence or trauma they suffered, most of them have also seen their socio-economic situation deteriorate.</w:t>
      </w:r>
    </w:p>
    <w:p w14:paraId="309E9B2B" w14:textId="13726339" w:rsidR="006B05D6" w:rsidRPr="0081511E" w:rsidRDefault="006B05D6" w:rsidP="006B05D6">
      <w:pPr>
        <w:pStyle w:val="SingleTxtG"/>
        <w:rPr>
          <w:lang w:val="en-GB"/>
        </w:rPr>
      </w:pPr>
      <w:r w:rsidRPr="0081511E">
        <w:rPr>
          <w:lang w:val="en-GB"/>
        </w:rPr>
        <w:t>648. Men who are absent due to detention, abduction or execution and who headed their families often leave their wives and children destitute overnight. As highlighted earlier in this report, women heads of households are more at risk of falling into poverty as a result of discrimination and their lower socio-economic status</w:t>
      </w:r>
      <w:r w:rsidR="00172561">
        <w:rPr>
          <w:lang w:val="en-GB"/>
        </w:rPr>
        <w:t>.</w:t>
      </w:r>
      <w:r w:rsidRPr="0081511E">
        <w:rPr>
          <w:vertAlign w:val="superscript"/>
          <w:lang w:val="en-GB"/>
        </w:rPr>
        <w:footnoteReference w:id="553"/>
      </w:r>
      <w:r w:rsidRPr="0081511E">
        <w:rPr>
          <w:lang w:val="en-GB"/>
        </w:rPr>
        <w:t xml:space="preserve"> The Commission has received numerous statements from wives of men who have been detained, abducted or executed, or who have fled Burundi for fear of enduring violations of their civil and political rights; citing the economic difficulties that they have to face alone in order to meet the basic needs of their family, such as covering their children’s medical, housing, food, clothing and education expenses</w:t>
      </w:r>
      <w:r w:rsidR="00172561">
        <w:rPr>
          <w:lang w:val="en-GB"/>
        </w:rPr>
        <w:t>.</w:t>
      </w:r>
      <w:r w:rsidRPr="0081511E">
        <w:rPr>
          <w:vertAlign w:val="superscript"/>
          <w:lang w:val="en-GB"/>
        </w:rPr>
        <w:footnoteReference w:id="554"/>
      </w:r>
    </w:p>
    <w:p w14:paraId="4FB39AC2" w14:textId="70BCC22B" w:rsidR="006B05D6" w:rsidRPr="0081511E" w:rsidRDefault="006B05D6" w:rsidP="006B05D6">
      <w:pPr>
        <w:pStyle w:val="SingleTxtG"/>
        <w:rPr>
          <w:lang w:val="en-GB"/>
        </w:rPr>
      </w:pPr>
      <w:r w:rsidRPr="0081511E">
        <w:rPr>
          <w:lang w:val="en-GB"/>
        </w:rPr>
        <w:t xml:space="preserve">649. In many cases documented by the Commission, wives who were left alone with dependent family members </w:t>
      </w:r>
      <w:r w:rsidR="00172561" w:rsidRPr="0081511E">
        <w:rPr>
          <w:lang w:val="en-GB"/>
        </w:rPr>
        <w:t xml:space="preserve">already </w:t>
      </w:r>
      <w:r w:rsidRPr="0081511E">
        <w:rPr>
          <w:lang w:val="en-GB"/>
        </w:rPr>
        <w:t>lived in precarious conditions before their spouses were victims of human rights violations or had to flee the country. For example, a woman described the economic situation of her family before the abduction of her husband in these terms:</w:t>
      </w:r>
    </w:p>
    <w:p w14:paraId="3844F206" w14:textId="149B206E" w:rsidR="006B05D6" w:rsidRPr="0081511E" w:rsidRDefault="006B05D6" w:rsidP="000746A6">
      <w:pPr>
        <w:pStyle w:val="SingleTxtG"/>
        <w:ind w:left="1701"/>
        <w:rPr>
          <w:lang w:val="en-GB"/>
        </w:rPr>
      </w:pPr>
      <w:r w:rsidRPr="0081511E">
        <w:rPr>
          <w:i/>
          <w:lang w:val="en-GB"/>
        </w:rPr>
        <w:t>“My husband farmed other people’s land for a modest wage. The money was used for eating and paying rent. There was nothing left to put aside in savings</w:t>
      </w:r>
      <w:r w:rsidR="00172561">
        <w:rPr>
          <w:i/>
          <w:lang w:val="en-GB"/>
        </w:rPr>
        <w:t>”</w:t>
      </w:r>
      <w:r w:rsidRPr="0081511E">
        <w:rPr>
          <w:i/>
          <w:lang w:val="en-GB"/>
        </w:rPr>
        <w:t>.</w:t>
      </w:r>
      <w:r w:rsidRPr="0081511E">
        <w:rPr>
          <w:vertAlign w:val="superscript"/>
          <w:lang w:val="en-GB"/>
        </w:rPr>
        <w:footnoteReference w:id="555"/>
      </w:r>
      <w:r w:rsidRPr="0081511E">
        <w:rPr>
          <w:vertAlign w:val="superscript"/>
          <w:lang w:val="en-GB"/>
        </w:rPr>
        <w:t xml:space="preserve"> </w:t>
      </w:r>
    </w:p>
    <w:p w14:paraId="48059916" w14:textId="0D6F0115" w:rsidR="006B05D6" w:rsidRPr="0081511E" w:rsidRDefault="006B05D6" w:rsidP="006B05D6">
      <w:pPr>
        <w:pStyle w:val="SingleTxtG"/>
        <w:rPr>
          <w:lang w:val="en-GB"/>
        </w:rPr>
      </w:pPr>
      <w:r w:rsidRPr="0081511E">
        <w:rPr>
          <w:lang w:val="en-GB"/>
        </w:rPr>
        <w:t>650. In other cases, both spouses managed to support their families using their combined income. Most wives interviewed by the Commission mentioned that they lived on farming mainly</w:t>
      </w:r>
      <w:r w:rsidR="00172561">
        <w:rPr>
          <w:lang w:val="en-GB"/>
        </w:rPr>
        <w:t>,</w:t>
      </w:r>
      <w:r w:rsidRPr="0081511E">
        <w:rPr>
          <w:vertAlign w:val="superscript"/>
          <w:lang w:val="en-GB"/>
        </w:rPr>
        <w:footnoteReference w:id="556"/>
      </w:r>
      <w:r w:rsidRPr="0081511E">
        <w:rPr>
          <w:lang w:val="en-GB"/>
        </w:rPr>
        <w:t xml:space="preserve"> which in the majority of cases was subsistence farming. Many also earned an income from small businesses such as selling fruits and vegetables and other food products</w:t>
      </w:r>
      <w:r w:rsidR="00172561">
        <w:rPr>
          <w:lang w:val="en-GB"/>
        </w:rPr>
        <w:t>,</w:t>
      </w:r>
      <w:r w:rsidRPr="0081511E">
        <w:rPr>
          <w:vertAlign w:val="superscript"/>
          <w:lang w:val="en-GB"/>
        </w:rPr>
        <w:footnoteReference w:id="557"/>
      </w:r>
      <w:r w:rsidRPr="0081511E">
        <w:rPr>
          <w:lang w:val="en-GB"/>
        </w:rPr>
        <w:t xml:space="preserve"> with some modest profit margins.</w:t>
      </w:r>
    </w:p>
    <w:p w14:paraId="19CEB0B8" w14:textId="49F477AA" w:rsidR="006B05D6" w:rsidRPr="0081511E" w:rsidRDefault="006B05D6" w:rsidP="006B05D6">
      <w:pPr>
        <w:pStyle w:val="SingleTxtG"/>
        <w:rPr>
          <w:lang w:val="en-GB"/>
        </w:rPr>
      </w:pPr>
      <w:r w:rsidRPr="0081511E">
        <w:rPr>
          <w:lang w:val="en-GB"/>
        </w:rPr>
        <w:t>651. The absence of one’s spouse has exacerbated this economic precariousness. According to some statements, women farmers reduced their activities in the fields, for fear of their safety following the violence and threats suffered by their families</w:t>
      </w:r>
      <w:r w:rsidR="00172561">
        <w:rPr>
          <w:lang w:val="en-GB"/>
        </w:rPr>
        <w:t>.</w:t>
      </w:r>
      <w:r w:rsidRPr="0081511E">
        <w:rPr>
          <w:vertAlign w:val="superscript"/>
          <w:lang w:val="en-GB"/>
        </w:rPr>
        <w:footnoteReference w:id="558"/>
      </w:r>
      <w:r w:rsidRPr="0081511E">
        <w:rPr>
          <w:lang w:val="en-GB"/>
        </w:rPr>
        <w:t xml:space="preserve"> </w:t>
      </w:r>
      <w:r w:rsidR="00172561">
        <w:rPr>
          <w:lang w:val="en-GB"/>
        </w:rPr>
        <w:t>One of them recounted</w:t>
      </w:r>
      <w:r w:rsidRPr="0081511E">
        <w:rPr>
          <w:lang w:val="en-GB"/>
        </w:rPr>
        <w:t>:</w:t>
      </w:r>
    </w:p>
    <w:p w14:paraId="295E4083" w14:textId="7D29652E" w:rsidR="006B05D6" w:rsidRPr="0081511E" w:rsidRDefault="006B05D6" w:rsidP="00486AC7">
      <w:pPr>
        <w:pStyle w:val="SingleTxtG"/>
        <w:ind w:left="1701"/>
        <w:rPr>
          <w:lang w:val="en-GB"/>
        </w:rPr>
      </w:pPr>
      <w:r w:rsidRPr="0081511E">
        <w:rPr>
          <w:lang w:val="en-GB"/>
        </w:rPr>
        <w:t>“</w:t>
      </w:r>
      <w:r w:rsidRPr="0081511E">
        <w:rPr>
          <w:i/>
          <w:lang w:val="en-GB"/>
        </w:rPr>
        <w:t>After my husband left, the financial situation was difficult. My husband had left nothing but hens that I could sell. I had to manage on my own and provide for the children’s needs and my own [...] I was afraid of going to farm my small piece of land. When I saw people approaching and hanging around my field, I went back [home] to avoid problems</w:t>
      </w:r>
      <w:r w:rsidR="00172561">
        <w:rPr>
          <w:i/>
          <w:lang w:val="en-GB"/>
        </w:rPr>
        <w:t>”</w:t>
      </w:r>
      <w:r w:rsidRPr="0081511E">
        <w:rPr>
          <w:lang w:val="en-GB"/>
        </w:rPr>
        <w:t>.</w:t>
      </w:r>
      <w:r w:rsidRPr="0081511E">
        <w:rPr>
          <w:vertAlign w:val="superscript"/>
          <w:lang w:val="en-GB"/>
        </w:rPr>
        <w:footnoteReference w:id="559"/>
      </w:r>
    </w:p>
    <w:p w14:paraId="1FDDA7E0" w14:textId="77777777" w:rsidR="006B05D6" w:rsidRPr="0081511E" w:rsidRDefault="006B05D6" w:rsidP="006B05D6">
      <w:pPr>
        <w:pStyle w:val="SingleTxtG"/>
        <w:rPr>
          <w:lang w:val="en-GB"/>
        </w:rPr>
      </w:pPr>
      <w:r w:rsidRPr="0081511E">
        <w:rPr>
          <w:lang w:val="en-GB"/>
        </w:rPr>
        <w:t xml:space="preserve">652. In other cases, women were forced to reduce their economic activities in order to look after their children in the absence of their spouse, as in the case of a shopkeeper who testified of the abduction of her husband in early 2017: </w:t>
      </w:r>
    </w:p>
    <w:p w14:paraId="157DFE64" w14:textId="482EB8D0" w:rsidR="006B05D6" w:rsidRPr="0081511E" w:rsidRDefault="006B05D6" w:rsidP="00453DC1">
      <w:pPr>
        <w:pStyle w:val="SingleTxtG"/>
        <w:ind w:left="1701"/>
        <w:rPr>
          <w:lang w:val="en-GB"/>
        </w:rPr>
      </w:pPr>
      <w:r w:rsidRPr="0081511E">
        <w:rPr>
          <w:i/>
          <w:lang w:val="en-GB"/>
        </w:rPr>
        <w:t>“I was in an extremely difficult economic situation after my husband’s disappearance. [...] Before [...] I spent a lot of time in the countryside to stock up on supplies. Once my husband was gone, I had to stop traveling because I could not leave the children alone at home. My purchasing power decreased as a result, because I did not sell as much as I used to”</w:t>
      </w:r>
      <w:r w:rsidR="00172561">
        <w:rPr>
          <w:i/>
          <w:lang w:val="en-GB"/>
        </w:rPr>
        <w:t>.</w:t>
      </w:r>
      <w:r w:rsidRPr="0081511E">
        <w:rPr>
          <w:vertAlign w:val="superscript"/>
          <w:lang w:val="en-GB"/>
        </w:rPr>
        <w:footnoteReference w:id="560"/>
      </w:r>
    </w:p>
    <w:p w14:paraId="1D94F6C8" w14:textId="5E142384" w:rsidR="006B05D6" w:rsidRPr="0081511E" w:rsidRDefault="006B05D6" w:rsidP="006B05D6">
      <w:pPr>
        <w:pStyle w:val="SingleTxtG"/>
        <w:rPr>
          <w:lang w:val="en-GB"/>
        </w:rPr>
      </w:pPr>
      <w:r w:rsidRPr="0081511E">
        <w:rPr>
          <w:lang w:val="en-GB"/>
        </w:rPr>
        <w:t>653. Several unemployed wives</w:t>
      </w:r>
      <w:r w:rsidRPr="0081511E">
        <w:rPr>
          <w:vertAlign w:val="superscript"/>
          <w:lang w:val="en-GB"/>
        </w:rPr>
        <w:footnoteReference w:id="561"/>
      </w:r>
      <w:r w:rsidRPr="0081511E">
        <w:rPr>
          <w:lang w:val="en-GB"/>
        </w:rPr>
        <w:t xml:space="preserve"> were forced to depend on the assistance of their own family</w:t>
      </w:r>
      <w:r w:rsidRPr="0081511E">
        <w:rPr>
          <w:vertAlign w:val="superscript"/>
          <w:lang w:val="en-GB"/>
        </w:rPr>
        <w:footnoteReference w:id="562"/>
      </w:r>
      <w:r w:rsidRPr="0081511E">
        <w:rPr>
          <w:lang w:val="en-GB"/>
        </w:rPr>
        <w:t xml:space="preserve"> or of benefactors around them, often from religious communities</w:t>
      </w:r>
      <w:r w:rsidR="00172561">
        <w:rPr>
          <w:lang w:val="en-GB"/>
        </w:rPr>
        <w:t>,</w:t>
      </w:r>
      <w:r w:rsidRPr="0081511E">
        <w:rPr>
          <w:vertAlign w:val="superscript"/>
          <w:lang w:val="en-GB"/>
        </w:rPr>
        <w:footnoteReference w:id="563"/>
      </w:r>
      <w:r w:rsidRPr="0081511E">
        <w:rPr>
          <w:lang w:val="en-GB"/>
        </w:rPr>
        <w:t xml:space="preserve"> and/or survive on small, informal jobs</w:t>
      </w:r>
      <w:r w:rsidR="00172561">
        <w:rPr>
          <w:lang w:val="en-GB"/>
        </w:rPr>
        <w:t>,</w:t>
      </w:r>
      <w:r w:rsidRPr="0081511E">
        <w:rPr>
          <w:vertAlign w:val="superscript"/>
          <w:lang w:val="en-GB"/>
        </w:rPr>
        <w:footnoteReference w:id="564"/>
      </w:r>
      <w:r w:rsidRPr="0081511E">
        <w:rPr>
          <w:lang w:val="en-GB"/>
        </w:rPr>
        <w:t xml:space="preserve"> due to the lack of their spouse’s income. One woman testified:</w:t>
      </w:r>
    </w:p>
    <w:p w14:paraId="76CC0FD3" w14:textId="0396311E" w:rsidR="006B05D6" w:rsidRPr="0081511E" w:rsidRDefault="006B05D6" w:rsidP="00453DC1">
      <w:pPr>
        <w:pStyle w:val="SingleTxtG"/>
        <w:ind w:left="1701"/>
        <w:rPr>
          <w:lang w:val="en-GB"/>
        </w:rPr>
      </w:pPr>
      <w:r w:rsidRPr="0081511E">
        <w:rPr>
          <w:lang w:val="en-GB"/>
        </w:rPr>
        <w:t>“</w:t>
      </w:r>
      <w:r w:rsidRPr="0081511E">
        <w:rPr>
          <w:i/>
          <w:lang w:val="en-GB"/>
        </w:rPr>
        <w:t>After my husband left, I simply had nothing to eat, overnight [...] I am an orphan and I have no brothers and sisters, so I had no family who could support me […] I asked for accommodation with an elderly mother who agreed to accommodate me. She saw that [...] I had nowhere to go and she felt sorry for me. [...] Given the insecurity that prevailed and since my child and I did not have enough to eat, I decided to leave my country</w:t>
      </w:r>
      <w:r w:rsidR="00172561">
        <w:rPr>
          <w:i/>
          <w:lang w:val="en-GB"/>
        </w:rPr>
        <w:t>”</w:t>
      </w:r>
      <w:r w:rsidRPr="0081511E">
        <w:rPr>
          <w:lang w:val="en-GB"/>
        </w:rPr>
        <w:t>.</w:t>
      </w:r>
      <w:r w:rsidRPr="0081511E">
        <w:rPr>
          <w:vertAlign w:val="superscript"/>
          <w:lang w:val="en-GB"/>
        </w:rPr>
        <w:footnoteReference w:id="565"/>
      </w:r>
    </w:p>
    <w:p w14:paraId="0D880233" w14:textId="7A70B54C" w:rsidR="006B05D6" w:rsidRPr="007158E9" w:rsidRDefault="006B05D6" w:rsidP="006B05D6">
      <w:pPr>
        <w:pStyle w:val="SingleTxtG"/>
        <w:rPr>
          <w:bCs/>
          <w:lang w:val="en-GB"/>
        </w:rPr>
      </w:pPr>
      <w:r w:rsidRPr="0081511E">
        <w:rPr>
          <w:lang w:val="en-GB"/>
        </w:rPr>
        <w:t>654. Several women reported that due to the lack of resources to support their families</w:t>
      </w:r>
      <w:r w:rsidRPr="007158E9">
        <w:rPr>
          <w:lang w:val="en-GB"/>
        </w:rPr>
        <w:t xml:space="preserve"> in the absence of their spouses, they were forced to reduce the quantity and/or quality of food they gave their children. Several statements have mentioned difficulties for these women to generate enough income to ensure minimum food</w:t>
      </w:r>
      <w:r w:rsidR="00172561">
        <w:rPr>
          <w:lang w:val="en-GB"/>
        </w:rPr>
        <w:t>.</w:t>
      </w:r>
      <w:r w:rsidRPr="007158E9">
        <w:rPr>
          <w:bCs/>
          <w:vertAlign w:val="superscript"/>
          <w:lang w:val="en-GB"/>
        </w:rPr>
        <w:footnoteReference w:id="566"/>
      </w:r>
      <w:r w:rsidRPr="007158E9">
        <w:rPr>
          <w:lang w:val="en-GB"/>
        </w:rPr>
        <w:t xml:space="preserve"> Some families have reduced the number of daily meals to just one</w:t>
      </w:r>
      <w:r w:rsidR="00172561">
        <w:rPr>
          <w:lang w:val="en-GB"/>
        </w:rPr>
        <w:t>.</w:t>
      </w:r>
      <w:r w:rsidRPr="007158E9">
        <w:rPr>
          <w:bCs/>
          <w:vertAlign w:val="superscript"/>
          <w:lang w:val="en-GB"/>
        </w:rPr>
        <w:footnoteReference w:id="567"/>
      </w:r>
      <w:r w:rsidRPr="007158E9">
        <w:rPr>
          <w:lang w:val="en-GB"/>
        </w:rPr>
        <w:t xml:space="preserve"> A woman </w:t>
      </w:r>
      <w:r w:rsidR="00172561">
        <w:rPr>
          <w:lang w:val="en-GB"/>
        </w:rPr>
        <w:t>explain</w:t>
      </w:r>
      <w:r w:rsidRPr="007158E9">
        <w:rPr>
          <w:lang w:val="en-GB"/>
        </w:rPr>
        <w:t>ed:</w:t>
      </w:r>
    </w:p>
    <w:p w14:paraId="35C90B69" w14:textId="763949CA" w:rsidR="006B05D6" w:rsidRPr="007158E9" w:rsidRDefault="006B05D6" w:rsidP="00E32B0B">
      <w:pPr>
        <w:pStyle w:val="SingleTxtG"/>
        <w:ind w:left="1701"/>
        <w:rPr>
          <w:bCs/>
          <w:lang w:val="en-GB"/>
        </w:rPr>
      </w:pPr>
      <w:r w:rsidRPr="007158E9">
        <w:rPr>
          <w:lang w:val="en-GB"/>
        </w:rPr>
        <w:t>“</w:t>
      </w:r>
      <w:r w:rsidRPr="007158E9">
        <w:rPr>
          <w:i/>
          <w:lang w:val="en-GB"/>
        </w:rPr>
        <w:t xml:space="preserve">I was having a hard time dealing with my husband’s arrest and his absence [...] </w:t>
      </w:r>
      <w:r w:rsidR="00172561">
        <w:rPr>
          <w:i/>
          <w:lang w:val="en-GB"/>
        </w:rPr>
        <w:t>After</w:t>
      </w:r>
      <w:r w:rsidRPr="007158E9">
        <w:rPr>
          <w:i/>
          <w:lang w:val="en-GB"/>
        </w:rPr>
        <w:t xml:space="preserve"> my husband left, I [...] ate </w:t>
      </w:r>
      <w:r w:rsidR="00172561">
        <w:rPr>
          <w:i/>
          <w:lang w:val="en-GB"/>
        </w:rPr>
        <w:t xml:space="preserve">only </w:t>
      </w:r>
      <w:r w:rsidRPr="007158E9">
        <w:rPr>
          <w:i/>
          <w:lang w:val="en-GB"/>
        </w:rPr>
        <w:t>once a day [...] My child often fell ill because he did not eat much</w:t>
      </w:r>
      <w:r w:rsidRPr="007158E9">
        <w:rPr>
          <w:lang w:val="en-GB"/>
        </w:rPr>
        <w:t>”</w:t>
      </w:r>
      <w:r w:rsidR="00172561">
        <w:rPr>
          <w:lang w:val="en-GB"/>
        </w:rPr>
        <w:t>.</w:t>
      </w:r>
      <w:r w:rsidRPr="007158E9">
        <w:rPr>
          <w:bCs/>
          <w:vertAlign w:val="superscript"/>
          <w:lang w:val="en-GB"/>
        </w:rPr>
        <w:footnoteReference w:id="568"/>
      </w:r>
    </w:p>
    <w:p w14:paraId="7CC78D6A" w14:textId="1B1322AF" w:rsidR="006B05D6" w:rsidRPr="001B266A" w:rsidRDefault="006B05D6" w:rsidP="006B05D6">
      <w:pPr>
        <w:pStyle w:val="SingleTxtG"/>
        <w:rPr>
          <w:bCs/>
          <w:lang w:val="en-GB"/>
        </w:rPr>
      </w:pPr>
      <w:r w:rsidRPr="001B266A">
        <w:rPr>
          <w:bCs/>
          <w:lang w:val="en-GB"/>
        </w:rPr>
        <w:t>655. Lack of access to sufficient and quality food has particularly severe and often irreversible consequences, especially for young children</w:t>
      </w:r>
      <w:r w:rsidR="00172561">
        <w:rPr>
          <w:bCs/>
          <w:lang w:val="en-GB"/>
        </w:rPr>
        <w:t>.</w:t>
      </w:r>
      <w:r w:rsidRPr="001B266A">
        <w:rPr>
          <w:bCs/>
          <w:vertAlign w:val="superscript"/>
          <w:lang w:val="en-GB"/>
        </w:rPr>
        <w:footnoteReference w:id="569"/>
      </w:r>
      <w:r w:rsidRPr="001B266A">
        <w:rPr>
          <w:bCs/>
          <w:lang w:val="en-GB"/>
        </w:rPr>
        <w:t xml:space="preserve"> Beyond the right to food, the absence of the head of family often has an impact on other economic and social rights of children, such as the right to educatio</w:t>
      </w:r>
      <w:r w:rsidR="00172561">
        <w:rPr>
          <w:bCs/>
          <w:lang w:val="en-GB"/>
        </w:rPr>
        <w:t>n. Some children whose fathers we</w:t>
      </w:r>
      <w:r w:rsidRPr="001B266A">
        <w:rPr>
          <w:bCs/>
          <w:lang w:val="en-GB"/>
        </w:rPr>
        <w:t>re targeted for their alleged political affiliation have themselves sometimes been victims of harassment and/or threats to the point of being withdrawn from school, because their families feared for their safety</w:t>
      </w:r>
      <w:r w:rsidR="00172561">
        <w:rPr>
          <w:bCs/>
          <w:lang w:val="en-GB"/>
        </w:rPr>
        <w:t>.</w:t>
      </w:r>
      <w:r w:rsidRPr="001B266A">
        <w:rPr>
          <w:bCs/>
          <w:vertAlign w:val="superscript"/>
          <w:lang w:val="en-GB"/>
        </w:rPr>
        <w:footnoteReference w:id="570"/>
      </w:r>
      <w:r w:rsidRPr="001B266A">
        <w:rPr>
          <w:bCs/>
          <w:lang w:val="en-GB"/>
        </w:rPr>
        <w:t xml:space="preserve"> In other cases, children had to drop out of school because in their father’s absence, the family’s economic resources </w:t>
      </w:r>
      <w:r w:rsidR="00172561">
        <w:rPr>
          <w:bCs/>
          <w:lang w:val="en-GB"/>
        </w:rPr>
        <w:t>being</w:t>
      </w:r>
      <w:r w:rsidRPr="001B266A">
        <w:rPr>
          <w:bCs/>
          <w:lang w:val="en-GB"/>
        </w:rPr>
        <w:t xml:space="preserve"> no longer sufficient to cover education costs</w:t>
      </w:r>
      <w:r w:rsidR="00172561">
        <w:rPr>
          <w:bCs/>
          <w:lang w:val="en-GB"/>
        </w:rPr>
        <w:t>.</w:t>
      </w:r>
      <w:r w:rsidRPr="001B266A">
        <w:rPr>
          <w:bCs/>
          <w:vertAlign w:val="superscript"/>
          <w:lang w:val="en-GB"/>
        </w:rPr>
        <w:footnoteReference w:id="571"/>
      </w:r>
    </w:p>
    <w:p w14:paraId="0E890649" w14:textId="77777777" w:rsidR="006B05D6" w:rsidRPr="001B266A" w:rsidRDefault="006B05D6" w:rsidP="006B05D6">
      <w:pPr>
        <w:pStyle w:val="SingleTxtG"/>
        <w:rPr>
          <w:bCs/>
          <w:lang w:val="en-GB"/>
        </w:rPr>
      </w:pPr>
      <w:r w:rsidRPr="001B266A">
        <w:rPr>
          <w:bCs/>
          <w:lang w:val="en-GB"/>
        </w:rPr>
        <w:t>656. Many women who became heads of household following the absence of their spouses ended up fleeing Burundi because they were unable to ensure their own survival and that of their families, in addition to being faced with growing insecurity, or even threats or attacks. A mother of seven recounted:</w:t>
      </w:r>
    </w:p>
    <w:p w14:paraId="39C2CBDA" w14:textId="21288C53" w:rsidR="006B05D6" w:rsidRPr="001B266A" w:rsidRDefault="006B05D6" w:rsidP="00E32B0B">
      <w:pPr>
        <w:pStyle w:val="SingleTxtG"/>
        <w:ind w:left="1701"/>
        <w:rPr>
          <w:bCs/>
          <w:lang w:val="en-GB"/>
        </w:rPr>
      </w:pPr>
      <w:r w:rsidRPr="001B266A">
        <w:rPr>
          <w:bCs/>
          <w:lang w:val="en-GB"/>
        </w:rPr>
        <w:t>“</w:t>
      </w:r>
      <w:r w:rsidRPr="001B266A">
        <w:rPr>
          <w:bCs/>
          <w:i/>
          <w:lang w:val="en-GB"/>
        </w:rPr>
        <w:t>After the attack, I did not live well. We were in a rented house and everything was stolen from us […]. To support us, I did odd jobs for the neighbours […] I couldn't take it anymore in the end. I did not feel safe, neither for my children nor for myself. I thought they could come back anytime to attack me again</w:t>
      </w:r>
      <w:r w:rsidRPr="001B266A">
        <w:rPr>
          <w:bCs/>
          <w:lang w:val="en-GB"/>
        </w:rPr>
        <w:t>”</w:t>
      </w:r>
      <w:r w:rsidR="003F3351">
        <w:rPr>
          <w:bCs/>
          <w:lang w:val="en-GB"/>
        </w:rPr>
        <w:t>.</w:t>
      </w:r>
      <w:r w:rsidRPr="001B266A">
        <w:rPr>
          <w:bCs/>
          <w:vertAlign w:val="superscript"/>
          <w:lang w:val="en-GB"/>
        </w:rPr>
        <w:footnoteReference w:id="572"/>
      </w:r>
    </w:p>
    <w:p w14:paraId="01133FEB" w14:textId="2D374F60" w:rsidR="006B05D6" w:rsidRPr="001B266A" w:rsidRDefault="006B05D6" w:rsidP="00691A23">
      <w:pPr>
        <w:pStyle w:val="SingleTxtG"/>
        <w:ind w:left="1701"/>
        <w:rPr>
          <w:bCs/>
          <w:lang w:val="en-GB"/>
        </w:rPr>
      </w:pPr>
      <w:r w:rsidRPr="001B266A">
        <w:rPr>
          <w:bCs/>
          <w:lang w:val="en-GB"/>
        </w:rPr>
        <w:t>A shopkeeper whose husband sought refuge outside the country in 2016 testified that in 2017 Imbonerakure burned down her shop and raped her. Having lost her livelihood and contracted HIV, she fled the country with her five children</w:t>
      </w:r>
      <w:r w:rsidR="003F3351">
        <w:rPr>
          <w:bCs/>
          <w:lang w:val="en-GB"/>
        </w:rPr>
        <w:t>.</w:t>
      </w:r>
      <w:r w:rsidRPr="001B266A">
        <w:rPr>
          <w:bCs/>
          <w:vertAlign w:val="superscript"/>
          <w:lang w:val="en-GB"/>
        </w:rPr>
        <w:footnoteReference w:id="573"/>
      </w:r>
    </w:p>
    <w:p w14:paraId="5A87C60E" w14:textId="19037580" w:rsidR="006B05D6" w:rsidRPr="001B266A" w:rsidRDefault="006B05D6" w:rsidP="006B05D6">
      <w:pPr>
        <w:pStyle w:val="SingleTxtG"/>
        <w:rPr>
          <w:bCs/>
          <w:lang w:val="en-GB"/>
        </w:rPr>
      </w:pPr>
      <w:r w:rsidRPr="001B266A">
        <w:rPr>
          <w:bCs/>
          <w:lang w:val="en-GB"/>
        </w:rPr>
        <w:t>657. For women who are left alone with dependent children, leaving the country is more complicated to organize than for men leaving alone. It involves particular risks for their safety and that of their children, as well as a high risk of being turned away, because fleeing as a group attracts more attention</w:t>
      </w:r>
      <w:r w:rsidR="003F3351">
        <w:rPr>
          <w:bCs/>
          <w:lang w:val="en-GB"/>
        </w:rPr>
        <w:t>.</w:t>
      </w:r>
      <w:r w:rsidRPr="001B266A">
        <w:rPr>
          <w:bCs/>
          <w:vertAlign w:val="superscript"/>
          <w:lang w:val="en-GB"/>
        </w:rPr>
        <w:footnoteReference w:id="574"/>
      </w:r>
      <w:r w:rsidRPr="001B266A">
        <w:rPr>
          <w:bCs/>
          <w:lang w:val="en-GB"/>
        </w:rPr>
        <w:t xml:space="preserve"> Women testified that they had to leave children in the care of others in order to avoid endangering them or jeopardising their escape</w:t>
      </w:r>
      <w:r w:rsidR="003F3351">
        <w:rPr>
          <w:bCs/>
          <w:lang w:val="en-GB"/>
        </w:rPr>
        <w:t>.</w:t>
      </w:r>
      <w:r w:rsidRPr="001B266A">
        <w:rPr>
          <w:bCs/>
          <w:vertAlign w:val="superscript"/>
          <w:lang w:val="en-GB"/>
        </w:rPr>
        <w:footnoteReference w:id="575"/>
      </w:r>
      <w:r w:rsidRPr="001B266A">
        <w:rPr>
          <w:bCs/>
          <w:lang w:val="en-GB"/>
        </w:rPr>
        <w:t xml:space="preserve"> </w:t>
      </w:r>
    </w:p>
    <w:p w14:paraId="25C5DCF5" w14:textId="7929F24E" w:rsidR="006B05D6" w:rsidRPr="007158E9" w:rsidRDefault="006B05D6" w:rsidP="006B05D6">
      <w:pPr>
        <w:pStyle w:val="SingleTxtG"/>
        <w:rPr>
          <w:bCs/>
          <w:lang w:val="en-GB"/>
        </w:rPr>
      </w:pPr>
      <w:r w:rsidRPr="001B266A">
        <w:rPr>
          <w:bCs/>
          <w:lang w:val="en-GB"/>
        </w:rPr>
        <w:t>658. Several women who have been left alone with dependent children have also indicated that they had to leave their house</w:t>
      </w:r>
      <w:r w:rsidRPr="007158E9">
        <w:rPr>
          <w:lang w:val="en-GB"/>
        </w:rPr>
        <w:t>, either because it was partially or completely destroyed during attacks</w:t>
      </w:r>
      <w:r w:rsidR="003F3351">
        <w:rPr>
          <w:lang w:val="en-GB"/>
        </w:rPr>
        <w:t>,</w:t>
      </w:r>
      <w:r w:rsidRPr="007158E9">
        <w:rPr>
          <w:bCs/>
          <w:vertAlign w:val="superscript"/>
          <w:lang w:val="en-GB"/>
        </w:rPr>
        <w:footnoteReference w:id="576"/>
      </w:r>
      <w:r w:rsidRPr="007158E9">
        <w:rPr>
          <w:lang w:val="en-GB"/>
        </w:rPr>
        <w:t xml:space="preserve"> for fear that they would be subjected to additional attacks or violations of human rights</w:t>
      </w:r>
      <w:r w:rsidR="003F3351">
        <w:rPr>
          <w:lang w:val="en-GB"/>
        </w:rPr>
        <w:t>,</w:t>
      </w:r>
      <w:r w:rsidRPr="007158E9">
        <w:rPr>
          <w:bCs/>
          <w:vertAlign w:val="superscript"/>
          <w:lang w:val="en-GB"/>
        </w:rPr>
        <w:footnoteReference w:id="577"/>
      </w:r>
      <w:r w:rsidRPr="007158E9">
        <w:rPr>
          <w:lang w:val="en-GB"/>
        </w:rPr>
        <w:t xml:space="preserve"> or for lack of means to pay rent</w:t>
      </w:r>
      <w:r w:rsidRPr="007158E9">
        <w:rPr>
          <w:bCs/>
          <w:vertAlign w:val="superscript"/>
          <w:lang w:val="en-GB"/>
        </w:rPr>
        <w:footnoteReference w:id="578"/>
      </w:r>
      <w:r w:rsidRPr="007158E9">
        <w:rPr>
          <w:lang w:val="en-GB"/>
        </w:rPr>
        <w:t xml:space="preserve">. One woman told the Commission: </w:t>
      </w:r>
    </w:p>
    <w:p w14:paraId="32BA6817" w14:textId="2ABC2022" w:rsidR="006B05D6" w:rsidRPr="007158E9" w:rsidRDefault="006B05D6" w:rsidP="00E32B0B">
      <w:pPr>
        <w:pStyle w:val="SingleTxtG"/>
        <w:ind w:left="1701"/>
        <w:rPr>
          <w:lang w:val="en-GB"/>
        </w:rPr>
      </w:pPr>
      <w:r w:rsidRPr="007158E9">
        <w:rPr>
          <w:bCs/>
          <w:lang w:val="en-GB"/>
        </w:rPr>
        <w:t>“</w:t>
      </w:r>
      <w:r w:rsidRPr="007158E9">
        <w:rPr>
          <w:i/>
          <w:lang w:val="en-GB"/>
        </w:rPr>
        <w:t>When the door to my house was ripped off, about two months after my husband was arrested, I moved to my sister’s house with my son</w:t>
      </w:r>
      <w:r w:rsidRPr="007158E9">
        <w:rPr>
          <w:lang w:val="en-GB"/>
        </w:rPr>
        <w:t>”</w:t>
      </w:r>
      <w:r w:rsidR="003F3351">
        <w:rPr>
          <w:lang w:val="en-GB"/>
        </w:rPr>
        <w:t>.</w:t>
      </w:r>
      <w:r w:rsidRPr="007158E9">
        <w:rPr>
          <w:bCs/>
          <w:vertAlign w:val="superscript"/>
          <w:lang w:val="en-GB"/>
        </w:rPr>
        <w:footnoteReference w:id="579"/>
      </w:r>
      <w:r w:rsidRPr="007158E9">
        <w:rPr>
          <w:lang w:val="en-GB"/>
        </w:rPr>
        <w:t xml:space="preserve"> </w:t>
      </w:r>
    </w:p>
    <w:p w14:paraId="3437FFF7" w14:textId="2E5F146D" w:rsidR="006B05D6" w:rsidRPr="007158E9" w:rsidRDefault="006B05D6" w:rsidP="00E32B0B">
      <w:pPr>
        <w:pStyle w:val="SingleTxtG"/>
        <w:ind w:left="1701"/>
        <w:rPr>
          <w:lang w:val="en-GB"/>
        </w:rPr>
      </w:pPr>
      <w:r w:rsidRPr="007158E9">
        <w:rPr>
          <w:lang w:val="en-GB"/>
        </w:rPr>
        <w:t>Another woman testified: “</w:t>
      </w:r>
      <w:r w:rsidRPr="007158E9">
        <w:rPr>
          <w:i/>
          <w:lang w:val="en-GB"/>
        </w:rPr>
        <w:t>After the abduction of my husband, we lived in terror at home with the children. Because of this, we slept elsewhere. We looked for places where there were crowds because we no longer felt safe</w:t>
      </w:r>
      <w:r w:rsidRPr="007158E9">
        <w:rPr>
          <w:lang w:val="en-GB"/>
        </w:rPr>
        <w:t>”</w:t>
      </w:r>
      <w:r w:rsidR="003F3351">
        <w:rPr>
          <w:lang w:val="en-GB"/>
        </w:rPr>
        <w:t>.</w:t>
      </w:r>
      <w:r w:rsidRPr="007158E9">
        <w:rPr>
          <w:bCs/>
          <w:vertAlign w:val="superscript"/>
          <w:lang w:val="en-GB"/>
        </w:rPr>
        <w:footnoteReference w:id="580"/>
      </w:r>
      <w:r w:rsidRPr="007158E9">
        <w:rPr>
          <w:lang w:val="en-GB"/>
        </w:rPr>
        <w:t xml:space="preserve"> </w:t>
      </w:r>
    </w:p>
    <w:p w14:paraId="636376C1" w14:textId="271D96A5" w:rsidR="006B05D6" w:rsidRPr="007158E9" w:rsidRDefault="006B05D6" w:rsidP="00E32B0B">
      <w:pPr>
        <w:pStyle w:val="SingleTxtG"/>
        <w:ind w:left="1701"/>
        <w:rPr>
          <w:lang w:val="en-GB"/>
        </w:rPr>
      </w:pPr>
      <w:r w:rsidRPr="007158E9">
        <w:rPr>
          <w:lang w:val="en-GB"/>
        </w:rPr>
        <w:t>A woman whose husband fled abroad in 2016 and who had five dependent children in addition to a younger sister who was minor described her financial situation: “</w:t>
      </w:r>
      <w:r w:rsidRPr="007158E9">
        <w:rPr>
          <w:i/>
          <w:lang w:val="en-GB"/>
        </w:rPr>
        <w:t>There was a big difference in my situation after my husband was gone. [...] I continued to work [but] ... [I] ended up leaving the house as I could no longer secure enough means to afford rent</w:t>
      </w:r>
      <w:r w:rsidRPr="007158E9">
        <w:rPr>
          <w:lang w:val="en-GB"/>
        </w:rPr>
        <w:t>”</w:t>
      </w:r>
      <w:r w:rsidR="003F3351">
        <w:rPr>
          <w:lang w:val="en-GB"/>
        </w:rPr>
        <w:t>.</w:t>
      </w:r>
      <w:r w:rsidRPr="007158E9">
        <w:rPr>
          <w:bCs/>
          <w:vertAlign w:val="superscript"/>
          <w:lang w:val="en-GB"/>
        </w:rPr>
        <w:footnoteReference w:id="581"/>
      </w:r>
    </w:p>
    <w:bookmarkEnd w:id="8"/>
    <w:p w14:paraId="79CFA3A6" w14:textId="48A46A77" w:rsidR="006B05D6" w:rsidRDefault="006B05D6" w:rsidP="001B3FDD">
      <w:pPr>
        <w:pStyle w:val="H23G"/>
        <w:numPr>
          <w:ilvl w:val="0"/>
          <w:numId w:val="42"/>
        </w:numPr>
        <w:ind w:right="1138"/>
        <w:rPr>
          <w:lang w:val="en-GB"/>
        </w:rPr>
      </w:pPr>
      <w:r w:rsidRPr="007158E9">
        <w:rPr>
          <w:lang w:val="en-GB"/>
        </w:rPr>
        <w:t xml:space="preserve">Political crisis and </w:t>
      </w:r>
      <w:r w:rsidR="009613D3">
        <w:rPr>
          <w:lang w:val="en-GB"/>
        </w:rPr>
        <w:t xml:space="preserve">grabbing of </w:t>
      </w:r>
      <w:r w:rsidRPr="007158E9">
        <w:rPr>
          <w:lang w:val="en-GB"/>
        </w:rPr>
        <w:t>ressources</w:t>
      </w:r>
    </w:p>
    <w:p w14:paraId="66952395" w14:textId="6C708386" w:rsidR="009613D3" w:rsidRPr="009613D3" w:rsidRDefault="009613D3" w:rsidP="009613D3">
      <w:pPr>
        <w:ind w:left="1134"/>
        <w:rPr>
          <w:lang w:val="en-GB"/>
        </w:rPr>
      </w:pPr>
      <w:r>
        <w:rPr>
          <w:lang w:val="en-GB"/>
        </w:rPr>
        <w:t>[…]</w:t>
      </w:r>
    </w:p>
    <w:p w14:paraId="2DC619D5" w14:textId="56B3F681" w:rsidR="006B05D6" w:rsidRPr="00C473EC" w:rsidRDefault="006B05D6" w:rsidP="00B57512">
      <w:pPr>
        <w:pStyle w:val="H4G"/>
        <w:numPr>
          <w:ilvl w:val="0"/>
          <w:numId w:val="43"/>
        </w:numPr>
        <w:tabs>
          <w:tab w:val="clear" w:pos="851"/>
          <w:tab w:val="right" w:pos="1170"/>
        </w:tabs>
        <w:ind w:right="1138"/>
        <w:rPr>
          <w:b/>
          <w:i w:val="0"/>
          <w:lang w:val="en-GB"/>
        </w:rPr>
      </w:pPr>
      <w:bookmarkStart w:id="9" w:name="_Toc522539567"/>
      <w:r w:rsidRPr="00C473EC">
        <w:rPr>
          <w:b/>
          <w:i w:val="0"/>
          <w:lang w:val="en-GB"/>
        </w:rPr>
        <w:tab/>
      </w:r>
      <w:bookmarkEnd w:id="9"/>
      <w:r w:rsidRPr="00C473EC">
        <w:rPr>
          <w:b/>
          <w:i w:val="0"/>
          <w:lang w:val="en-GB"/>
        </w:rPr>
        <w:t xml:space="preserve">Persistence of bad governance and fraudulent </w:t>
      </w:r>
      <w:r w:rsidR="009613D3">
        <w:rPr>
          <w:b/>
          <w:i w:val="0"/>
          <w:lang w:val="en-GB"/>
        </w:rPr>
        <w:t xml:space="preserve">grabbing of </w:t>
      </w:r>
      <w:r w:rsidRPr="00C473EC">
        <w:rPr>
          <w:b/>
          <w:i w:val="0"/>
          <w:lang w:val="en-GB"/>
        </w:rPr>
        <w:t>public goods</w:t>
      </w:r>
    </w:p>
    <w:p w14:paraId="23D9C40B" w14:textId="342B9550" w:rsidR="006B05D6" w:rsidRPr="007158E9" w:rsidRDefault="009613D3" w:rsidP="006B05D6">
      <w:pPr>
        <w:pStyle w:val="SingleTxtG"/>
        <w:rPr>
          <w:bCs/>
          <w:lang w:val="en-GB"/>
        </w:rPr>
      </w:pPr>
      <w:r>
        <w:rPr>
          <w:bCs/>
          <w:lang w:val="en-GB"/>
        </w:rPr>
        <w:t>66</w:t>
      </w:r>
      <w:r w:rsidR="006B05D6" w:rsidRPr="00B57512">
        <w:rPr>
          <w:bCs/>
          <w:lang w:val="en-GB"/>
        </w:rPr>
        <w:t>9.</w:t>
      </w:r>
      <w:r w:rsidR="006B05D6" w:rsidRPr="007158E9">
        <w:rPr>
          <w:b/>
          <w:lang w:val="en-GB"/>
        </w:rPr>
        <w:t xml:space="preserve"> </w:t>
      </w:r>
      <w:r w:rsidR="006B05D6" w:rsidRPr="007158E9">
        <w:rPr>
          <w:lang w:val="en-GB"/>
        </w:rPr>
        <w:t>Despite the challenge of carrying out investigations mostly due to obstacles to freedom of the media and of the civil society and the lack of independence of the judicial system</w:t>
      </w:r>
      <w:r w:rsidR="006B05D6" w:rsidRPr="007158E9">
        <w:rPr>
          <w:bCs/>
          <w:vertAlign w:val="superscript"/>
          <w:lang w:val="en-GB"/>
        </w:rPr>
        <w:footnoteReference w:id="582"/>
      </w:r>
      <w:r w:rsidR="006B05D6" w:rsidRPr="007158E9">
        <w:rPr>
          <w:lang w:val="en-GB"/>
        </w:rPr>
        <w:t xml:space="preserve"> since 2015, cases of poor governance and fraudulent raids on public property have continued to be revealed</w:t>
      </w:r>
      <w:r w:rsidR="00EA71BC">
        <w:rPr>
          <w:lang w:val="en-GB"/>
        </w:rPr>
        <w:t>.</w:t>
      </w:r>
      <w:r w:rsidR="006B05D6" w:rsidRPr="007158E9">
        <w:rPr>
          <w:bCs/>
          <w:vertAlign w:val="superscript"/>
          <w:lang w:val="en-GB"/>
        </w:rPr>
        <w:footnoteReference w:id="583"/>
      </w:r>
      <w:r w:rsidR="006B05D6" w:rsidRPr="007158E9">
        <w:rPr>
          <w:lang w:val="en-GB"/>
        </w:rPr>
        <w:t xml:space="preserve"> The persistence of such cases contributes to diverting </w:t>
      </w:r>
      <w:r w:rsidR="00EA71BC">
        <w:rPr>
          <w:lang w:val="en-GB"/>
        </w:rPr>
        <w:t>significant</w:t>
      </w:r>
      <w:r w:rsidR="006B05D6" w:rsidRPr="007158E9">
        <w:rPr>
          <w:lang w:val="en-GB"/>
        </w:rPr>
        <w:t xml:space="preserve"> resources that the State should </w:t>
      </w:r>
      <w:r w:rsidR="00EA71BC">
        <w:rPr>
          <w:lang w:val="en-GB"/>
        </w:rPr>
        <w:t xml:space="preserve">have </w:t>
      </w:r>
      <w:r w:rsidR="006B05D6" w:rsidRPr="007158E9">
        <w:rPr>
          <w:lang w:val="en-GB"/>
        </w:rPr>
        <w:t>devote</w:t>
      </w:r>
      <w:r w:rsidR="00EA71BC">
        <w:rPr>
          <w:lang w:val="en-GB"/>
        </w:rPr>
        <w:t>d</w:t>
      </w:r>
      <w:r w:rsidR="006B05D6" w:rsidRPr="007158E9">
        <w:rPr>
          <w:lang w:val="en-GB"/>
        </w:rPr>
        <w:t xml:space="preserve"> to the realisation of the population’s economic and social rights.</w:t>
      </w:r>
    </w:p>
    <w:p w14:paraId="74428E4B" w14:textId="69AA261B" w:rsidR="006B05D6" w:rsidRPr="007158E9" w:rsidRDefault="006B05D6" w:rsidP="006B05D6">
      <w:pPr>
        <w:pStyle w:val="SingleTxtG"/>
        <w:rPr>
          <w:bCs/>
          <w:lang w:val="en-GB"/>
        </w:rPr>
      </w:pPr>
      <w:r w:rsidRPr="00B57512">
        <w:rPr>
          <w:bCs/>
          <w:lang w:val="en-GB"/>
        </w:rPr>
        <w:t>670.</w:t>
      </w:r>
      <w:r w:rsidRPr="007158E9">
        <w:rPr>
          <w:b/>
          <w:lang w:val="en-GB"/>
        </w:rPr>
        <w:t xml:space="preserve"> </w:t>
      </w:r>
      <w:r w:rsidRPr="007158E9">
        <w:rPr>
          <w:lang w:val="en-GB"/>
        </w:rPr>
        <w:t>Opacity in th</w:t>
      </w:r>
      <w:r w:rsidR="00EA71BC">
        <w:rPr>
          <w:lang w:val="en-GB"/>
        </w:rPr>
        <w:t>e design and implementation of S</w:t>
      </w:r>
      <w:r w:rsidRPr="007158E9">
        <w:rPr>
          <w:lang w:val="en-GB"/>
        </w:rPr>
        <w:t>tate budgets continues to be noted and denounced on a regular basis. As mentioned</w:t>
      </w:r>
      <w:r w:rsidR="00EA71BC">
        <w:rPr>
          <w:lang w:val="en-GB"/>
        </w:rPr>
        <w:t>,</w:t>
      </w:r>
      <w:r w:rsidRPr="007158E9">
        <w:rPr>
          <w:bCs/>
          <w:vertAlign w:val="superscript"/>
          <w:lang w:val="en-GB"/>
        </w:rPr>
        <w:footnoteReference w:id="584"/>
      </w:r>
      <w:r w:rsidRPr="007158E9">
        <w:rPr>
          <w:lang w:val="en-GB"/>
        </w:rPr>
        <w:t xml:space="preserve"> the fact that no budget implementation report has been made public since 2013 reinforces this opacity. Thereon, frequent overrun of tax exemptions has been revealed by the National Court of Auditors and the media</w:t>
      </w:r>
      <w:r w:rsidR="00EA71BC">
        <w:rPr>
          <w:lang w:val="en-GB"/>
        </w:rPr>
        <w:t>,</w:t>
      </w:r>
      <w:r w:rsidRPr="007158E9">
        <w:rPr>
          <w:bCs/>
          <w:vertAlign w:val="superscript"/>
          <w:lang w:val="en-GB"/>
        </w:rPr>
        <w:footnoteReference w:id="585"/>
      </w:r>
      <w:r w:rsidRPr="007158E9">
        <w:rPr>
          <w:lang w:val="en-GB"/>
        </w:rPr>
        <w:t xml:space="preserve"> without the Government providing any explanations on the reasons for the exemptions granted beyond budget forecasts.</w:t>
      </w:r>
    </w:p>
    <w:p w14:paraId="3859CB35" w14:textId="29592811" w:rsidR="006B05D6" w:rsidRPr="007158E9" w:rsidRDefault="006B05D6" w:rsidP="006B05D6">
      <w:pPr>
        <w:pStyle w:val="SingleTxtG"/>
        <w:rPr>
          <w:bCs/>
          <w:lang w:val="en-GB"/>
        </w:rPr>
      </w:pPr>
      <w:r w:rsidRPr="00B57512">
        <w:rPr>
          <w:bCs/>
          <w:lang w:val="en-GB"/>
        </w:rPr>
        <w:t>671.</w:t>
      </w:r>
      <w:r w:rsidRPr="007158E9">
        <w:rPr>
          <w:b/>
          <w:lang w:val="en-GB"/>
        </w:rPr>
        <w:t xml:space="preserve"> </w:t>
      </w:r>
      <w:r w:rsidRPr="007158E9">
        <w:rPr>
          <w:lang w:val="en-GB"/>
        </w:rPr>
        <w:t>Official tax revenue figures have also raised questions. In February 2018, the Minister of Energy and Mines stated that budgetary objective had been exceeded, with revenues amounting to 4.2 billion Burundian francs (2.4 million</w:t>
      </w:r>
      <w:r w:rsidR="00EA71BC">
        <w:rPr>
          <w:lang w:val="en-GB"/>
        </w:rPr>
        <w:t xml:space="preserve"> US dollars) for </w:t>
      </w:r>
      <w:r w:rsidRPr="007158E9">
        <w:rPr>
          <w:lang w:val="en-GB"/>
        </w:rPr>
        <w:t>2017, when only three billion Burundian francs (1.7 million</w:t>
      </w:r>
      <w:r w:rsidR="00EA71BC">
        <w:rPr>
          <w:lang w:val="en-GB"/>
        </w:rPr>
        <w:t xml:space="preserve"> US dollars</w:t>
      </w:r>
      <w:r w:rsidRPr="007158E9">
        <w:rPr>
          <w:lang w:val="en-GB"/>
        </w:rPr>
        <w:t>) had been planned</w:t>
      </w:r>
      <w:r w:rsidR="00EA71BC">
        <w:rPr>
          <w:lang w:val="en-GB"/>
        </w:rPr>
        <w:t>.</w:t>
      </w:r>
      <w:r w:rsidRPr="007158E9">
        <w:rPr>
          <w:bCs/>
          <w:vertAlign w:val="superscript"/>
          <w:lang w:val="en-GB"/>
        </w:rPr>
        <w:footnoteReference w:id="586"/>
      </w:r>
      <w:r w:rsidRPr="007158E9">
        <w:rPr>
          <w:lang w:val="en-GB"/>
        </w:rPr>
        <w:t xml:space="preserve"> However, calculations made by the newspaper Iwacu on the volumes of mining exports and relative taxes gave a figure closer to six billion Burundian francs (3.5 million</w:t>
      </w:r>
      <w:r w:rsidR="00EA71BC">
        <w:rPr>
          <w:lang w:val="en-GB"/>
        </w:rPr>
        <w:t xml:space="preserve"> US dollars</w:t>
      </w:r>
      <w:r w:rsidRPr="007158E9">
        <w:rPr>
          <w:lang w:val="en-GB"/>
        </w:rPr>
        <w:t>)</w:t>
      </w:r>
      <w:r w:rsidRPr="007158E9">
        <w:rPr>
          <w:bCs/>
          <w:vertAlign w:val="superscript"/>
          <w:lang w:val="en-GB"/>
        </w:rPr>
        <w:t xml:space="preserve"> </w:t>
      </w:r>
      <w:r w:rsidRPr="007158E9">
        <w:rPr>
          <w:bCs/>
          <w:vertAlign w:val="superscript"/>
          <w:lang w:val="en-GB"/>
        </w:rPr>
        <w:footnoteReference w:id="587"/>
      </w:r>
      <w:r w:rsidRPr="007158E9">
        <w:rPr>
          <w:lang w:val="en-GB"/>
        </w:rPr>
        <w:t>. In its 2018 report, the National Court of Auditors indicates no numbers under the heading “exceptional products achievements from 2013 to 30 September 2017” by the Burundian Office of Mines and Quarries</w:t>
      </w:r>
      <w:r w:rsidR="00EA71BC">
        <w:rPr>
          <w:lang w:val="en-GB"/>
        </w:rPr>
        <w:t>.</w:t>
      </w:r>
      <w:r w:rsidRPr="007158E9">
        <w:rPr>
          <w:bCs/>
          <w:vertAlign w:val="superscript"/>
          <w:lang w:val="en-GB"/>
        </w:rPr>
        <w:footnoteReference w:id="588"/>
      </w:r>
      <w:r w:rsidRPr="007158E9">
        <w:rPr>
          <w:lang w:val="en-GB"/>
        </w:rPr>
        <w:t xml:space="preserve"> For the civil society organisation </w:t>
      </w:r>
      <w:r w:rsidRPr="007158E9">
        <w:rPr>
          <w:bCs/>
          <w:i/>
          <w:lang w:val="en-GB"/>
        </w:rPr>
        <w:t>Observatoire de lutte contre la corruption et les malversations économiques</w:t>
      </w:r>
      <w:r w:rsidRPr="007158E9">
        <w:rPr>
          <w:bCs/>
          <w:lang w:val="en-GB"/>
        </w:rPr>
        <w:t xml:space="preserve"> (</w:t>
      </w:r>
      <w:r w:rsidRPr="007158E9">
        <w:rPr>
          <w:lang w:val="en-GB"/>
        </w:rPr>
        <w:t>OLUCOME)</w:t>
      </w:r>
      <w:r w:rsidRPr="007158E9">
        <w:rPr>
          <w:bCs/>
          <w:lang w:val="en-GB"/>
        </w:rPr>
        <w:t xml:space="preserve"> </w:t>
      </w:r>
      <w:r w:rsidRPr="007158E9">
        <w:rPr>
          <w:lang w:val="en-GB"/>
        </w:rPr>
        <w:t>“the National Court of Auditors report on the draft comments of the state general budget for FY2018 clearly reveals that the Ministry of Energy and Mines never paid a dime to the National Treasury since 2013. These funds may have been collected, but not by the public treasury”</w:t>
      </w:r>
      <w:r w:rsidR="00EA71BC">
        <w:rPr>
          <w:lang w:val="en-GB"/>
        </w:rPr>
        <w:t>.</w:t>
      </w:r>
      <w:r w:rsidRPr="007158E9">
        <w:rPr>
          <w:bCs/>
          <w:vertAlign w:val="superscript"/>
          <w:lang w:val="en-GB"/>
        </w:rPr>
        <w:footnoteReference w:id="589"/>
      </w:r>
      <w:r w:rsidRPr="007158E9">
        <w:rPr>
          <w:lang w:val="en-GB"/>
        </w:rPr>
        <w:t xml:space="preserve"> </w:t>
      </w:r>
    </w:p>
    <w:p w14:paraId="67D582BF" w14:textId="36FF8117" w:rsidR="006B05D6" w:rsidRPr="007158E9" w:rsidRDefault="006B05D6" w:rsidP="006B05D6">
      <w:pPr>
        <w:pStyle w:val="SingleTxtG"/>
        <w:rPr>
          <w:bCs/>
          <w:lang w:val="en-GB"/>
        </w:rPr>
      </w:pPr>
      <w:r w:rsidRPr="00922206">
        <w:rPr>
          <w:bCs/>
          <w:lang w:val="en-GB"/>
        </w:rPr>
        <w:t>672.</w:t>
      </w:r>
      <w:r w:rsidRPr="007158E9">
        <w:rPr>
          <w:b/>
          <w:lang w:val="en-GB"/>
        </w:rPr>
        <w:t xml:space="preserve"> </w:t>
      </w:r>
      <w:r w:rsidRPr="007158E9">
        <w:rPr>
          <w:lang w:val="en-GB"/>
        </w:rPr>
        <w:t>Similar opacity was noted at the level of State “exceptional revenues” which witnessed clear increase between 2015 and 2018, going from 7.5 billion (4.2 million</w:t>
      </w:r>
      <w:r w:rsidR="00EA71BC">
        <w:rPr>
          <w:lang w:val="en-GB"/>
        </w:rPr>
        <w:t xml:space="preserve"> US dollars</w:t>
      </w:r>
      <w:r w:rsidRPr="007158E9">
        <w:rPr>
          <w:lang w:val="en-GB"/>
        </w:rPr>
        <w:t>) to 44.6 billion Burundian francs (25 million</w:t>
      </w:r>
      <w:r w:rsidR="00EA71BC">
        <w:rPr>
          <w:lang w:val="en-GB"/>
        </w:rPr>
        <w:t xml:space="preserve"> US dollars</w:t>
      </w:r>
      <w:r w:rsidRPr="007158E9">
        <w:rPr>
          <w:lang w:val="en-GB"/>
        </w:rPr>
        <w:t>), an increase of 83 per cent</w:t>
      </w:r>
      <w:r w:rsidR="00EA71BC">
        <w:rPr>
          <w:lang w:val="en-GB"/>
        </w:rPr>
        <w:t>.</w:t>
      </w:r>
      <w:r w:rsidRPr="007158E9">
        <w:rPr>
          <w:bCs/>
          <w:vertAlign w:val="superscript"/>
          <w:lang w:val="en-GB"/>
        </w:rPr>
        <w:footnoteReference w:id="590"/>
      </w:r>
      <w:r w:rsidRPr="007158E9">
        <w:rPr>
          <w:lang w:val="en-GB"/>
        </w:rPr>
        <w:t xml:space="preserve"> This increase does not correspond to revenues from the participation of Burundian troops in peacekeeping missions which, during the period, remained constant in the national budgets, i.e. 3 billion Burundian francs (1</w:t>
      </w:r>
      <w:r w:rsidR="00A62202">
        <w:rPr>
          <w:lang w:val="en-GB"/>
        </w:rPr>
        <w:t>.7 million</w:t>
      </w:r>
      <w:r w:rsidR="00EA71BC">
        <w:rPr>
          <w:lang w:val="en-GB"/>
        </w:rPr>
        <w:t xml:space="preserve"> US dollars</w:t>
      </w:r>
      <w:r w:rsidRPr="007158E9">
        <w:rPr>
          <w:lang w:val="en-GB"/>
        </w:rPr>
        <w:t>) per year, even if this apparent stability has, as mentioned, been called into question by several witnesses and observers who put forward the fact that this amount did not include withdrawals carried out by the Government on salaries of Burundian soldiers deployed in peacekeeping missions</w:t>
      </w:r>
      <w:r w:rsidR="00EA71BC">
        <w:rPr>
          <w:lang w:val="en-GB"/>
        </w:rPr>
        <w:t>.</w:t>
      </w:r>
      <w:r w:rsidRPr="007158E9">
        <w:rPr>
          <w:bCs/>
          <w:vertAlign w:val="superscript"/>
          <w:lang w:val="en-GB"/>
        </w:rPr>
        <w:footnoteReference w:id="591"/>
      </w:r>
      <w:r w:rsidRPr="007158E9">
        <w:rPr>
          <w:lang w:val="en-GB"/>
        </w:rPr>
        <w:t xml:space="preserve"> The increase in exceptional tax revenue comes mainly from the addition of new accounting lines such as “local government revenue” and “revenue of the Burundian Office of Mines and Quarries</w:t>
      </w:r>
      <w:r w:rsidR="00EA71BC">
        <w:rPr>
          <w:lang w:val="en-GB"/>
        </w:rPr>
        <w:t>” which emerged in the general S</w:t>
      </w:r>
      <w:r w:rsidRPr="007158E9">
        <w:rPr>
          <w:lang w:val="en-GB"/>
        </w:rPr>
        <w:t xml:space="preserve">tate budget respectively in 2016 and 2018. The emergence of these new revenues, without further explanation, was noted at the end of 2017 by the National Court of Auditors, which requested that the </w:t>
      </w:r>
      <w:r w:rsidR="00EA71BC">
        <w:rPr>
          <w:lang w:val="en-GB"/>
        </w:rPr>
        <w:t>G</w:t>
      </w:r>
      <w:r w:rsidRPr="007158E9">
        <w:rPr>
          <w:lang w:val="en-GB"/>
        </w:rPr>
        <w:t>overnment provides additional information</w:t>
      </w:r>
      <w:r w:rsidR="00EA71BC">
        <w:rPr>
          <w:lang w:val="en-GB"/>
        </w:rPr>
        <w:t>.</w:t>
      </w:r>
      <w:r w:rsidRPr="007158E9">
        <w:rPr>
          <w:bCs/>
          <w:vertAlign w:val="superscript"/>
          <w:lang w:val="en-GB"/>
        </w:rPr>
        <w:footnoteReference w:id="592"/>
      </w:r>
      <w:r w:rsidRPr="007158E9">
        <w:rPr>
          <w:lang w:val="en-GB"/>
        </w:rPr>
        <w:t xml:space="preserve"> This was not done. More generally, the use of exceptional revenue is beyond any real control and calls into question the principle of the unitary nature of the budget.</w:t>
      </w:r>
    </w:p>
    <w:p w14:paraId="0505D912" w14:textId="37FEA713" w:rsidR="006B05D6" w:rsidRPr="007158E9" w:rsidRDefault="006B05D6" w:rsidP="006B05D6">
      <w:pPr>
        <w:pStyle w:val="SingleTxtG"/>
        <w:rPr>
          <w:bCs/>
          <w:lang w:val="en-GB"/>
        </w:rPr>
      </w:pPr>
      <w:r w:rsidRPr="00922206">
        <w:rPr>
          <w:bCs/>
          <w:lang w:val="en-GB"/>
        </w:rPr>
        <w:t>673. Similarly</w:t>
      </w:r>
      <w:r w:rsidRPr="007158E9">
        <w:rPr>
          <w:lang w:val="en-GB"/>
        </w:rPr>
        <w:t>, extra budgetary accounts with no legal basis and which are beyond control continue to appear in the finance acts as we have seen, despite criticism from the Court of Auditors</w:t>
      </w:r>
      <w:r w:rsidR="00EA71BC">
        <w:rPr>
          <w:lang w:val="en-GB"/>
        </w:rPr>
        <w:t>.</w:t>
      </w:r>
      <w:r w:rsidRPr="007158E9">
        <w:rPr>
          <w:bCs/>
          <w:vertAlign w:val="superscript"/>
          <w:lang w:val="en-GB"/>
        </w:rPr>
        <w:footnoteReference w:id="593"/>
      </w:r>
      <w:r w:rsidRPr="007158E9">
        <w:rPr>
          <w:lang w:val="en-GB"/>
        </w:rPr>
        <w:t xml:space="preserve"> This is the case of the account for “support of positive initiatives”, directly managed by the Office of the President. Its endowment amounted to two billion Burundian francs (1.1 million</w:t>
      </w:r>
      <w:r w:rsidR="00EA71BC">
        <w:rPr>
          <w:lang w:val="en-GB"/>
        </w:rPr>
        <w:t xml:space="preserve"> US dollars</w:t>
      </w:r>
      <w:r w:rsidRPr="007158E9">
        <w:rPr>
          <w:lang w:val="en-GB"/>
        </w:rPr>
        <w:t>) in 2015; 1.2 billion Burundian francs (685,608</w:t>
      </w:r>
      <w:r w:rsidR="00EA71BC">
        <w:rPr>
          <w:lang w:val="en-GB"/>
        </w:rPr>
        <w:t xml:space="preserve"> US dollars</w:t>
      </w:r>
      <w:r w:rsidRPr="007158E9">
        <w:rPr>
          <w:lang w:val="en-GB"/>
        </w:rPr>
        <w:t>) in 2016; 1.2 billion Burundian francs in 2017 and 2.3 billion Burundian francs (1.3 million</w:t>
      </w:r>
      <w:r w:rsidR="00EA71BC">
        <w:rPr>
          <w:lang w:val="en-GB"/>
        </w:rPr>
        <w:t xml:space="preserve"> US dollars</w:t>
      </w:r>
      <w:r w:rsidRPr="007158E9">
        <w:rPr>
          <w:lang w:val="en-GB"/>
        </w:rPr>
        <w:t>) in 2018</w:t>
      </w:r>
      <w:r w:rsidR="00EA71BC">
        <w:rPr>
          <w:lang w:val="en-GB"/>
        </w:rPr>
        <w:t>.</w:t>
      </w:r>
      <w:r w:rsidRPr="007158E9">
        <w:rPr>
          <w:bCs/>
          <w:vertAlign w:val="superscript"/>
          <w:lang w:val="en-GB"/>
        </w:rPr>
        <w:footnoteReference w:id="594"/>
      </w:r>
      <w:r w:rsidRPr="007158E9">
        <w:rPr>
          <w:lang w:val="en-GB"/>
        </w:rPr>
        <w:t xml:space="preserve"> In a press release dated 15 November 2017, OLUCOME reported that, to be able to operate in Burundi, foreign companies </w:t>
      </w:r>
      <w:r w:rsidR="00EA71BC">
        <w:rPr>
          <w:lang w:val="en-GB"/>
        </w:rPr>
        <w:t>had to</w:t>
      </w:r>
      <w:r w:rsidRPr="007158E9">
        <w:rPr>
          <w:lang w:val="en-GB"/>
        </w:rPr>
        <w:t xml:space="preserve"> </w:t>
      </w:r>
      <w:r w:rsidR="00EA71BC">
        <w:rPr>
          <w:lang w:val="en-GB"/>
        </w:rPr>
        <w:t>transfer</w:t>
      </w:r>
      <w:r w:rsidRPr="007158E9">
        <w:rPr>
          <w:lang w:val="en-GB"/>
        </w:rPr>
        <w:t xml:space="preserve"> money into this account</w:t>
      </w:r>
      <w:r w:rsidR="00EA71BC">
        <w:rPr>
          <w:lang w:val="en-GB"/>
        </w:rPr>
        <w:t>.</w:t>
      </w:r>
      <w:r w:rsidRPr="007158E9">
        <w:rPr>
          <w:bCs/>
          <w:vertAlign w:val="superscript"/>
          <w:lang w:val="en-GB"/>
        </w:rPr>
        <w:footnoteReference w:id="595"/>
      </w:r>
      <w:r w:rsidRPr="007158E9">
        <w:rPr>
          <w:lang w:val="en-GB"/>
        </w:rPr>
        <w:t xml:space="preserve"> </w:t>
      </w:r>
    </w:p>
    <w:p w14:paraId="4C65286F" w14:textId="411844C6" w:rsidR="006B05D6" w:rsidRPr="007158E9" w:rsidRDefault="006B05D6" w:rsidP="006B05D6">
      <w:pPr>
        <w:pStyle w:val="SingleTxtG"/>
        <w:ind w:right="567"/>
        <w:rPr>
          <w:lang w:val="en-GB"/>
        </w:rPr>
      </w:pPr>
      <w:r w:rsidRPr="00922206">
        <w:rPr>
          <w:bCs/>
          <w:lang w:val="en-GB"/>
        </w:rPr>
        <w:t>674. Poor</w:t>
      </w:r>
      <w:r w:rsidRPr="007158E9">
        <w:rPr>
          <w:lang w:val="en-GB"/>
        </w:rPr>
        <w:t xml:space="preserve"> governance also continued to be denounced by various technical and financial partners in Burundi. For example, in 2017, the Global Fund to Fight AIDS, Tuberculosis and Malaria decided to no longer channel funds allocated to Burundi through the government, but via UNDP instead</w:t>
      </w:r>
      <w:r w:rsidR="00EA71BC">
        <w:rPr>
          <w:lang w:val="en-GB"/>
        </w:rPr>
        <w:t>.</w:t>
      </w:r>
      <w:r w:rsidRPr="007158E9">
        <w:rPr>
          <w:bCs/>
          <w:vertAlign w:val="superscript"/>
          <w:lang w:val="fr-FR"/>
        </w:rPr>
        <w:footnoteReference w:id="596"/>
      </w:r>
      <w:r w:rsidRPr="007158E9">
        <w:rPr>
          <w:lang w:val="en-GB"/>
        </w:rPr>
        <w:t xml:space="preserve"> In a letter dated 12 October 2017, the Fund indicated: “The five grants implemented in Burundi were rated B2 at the end of 2016, that is to say that the programmatic and financial results do not match relevant targets”</w:t>
      </w:r>
      <w:r w:rsidR="00EA71BC">
        <w:rPr>
          <w:lang w:val="en-GB"/>
        </w:rPr>
        <w:t>.</w:t>
      </w:r>
      <w:r w:rsidRPr="007158E9">
        <w:rPr>
          <w:bCs/>
          <w:vertAlign w:val="superscript"/>
          <w:lang w:val="en-GB"/>
        </w:rPr>
        <w:t xml:space="preserve"> </w:t>
      </w:r>
      <w:r w:rsidRPr="007158E9">
        <w:rPr>
          <w:bCs/>
          <w:vertAlign w:val="superscript"/>
          <w:lang w:val="en-GB"/>
        </w:rPr>
        <w:footnoteReference w:id="597"/>
      </w:r>
      <w:r w:rsidRPr="007158E9">
        <w:rPr>
          <w:lang w:val="en-GB"/>
        </w:rPr>
        <w:t xml:space="preserve"> Performance at the Global Fund is categorized as follows: A1 (“Beyond expectations”), A (“good performance”), A2 (“As expected”), B (“adequate”), B2 (“Inadequate but potential has been demonstrated”) and C (“unacceptable”). The Global Fund website indicates that the last grant to Burundi was rated C</w:t>
      </w:r>
      <w:r w:rsidR="00EA71BC">
        <w:rPr>
          <w:lang w:val="en-GB"/>
        </w:rPr>
        <w:t>.</w:t>
      </w:r>
      <w:r w:rsidRPr="007158E9">
        <w:rPr>
          <w:bCs/>
          <w:vertAlign w:val="superscript"/>
          <w:lang w:val="en-GB"/>
        </w:rPr>
        <w:footnoteReference w:id="598"/>
      </w:r>
      <w:r w:rsidRPr="007158E9">
        <w:rPr>
          <w:lang w:val="en-GB"/>
        </w:rPr>
        <w:t xml:space="preserve"> In its letter, the Global Fund clarified that it was compelled to resort to “additional safeguard policy” mentioned to Burundian authorities in 2016, and that it could not accept “the establishment of a project management unit within the Ministry of Health” as suggested by Burundian authorities.</w:t>
      </w:r>
    </w:p>
    <w:p w14:paraId="55A74221" w14:textId="4AFD4BF5" w:rsidR="006B05D6" w:rsidRPr="007158E9" w:rsidRDefault="006B05D6" w:rsidP="006B05D6">
      <w:pPr>
        <w:pStyle w:val="SingleTxtG"/>
        <w:ind w:right="567"/>
        <w:rPr>
          <w:lang w:val="en-GB"/>
        </w:rPr>
      </w:pPr>
      <w:r w:rsidRPr="00922206">
        <w:rPr>
          <w:bCs/>
          <w:lang w:val="en-GB"/>
        </w:rPr>
        <w:t>675. Since</w:t>
      </w:r>
      <w:r w:rsidRPr="007158E9">
        <w:rPr>
          <w:lang w:val="en-GB"/>
        </w:rPr>
        <w:t xml:space="preserve"> 2015, an update on cases of embezzlement has also been provided. On this, a presidential decree promulgated in 2009</w:t>
      </w:r>
      <w:r w:rsidRPr="007158E9">
        <w:rPr>
          <w:bCs/>
          <w:vertAlign w:val="superscript"/>
          <w:lang w:val="en-GB"/>
        </w:rPr>
        <w:footnoteReference w:id="599"/>
      </w:r>
      <w:r w:rsidRPr="007158E9">
        <w:rPr>
          <w:lang w:val="en-GB"/>
        </w:rPr>
        <w:t xml:space="preserve"> and reviewed in 2016</w:t>
      </w:r>
      <w:r w:rsidRPr="007158E9">
        <w:rPr>
          <w:bCs/>
          <w:vertAlign w:val="superscript"/>
          <w:lang w:val="fr-FR"/>
        </w:rPr>
        <w:footnoteReference w:id="600"/>
      </w:r>
      <w:r w:rsidRPr="007158E9">
        <w:rPr>
          <w:lang w:val="en-GB"/>
        </w:rPr>
        <w:t xml:space="preserve"> provisionally declared of public utility a 200-hectare area at a site in Gasenyi, Mutimbuzi commune (Bujumbura province) for the purpose of setting up buildings for the Office of the President and related infrastructure. The decision led to the demolition of private houses</w:t>
      </w:r>
      <w:r w:rsidR="00EA71BC">
        <w:rPr>
          <w:lang w:val="en-GB"/>
        </w:rPr>
        <w:t>.</w:t>
      </w:r>
      <w:r w:rsidRPr="007158E9">
        <w:rPr>
          <w:bCs/>
          <w:vertAlign w:val="superscript"/>
          <w:lang w:val="en-GB"/>
        </w:rPr>
        <w:footnoteReference w:id="601"/>
      </w:r>
      <w:r w:rsidRPr="007158E9">
        <w:rPr>
          <w:lang w:val="en-GB"/>
        </w:rPr>
        <w:t xml:space="preserve"> Moreover, these homes were destroyed before compensation was paid and rehousing solutions put in place</w:t>
      </w:r>
      <w:r w:rsidR="00EA71BC">
        <w:rPr>
          <w:lang w:val="en-GB"/>
        </w:rPr>
        <w:t>.</w:t>
      </w:r>
      <w:r w:rsidRPr="007158E9">
        <w:rPr>
          <w:bCs/>
          <w:vertAlign w:val="superscript"/>
          <w:lang w:val="en-GB"/>
        </w:rPr>
        <w:footnoteReference w:id="602"/>
      </w:r>
      <w:r w:rsidRPr="007158E9">
        <w:rPr>
          <w:lang w:val="en-GB"/>
        </w:rPr>
        <w:t xml:space="preserve"> Some families who could not afford renting a house had to go back to their plots where they built huts so as not to end up on the street</w:t>
      </w:r>
      <w:r w:rsidR="00EA71BC">
        <w:rPr>
          <w:lang w:val="en-GB"/>
        </w:rPr>
        <w:t>.</w:t>
      </w:r>
      <w:r w:rsidRPr="007158E9">
        <w:rPr>
          <w:bCs/>
          <w:vertAlign w:val="superscript"/>
          <w:lang w:val="en-GB"/>
        </w:rPr>
        <w:footnoteReference w:id="603"/>
      </w:r>
      <w:r w:rsidRPr="007158E9">
        <w:rPr>
          <w:lang w:val="en-GB"/>
        </w:rPr>
        <w:t xml:space="preserve"> Compensation calculations have been contested and payments have been slow to materialize</w:t>
      </w:r>
      <w:r w:rsidR="00EA71BC">
        <w:rPr>
          <w:lang w:val="en-GB"/>
        </w:rPr>
        <w:t>.</w:t>
      </w:r>
      <w:r w:rsidRPr="007158E9">
        <w:rPr>
          <w:bCs/>
          <w:vertAlign w:val="superscript"/>
          <w:lang w:val="en-GB"/>
        </w:rPr>
        <w:footnoteReference w:id="604"/>
      </w:r>
      <w:r w:rsidRPr="007158E9">
        <w:rPr>
          <w:lang w:val="en-GB"/>
        </w:rPr>
        <w:t xml:space="preserve"> Deutsche Welle reported that, at a public conference on 29 September 2017, Omer Niyonkuru – spokesperson for the Ministry of Water, Environment, Spatial and Urban Planning – acknowledged there had been embezzlement. He declared: “Compensation funds for the 40 hectares were made available by the government. When later claimed, the amount of money turned out to be insufficient. Proof that there was misappropriation of funds, there is no denying it. We recall that the case is in the hands of the court. In the meantime, the concerned parties are invited to rely on the </w:t>
      </w:r>
      <w:r w:rsidR="00EA71BC">
        <w:rPr>
          <w:lang w:val="en-GB"/>
        </w:rPr>
        <w:t>A</w:t>
      </w:r>
      <w:r w:rsidRPr="007158E9">
        <w:rPr>
          <w:lang w:val="en-GB"/>
        </w:rPr>
        <w:t>dministration, we stand beside them”</w:t>
      </w:r>
      <w:r w:rsidR="00EA71BC">
        <w:rPr>
          <w:lang w:val="en-GB"/>
        </w:rPr>
        <w:t>.</w:t>
      </w:r>
      <w:r w:rsidRPr="007158E9">
        <w:rPr>
          <w:bCs/>
          <w:vertAlign w:val="superscript"/>
          <w:lang w:val="en-GB"/>
        </w:rPr>
        <w:footnoteReference w:id="605"/>
      </w:r>
      <w:r w:rsidRPr="007158E9">
        <w:rPr>
          <w:lang w:val="en-GB"/>
        </w:rPr>
        <w:t xml:space="preserve"> As of March 2018, the issue of compensation remained unresolved</w:t>
      </w:r>
      <w:r w:rsidR="00EA71BC">
        <w:rPr>
          <w:lang w:val="en-GB"/>
        </w:rPr>
        <w:t>.</w:t>
      </w:r>
      <w:r w:rsidRPr="007158E9">
        <w:rPr>
          <w:bCs/>
          <w:vertAlign w:val="superscript"/>
          <w:lang w:val="en-GB"/>
        </w:rPr>
        <w:footnoteReference w:id="606"/>
      </w:r>
    </w:p>
    <w:p w14:paraId="10677575" w14:textId="4B8F757C" w:rsidR="006B05D6" w:rsidRPr="007158E9" w:rsidRDefault="006B05D6" w:rsidP="006B05D6">
      <w:pPr>
        <w:pStyle w:val="SingleTxtG"/>
        <w:ind w:right="567"/>
        <w:rPr>
          <w:bCs/>
          <w:lang w:val="en-GB"/>
        </w:rPr>
      </w:pPr>
      <w:r w:rsidRPr="00922206">
        <w:rPr>
          <w:bCs/>
          <w:lang w:val="en-GB"/>
        </w:rPr>
        <w:t>676.</w:t>
      </w:r>
      <w:r w:rsidRPr="007158E9">
        <w:rPr>
          <w:b/>
          <w:lang w:val="en-GB"/>
        </w:rPr>
        <w:t xml:space="preserve"> </w:t>
      </w:r>
      <w:r w:rsidRPr="007158E9">
        <w:rPr>
          <w:lang w:val="en-GB"/>
        </w:rPr>
        <w:t>Public land usage for the benefit of the CNDD-FDD</w:t>
      </w:r>
      <w:r w:rsidRPr="007158E9">
        <w:rPr>
          <w:bCs/>
          <w:vertAlign w:val="superscript"/>
          <w:lang w:val="en-GB"/>
        </w:rPr>
        <w:footnoteReference w:id="607"/>
      </w:r>
      <w:r w:rsidRPr="007158E9">
        <w:rPr>
          <w:lang w:val="en-GB"/>
        </w:rPr>
        <w:t xml:space="preserve"> to build monuments for the party’s glory, its offices</w:t>
      </w:r>
      <w:r w:rsidRPr="007158E9">
        <w:rPr>
          <w:bCs/>
          <w:vertAlign w:val="superscript"/>
          <w:lang w:val="en-GB"/>
        </w:rPr>
        <w:footnoteReference w:id="608"/>
      </w:r>
      <w:r w:rsidRPr="007158E9">
        <w:rPr>
          <w:lang w:val="en-GB"/>
        </w:rPr>
        <w:t xml:space="preserve"> or other building facilities was also noted</w:t>
      </w:r>
      <w:r w:rsidRPr="007158E9">
        <w:rPr>
          <w:bCs/>
          <w:vertAlign w:val="superscript"/>
          <w:lang w:val="en-GB"/>
        </w:rPr>
        <w:footnoteReference w:id="609"/>
      </w:r>
      <w:r w:rsidRPr="007158E9">
        <w:rPr>
          <w:lang w:val="en-GB"/>
        </w:rPr>
        <w:t xml:space="preserve">. A July 2018 presidential decree thus allocated nearly three hectares of </w:t>
      </w:r>
      <w:r w:rsidRPr="007158E9">
        <w:rPr>
          <w:bCs/>
          <w:lang w:val="en-GB"/>
        </w:rPr>
        <w:t>State-owned</w:t>
      </w:r>
      <w:r w:rsidRPr="007158E9">
        <w:rPr>
          <w:lang w:val="en-GB"/>
        </w:rPr>
        <w:t xml:space="preserve"> land, located in Gitega centre, to CNDD-FDD for the construction of a centre for worship, conferences and similar events</w:t>
      </w:r>
      <w:r w:rsidR="00EA71BC">
        <w:rPr>
          <w:lang w:val="en-GB"/>
        </w:rPr>
        <w:t>.</w:t>
      </w:r>
      <w:r w:rsidRPr="007158E9">
        <w:rPr>
          <w:bCs/>
          <w:vertAlign w:val="superscript"/>
          <w:lang w:val="en-GB"/>
        </w:rPr>
        <w:footnoteReference w:id="610"/>
      </w:r>
      <w:r w:rsidRPr="007158E9">
        <w:rPr>
          <w:lang w:val="en-GB"/>
        </w:rPr>
        <w:t xml:space="preserve"> The use of </w:t>
      </w:r>
      <w:r w:rsidR="00EA71BC">
        <w:rPr>
          <w:lang w:val="en-GB"/>
        </w:rPr>
        <w:t>S</w:t>
      </w:r>
      <w:r w:rsidRPr="007158E9">
        <w:rPr>
          <w:lang w:val="en-GB"/>
        </w:rPr>
        <w:t xml:space="preserve">tate vehicles and </w:t>
      </w:r>
      <w:r w:rsidR="00EA71BC">
        <w:rPr>
          <w:lang w:val="en-GB"/>
        </w:rPr>
        <w:t>S</w:t>
      </w:r>
      <w:r w:rsidRPr="007158E9">
        <w:rPr>
          <w:lang w:val="en-GB"/>
        </w:rPr>
        <w:t xml:space="preserve">tate funds to disseminate </w:t>
      </w:r>
      <w:r w:rsidR="00EA71BC">
        <w:rPr>
          <w:lang w:val="en-GB"/>
        </w:rPr>
        <w:t xml:space="preserve">the </w:t>
      </w:r>
      <w:r w:rsidRPr="007158E9">
        <w:rPr>
          <w:lang w:val="en-GB"/>
        </w:rPr>
        <w:t>CNDD-FDD messages during the referendum campaign has also been criticized by civil society organisations</w:t>
      </w:r>
      <w:r w:rsidR="00EA71BC">
        <w:rPr>
          <w:lang w:val="en-GB"/>
        </w:rPr>
        <w:t>.</w:t>
      </w:r>
      <w:r w:rsidRPr="007158E9">
        <w:rPr>
          <w:bCs/>
          <w:vertAlign w:val="superscript"/>
          <w:lang w:val="en-GB"/>
        </w:rPr>
        <w:footnoteReference w:id="611"/>
      </w:r>
    </w:p>
    <w:p w14:paraId="6C11B6E8" w14:textId="679644B1" w:rsidR="006B05D6" w:rsidRPr="001626EC" w:rsidRDefault="006B05D6" w:rsidP="001626EC">
      <w:pPr>
        <w:pStyle w:val="H4G"/>
        <w:numPr>
          <w:ilvl w:val="0"/>
          <w:numId w:val="43"/>
        </w:numPr>
        <w:tabs>
          <w:tab w:val="clear" w:pos="851"/>
          <w:tab w:val="right" w:pos="1170"/>
        </w:tabs>
        <w:ind w:right="1138"/>
        <w:rPr>
          <w:b/>
          <w:i w:val="0"/>
          <w:lang w:val="en-GB"/>
        </w:rPr>
      </w:pPr>
      <w:r w:rsidRPr="001626EC">
        <w:rPr>
          <w:b/>
          <w:i w:val="0"/>
          <w:lang w:val="en-GB"/>
        </w:rPr>
        <w:tab/>
        <w:t xml:space="preserve">Grabbing of other resources </w:t>
      </w:r>
    </w:p>
    <w:p w14:paraId="7EA2E554" w14:textId="34A776A1" w:rsidR="006B05D6" w:rsidRPr="007158E9" w:rsidRDefault="006B05D6" w:rsidP="006B05D6">
      <w:pPr>
        <w:pStyle w:val="SingleTxtG"/>
        <w:rPr>
          <w:bCs/>
          <w:lang w:val="en-GB"/>
        </w:rPr>
      </w:pPr>
      <w:r w:rsidRPr="00922206">
        <w:rPr>
          <w:bCs/>
          <w:lang w:val="en-GB"/>
        </w:rPr>
        <w:t>677.</w:t>
      </w:r>
      <w:r w:rsidRPr="007158E9">
        <w:rPr>
          <w:b/>
          <w:lang w:val="en-GB"/>
        </w:rPr>
        <w:t xml:space="preserve"> </w:t>
      </w:r>
      <w:r w:rsidRPr="007158E9">
        <w:rPr>
          <w:lang w:val="en-GB"/>
        </w:rPr>
        <w:t xml:space="preserve">In a context of widespread impunity, the distinction between the political and criminal reasons behind the grabbing of property, including land, is difficult to establish. As we have seen, the State exercises “general effective control” over Imbonerakure because of the freedom of action and impunity granted the latter. Their unlawful acts could therefore be characterized as violations for which the </w:t>
      </w:r>
      <w:r w:rsidR="00EA71BC">
        <w:rPr>
          <w:lang w:val="en-GB"/>
        </w:rPr>
        <w:t>S</w:t>
      </w:r>
      <w:r w:rsidRPr="007158E9">
        <w:rPr>
          <w:lang w:val="en-GB"/>
        </w:rPr>
        <w:t>tate is responsible under international human rights law</w:t>
      </w:r>
      <w:r w:rsidR="00EA71BC">
        <w:rPr>
          <w:lang w:val="en-GB"/>
        </w:rPr>
        <w:t>.</w:t>
      </w:r>
      <w:r w:rsidRPr="007158E9">
        <w:rPr>
          <w:bCs/>
          <w:vertAlign w:val="superscript"/>
          <w:lang w:val="en-GB"/>
        </w:rPr>
        <w:footnoteReference w:id="612"/>
      </w:r>
      <w:r w:rsidRPr="007158E9">
        <w:rPr>
          <w:lang w:val="en-GB"/>
        </w:rPr>
        <w:t xml:space="preserve"> In this context, the Burundian State could be rendered liable for cases of family conflicts, conflicts among neighbours or those related to inheritance, but also for cases of land grabbing in which, according to several statements collected by the Commission</w:t>
      </w:r>
      <w:r w:rsidR="00EA71BC">
        <w:rPr>
          <w:lang w:val="en-GB"/>
        </w:rPr>
        <w:t>,</w:t>
      </w:r>
      <w:r w:rsidRPr="007158E9">
        <w:rPr>
          <w:lang w:val="en-GB"/>
        </w:rPr>
        <w:t xml:space="preserve"> Imbonerakure are involved.</w:t>
      </w:r>
      <w:r w:rsidR="00EA71BC" w:rsidRPr="007158E9">
        <w:rPr>
          <w:bCs/>
          <w:vertAlign w:val="superscript"/>
          <w:lang w:val="en-GB"/>
        </w:rPr>
        <w:footnoteReference w:id="613"/>
      </w:r>
    </w:p>
    <w:p w14:paraId="4A44BBE1" w14:textId="3CB108B1" w:rsidR="006B05D6" w:rsidRDefault="006B05D6" w:rsidP="006B05D6">
      <w:pPr>
        <w:pStyle w:val="SingleTxtG"/>
        <w:rPr>
          <w:lang w:val="en-GB"/>
        </w:rPr>
      </w:pPr>
      <w:r w:rsidRPr="00922206">
        <w:rPr>
          <w:bCs/>
          <w:lang w:val="en-GB"/>
        </w:rPr>
        <w:t xml:space="preserve">678. </w:t>
      </w:r>
      <w:r w:rsidRPr="007158E9">
        <w:rPr>
          <w:lang w:val="en-GB"/>
        </w:rPr>
        <w:t xml:space="preserve">A widow testified that one of her cousins had obtained a court ruling in </w:t>
      </w:r>
      <w:r w:rsidR="00510CAA">
        <w:rPr>
          <w:lang w:val="en-GB"/>
        </w:rPr>
        <w:t>his</w:t>
      </w:r>
      <w:r w:rsidRPr="007158E9">
        <w:rPr>
          <w:lang w:val="en-GB"/>
        </w:rPr>
        <w:t xml:space="preserve"> favour guaranteeing </w:t>
      </w:r>
      <w:r w:rsidR="00510CAA">
        <w:rPr>
          <w:lang w:val="en-GB"/>
        </w:rPr>
        <w:t>him</w:t>
      </w:r>
      <w:r w:rsidRPr="007158E9">
        <w:rPr>
          <w:lang w:val="en-GB"/>
        </w:rPr>
        <w:t xml:space="preserve"> a right of usufruct over part of </w:t>
      </w:r>
      <w:r w:rsidR="00510CAA">
        <w:rPr>
          <w:lang w:val="en-GB"/>
        </w:rPr>
        <w:t>his</w:t>
      </w:r>
      <w:r w:rsidRPr="007158E9">
        <w:rPr>
          <w:lang w:val="en-GB"/>
        </w:rPr>
        <w:t xml:space="preserve"> late father’s land which he had inherited from </w:t>
      </w:r>
      <w:r w:rsidR="00510CAA">
        <w:rPr>
          <w:lang w:val="en-GB"/>
        </w:rPr>
        <w:t>his</w:t>
      </w:r>
      <w:r w:rsidRPr="007158E9">
        <w:rPr>
          <w:lang w:val="en-GB"/>
        </w:rPr>
        <w:t xml:space="preserve"> paternal uncle</w:t>
      </w:r>
      <w:r w:rsidR="00510CAA">
        <w:rPr>
          <w:lang w:val="en-GB"/>
        </w:rPr>
        <w:t>.</w:t>
      </w:r>
      <w:r w:rsidRPr="007158E9">
        <w:rPr>
          <w:bCs/>
          <w:vertAlign w:val="superscript"/>
          <w:lang w:val="en-GB"/>
        </w:rPr>
        <w:footnoteReference w:id="614"/>
      </w:r>
      <w:r w:rsidRPr="007158E9">
        <w:rPr>
          <w:lang w:val="en-GB"/>
        </w:rPr>
        <w:t xml:space="preserve"> Imbonerakure assassinated her cousin in August 2016, apparently on the orders of his paternal uncle. Someone else described three attacks, including grenade and housebreaking, suffered by his family in 2017 due to a land dispute with his two brothers-in-law who are Imbonerakure local chiefs</w:t>
      </w:r>
      <w:r w:rsidR="00510CAA">
        <w:rPr>
          <w:lang w:val="en-GB"/>
        </w:rPr>
        <w:t>.</w:t>
      </w:r>
      <w:r w:rsidRPr="007158E9">
        <w:rPr>
          <w:bCs/>
          <w:vertAlign w:val="superscript"/>
          <w:lang w:val="en-GB"/>
        </w:rPr>
        <w:footnoteReference w:id="615"/>
      </w:r>
      <w:r w:rsidRPr="007158E9">
        <w:rPr>
          <w:lang w:val="en-GB"/>
        </w:rPr>
        <w:t xml:space="preserve"> Another person, who fled Burundi in 2017, testified </w:t>
      </w:r>
      <w:r w:rsidR="00510CAA">
        <w:rPr>
          <w:lang w:val="en-GB"/>
        </w:rPr>
        <w:t>that</w:t>
      </w:r>
      <w:r w:rsidRPr="007158E9">
        <w:rPr>
          <w:lang w:val="en-GB"/>
        </w:rPr>
        <w:t xml:space="preserve"> </w:t>
      </w:r>
      <w:r w:rsidR="00510CAA">
        <w:rPr>
          <w:lang w:val="en-GB"/>
        </w:rPr>
        <w:t>his</w:t>
      </w:r>
      <w:r w:rsidRPr="007158E9">
        <w:rPr>
          <w:lang w:val="en-GB"/>
        </w:rPr>
        <w:t xml:space="preserve"> house</w:t>
      </w:r>
      <w:r w:rsidR="00A62202">
        <w:rPr>
          <w:lang w:val="en-GB"/>
        </w:rPr>
        <w:t>,</w:t>
      </w:r>
      <w:r w:rsidRPr="007158E9">
        <w:rPr>
          <w:lang w:val="en-GB"/>
        </w:rPr>
        <w:t xml:space="preserve"> for which he </w:t>
      </w:r>
      <w:r w:rsidR="00510CAA">
        <w:rPr>
          <w:lang w:val="en-GB"/>
        </w:rPr>
        <w:t>had a pr</w:t>
      </w:r>
      <w:r w:rsidRPr="007158E9">
        <w:rPr>
          <w:lang w:val="en-GB"/>
        </w:rPr>
        <w:t xml:space="preserve">operty deed, </w:t>
      </w:r>
      <w:r w:rsidR="00510CAA">
        <w:rPr>
          <w:lang w:val="en-GB"/>
        </w:rPr>
        <w:t xml:space="preserve">was </w:t>
      </w:r>
      <w:r w:rsidR="00A62202">
        <w:rPr>
          <w:lang w:val="en-GB"/>
        </w:rPr>
        <w:t>taken</w:t>
      </w:r>
      <w:r w:rsidR="00510CAA">
        <w:rPr>
          <w:lang w:val="en-GB"/>
        </w:rPr>
        <w:t xml:space="preserve"> and given</w:t>
      </w:r>
      <w:r w:rsidRPr="007158E9">
        <w:rPr>
          <w:lang w:val="en-GB"/>
        </w:rPr>
        <w:t xml:space="preserve"> by the </w:t>
      </w:r>
      <w:r w:rsidR="00510CAA">
        <w:rPr>
          <w:lang w:val="en-GB"/>
        </w:rPr>
        <w:t xml:space="preserve">colline </w:t>
      </w:r>
      <w:r w:rsidRPr="007158E9">
        <w:rPr>
          <w:lang w:val="en-GB"/>
        </w:rPr>
        <w:t>administrator to someone else, a member of the CNDD-FDD</w:t>
      </w:r>
      <w:r w:rsidR="00510CAA">
        <w:rPr>
          <w:lang w:val="en-GB"/>
        </w:rPr>
        <w:t>.</w:t>
      </w:r>
      <w:r w:rsidRPr="007158E9">
        <w:rPr>
          <w:bCs/>
          <w:vertAlign w:val="superscript"/>
          <w:lang w:val="en-GB"/>
        </w:rPr>
        <w:footnoteReference w:id="616"/>
      </w:r>
    </w:p>
    <w:p w14:paraId="2E3194F4" w14:textId="6EC49742" w:rsidR="00185610" w:rsidRPr="007158E9" w:rsidRDefault="00185610" w:rsidP="006B05D6">
      <w:pPr>
        <w:pStyle w:val="SingleTxtG"/>
        <w:rPr>
          <w:bCs/>
          <w:lang w:val="en-GB"/>
        </w:rPr>
      </w:pPr>
      <w:r>
        <w:rPr>
          <w:bCs/>
          <w:lang w:val="en-GB"/>
        </w:rPr>
        <w:t>[…]</w:t>
      </w:r>
    </w:p>
    <w:p w14:paraId="49E88406" w14:textId="77777777" w:rsidR="006B05D6" w:rsidRPr="00B80AB4" w:rsidRDefault="006B05D6" w:rsidP="00355531">
      <w:pPr>
        <w:pStyle w:val="HChG"/>
        <w:rPr>
          <w:lang w:val="en-GB"/>
        </w:rPr>
      </w:pPr>
      <w:r w:rsidRPr="00B80AB4">
        <w:rPr>
          <w:lang w:val="en-GB"/>
        </w:rPr>
        <w:tab/>
        <w:t>IV.</w:t>
      </w:r>
      <w:r w:rsidRPr="00B80AB4">
        <w:rPr>
          <w:lang w:val="en-GB"/>
        </w:rPr>
        <w:tab/>
        <w:t>International crimes</w:t>
      </w:r>
    </w:p>
    <w:p w14:paraId="781DB97C" w14:textId="77777777" w:rsidR="006B05D6" w:rsidRPr="007158E9" w:rsidRDefault="006B05D6" w:rsidP="006B05D6">
      <w:pPr>
        <w:pStyle w:val="SingleTxtG"/>
        <w:rPr>
          <w:bCs/>
          <w:lang w:val="en-GB"/>
        </w:rPr>
      </w:pPr>
      <w:r w:rsidRPr="007158E9">
        <w:rPr>
          <w:bCs/>
          <w:lang w:val="en-GB"/>
        </w:rPr>
        <w:t>722.</w:t>
      </w:r>
      <w:r w:rsidRPr="007158E9">
        <w:rPr>
          <w:bCs/>
          <w:lang w:val="en-GB"/>
        </w:rPr>
        <w:tab/>
      </w:r>
      <w:r w:rsidRPr="007158E9">
        <w:rPr>
          <w:lang w:val="en-GB"/>
        </w:rPr>
        <w:t>Considering that the prevailing context in Burundi in 2017 and 2018 was characterized by persistent and serious human rights violations, the Commission has reasonable grounds to believe that the crimes against humanity it had identified in its previous report</w:t>
      </w:r>
      <w:r w:rsidRPr="007158E9">
        <w:rPr>
          <w:bCs/>
          <w:vertAlign w:val="superscript"/>
          <w:lang w:val="en-GB"/>
        </w:rPr>
        <w:footnoteReference w:id="617"/>
      </w:r>
      <w:r w:rsidRPr="007158E9">
        <w:rPr>
          <w:lang w:val="en-GB"/>
        </w:rPr>
        <w:t xml:space="preserve"> continue to be perpetrated in Burundi.</w:t>
      </w:r>
    </w:p>
    <w:p w14:paraId="2761CC0D" w14:textId="688B0185" w:rsidR="006B05D6" w:rsidRPr="007158E9" w:rsidRDefault="006B05D6" w:rsidP="006B05D6">
      <w:pPr>
        <w:pStyle w:val="SingleTxtG"/>
        <w:rPr>
          <w:bCs/>
          <w:lang w:val="en-GB"/>
        </w:rPr>
      </w:pPr>
      <w:r w:rsidRPr="007158E9">
        <w:rPr>
          <w:bCs/>
          <w:lang w:val="en-GB"/>
        </w:rPr>
        <w:t xml:space="preserve">723. </w:t>
      </w:r>
      <w:r w:rsidRPr="007158E9">
        <w:rPr>
          <w:lang w:val="en-GB"/>
        </w:rPr>
        <w:t xml:space="preserve">However, similarly to last year, the Commission was unable to conclude that there were crimes of genocide. It remains convinced that the Burundi crisis that began in April 2015 is first and foremost a political crisis. Some people of Tutsi origin were, as in 2015 and 2016, victims of violations, although these stemmed from their stance as members of the opposition against the Government and/or CNDD-FDD and </w:t>
      </w:r>
      <w:r w:rsidR="00E43439">
        <w:rPr>
          <w:lang w:val="en-GB"/>
        </w:rPr>
        <w:t>not exclusively</w:t>
      </w:r>
      <w:r w:rsidRPr="007158E9">
        <w:rPr>
          <w:lang w:val="en-GB"/>
        </w:rPr>
        <w:t xml:space="preserve"> because of their ethnicity. Nonetheless, the latter gave rise to insults that added to the victims’ suffering.</w:t>
      </w:r>
    </w:p>
    <w:p w14:paraId="6DDDC7E4" w14:textId="451BCED3" w:rsidR="006B05D6" w:rsidRPr="007158E9" w:rsidRDefault="006B05D6" w:rsidP="006B05D6">
      <w:pPr>
        <w:pStyle w:val="SingleTxtG"/>
        <w:rPr>
          <w:bCs/>
          <w:lang w:val="en-GB"/>
        </w:rPr>
      </w:pPr>
      <w:r w:rsidRPr="007158E9">
        <w:rPr>
          <w:bCs/>
          <w:lang w:val="en-GB"/>
        </w:rPr>
        <w:t xml:space="preserve">724. </w:t>
      </w:r>
      <w:r w:rsidRPr="007158E9">
        <w:rPr>
          <w:lang w:val="en-GB"/>
        </w:rPr>
        <w:t>Likewise, the Commission has not documented any speeches or words that may constitute public or direct incitements to genocide</w:t>
      </w:r>
      <w:r w:rsidR="00E43439">
        <w:rPr>
          <w:lang w:val="en-GB"/>
        </w:rPr>
        <w:t>.</w:t>
      </w:r>
      <w:r w:rsidRPr="007158E9">
        <w:rPr>
          <w:bCs/>
          <w:vertAlign w:val="superscript"/>
          <w:lang w:val="en-GB"/>
        </w:rPr>
        <w:footnoteReference w:id="618"/>
      </w:r>
      <w:r w:rsidRPr="007158E9">
        <w:rPr>
          <w:lang w:val="en-GB"/>
        </w:rPr>
        <w:t xml:space="preserve"> The rhetoric used by some </w:t>
      </w:r>
      <w:r w:rsidR="00E43439">
        <w:rPr>
          <w:lang w:val="en-GB"/>
        </w:rPr>
        <w:t>G</w:t>
      </w:r>
      <w:r w:rsidRPr="007158E9">
        <w:rPr>
          <w:lang w:val="en-GB"/>
        </w:rPr>
        <w:t>overnment or CNDD-FDD officials aimed at manipulating the feeling of ethnic affiliation, which the Commission had repeatedly noted in 2015 and 2016</w:t>
      </w:r>
      <w:r w:rsidR="00E43439">
        <w:rPr>
          <w:lang w:val="en-GB"/>
        </w:rPr>
        <w:t>,</w:t>
      </w:r>
      <w:r w:rsidRPr="007158E9">
        <w:rPr>
          <w:bCs/>
          <w:vertAlign w:val="superscript"/>
          <w:lang w:val="en-GB"/>
        </w:rPr>
        <w:footnoteReference w:id="619"/>
      </w:r>
      <w:r w:rsidRPr="007158E9">
        <w:rPr>
          <w:lang w:val="en-GB"/>
        </w:rPr>
        <w:t xml:space="preserve"> was less manifest in 2017 and 2018. Moreover, it noted references </w:t>
      </w:r>
      <w:r w:rsidR="00E43439">
        <w:rPr>
          <w:lang w:val="en-GB"/>
        </w:rPr>
        <w:t>to</w:t>
      </w:r>
      <w:r w:rsidRPr="007158E9">
        <w:rPr>
          <w:lang w:val="en-GB"/>
        </w:rPr>
        <w:t xml:space="preserve"> </w:t>
      </w:r>
      <w:r w:rsidR="00E43439">
        <w:rPr>
          <w:lang w:val="en-GB"/>
        </w:rPr>
        <w:t>‘</w:t>
      </w:r>
      <w:r w:rsidRPr="007158E9">
        <w:rPr>
          <w:lang w:val="en-GB"/>
        </w:rPr>
        <w:t>clan</w:t>
      </w:r>
      <w:r w:rsidR="00E43439">
        <w:rPr>
          <w:lang w:val="en-GB"/>
        </w:rPr>
        <w:t>’</w:t>
      </w:r>
      <w:r w:rsidRPr="007158E9">
        <w:rPr>
          <w:lang w:val="en-GB"/>
        </w:rPr>
        <w:t xml:space="preserve"> </w:t>
      </w:r>
      <w:r w:rsidR="00E43439">
        <w:rPr>
          <w:lang w:val="en-GB"/>
        </w:rPr>
        <w:t xml:space="preserve">affiliation </w:t>
      </w:r>
      <w:r w:rsidRPr="007158E9">
        <w:rPr>
          <w:lang w:val="en-GB"/>
        </w:rPr>
        <w:t xml:space="preserve">rather than ethnic </w:t>
      </w:r>
      <w:r w:rsidR="00E43439">
        <w:rPr>
          <w:lang w:val="en-GB"/>
        </w:rPr>
        <w:t>origin</w:t>
      </w:r>
      <w:r w:rsidRPr="007158E9">
        <w:rPr>
          <w:lang w:val="en-GB"/>
        </w:rPr>
        <w:t xml:space="preserve"> by the President of the Republic and certain people around him, as </w:t>
      </w:r>
      <w:r w:rsidR="00E43439">
        <w:rPr>
          <w:lang w:val="en-GB"/>
        </w:rPr>
        <w:t>it was the tradition during</w:t>
      </w:r>
      <w:r w:rsidRPr="007158E9">
        <w:rPr>
          <w:lang w:val="en-GB"/>
        </w:rPr>
        <w:t xml:space="preserve"> the monarchy in Burundi</w:t>
      </w:r>
      <w:r w:rsidR="00E43439">
        <w:rPr>
          <w:lang w:val="en-GB"/>
        </w:rPr>
        <w:t>.</w:t>
      </w:r>
      <w:r w:rsidRPr="007158E9">
        <w:rPr>
          <w:bCs/>
          <w:vertAlign w:val="superscript"/>
          <w:lang w:val="en-GB"/>
        </w:rPr>
        <w:footnoteReference w:id="620"/>
      </w:r>
      <w:r w:rsidRPr="007158E9">
        <w:rPr>
          <w:lang w:val="en-GB"/>
        </w:rPr>
        <w:t xml:space="preserve"> In addition, in 2017 and 2018, speeches by leaders of the </w:t>
      </w:r>
      <w:r w:rsidR="00E43439">
        <w:rPr>
          <w:lang w:val="en-GB"/>
        </w:rPr>
        <w:t>S</w:t>
      </w:r>
      <w:r w:rsidRPr="007158E9">
        <w:rPr>
          <w:lang w:val="en-GB"/>
        </w:rPr>
        <w:t xml:space="preserve">tate and the ruling party, which for some constitute incitement to hatred and violence, mainly targeted, as </w:t>
      </w:r>
      <w:r w:rsidR="00E43439">
        <w:rPr>
          <w:lang w:val="en-GB"/>
        </w:rPr>
        <w:t>detailed previously,</w:t>
      </w:r>
      <w:r w:rsidRPr="007158E9">
        <w:rPr>
          <w:bCs/>
          <w:vertAlign w:val="superscript"/>
          <w:lang w:val="en-GB"/>
        </w:rPr>
        <w:footnoteReference w:id="621"/>
      </w:r>
      <w:r w:rsidRPr="007158E9">
        <w:rPr>
          <w:lang w:val="en-GB"/>
        </w:rPr>
        <w:t xml:space="preserve"> opponents of the Government and of CNDD-FDD, particularly during the campaign for the </w:t>
      </w:r>
      <w:r w:rsidR="00E43439">
        <w:rPr>
          <w:lang w:val="en-GB"/>
        </w:rPr>
        <w:t>revision</w:t>
      </w:r>
      <w:r w:rsidRPr="007158E9">
        <w:rPr>
          <w:lang w:val="en-GB"/>
        </w:rPr>
        <w:t xml:space="preserve"> of the Constitution.</w:t>
      </w:r>
    </w:p>
    <w:p w14:paraId="704A665E" w14:textId="77777777" w:rsidR="006B05D6" w:rsidRPr="002676F2" w:rsidRDefault="006B05D6" w:rsidP="002676F2">
      <w:pPr>
        <w:pStyle w:val="H1G"/>
      </w:pPr>
      <w:r w:rsidRPr="007158E9">
        <w:tab/>
        <w:t>A.</w:t>
      </w:r>
      <w:r w:rsidRPr="007158E9">
        <w:tab/>
        <w:t>Constituent elements and types of crimes against humanity</w:t>
      </w:r>
    </w:p>
    <w:p w14:paraId="71461DC1" w14:textId="077E3699" w:rsidR="006B05D6" w:rsidRPr="007158E9" w:rsidRDefault="006B05D6" w:rsidP="006B05D6">
      <w:pPr>
        <w:pStyle w:val="SingleTxtG"/>
        <w:rPr>
          <w:bCs/>
          <w:lang w:val="en-GB"/>
        </w:rPr>
      </w:pPr>
      <w:r w:rsidRPr="007158E9">
        <w:rPr>
          <w:bCs/>
          <w:lang w:val="en-GB"/>
        </w:rPr>
        <w:t xml:space="preserve">725. The definition of crimes against humanity as provided by article 7 (para. 1) of the </w:t>
      </w:r>
      <w:r w:rsidR="00A62202" w:rsidRPr="007158E9">
        <w:rPr>
          <w:bCs/>
          <w:lang w:val="en-GB"/>
        </w:rPr>
        <w:t xml:space="preserve">Rome Statute </w:t>
      </w:r>
      <w:r w:rsidR="00A62202">
        <w:rPr>
          <w:bCs/>
          <w:lang w:val="en-GB"/>
        </w:rPr>
        <w:t xml:space="preserve">of the </w:t>
      </w:r>
      <w:r w:rsidRPr="007158E9">
        <w:rPr>
          <w:lang w:val="en-GB"/>
        </w:rPr>
        <w:t>International Criminal Court</w:t>
      </w:r>
      <w:r w:rsidR="00A62202">
        <w:rPr>
          <w:lang w:val="en-GB"/>
        </w:rPr>
        <w:t xml:space="preserve"> </w:t>
      </w:r>
      <w:r w:rsidRPr="007158E9">
        <w:rPr>
          <w:bCs/>
          <w:lang w:val="en-GB"/>
        </w:rPr>
        <w:t>– i.e. “</w:t>
      </w:r>
      <w:r w:rsidRPr="007158E9">
        <w:rPr>
          <w:lang w:val="en-GB"/>
        </w:rPr>
        <w:t>acts when committed as part of a widespread or systematic attack directed against any civilian population, and with knowledge of the attack” </w:t>
      </w:r>
      <w:r w:rsidRPr="007158E9">
        <w:rPr>
          <w:bCs/>
          <w:lang w:val="en-GB"/>
        </w:rPr>
        <w:t>– continues to be applicable to the context that has prevailed in Burundi in 2017 and 2018. In order to be qualified as such, an “attack” does not necessarily need to be military in nature</w:t>
      </w:r>
      <w:r w:rsidR="002F1805">
        <w:rPr>
          <w:bCs/>
          <w:lang w:val="en-GB"/>
        </w:rPr>
        <w:t>.</w:t>
      </w:r>
      <w:r w:rsidRPr="007158E9">
        <w:rPr>
          <w:bCs/>
          <w:vertAlign w:val="superscript"/>
          <w:lang w:val="en-GB"/>
        </w:rPr>
        <w:footnoteReference w:id="622"/>
      </w:r>
      <w:r w:rsidRPr="007158E9">
        <w:rPr>
          <w:bCs/>
          <w:lang w:val="en-GB"/>
        </w:rPr>
        <w:t xml:space="preserve"> It does however need to consist of multiple acts that constitute crimes against humanity</w:t>
      </w:r>
      <w:r w:rsidR="002F1805">
        <w:rPr>
          <w:bCs/>
          <w:lang w:val="en-GB"/>
        </w:rPr>
        <w:t>.</w:t>
      </w:r>
      <w:r w:rsidRPr="007158E9">
        <w:rPr>
          <w:bCs/>
          <w:vertAlign w:val="superscript"/>
          <w:lang w:val="en-GB"/>
        </w:rPr>
        <w:footnoteReference w:id="623"/>
      </w:r>
      <w:r w:rsidRPr="007158E9">
        <w:rPr>
          <w:bCs/>
          <w:lang w:val="en-GB"/>
        </w:rPr>
        <w:t xml:space="preserve"> The Rome Statute also specifies that these acts must not be committed in isolation, but that they must have been committed </w:t>
      </w:r>
      <w:r w:rsidRPr="007158E9">
        <w:rPr>
          <w:bCs/>
          <w:i/>
          <w:lang w:val="en-GB"/>
        </w:rPr>
        <w:t>in the context</w:t>
      </w:r>
      <w:r w:rsidRPr="007158E9">
        <w:rPr>
          <w:bCs/>
          <w:lang w:val="en-GB"/>
        </w:rPr>
        <w:t xml:space="preserve"> of said attack</w:t>
      </w:r>
      <w:r w:rsidR="002F1805">
        <w:rPr>
          <w:bCs/>
          <w:lang w:val="en-GB"/>
        </w:rPr>
        <w:t>.</w:t>
      </w:r>
      <w:r w:rsidRPr="007158E9">
        <w:rPr>
          <w:bCs/>
          <w:vertAlign w:val="superscript"/>
          <w:lang w:val="en-GB"/>
        </w:rPr>
        <w:footnoteReference w:id="624"/>
      </w:r>
      <w:r w:rsidRPr="007158E9">
        <w:rPr>
          <w:bCs/>
          <w:lang w:val="en-GB"/>
        </w:rPr>
        <w:t xml:space="preserve"> In this respect, the Commission has again documented this year a large number of violations which qualify as what may be termed “attacks”, based on their common nature and modus operandi, their aims and consequences – in this case the silencing of any voices contrary to the Government’s and CNDD-FDD’s line.</w:t>
      </w:r>
    </w:p>
    <w:p w14:paraId="29F06DD3" w14:textId="446A4AEA" w:rsidR="006B05D6" w:rsidRPr="007158E9" w:rsidRDefault="006B05D6" w:rsidP="006B05D6">
      <w:pPr>
        <w:pStyle w:val="SingleTxtG"/>
        <w:rPr>
          <w:bCs/>
          <w:lang w:val="en-GB"/>
        </w:rPr>
      </w:pPr>
      <w:r w:rsidRPr="007158E9">
        <w:rPr>
          <w:bCs/>
          <w:lang w:val="en-GB"/>
        </w:rPr>
        <w:t xml:space="preserve">726. </w:t>
      </w:r>
      <w:r w:rsidRPr="007158E9">
        <w:rPr>
          <w:lang w:val="en-GB"/>
        </w:rPr>
        <w:t>In addition, the attack must be against civilians. The presence of certain non-civilians among victims does not change the predominantly civilian character of the target population</w:t>
      </w:r>
      <w:r w:rsidR="002F1805">
        <w:rPr>
          <w:lang w:val="en-GB"/>
        </w:rPr>
        <w:t>.</w:t>
      </w:r>
      <w:r w:rsidRPr="007158E9">
        <w:rPr>
          <w:bCs/>
          <w:vertAlign w:val="superscript"/>
          <w:lang w:val="en-GB"/>
        </w:rPr>
        <w:footnoteReference w:id="625"/>
      </w:r>
      <w:r w:rsidRPr="007158E9">
        <w:rPr>
          <w:lang w:val="en-GB"/>
        </w:rPr>
        <w:t xml:space="preserve"> The statements collected by the Commission this year show that in Burundi, the majority of victims remain civilians, mainly targeted by the police, SNR or Imbonerakure, either because they are opponents of the Government and/or CNDD-FDD or perceived as such.</w:t>
      </w:r>
    </w:p>
    <w:p w14:paraId="07B2031C" w14:textId="28A3E19F" w:rsidR="006B05D6" w:rsidRPr="007158E9" w:rsidRDefault="006B05D6" w:rsidP="006B05D6">
      <w:pPr>
        <w:pStyle w:val="SingleTxtG"/>
        <w:rPr>
          <w:bCs/>
          <w:lang w:val="en-GB"/>
        </w:rPr>
      </w:pPr>
      <w:r w:rsidRPr="007158E9">
        <w:rPr>
          <w:bCs/>
          <w:lang w:val="en-GB"/>
        </w:rPr>
        <w:t xml:space="preserve">727. As </w:t>
      </w:r>
      <w:r w:rsidR="002F1805">
        <w:rPr>
          <w:bCs/>
          <w:lang w:val="en-GB"/>
        </w:rPr>
        <w:t>discussed</w:t>
      </w:r>
      <w:r w:rsidR="00473FE2">
        <w:rPr>
          <w:bCs/>
          <w:lang w:val="en-GB"/>
        </w:rPr>
        <w:t xml:space="preserve"> previously</w:t>
      </w:r>
      <w:r w:rsidRPr="007158E9">
        <w:rPr>
          <w:bCs/>
          <w:lang w:val="en-GB"/>
        </w:rPr>
        <w:t>, the attack must also be “generalized or systematic”. The number of violations found in several of the country’s provinces since 2017, the high number of victims and of perpetrators demonstrates persistent and widespread attacks against civilians. The systematic nature of these attacks can also be demonstrated by a “crime scenario” consisting of a “deliberate and regular repetition of similar criminal behaviours”</w:t>
      </w:r>
      <w:r w:rsidR="00473FE2">
        <w:rPr>
          <w:bCs/>
          <w:lang w:val="en-GB"/>
        </w:rPr>
        <w:t>.</w:t>
      </w:r>
      <w:r w:rsidRPr="007158E9">
        <w:rPr>
          <w:bCs/>
          <w:vertAlign w:val="superscript"/>
          <w:lang w:val="en-GB"/>
        </w:rPr>
        <w:footnoteReference w:id="626"/>
      </w:r>
    </w:p>
    <w:p w14:paraId="532DF946" w14:textId="7B94D981" w:rsidR="006B05D6" w:rsidRPr="007158E9" w:rsidRDefault="006B05D6" w:rsidP="006B05D6">
      <w:pPr>
        <w:pStyle w:val="SingleTxtG"/>
        <w:rPr>
          <w:bCs/>
          <w:lang w:val="en-GB"/>
        </w:rPr>
      </w:pPr>
      <w:r w:rsidRPr="007158E9">
        <w:rPr>
          <w:bCs/>
          <w:lang w:val="en-GB"/>
        </w:rPr>
        <w:t xml:space="preserve">728. </w:t>
      </w:r>
      <w:r w:rsidRPr="007158E9">
        <w:rPr>
          <w:lang w:val="en-GB"/>
        </w:rPr>
        <w:t>The Rome Statute further requires the existence of a “State or organisational policy” aiming to perform the attack</w:t>
      </w:r>
      <w:r w:rsidR="00473FE2">
        <w:rPr>
          <w:lang w:val="en-GB"/>
        </w:rPr>
        <w:t>.</w:t>
      </w:r>
      <w:r w:rsidRPr="007158E9">
        <w:rPr>
          <w:bCs/>
          <w:vertAlign w:val="superscript"/>
          <w:lang w:val="en-GB"/>
        </w:rPr>
        <w:footnoteReference w:id="627"/>
      </w:r>
      <w:r w:rsidRPr="007158E9">
        <w:rPr>
          <w:bCs/>
          <w:lang w:val="en-GB"/>
        </w:rPr>
        <w:t xml:space="preserve"> </w:t>
      </w:r>
      <w:r w:rsidRPr="007158E9">
        <w:rPr>
          <w:lang w:val="en-GB"/>
        </w:rPr>
        <w:t>The case law has clarified that this policy does not necessarily need to have been stated “in a clear and precise manner”</w:t>
      </w:r>
      <w:r w:rsidR="00473FE2">
        <w:rPr>
          <w:lang w:val="en-GB"/>
        </w:rPr>
        <w:t>,</w:t>
      </w:r>
      <w:r w:rsidRPr="007158E9">
        <w:rPr>
          <w:bCs/>
          <w:vertAlign w:val="superscript"/>
          <w:lang w:val="en-GB"/>
        </w:rPr>
        <w:footnoteReference w:id="628"/>
      </w:r>
      <w:r w:rsidRPr="007158E9">
        <w:rPr>
          <w:lang w:val="en-GB"/>
        </w:rPr>
        <w:t xml:space="preserve"> but that it could be inferred from a set of facts such as the “overall political framework in which the criminal acts take place”, “the general content of a political program, as it appears in the writings and speeches of its authors”, the “mobilisation of armed forces” and “the extent of the abuses”</w:t>
      </w:r>
      <w:r w:rsidR="00473FE2">
        <w:rPr>
          <w:lang w:val="en-GB"/>
        </w:rPr>
        <w:t>.</w:t>
      </w:r>
      <w:r w:rsidRPr="007158E9">
        <w:rPr>
          <w:bCs/>
          <w:vertAlign w:val="superscript"/>
          <w:lang w:val="en-GB"/>
        </w:rPr>
        <w:footnoteReference w:id="629"/>
      </w:r>
      <w:r w:rsidRPr="007158E9">
        <w:rPr>
          <w:lang w:val="en-GB"/>
        </w:rPr>
        <w:t xml:space="preserve"> In Burundi, it is difficult to distinguish </w:t>
      </w:r>
      <w:r w:rsidR="00473FE2">
        <w:rPr>
          <w:lang w:val="en-GB"/>
        </w:rPr>
        <w:t>S</w:t>
      </w:r>
      <w:r w:rsidRPr="007158E9">
        <w:rPr>
          <w:lang w:val="en-GB"/>
        </w:rPr>
        <w:t>tate policy from that of the leading party as both pursue the same objective of keeping CNDD-FDD and its leaders in power. The defence and security forces are mobilized for this purpose, in collaboration with Imbonerakure, causing numerous violations. The goal of this policy is often reminded to the population as demonstrated by President Nkurunziza’s recent speeches and statements by representatives at all levels of CNDD-FDD, particularly in the context of the referendum campaign</w:t>
      </w:r>
      <w:r w:rsidR="00473FE2">
        <w:rPr>
          <w:lang w:val="en-GB"/>
        </w:rPr>
        <w:t>.</w:t>
      </w:r>
      <w:r w:rsidRPr="007158E9">
        <w:rPr>
          <w:bCs/>
          <w:vertAlign w:val="superscript"/>
          <w:lang w:val="en-GB"/>
        </w:rPr>
        <w:footnoteReference w:id="630"/>
      </w:r>
    </w:p>
    <w:p w14:paraId="25C0E3CC" w14:textId="77777777" w:rsidR="006B05D6" w:rsidRPr="007158E9" w:rsidRDefault="006B05D6" w:rsidP="006B05D6">
      <w:pPr>
        <w:pStyle w:val="SingleTxtG"/>
        <w:rPr>
          <w:bCs/>
          <w:lang w:val="en-GB"/>
        </w:rPr>
      </w:pPr>
      <w:r w:rsidRPr="007158E9">
        <w:rPr>
          <w:bCs/>
          <w:lang w:val="en-GB"/>
        </w:rPr>
        <w:t xml:space="preserve">729. </w:t>
      </w:r>
      <w:r w:rsidRPr="007158E9">
        <w:rPr>
          <w:lang w:val="en-GB"/>
        </w:rPr>
        <w:t>Lastly, attacks continue to be carried out in full knowledge of facts. Given the function they hold in the country’s political and security apparatus and their indoctrination within CNDD-FDD, perpetrators of crimes committed in 2017 and 2018 in Burundi identified by the Commission must be fully aware of the context in which their acts take place.</w:t>
      </w:r>
    </w:p>
    <w:p w14:paraId="73EFDC21" w14:textId="3AAC7BB8" w:rsidR="006B05D6" w:rsidRPr="007158E9" w:rsidRDefault="006B05D6" w:rsidP="006B05D6">
      <w:pPr>
        <w:pStyle w:val="SingleTxtG"/>
        <w:rPr>
          <w:bCs/>
          <w:lang w:val="en-GB"/>
        </w:rPr>
      </w:pPr>
      <w:r w:rsidRPr="007158E9">
        <w:rPr>
          <w:bCs/>
          <w:lang w:val="en-GB"/>
        </w:rPr>
        <w:t xml:space="preserve">730. </w:t>
      </w:r>
      <w:r w:rsidRPr="007158E9">
        <w:rPr>
          <w:lang w:val="en-GB"/>
        </w:rPr>
        <w:t>In this context, the Commission has reasonable grounds to believe that crimes against humanity as listed in its previous report</w:t>
      </w:r>
      <w:r w:rsidRPr="007158E9">
        <w:rPr>
          <w:bCs/>
          <w:vertAlign w:val="superscript"/>
          <w:lang w:val="en-GB"/>
        </w:rPr>
        <w:footnoteReference w:id="631"/>
      </w:r>
      <w:r w:rsidRPr="007158E9">
        <w:rPr>
          <w:lang w:val="en-GB"/>
        </w:rPr>
        <w:t xml:space="preserve"> continue to be committed in Burundi, namely: murder, imprisonment or other serious forms of deprivation of physical liberty, torture, rape and other forms of sexual violence of comparable gravity, as well as politically motivated persecution. The Commission remains cautious, however, in describing the disappearances it has documented as “enforced” under international criminal law. Article 7 (para. 2 i) of the Rome Statute defines enforced disappearance as “cases where persons are arrested, detained or abducted by a State or political organisation or with the authorisation, support or assent of that State or organisation, which then refuses to admit that these persons are deprived of their liberty or to reveal their fate or whereabouts, with the intention of removing them from protection of the law for an extended period”. </w:t>
      </w:r>
      <w:r w:rsidRPr="007158E9">
        <w:rPr>
          <w:i/>
          <w:lang w:val="en-GB"/>
        </w:rPr>
        <w:t>Elements of crimes</w:t>
      </w:r>
      <w:r w:rsidRPr="007158E9">
        <w:rPr>
          <w:lang w:val="en-GB"/>
        </w:rPr>
        <w:t xml:space="preserve"> established by the International Criminal Court also require that the perpetrator of an enforced disappearance knows, at the time of committing this act, that “a) in the normal course of events, the arrest, detention or kidnapping will be followed by refusal to admit that [the victim(s)] are deprived of their liberty or to reveal their fate or whereabouts; or that b) this refusal was preceded or accompanied by a deprivation of liberty”</w:t>
      </w:r>
      <w:r w:rsidRPr="007158E9">
        <w:rPr>
          <w:bCs/>
          <w:vertAlign w:val="superscript"/>
          <w:lang w:val="en-GB"/>
        </w:rPr>
        <w:footnoteReference w:id="632"/>
      </w:r>
      <w:r w:rsidRPr="007158E9">
        <w:rPr>
          <w:lang w:val="en-GB"/>
        </w:rPr>
        <w:t>. At this stage of investigations, the Commission was unable to establish any of these two elements, as it was the case in its previous report</w:t>
      </w:r>
      <w:r w:rsidR="00473FE2">
        <w:rPr>
          <w:lang w:val="en-GB"/>
        </w:rPr>
        <w:t>.</w:t>
      </w:r>
      <w:r w:rsidRPr="007158E9">
        <w:rPr>
          <w:bCs/>
          <w:vertAlign w:val="superscript"/>
          <w:lang w:val="en-GB"/>
        </w:rPr>
        <w:footnoteReference w:id="633"/>
      </w:r>
      <w:r w:rsidRPr="007158E9">
        <w:rPr>
          <w:lang w:val="en-GB"/>
        </w:rPr>
        <w:t xml:space="preserve"> Still, the Commission does not exclude that these could be due to the general context in which enforced disappearances occur.</w:t>
      </w:r>
    </w:p>
    <w:p w14:paraId="53DCC1B8" w14:textId="77777777" w:rsidR="006B05D6" w:rsidRPr="00873805" w:rsidRDefault="006B05D6" w:rsidP="00873805">
      <w:pPr>
        <w:pStyle w:val="H1G"/>
      </w:pPr>
      <w:r w:rsidRPr="007158E9">
        <w:tab/>
        <w:t>B.</w:t>
      </w:r>
      <w:r w:rsidRPr="007158E9">
        <w:tab/>
        <w:t xml:space="preserve">Individual responsibilities </w:t>
      </w:r>
    </w:p>
    <w:p w14:paraId="570080B1" w14:textId="49CDF185" w:rsidR="006B05D6" w:rsidRPr="007158E9" w:rsidRDefault="006B05D6" w:rsidP="003D288F">
      <w:pPr>
        <w:pStyle w:val="SingleTxtG"/>
        <w:ind w:left="1138" w:right="1138"/>
        <w:rPr>
          <w:lang w:val="en-GB"/>
        </w:rPr>
      </w:pPr>
      <w:r w:rsidRPr="007158E9">
        <w:rPr>
          <w:bCs/>
          <w:lang w:val="en-GB"/>
        </w:rPr>
        <w:t xml:space="preserve">731. </w:t>
      </w:r>
      <w:r w:rsidRPr="007158E9">
        <w:rPr>
          <w:lang w:val="en-GB"/>
        </w:rPr>
        <w:t>The Commission has reasonable grounds to believe that in 2017 and 2018, officers, including high-level officers of the SNR, the police and the military, as well as Imbonerakure, committed or continued to commit crimes against humanity. On this basis, the Commission updated the list of alleged perpetrators, which it drew up during the initial mandate period</w:t>
      </w:r>
      <w:r w:rsidR="00473FE2">
        <w:rPr>
          <w:lang w:val="en-GB"/>
        </w:rPr>
        <w:t>.</w:t>
      </w:r>
      <w:r w:rsidRPr="007158E9">
        <w:rPr>
          <w:bCs/>
          <w:vertAlign w:val="superscript"/>
        </w:rPr>
        <w:footnoteReference w:id="634"/>
      </w:r>
      <w:r w:rsidRPr="007158E9">
        <w:rPr>
          <w:bCs/>
          <w:vertAlign w:val="superscript"/>
          <w:lang w:val="en-GB"/>
        </w:rPr>
        <w:t xml:space="preserve"> </w:t>
      </w:r>
      <w:r w:rsidRPr="007158E9">
        <w:rPr>
          <w:lang w:val="en-GB"/>
        </w:rPr>
        <w:t xml:space="preserve">This list remains confidential, in the interest of protecting the Commission’s sources and respecting the principle of presumption of innocence of the alleged perpetrators. It will be turned over to the High Commissioner for Human Rights at the end of the mandate. In the meantime, the Commission reserves the right to share it. </w:t>
      </w:r>
    </w:p>
    <w:p w14:paraId="4955DFC4" w14:textId="4297AC80" w:rsidR="006B05D6" w:rsidRPr="007158E9" w:rsidRDefault="006B05D6" w:rsidP="006B05D6">
      <w:pPr>
        <w:pStyle w:val="SingleTxtG"/>
        <w:rPr>
          <w:lang w:val="en-GB"/>
        </w:rPr>
      </w:pPr>
      <w:r w:rsidRPr="007158E9">
        <w:rPr>
          <w:bCs/>
          <w:lang w:val="en-GB"/>
        </w:rPr>
        <w:t xml:space="preserve">732. </w:t>
      </w:r>
      <w:r w:rsidRPr="007158E9">
        <w:rPr>
          <w:lang w:val="en-GB"/>
        </w:rPr>
        <w:t>As in its previous report</w:t>
      </w:r>
      <w:r w:rsidR="00473FE2">
        <w:rPr>
          <w:lang w:val="en-GB"/>
        </w:rPr>
        <w:t>,</w:t>
      </w:r>
      <w:r w:rsidRPr="007158E9">
        <w:rPr>
          <w:bCs/>
          <w:vertAlign w:val="superscript"/>
          <w:lang w:val="en-GB"/>
        </w:rPr>
        <w:footnoteReference w:id="635"/>
      </w:r>
      <w:r w:rsidRPr="007158E9">
        <w:rPr>
          <w:lang w:val="en-GB"/>
        </w:rPr>
        <w:t xml:space="preserve"> and in line with the Rome Statute of the International Criminal Court, the Commission was careful to distinguish between direct responsibility and indirect responsibility of military commanders and hierarchical superiors</w:t>
      </w:r>
      <w:r w:rsidR="00473FE2">
        <w:rPr>
          <w:lang w:val="en-GB"/>
        </w:rPr>
        <w:t>.</w:t>
      </w:r>
      <w:r w:rsidRPr="007158E9">
        <w:rPr>
          <w:bCs/>
          <w:vertAlign w:val="superscript"/>
          <w:lang w:val="en-GB"/>
        </w:rPr>
        <w:footnoteReference w:id="636"/>
      </w:r>
      <w:r w:rsidRPr="007158E9">
        <w:rPr>
          <w:lang w:val="en-GB"/>
        </w:rPr>
        <w:t xml:space="preserve"> As far as the latter group is concerned, the Commission has already provided a description of the hierarchical structures of SNR, the police, the army and CNDD-FDD</w:t>
      </w:r>
      <w:r w:rsidR="00473FE2">
        <w:rPr>
          <w:lang w:val="en-GB"/>
        </w:rPr>
        <w:t>.</w:t>
      </w:r>
      <w:r w:rsidRPr="007158E9">
        <w:rPr>
          <w:bCs/>
          <w:vertAlign w:val="superscript"/>
          <w:lang w:val="en-GB"/>
        </w:rPr>
        <w:footnoteReference w:id="637"/>
      </w:r>
      <w:r w:rsidRPr="007158E9">
        <w:rPr>
          <w:lang w:val="en-GB"/>
        </w:rPr>
        <w:t xml:space="preserve"> Nonetheless, several statements collected this year confirmed that the real functioning of the </w:t>
      </w:r>
      <w:r w:rsidR="00473FE2">
        <w:rPr>
          <w:lang w:val="en-GB"/>
        </w:rPr>
        <w:t>S</w:t>
      </w:r>
      <w:r w:rsidRPr="007158E9">
        <w:rPr>
          <w:lang w:val="en-GB"/>
        </w:rPr>
        <w:t xml:space="preserve">tate and security apparatus largely rested </w:t>
      </w:r>
      <w:r w:rsidR="00473FE2" w:rsidRPr="007158E9">
        <w:rPr>
          <w:lang w:val="en-GB"/>
        </w:rPr>
        <w:t>systematic</w:t>
      </w:r>
      <w:r w:rsidR="00473FE2">
        <w:rPr>
          <w:lang w:val="en-GB"/>
        </w:rPr>
        <w:t>ally</w:t>
      </w:r>
      <w:r w:rsidR="00473FE2" w:rsidRPr="007158E9">
        <w:rPr>
          <w:lang w:val="en-GB"/>
        </w:rPr>
        <w:t xml:space="preserve"> </w:t>
      </w:r>
      <w:r w:rsidRPr="007158E9">
        <w:rPr>
          <w:lang w:val="en-GB"/>
        </w:rPr>
        <w:t xml:space="preserve">upon </w:t>
      </w:r>
      <w:r w:rsidR="00473FE2" w:rsidRPr="007158E9">
        <w:rPr>
          <w:lang w:val="en-GB"/>
        </w:rPr>
        <w:t xml:space="preserve">parallel </w:t>
      </w:r>
      <w:r w:rsidRPr="007158E9">
        <w:rPr>
          <w:lang w:val="en-GB"/>
        </w:rPr>
        <w:t>chains of command and circuits</w:t>
      </w:r>
      <w:r w:rsidR="00473FE2">
        <w:rPr>
          <w:lang w:val="en-GB"/>
        </w:rPr>
        <w:t>.</w:t>
      </w:r>
      <w:r w:rsidRPr="007158E9">
        <w:rPr>
          <w:bCs/>
          <w:vertAlign w:val="superscript"/>
          <w:lang w:val="en-GB"/>
        </w:rPr>
        <w:footnoteReference w:id="638"/>
      </w:r>
      <w:r w:rsidRPr="007158E9">
        <w:rPr>
          <w:lang w:val="en-GB"/>
        </w:rPr>
        <w:t xml:space="preserve"> </w:t>
      </w:r>
    </w:p>
    <w:p w14:paraId="7E763765" w14:textId="7288F3AD" w:rsidR="006B05D6" w:rsidRPr="007158E9" w:rsidRDefault="006B05D6" w:rsidP="006B05D6">
      <w:pPr>
        <w:pStyle w:val="SingleTxtG"/>
        <w:rPr>
          <w:lang w:val="en-GB"/>
        </w:rPr>
      </w:pPr>
      <w:r w:rsidRPr="007158E9">
        <w:rPr>
          <w:bCs/>
          <w:lang w:val="en-GB"/>
        </w:rPr>
        <w:t>733. In this context, the Commission has received confirmation of the central role of an informal command structure often referred to as the “</w:t>
      </w:r>
      <w:r w:rsidR="00473FE2">
        <w:rPr>
          <w:bCs/>
          <w:lang w:val="en-GB"/>
        </w:rPr>
        <w:t>G</w:t>
      </w:r>
      <w:r w:rsidRPr="007158E9">
        <w:rPr>
          <w:bCs/>
          <w:lang w:val="en-GB"/>
        </w:rPr>
        <w:t xml:space="preserve">ommittee of </w:t>
      </w:r>
      <w:r w:rsidR="00473FE2">
        <w:rPr>
          <w:bCs/>
          <w:lang w:val="en-GB"/>
        </w:rPr>
        <w:t>G</w:t>
      </w:r>
      <w:r w:rsidRPr="007158E9">
        <w:rPr>
          <w:bCs/>
          <w:lang w:val="en-GB"/>
        </w:rPr>
        <w:t xml:space="preserve">enerals”, mainly made up of State officials such as the Minister of Public Security, the </w:t>
      </w:r>
      <w:r w:rsidRPr="007158E9">
        <w:rPr>
          <w:bCs/>
          <w:i/>
          <w:lang w:val="en-GB"/>
        </w:rPr>
        <w:t xml:space="preserve">Administrateur Général </w:t>
      </w:r>
      <w:r w:rsidRPr="007158E9">
        <w:rPr>
          <w:bCs/>
          <w:lang w:val="en-GB"/>
        </w:rPr>
        <w:t xml:space="preserve">of the SNR, </w:t>
      </w:r>
      <w:r w:rsidRPr="007158E9">
        <w:rPr>
          <w:lang w:val="en-GB"/>
        </w:rPr>
        <w:t>the Chief of Cabinet responsible for the police at the Office of the President, the one in charge of civilian cabinet, as well as the Secretary General of CNDD-FDD</w:t>
      </w:r>
      <w:r w:rsidR="00473FE2">
        <w:rPr>
          <w:lang w:val="en-GB"/>
        </w:rPr>
        <w:t>.</w:t>
      </w:r>
      <w:r w:rsidRPr="007158E9">
        <w:rPr>
          <w:bCs/>
          <w:vertAlign w:val="superscript"/>
          <w:lang w:val="en-GB"/>
        </w:rPr>
        <w:footnoteReference w:id="639"/>
      </w:r>
      <w:r w:rsidRPr="007158E9">
        <w:rPr>
          <w:lang w:val="en-GB"/>
        </w:rPr>
        <w:t xml:space="preserve"> This structure decides over policy and security matters, in particular measures to be taken vis-à-vis opponents. It relays its orders and directives through a </w:t>
      </w:r>
      <w:r w:rsidR="00473FE2" w:rsidRPr="007158E9">
        <w:rPr>
          <w:lang w:val="en-GB"/>
        </w:rPr>
        <w:t xml:space="preserve">parallel </w:t>
      </w:r>
      <w:r w:rsidRPr="007158E9">
        <w:rPr>
          <w:lang w:val="en-GB"/>
        </w:rPr>
        <w:t xml:space="preserve">hierarchical structure and chains of command </w:t>
      </w:r>
      <w:r w:rsidR="00473FE2">
        <w:rPr>
          <w:lang w:val="en-GB"/>
        </w:rPr>
        <w:t xml:space="preserve">that are </w:t>
      </w:r>
      <w:r w:rsidRPr="007158E9">
        <w:rPr>
          <w:lang w:val="en-GB"/>
        </w:rPr>
        <w:t>based on personal ties and trust, some of which dat</w:t>
      </w:r>
      <w:r w:rsidR="00473FE2">
        <w:rPr>
          <w:lang w:val="en-GB"/>
        </w:rPr>
        <w:t>ing</w:t>
      </w:r>
      <w:r w:rsidRPr="007158E9">
        <w:rPr>
          <w:lang w:val="en-GB"/>
        </w:rPr>
        <w:t xml:space="preserve"> back from the time of the rebellion</w:t>
      </w:r>
      <w:r w:rsidR="00473FE2">
        <w:rPr>
          <w:lang w:val="en-GB"/>
        </w:rPr>
        <w:t>,</w:t>
      </w:r>
      <w:r w:rsidRPr="007158E9">
        <w:rPr>
          <w:lang w:val="en-GB"/>
        </w:rPr>
        <w:t xml:space="preserve"> and whose articulation varies from province to province, but also from one locality to the other. The mechanism always involves officials at a more or less high level of SNR, the police, the </w:t>
      </w:r>
      <w:r w:rsidR="00473FE2">
        <w:rPr>
          <w:lang w:val="en-GB"/>
        </w:rPr>
        <w:t>A</w:t>
      </w:r>
      <w:r w:rsidRPr="007158E9">
        <w:rPr>
          <w:lang w:val="en-GB"/>
        </w:rPr>
        <w:t>rmy, the administration and CNDD-FDD. For this reason, State entities are often confused with those of the ruling party.</w:t>
      </w:r>
    </w:p>
    <w:p w14:paraId="18380BB0" w14:textId="7D447EE4" w:rsidR="006B05D6" w:rsidRDefault="006B05D6" w:rsidP="006B05D6">
      <w:pPr>
        <w:pStyle w:val="SingleTxtG"/>
        <w:rPr>
          <w:lang w:val="en-GB"/>
        </w:rPr>
      </w:pPr>
      <w:r w:rsidRPr="007158E9">
        <w:rPr>
          <w:bCs/>
          <w:lang w:val="en-GB"/>
        </w:rPr>
        <w:t xml:space="preserve">734. </w:t>
      </w:r>
      <w:r w:rsidRPr="007158E9">
        <w:rPr>
          <w:lang w:val="en-GB"/>
        </w:rPr>
        <w:t>As mentioned earlier in this report</w:t>
      </w:r>
      <w:r w:rsidR="00473FE2">
        <w:rPr>
          <w:lang w:val="en-GB"/>
        </w:rPr>
        <w:t>,</w:t>
      </w:r>
      <w:r w:rsidRPr="007158E9">
        <w:rPr>
          <w:bCs/>
          <w:vertAlign w:val="superscript"/>
          <w:lang w:val="en-GB"/>
        </w:rPr>
        <w:footnoteReference w:id="640"/>
      </w:r>
      <w:r w:rsidRPr="007158E9">
        <w:rPr>
          <w:lang w:val="en-GB"/>
        </w:rPr>
        <w:t xml:space="preserve"> Imbonerakure have played an increasingly significant role in the regimenting of the population and the persecution of political opponents, real or assumed. The pyramidal organisation follows the country’s administrative division up to national level where their activities have been coordinated by a “National Secretary of the CNDD-FDD in charge of the management of the leagues affiliated to the party” since 2016. The latter reports to the Secretary General of CNDD-FDD</w:t>
      </w:r>
      <w:r w:rsidR="00473FE2">
        <w:rPr>
          <w:lang w:val="en-GB"/>
        </w:rPr>
        <w:t>.</w:t>
      </w:r>
      <w:r w:rsidRPr="007158E9">
        <w:rPr>
          <w:bCs/>
          <w:vertAlign w:val="superscript"/>
          <w:lang w:val="en-GB"/>
        </w:rPr>
        <w:footnoteReference w:id="641"/>
      </w:r>
      <w:r w:rsidRPr="007158E9">
        <w:rPr>
          <w:lang w:val="en-GB"/>
        </w:rPr>
        <w:t xml:space="preserve"> Several statements collected by the Commission confirmed the party’s control over Imbonerakure</w:t>
      </w:r>
      <w:r w:rsidR="00473FE2">
        <w:rPr>
          <w:lang w:val="en-GB"/>
        </w:rPr>
        <w:t>.</w:t>
      </w:r>
      <w:r w:rsidRPr="007158E9">
        <w:rPr>
          <w:bCs/>
          <w:vertAlign w:val="superscript"/>
          <w:lang w:val="en-GB"/>
        </w:rPr>
        <w:footnoteReference w:id="642"/>
      </w:r>
      <w:r w:rsidRPr="007158E9">
        <w:rPr>
          <w:lang w:val="en-GB"/>
        </w:rPr>
        <w:t xml:space="preserve"> Witnesses reported close links between Imbonerakure and SNR, particularly in the repression of Government and CNDD-FDD opponents</w:t>
      </w:r>
      <w:r w:rsidR="00473FE2">
        <w:rPr>
          <w:lang w:val="en-GB"/>
        </w:rPr>
        <w:t>,</w:t>
      </w:r>
      <w:r w:rsidRPr="007158E9">
        <w:rPr>
          <w:bCs/>
          <w:vertAlign w:val="superscript"/>
          <w:lang w:val="en-GB"/>
        </w:rPr>
        <w:footnoteReference w:id="643"/>
      </w:r>
      <w:r w:rsidRPr="007158E9">
        <w:rPr>
          <w:lang w:val="en-GB"/>
        </w:rPr>
        <w:t xml:space="preserve"> some of the witnesses even noting that Imbonerakure act under direct supervision of SNR</w:t>
      </w:r>
      <w:r w:rsidR="00473FE2">
        <w:rPr>
          <w:lang w:val="en-GB"/>
        </w:rPr>
        <w:t>.</w:t>
      </w:r>
      <w:r w:rsidRPr="007158E9">
        <w:rPr>
          <w:bCs/>
          <w:vertAlign w:val="superscript"/>
          <w:lang w:val="en-GB"/>
        </w:rPr>
        <w:footnoteReference w:id="644"/>
      </w:r>
      <w:r w:rsidRPr="007158E9">
        <w:rPr>
          <w:lang w:val="en-GB"/>
        </w:rPr>
        <w:t xml:space="preserve"> In addition to confirming the hierarchical function of Imbonerakure inside the CNDD-FDD structure, some highlighted close cooperation and the interlocking of the hierarchy of Imbonerakure with that of SNR, as well as other </w:t>
      </w:r>
      <w:r w:rsidR="00473FE2">
        <w:rPr>
          <w:lang w:val="en-GB"/>
        </w:rPr>
        <w:t>S</w:t>
      </w:r>
      <w:r w:rsidRPr="007158E9">
        <w:rPr>
          <w:lang w:val="en-GB"/>
        </w:rPr>
        <w:t xml:space="preserve">tate institutions and bodies, specifically the police and, to a lesser extent, the </w:t>
      </w:r>
      <w:r w:rsidR="00473FE2">
        <w:rPr>
          <w:lang w:val="en-GB"/>
        </w:rPr>
        <w:t>A</w:t>
      </w:r>
      <w:r w:rsidRPr="007158E9">
        <w:rPr>
          <w:lang w:val="en-GB"/>
        </w:rPr>
        <w:t>rmy</w:t>
      </w:r>
      <w:r w:rsidR="00473FE2">
        <w:rPr>
          <w:lang w:val="en-GB"/>
        </w:rPr>
        <w:t>.</w:t>
      </w:r>
      <w:r w:rsidRPr="007158E9">
        <w:rPr>
          <w:bCs/>
          <w:vertAlign w:val="superscript"/>
          <w:lang w:val="en-GB"/>
        </w:rPr>
        <w:footnoteReference w:id="645"/>
      </w:r>
      <w:r w:rsidRPr="007158E9">
        <w:rPr>
          <w:lang w:val="en-GB"/>
        </w:rPr>
        <w:t xml:space="preserve"> The confusion that may exist between Imbonerakure and these </w:t>
      </w:r>
      <w:r w:rsidR="00473FE2">
        <w:rPr>
          <w:lang w:val="en-GB"/>
        </w:rPr>
        <w:t>S</w:t>
      </w:r>
      <w:r w:rsidRPr="007158E9">
        <w:rPr>
          <w:lang w:val="en-GB"/>
        </w:rPr>
        <w:t>tate bodies can be partly attributed to the majority of agents in both bodies being CNDD-FDD members.</w:t>
      </w:r>
    </w:p>
    <w:p w14:paraId="47C4E50B" w14:textId="37FDAE47" w:rsidR="00473FE2" w:rsidRPr="007158E9" w:rsidRDefault="00473FE2" w:rsidP="006B05D6">
      <w:pPr>
        <w:pStyle w:val="SingleTxtG"/>
        <w:rPr>
          <w:lang w:val="en-GB"/>
        </w:rPr>
      </w:pPr>
      <w:r>
        <w:rPr>
          <w:lang w:val="en-GB"/>
        </w:rPr>
        <w:t>[…]</w:t>
      </w:r>
    </w:p>
    <w:p w14:paraId="4979EA5A" w14:textId="274F68F5" w:rsidR="00A15424" w:rsidRPr="00B80AB4" w:rsidRDefault="006B59A8" w:rsidP="00873805">
      <w:pPr>
        <w:pStyle w:val="HChG"/>
        <w:rPr>
          <w:lang w:val="en-GB"/>
        </w:rPr>
      </w:pPr>
      <w:r w:rsidRPr="00B80AB4">
        <w:rPr>
          <w:lang w:val="en-GB"/>
        </w:rPr>
        <w:tab/>
        <w:t>VI.</w:t>
      </w:r>
      <w:r w:rsidRPr="00B80AB4">
        <w:rPr>
          <w:lang w:val="en-GB"/>
        </w:rPr>
        <w:tab/>
      </w:r>
      <w:r w:rsidR="00A15424" w:rsidRPr="00B80AB4">
        <w:rPr>
          <w:lang w:val="en-GB"/>
        </w:rPr>
        <w:t xml:space="preserve">Conclusions </w:t>
      </w:r>
      <w:r w:rsidR="0074114E" w:rsidRPr="00B80AB4">
        <w:rPr>
          <w:lang w:val="en-GB"/>
        </w:rPr>
        <w:t>and</w:t>
      </w:r>
      <w:r w:rsidR="00A15424" w:rsidRPr="00B80AB4">
        <w:rPr>
          <w:lang w:val="en-GB"/>
        </w:rPr>
        <w:t xml:space="preserve"> </w:t>
      </w:r>
      <w:r w:rsidR="0074114E" w:rsidRPr="00B80AB4">
        <w:rPr>
          <w:lang w:val="en-GB"/>
        </w:rPr>
        <w:t>recomme</w:t>
      </w:r>
      <w:r w:rsidR="00A15424" w:rsidRPr="00B80AB4">
        <w:rPr>
          <w:lang w:val="en-GB"/>
        </w:rPr>
        <w:t>ndations</w:t>
      </w:r>
    </w:p>
    <w:p w14:paraId="25308E99" w14:textId="42A996C1" w:rsidR="00A15424" w:rsidRPr="007158E9" w:rsidRDefault="006B59A8" w:rsidP="000F73DC">
      <w:pPr>
        <w:pStyle w:val="SingleTxtG"/>
        <w:ind w:right="567"/>
        <w:rPr>
          <w:rFonts w:eastAsia="MS Mincho"/>
          <w:b/>
          <w:bCs/>
          <w:lang w:val="en-GB"/>
        </w:rPr>
      </w:pPr>
      <w:r w:rsidRPr="007158E9">
        <w:rPr>
          <w:rFonts w:eastAsia="MS Mincho"/>
          <w:b/>
          <w:bCs/>
          <w:lang w:val="en-GB"/>
        </w:rPr>
        <w:tab/>
      </w:r>
      <w:r w:rsidR="00920BFF" w:rsidRPr="007158E9">
        <w:rPr>
          <w:rFonts w:eastAsia="MS Mincho"/>
          <w:bCs/>
          <w:lang w:val="en-GB"/>
        </w:rPr>
        <w:t>823</w:t>
      </w:r>
      <w:r w:rsidR="007B6B00" w:rsidRPr="007158E9">
        <w:rPr>
          <w:rFonts w:eastAsia="MS Mincho"/>
          <w:bCs/>
          <w:lang w:val="en-GB"/>
        </w:rPr>
        <w:t>.</w:t>
      </w:r>
      <w:r w:rsidRPr="007158E9">
        <w:rPr>
          <w:rFonts w:eastAsia="MS Mincho"/>
          <w:b/>
          <w:bCs/>
          <w:lang w:val="en-GB"/>
        </w:rPr>
        <w:tab/>
      </w:r>
      <w:r w:rsidR="0074114E" w:rsidRPr="007158E9">
        <w:rPr>
          <w:rFonts w:eastAsia="MS Mincho"/>
          <w:b/>
          <w:bCs/>
          <w:lang w:val="en-GB"/>
        </w:rPr>
        <w:t>In the light of its investigations, the Commission of Inquiry on Burundi is in a position to conclude that the serious human rights violations documented in the first year of its mandate, including crimes against humanity, have persisted in 2017 and 2018. Such violations include cases of summary execution, disappearance (including enforced disappearance), arbitrary arrest and detention, torture and other cruel, inhuman or degrading treatment, sexual violence, and violations of civil liberties such as the freedoms of expression, association, assembly and movement</w:t>
      </w:r>
      <w:r w:rsidR="00A15424" w:rsidRPr="007158E9">
        <w:rPr>
          <w:rFonts w:eastAsia="MS Mincho"/>
          <w:b/>
          <w:bCs/>
          <w:lang w:val="en-GB"/>
        </w:rPr>
        <w:t>.</w:t>
      </w:r>
    </w:p>
    <w:p w14:paraId="4273E2BD" w14:textId="525165D3" w:rsidR="00A15424" w:rsidRPr="007158E9" w:rsidRDefault="006B59A8" w:rsidP="000F73DC">
      <w:pPr>
        <w:pStyle w:val="SingleTxtG"/>
        <w:ind w:right="567"/>
        <w:rPr>
          <w:rFonts w:eastAsia="MS Mincho"/>
          <w:b/>
          <w:bCs/>
          <w:lang w:val="en-GB"/>
        </w:rPr>
      </w:pPr>
      <w:r w:rsidRPr="007158E9">
        <w:rPr>
          <w:rFonts w:eastAsia="MS Mincho"/>
          <w:b/>
          <w:bCs/>
          <w:lang w:val="en-GB"/>
        </w:rPr>
        <w:tab/>
      </w:r>
      <w:r w:rsidR="00920BFF" w:rsidRPr="007158E9">
        <w:rPr>
          <w:rFonts w:eastAsia="MS Mincho"/>
          <w:bCs/>
          <w:lang w:val="en-GB"/>
        </w:rPr>
        <w:t>824</w:t>
      </w:r>
      <w:r w:rsidR="007B6B00" w:rsidRPr="007158E9">
        <w:rPr>
          <w:rFonts w:eastAsia="MS Mincho"/>
          <w:bCs/>
          <w:lang w:val="en-GB"/>
        </w:rPr>
        <w:t>.</w:t>
      </w:r>
      <w:r w:rsidRPr="007158E9">
        <w:rPr>
          <w:rFonts w:eastAsia="MS Mincho"/>
          <w:b/>
          <w:bCs/>
          <w:lang w:val="en-GB"/>
        </w:rPr>
        <w:tab/>
      </w:r>
      <w:r w:rsidR="009612B4" w:rsidRPr="007158E9">
        <w:rPr>
          <w:b/>
          <w:bCs/>
          <w:lang w:val="en-GB"/>
        </w:rPr>
        <w:t>While the State entities that are most often implicated in these violations continue to be the National Intelligence Service and the police, the Commission is concerned about the growing role being played by the Imbonerakure in a situation in which recruitment drives among the general public are being used as a means of suppressing all opposition. The Burundian State is responsible for the violations committed by Imbonerakure in this context</w:t>
      </w:r>
      <w:r w:rsidR="00A15424" w:rsidRPr="007158E9">
        <w:rPr>
          <w:rFonts w:eastAsia="MS Mincho"/>
          <w:b/>
          <w:bCs/>
          <w:lang w:val="en-GB"/>
        </w:rPr>
        <w:t>.</w:t>
      </w:r>
    </w:p>
    <w:p w14:paraId="6C3A47C7" w14:textId="1E6FA14C" w:rsidR="00A15424" w:rsidRPr="007158E9" w:rsidRDefault="006B59A8" w:rsidP="000F73DC">
      <w:pPr>
        <w:pStyle w:val="SingleTxtG"/>
        <w:ind w:right="567"/>
        <w:rPr>
          <w:rFonts w:eastAsia="MS Mincho"/>
          <w:b/>
          <w:bCs/>
          <w:lang w:val="en-GB"/>
        </w:rPr>
      </w:pPr>
      <w:r w:rsidRPr="007158E9">
        <w:rPr>
          <w:rFonts w:eastAsia="MS Mincho"/>
          <w:b/>
          <w:bCs/>
          <w:lang w:val="en-GB"/>
        </w:rPr>
        <w:tab/>
      </w:r>
      <w:r w:rsidR="002E4070" w:rsidRPr="007158E9">
        <w:rPr>
          <w:rFonts w:eastAsia="MS Mincho"/>
          <w:bCs/>
          <w:lang w:val="en-GB"/>
        </w:rPr>
        <w:t>82</w:t>
      </w:r>
      <w:r w:rsidR="00920BFF" w:rsidRPr="007158E9">
        <w:rPr>
          <w:rFonts w:eastAsia="MS Mincho"/>
          <w:bCs/>
          <w:lang w:val="en-GB"/>
        </w:rPr>
        <w:t>5</w:t>
      </w:r>
      <w:r w:rsidR="007B6B00" w:rsidRPr="007158E9">
        <w:rPr>
          <w:rFonts w:eastAsia="MS Mincho"/>
          <w:bCs/>
          <w:lang w:val="en-GB"/>
        </w:rPr>
        <w:t>.</w:t>
      </w:r>
      <w:r w:rsidRPr="007158E9">
        <w:rPr>
          <w:rFonts w:eastAsia="MS Mincho"/>
          <w:b/>
          <w:bCs/>
          <w:lang w:val="en-GB"/>
        </w:rPr>
        <w:tab/>
      </w:r>
      <w:r w:rsidR="009612B4" w:rsidRPr="007158E9">
        <w:rPr>
          <w:rFonts w:eastAsia="MS Mincho"/>
          <w:b/>
          <w:bCs/>
          <w:lang w:val="en-GB"/>
        </w:rPr>
        <w:t>Perpetrators of violations are operating in an overall climate of impunity. The Commission has found that, as matters stand, the Burundian judicial system is both unwilling and unable to identify and prosecute those responsible for violations</w:t>
      </w:r>
      <w:r w:rsidR="00A15424" w:rsidRPr="007158E9">
        <w:rPr>
          <w:rFonts w:eastAsia="MS Mincho"/>
          <w:b/>
          <w:bCs/>
          <w:lang w:val="en-GB"/>
        </w:rPr>
        <w:t>.</w:t>
      </w:r>
    </w:p>
    <w:p w14:paraId="49C29407" w14:textId="65D50274" w:rsidR="00A15424" w:rsidRPr="007158E9" w:rsidRDefault="00920BFF" w:rsidP="000F73DC">
      <w:pPr>
        <w:pStyle w:val="SingleTxtG"/>
        <w:ind w:right="567"/>
        <w:rPr>
          <w:rFonts w:eastAsia="MS Mincho"/>
          <w:b/>
          <w:bCs/>
          <w:lang w:val="en-GB"/>
        </w:rPr>
      </w:pPr>
      <w:r w:rsidRPr="007158E9">
        <w:rPr>
          <w:rFonts w:eastAsia="MS Mincho"/>
          <w:bCs/>
          <w:lang w:val="en-GB"/>
        </w:rPr>
        <w:t>826</w:t>
      </w:r>
      <w:r w:rsidR="007B6B00" w:rsidRPr="007158E9">
        <w:rPr>
          <w:rFonts w:eastAsia="MS Mincho"/>
          <w:bCs/>
          <w:lang w:val="en-GB"/>
        </w:rPr>
        <w:t>.</w:t>
      </w:r>
      <w:r w:rsidR="007B6B00" w:rsidRPr="007158E9">
        <w:rPr>
          <w:rFonts w:eastAsia="MS Mincho"/>
          <w:bCs/>
          <w:lang w:val="en-GB"/>
        </w:rPr>
        <w:tab/>
      </w:r>
      <w:r w:rsidR="009612B4" w:rsidRPr="007158E9">
        <w:rPr>
          <w:rFonts w:eastAsia="MS Mincho"/>
          <w:b/>
          <w:bCs/>
          <w:lang w:val="en-GB"/>
        </w:rPr>
        <w:t>The political crisis in Burundi has had a very negative impact on the country’s economic and social situation and has fuelled an increase in poverty. The Government has nonetheless imposed additional taxes and contributions, in contravention of the right of all persons to an adequate standard of living, and has failed to devote the greatest possible share of its domestic resources to the realization of economic and social rights</w:t>
      </w:r>
      <w:r w:rsidR="006B59A8" w:rsidRPr="007158E9">
        <w:rPr>
          <w:rFonts w:eastAsia="MS Mincho"/>
          <w:b/>
          <w:bCs/>
          <w:lang w:val="en-GB"/>
        </w:rPr>
        <w:t>.</w:t>
      </w:r>
    </w:p>
    <w:p w14:paraId="7C47E3EB" w14:textId="009AE4F2" w:rsidR="00A15424" w:rsidRPr="007158E9" w:rsidRDefault="00920BFF" w:rsidP="000F73DC">
      <w:pPr>
        <w:pStyle w:val="SingleTxtG"/>
        <w:ind w:right="567"/>
        <w:rPr>
          <w:rFonts w:eastAsia="MS Mincho"/>
          <w:b/>
          <w:bCs/>
          <w:lang w:val="en-GB"/>
        </w:rPr>
      </w:pPr>
      <w:r w:rsidRPr="007158E9">
        <w:rPr>
          <w:rFonts w:eastAsia="MS Mincho"/>
          <w:bCs/>
          <w:lang w:val="en-GB"/>
        </w:rPr>
        <w:t>827</w:t>
      </w:r>
      <w:r w:rsidR="007B6B00" w:rsidRPr="007158E9">
        <w:rPr>
          <w:rFonts w:eastAsia="MS Mincho"/>
          <w:bCs/>
          <w:lang w:val="en-GB"/>
        </w:rPr>
        <w:t>.</w:t>
      </w:r>
      <w:r w:rsidR="007B6B00" w:rsidRPr="007158E9">
        <w:rPr>
          <w:rFonts w:eastAsia="MS Mincho"/>
          <w:bCs/>
          <w:lang w:val="en-GB"/>
        </w:rPr>
        <w:tab/>
      </w:r>
      <w:r w:rsidR="009612B4" w:rsidRPr="007158E9">
        <w:rPr>
          <w:b/>
          <w:bCs/>
          <w:lang w:val="en-GB"/>
        </w:rPr>
        <w:t>In this context, the Commission continues to believe that the Arusha Agreement must remain the basis for any settlement of the crisis in Burundi. The Commission is especially concerned to note that there are no independent international mechanisms in Burundi that are in a position to investigate human rights violations</w:t>
      </w:r>
      <w:r w:rsidR="00A15424" w:rsidRPr="007158E9">
        <w:rPr>
          <w:rFonts w:eastAsia="MS Mincho"/>
          <w:b/>
          <w:bCs/>
          <w:lang w:val="en-GB"/>
        </w:rPr>
        <w:t>.</w:t>
      </w:r>
    </w:p>
    <w:p w14:paraId="251E8E81" w14:textId="63355A90" w:rsidR="00A15424" w:rsidRPr="007158E9" w:rsidRDefault="00920BFF" w:rsidP="000F73DC">
      <w:pPr>
        <w:pStyle w:val="SingleTxtG"/>
        <w:ind w:right="567"/>
        <w:rPr>
          <w:rFonts w:eastAsia="MS Mincho"/>
          <w:b/>
          <w:bCs/>
          <w:lang w:val="en-GB"/>
        </w:rPr>
      </w:pPr>
      <w:r w:rsidRPr="007158E9">
        <w:rPr>
          <w:rFonts w:eastAsia="MS Mincho"/>
          <w:bCs/>
          <w:lang w:val="en-GB"/>
        </w:rPr>
        <w:t>828</w:t>
      </w:r>
      <w:r w:rsidR="007B6B00" w:rsidRPr="007158E9">
        <w:rPr>
          <w:rFonts w:eastAsia="MS Mincho"/>
          <w:bCs/>
          <w:lang w:val="en-GB"/>
        </w:rPr>
        <w:t>.</w:t>
      </w:r>
      <w:r w:rsidR="007B6B00" w:rsidRPr="007158E9">
        <w:rPr>
          <w:rFonts w:eastAsia="MS Mincho"/>
          <w:bCs/>
          <w:lang w:val="en-GB"/>
        </w:rPr>
        <w:tab/>
      </w:r>
      <w:r w:rsidR="00D04086" w:rsidRPr="007158E9">
        <w:rPr>
          <w:b/>
          <w:bCs/>
          <w:lang w:val="en-GB"/>
        </w:rPr>
        <w:t>As the Government of Burundi has not yet implemented the recommendations put forward by the Commission in its previous report (A/HRC/36/54), the Commission reiterates those recommendations, in particular the ones contained in paragraphs 86, 87, 111, 112, 113, 114 and 115</w:t>
      </w:r>
      <w:r w:rsidR="00A15424" w:rsidRPr="007158E9">
        <w:rPr>
          <w:rFonts w:eastAsia="MS Mincho"/>
          <w:b/>
          <w:bCs/>
          <w:lang w:val="en-GB"/>
        </w:rPr>
        <w:t>. </w:t>
      </w:r>
    </w:p>
    <w:p w14:paraId="5D4A3B11" w14:textId="5CD7F109" w:rsidR="00A15424" w:rsidRPr="007158E9" w:rsidRDefault="00920BFF" w:rsidP="000F73DC">
      <w:pPr>
        <w:pStyle w:val="SingleTxtG"/>
        <w:ind w:right="567"/>
        <w:rPr>
          <w:rFonts w:eastAsia="MS Mincho"/>
          <w:b/>
          <w:bCs/>
          <w:lang w:val="en-GB"/>
        </w:rPr>
      </w:pPr>
      <w:r w:rsidRPr="007158E9">
        <w:rPr>
          <w:rFonts w:eastAsia="MS Mincho"/>
          <w:bCs/>
          <w:lang w:val="en-GB"/>
        </w:rPr>
        <w:t>829</w:t>
      </w:r>
      <w:r w:rsidR="007B6B00" w:rsidRPr="007158E9">
        <w:rPr>
          <w:rFonts w:eastAsia="MS Mincho"/>
          <w:bCs/>
          <w:lang w:val="en-GB"/>
        </w:rPr>
        <w:t>.</w:t>
      </w:r>
      <w:r w:rsidR="007B6B00" w:rsidRPr="007158E9">
        <w:rPr>
          <w:rFonts w:eastAsia="MS Mincho"/>
          <w:bCs/>
          <w:lang w:val="en-GB"/>
        </w:rPr>
        <w:tab/>
      </w:r>
      <w:r w:rsidR="00D04086" w:rsidRPr="007158E9">
        <w:rPr>
          <w:rFonts w:eastAsia="MS Mincho"/>
          <w:b/>
          <w:bCs/>
          <w:lang w:val="en-GB"/>
        </w:rPr>
        <w:t>The Commission recommends that the Human Rights Council extend the mandate of the Commission for a period of one year, in view of:</w:t>
      </w:r>
    </w:p>
    <w:p w14:paraId="4F695508" w14:textId="0F9E0C28" w:rsidR="00A15424" w:rsidRPr="007158E9" w:rsidRDefault="00D04086" w:rsidP="001A5901">
      <w:pPr>
        <w:pStyle w:val="SingleTxtG"/>
        <w:numPr>
          <w:ilvl w:val="0"/>
          <w:numId w:val="10"/>
        </w:numPr>
        <w:ind w:left="1134" w:right="567" w:firstLine="567"/>
        <w:rPr>
          <w:rFonts w:eastAsia="MS Mincho"/>
          <w:b/>
          <w:bCs/>
          <w:lang w:val="en-GB"/>
        </w:rPr>
      </w:pPr>
      <w:r w:rsidRPr="007158E9">
        <w:rPr>
          <w:b/>
          <w:bCs/>
          <w:lang w:val="en-GB"/>
        </w:rPr>
        <w:t>The persistence of serious human rights violations and abuses</w:t>
      </w:r>
      <w:r w:rsidR="00A15424" w:rsidRPr="007158E9">
        <w:rPr>
          <w:rFonts w:eastAsia="MS Mincho"/>
          <w:b/>
          <w:bCs/>
          <w:lang w:val="en-GB"/>
        </w:rPr>
        <w:t>;</w:t>
      </w:r>
    </w:p>
    <w:p w14:paraId="0ECDFB0F" w14:textId="63C75DD5" w:rsidR="00A15424" w:rsidRPr="007158E9" w:rsidRDefault="00D04086" w:rsidP="001A5901">
      <w:pPr>
        <w:pStyle w:val="SingleTxtG"/>
        <w:numPr>
          <w:ilvl w:val="0"/>
          <w:numId w:val="10"/>
        </w:numPr>
        <w:ind w:left="1134" w:right="567" w:firstLine="567"/>
        <w:rPr>
          <w:rFonts w:eastAsia="MS Mincho"/>
          <w:b/>
          <w:bCs/>
          <w:lang w:val="en-GB"/>
        </w:rPr>
      </w:pPr>
      <w:r w:rsidRPr="007158E9">
        <w:rPr>
          <w:rFonts w:eastAsia="MS Mincho"/>
          <w:b/>
          <w:bCs/>
          <w:lang w:val="en-GB"/>
        </w:rPr>
        <w:t>The lack of action against perpetrators, especially the Imbonerakure, some members of which have continued to be used by State agents for activities contrary to human rights</w:t>
      </w:r>
      <w:r w:rsidR="00A15424" w:rsidRPr="007158E9">
        <w:rPr>
          <w:rFonts w:eastAsia="MS Mincho"/>
          <w:b/>
          <w:bCs/>
          <w:lang w:val="en-GB"/>
        </w:rPr>
        <w:t>;</w:t>
      </w:r>
    </w:p>
    <w:p w14:paraId="219B6FDB" w14:textId="783207D4" w:rsidR="00A15424" w:rsidRPr="007158E9" w:rsidRDefault="00D04086" w:rsidP="001A5901">
      <w:pPr>
        <w:pStyle w:val="SingleTxtG"/>
        <w:numPr>
          <w:ilvl w:val="0"/>
          <w:numId w:val="10"/>
        </w:numPr>
        <w:ind w:left="1134" w:right="567" w:firstLine="567"/>
        <w:rPr>
          <w:rFonts w:eastAsia="MS Mincho"/>
          <w:b/>
          <w:bCs/>
          <w:lang w:val="en-GB"/>
        </w:rPr>
      </w:pPr>
      <w:r w:rsidRPr="007158E9">
        <w:rPr>
          <w:b/>
          <w:bCs/>
          <w:lang w:val="en-GB"/>
        </w:rPr>
        <w:t xml:space="preserve">The lack of other international mechanisms in a position to carry out independent and thorough investigations into the human rights situation in </w:t>
      </w:r>
      <w:r w:rsidR="00A15424" w:rsidRPr="007158E9">
        <w:rPr>
          <w:rFonts w:eastAsia="MS Mincho"/>
          <w:b/>
          <w:bCs/>
          <w:lang w:val="en-GB"/>
        </w:rPr>
        <w:t>Burundi.</w:t>
      </w:r>
    </w:p>
    <w:p w14:paraId="313BA3FA" w14:textId="220AB08F" w:rsidR="00A15424" w:rsidRPr="007158E9" w:rsidRDefault="001F79CD" w:rsidP="000F73DC">
      <w:pPr>
        <w:pStyle w:val="SingleTxtG"/>
        <w:ind w:right="567"/>
        <w:rPr>
          <w:rFonts w:eastAsia="MS Mincho"/>
          <w:b/>
          <w:bCs/>
          <w:lang w:val="en-GB"/>
        </w:rPr>
      </w:pPr>
      <w:r w:rsidRPr="007158E9">
        <w:rPr>
          <w:rFonts w:eastAsia="MS Mincho"/>
          <w:bCs/>
          <w:lang w:val="en-GB"/>
        </w:rPr>
        <w:t>83</w:t>
      </w:r>
      <w:r w:rsidR="00920BFF" w:rsidRPr="007158E9">
        <w:rPr>
          <w:rFonts w:eastAsia="MS Mincho"/>
          <w:bCs/>
          <w:lang w:val="en-GB"/>
        </w:rPr>
        <w:t>0</w:t>
      </w:r>
      <w:r w:rsidR="007B6B00" w:rsidRPr="007158E9">
        <w:rPr>
          <w:rFonts w:eastAsia="MS Mincho"/>
          <w:bCs/>
          <w:lang w:val="en-GB"/>
        </w:rPr>
        <w:t>.</w:t>
      </w:r>
      <w:r w:rsidR="006B59A8" w:rsidRPr="007158E9">
        <w:rPr>
          <w:rFonts w:eastAsia="MS Mincho"/>
          <w:b/>
          <w:bCs/>
          <w:lang w:val="en-GB"/>
        </w:rPr>
        <w:tab/>
      </w:r>
      <w:r w:rsidR="00D04086" w:rsidRPr="007158E9">
        <w:rPr>
          <w:b/>
          <w:bCs/>
          <w:lang w:val="en-GB"/>
        </w:rPr>
        <w:t>The Commission also recommends that the Human Rights Council submit the report and recommendations of the Commission to the United Nations Security Council for its consideration</w:t>
      </w:r>
      <w:r w:rsidR="00A15424" w:rsidRPr="007158E9">
        <w:rPr>
          <w:rFonts w:eastAsia="MS Mincho"/>
          <w:b/>
          <w:bCs/>
          <w:lang w:val="en-GB"/>
        </w:rPr>
        <w:t>.</w:t>
      </w:r>
    </w:p>
    <w:p w14:paraId="3F96FA27" w14:textId="617C7FC8" w:rsidR="00A15424" w:rsidRPr="007158E9" w:rsidRDefault="001F79CD" w:rsidP="000F73DC">
      <w:pPr>
        <w:pStyle w:val="SingleTxtG"/>
        <w:ind w:right="567"/>
        <w:rPr>
          <w:rFonts w:eastAsia="MS Mincho"/>
          <w:b/>
          <w:bCs/>
          <w:lang w:val="en-GB"/>
        </w:rPr>
      </w:pPr>
      <w:r w:rsidRPr="007158E9">
        <w:rPr>
          <w:rFonts w:eastAsia="MS Mincho"/>
          <w:bCs/>
          <w:lang w:val="en-GB"/>
        </w:rPr>
        <w:t>83</w:t>
      </w:r>
      <w:r w:rsidR="00920BFF" w:rsidRPr="007158E9">
        <w:rPr>
          <w:rFonts w:eastAsia="MS Mincho"/>
          <w:bCs/>
          <w:lang w:val="en-GB"/>
        </w:rPr>
        <w:t>1</w:t>
      </w:r>
      <w:r w:rsidR="007B6B00" w:rsidRPr="007158E9">
        <w:rPr>
          <w:rFonts w:eastAsia="MS Mincho"/>
          <w:bCs/>
          <w:lang w:val="en-GB"/>
        </w:rPr>
        <w:t>.</w:t>
      </w:r>
      <w:r w:rsidR="006B59A8" w:rsidRPr="007158E9">
        <w:rPr>
          <w:rFonts w:eastAsia="MS Mincho"/>
          <w:lang w:val="en-GB"/>
        </w:rPr>
        <w:tab/>
      </w:r>
      <w:r w:rsidR="00D04086" w:rsidRPr="007158E9">
        <w:rPr>
          <w:b/>
          <w:bCs/>
          <w:lang w:val="en-GB"/>
        </w:rPr>
        <w:t>The Commission recommends that the Government of Burundi take the following measures as a matter of priority</w:t>
      </w:r>
      <w:r w:rsidR="00A15424" w:rsidRPr="007158E9">
        <w:rPr>
          <w:rFonts w:eastAsia="MS Mincho"/>
          <w:b/>
          <w:bCs/>
          <w:lang w:val="en-GB"/>
        </w:rPr>
        <w:t>:</w:t>
      </w:r>
    </w:p>
    <w:p w14:paraId="237C7A16" w14:textId="4860BB9F" w:rsidR="00A15424" w:rsidRPr="007158E9" w:rsidRDefault="00D04086" w:rsidP="001A5901">
      <w:pPr>
        <w:pStyle w:val="SingleTxtG"/>
        <w:numPr>
          <w:ilvl w:val="2"/>
          <w:numId w:val="11"/>
        </w:numPr>
        <w:ind w:left="1134" w:right="567" w:firstLine="567"/>
        <w:rPr>
          <w:rFonts w:eastAsia="MS Mincho"/>
          <w:b/>
          <w:bCs/>
          <w:lang w:val="en-GB"/>
        </w:rPr>
      </w:pPr>
      <w:r w:rsidRPr="007158E9">
        <w:rPr>
          <w:b/>
          <w:bCs/>
          <w:lang w:val="en-GB"/>
        </w:rPr>
        <w:t xml:space="preserve">Put an immediate end to the gross human rights violations being committed by agents of the State and </w:t>
      </w:r>
      <w:r w:rsidR="001E3D94" w:rsidRPr="007158E9">
        <w:rPr>
          <w:b/>
          <w:bCs/>
          <w:lang w:val="en-GB"/>
        </w:rPr>
        <w:t>Imbonerakure;</w:t>
      </w:r>
    </w:p>
    <w:p w14:paraId="1D2545C3" w14:textId="2C32111A"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With the support of the international community, establish ad hoc mechanisms with a mandate to investigate human rights violations and to prosecute perpetrators of international crimes that are not being investigated by the International Criminal </w:t>
      </w:r>
      <w:r w:rsidR="001E3D94" w:rsidRPr="007158E9">
        <w:rPr>
          <w:rFonts w:eastAsia="MS Mincho"/>
          <w:b/>
          <w:bCs/>
          <w:lang w:val="en-GB"/>
        </w:rPr>
        <w:t>Court;</w:t>
      </w:r>
    </w:p>
    <w:p w14:paraId="15B7C545" w14:textId="03728C2B" w:rsidR="00A15424" w:rsidRPr="007158E9" w:rsidRDefault="00D04086" w:rsidP="001A5901">
      <w:pPr>
        <w:pStyle w:val="SingleTxtG"/>
        <w:numPr>
          <w:ilvl w:val="2"/>
          <w:numId w:val="11"/>
        </w:numPr>
        <w:ind w:left="1134" w:right="567" w:firstLine="567"/>
        <w:rPr>
          <w:rFonts w:eastAsia="MS Mincho"/>
          <w:b/>
          <w:bCs/>
          <w:lang w:val="en-GB"/>
        </w:rPr>
      </w:pPr>
      <w:r w:rsidRPr="007158E9">
        <w:rPr>
          <w:b/>
          <w:bCs/>
          <w:lang w:val="en-GB"/>
        </w:rPr>
        <w:t>With the support of the international community, establish an independent body with a mandate to investigate the cases of disappearance reported since April 2015, locate potential mass graves, and exhume and identify the remains</w:t>
      </w:r>
      <w:r w:rsidR="00A15424" w:rsidRPr="007158E9">
        <w:rPr>
          <w:rFonts w:eastAsia="MS Mincho"/>
          <w:b/>
          <w:bCs/>
          <w:lang w:val="en-GB"/>
        </w:rPr>
        <w:t>;</w:t>
      </w:r>
    </w:p>
    <w:p w14:paraId="14CD9D1E" w14:textId="6DB3F543"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Take measures to ensure that victims of torture and women survivors of sexual violence have access to appropriate care, including free access to all sexual and reproductive health services and to psychological support</w:t>
      </w:r>
      <w:r w:rsidR="00A15424" w:rsidRPr="007158E9">
        <w:rPr>
          <w:rFonts w:eastAsia="MS Mincho"/>
          <w:b/>
          <w:bCs/>
          <w:lang w:val="en-GB"/>
        </w:rPr>
        <w:t>;</w:t>
      </w:r>
    </w:p>
    <w:p w14:paraId="432B2308" w14:textId="42D9DB6B"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Implement the Guidelines on Combating Sexual Violence and its Consequences in Africa adopted by the African Commission on Human and </w:t>
      </w:r>
      <w:r w:rsidR="004F5C22" w:rsidRPr="007158E9">
        <w:rPr>
          <w:rFonts w:eastAsia="MS Mincho"/>
          <w:b/>
          <w:bCs/>
          <w:lang w:val="en-GB"/>
        </w:rPr>
        <w:t>Persons</w:t>
      </w:r>
      <w:r w:rsidRPr="007158E9">
        <w:rPr>
          <w:rFonts w:eastAsia="MS Mincho"/>
          <w:b/>
          <w:bCs/>
          <w:lang w:val="en-GB"/>
        </w:rPr>
        <w:t xml:space="preserve">s’ </w:t>
      </w:r>
      <w:r w:rsidR="001E3D94" w:rsidRPr="007158E9">
        <w:rPr>
          <w:rFonts w:eastAsia="MS Mincho"/>
          <w:b/>
          <w:bCs/>
          <w:lang w:val="en-GB"/>
        </w:rPr>
        <w:t>Rights;</w:t>
      </w:r>
    </w:p>
    <w:p w14:paraId="3537A54A" w14:textId="301BD7AA"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Control price increases, in particular by reviewing duty and tax increases that are undermining the population’s right to an adequate standard of living and by abolishing contributions that disproportionately affect the poorest </w:t>
      </w:r>
      <w:r w:rsidR="001E3D94" w:rsidRPr="007158E9">
        <w:rPr>
          <w:rFonts w:eastAsia="MS Mincho"/>
          <w:b/>
          <w:bCs/>
          <w:lang w:val="en-GB"/>
        </w:rPr>
        <w:t>persons;</w:t>
      </w:r>
    </w:p>
    <w:p w14:paraId="74C37881" w14:textId="3E6E73E7" w:rsidR="00A15424" w:rsidRPr="007158E9" w:rsidRDefault="005259FA"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Cooperate with international human rights mechanisms, in particular </w:t>
      </w:r>
      <w:r w:rsidR="001E3D94" w:rsidRPr="007158E9">
        <w:rPr>
          <w:rFonts w:eastAsia="MS Mincho"/>
          <w:b/>
          <w:bCs/>
          <w:lang w:val="en-GB"/>
        </w:rPr>
        <w:t>by:</w:t>
      </w:r>
    </w:p>
    <w:p w14:paraId="43EB600C" w14:textId="3506F44B" w:rsidR="00A15424" w:rsidRPr="007158E9" w:rsidRDefault="005259FA" w:rsidP="001A5901">
      <w:pPr>
        <w:pStyle w:val="SingleTxtG"/>
        <w:numPr>
          <w:ilvl w:val="0"/>
          <w:numId w:val="5"/>
        </w:numPr>
        <w:ind w:left="2268" w:right="567" w:firstLine="0"/>
        <w:rPr>
          <w:rFonts w:eastAsia="MS Mincho"/>
          <w:b/>
          <w:bCs/>
          <w:lang w:val="en-GB"/>
        </w:rPr>
      </w:pPr>
      <w:r w:rsidRPr="007158E9">
        <w:rPr>
          <w:b/>
          <w:bCs/>
          <w:lang w:val="en-GB"/>
        </w:rPr>
        <w:t>Resuming the practice of allowing special procedures mandate holders to conduct missions to Burundi</w:t>
      </w:r>
      <w:r w:rsidR="00A15424" w:rsidRPr="007158E9">
        <w:rPr>
          <w:rFonts w:eastAsia="MS Mincho"/>
          <w:b/>
          <w:bCs/>
          <w:lang w:val="en-GB"/>
        </w:rPr>
        <w:t>;</w:t>
      </w:r>
    </w:p>
    <w:p w14:paraId="37D092DD" w14:textId="6404603F" w:rsidR="00A15424" w:rsidRPr="007158E9" w:rsidRDefault="005259FA" w:rsidP="001A5901">
      <w:pPr>
        <w:pStyle w:val="SingleTxtG"/>
        <w:numPr>
          <w:ilvl w:val="0"/>
          <w:numId w:val="5"/>
        </w:numPr>
        <w:ind w:left="2268" w:right="567" w:firstLine="0"/>
        <w:rPr>
          <w:rFonts w:eastAsia="MS Mincho"/>
          <w:b/>
          <w:bCs/>
          <w:lang w:val="en-GB"/>
        </w:rPr>
      </w:pPr>
      <w:r w:rsidRPr="007158E9">
        <w:rPr>
          <w:b/>
          <w:bCs/>
          <w:lang w:val="en-GB"/>
        </w:rPr>
        <w:t>Implementing the recommendations of the universal periodic review, treaty bodies and special procedures, including by establishing a national mechanism for reporting and follow-</w:t>
      </w:r>
      <w:r w:rsidR="001E3D94" w:rsidRPr="007158E9">
        <w:rPr>
          <w:b/>
          <w:bCs/>
          <w:lang w:val="en-GB"/>
        </w:rPr>
        <w:t>up;</w:t>
      </w:r>
    </w:p>
    <w:p w14:paraId="072A7971" w14:textId="243C4B5B" w:rsidR="00A15424" w:rsidRPr="007158E9" w:rsidRDefault="005259FA" w:rsidP="001A5901">
      <w:pPr>
        <w:pStyle w:val="SingleTxtG"/>
        <w:numPr>
          <w:ilvl w:val="0"/>
          <w:numId w:val="12"/>
        </w:numPr>
        <w:ind w:left="1134" w:right="567" w:firstLine="567"/>
        <w:rPr>
          <w:rFonts w:eastAsia="MS Mincho"/>
          <w:b/>
          <w:bCs/>
          <w:lang w:val="en-GB"/>
        </w:rPr>
      </w:pPr>
      <w:r w:rsidRPr="007158E9">
        <w:rPr>
          <w:b/>
          <w:bCs/>
          <w:lang w:val="en-GB"/>
        </w:rPr>
        <w:t xml:space="preserve">Authorize the Office of the United Nations High Commissioner for Human Rights to resume all its activities in Burundi without </w:t>
      </w:r>
      <w:r w:rsidR="001E3D94" w:rsidRPr="007158E9">
        <w:rPr>
          <w:b/>
          <w:bCs/>
          <w:lang w:val="en-GB"/>
        </w:rPr>
        <w:t>hindrance;</w:t>
      </w:r>
    </w:p>
    <w:p w14:paraId="1F9E90B2" w14:textId="344ADE43" w:rsidR="00A15424" w:rsidRPr="007158E9" w:rsidRDefault="005259FA" w:rsidP="001A5901">
      <w:pPr>
        <w:pStyle w:val="SingleTxtG"/>
        <w:numPr>
          <w:ilvl w:val="0"/>
          <w:numId w:val="12"/>
        </w:numPr>
        <w:ind w:left="1134" w:right="567" w:firstLine="567"/>
        <w:rPr>
          <w:rFonts w:eastAsia="MS Mincho"/>
          <w:b/>
          <w:bCs/>
          <w:lang w:val="en-GB"/>
        </w:rPr>
      </w:pPr>
      <w:r w:rsidRPr="007158E9">
        <w:rPr>
          <w:b/>
          <w:bCs/>
          <w:lang w:val="en-GB"/>
        </w:rPr>
        <w:t>Sign and implement the memorandum of understanding with the African Union and permit the full deployment of the 100 human rights observers provided for therein</w:t>
      </w:r>
      <w:r w:rsidR="00A15424" w:rsidRPr="007158E9">
        <w:rPr>
          <w:rFonts w:eastAsia="MS Mincho"/>
          <w:b/>
          <w:bCs/>
          <w:lang w:val="en-GB"/>
        </w:rPr>
        <w:t>.</w:t>
      </w:r>
    </w:p>
    <w:p w14:paraId="296B6D55" w14:textId="4AAD7D9A" w:rsidR="00A15424" w:rsidRPr="007158E9" w:rsidRDefault="006B59A8" w:rsidP="000F73DC">
      <w:pPr>
        <w:pStyle w:val="SingleTxtG"/>
        <w:ind w:right="567"/>
        <w:rPr>
          <w:rFonts w:eastAsia="MS Mincho"/>
          <w:b/>
          <w:bCs/>
          <w:iCs/>
          <w:lang w:val="en-GB"/>
        </w:rPr>
      </w:pPr>
      <w:r w:rsidRPr="007158E9">
        <w:rPr>
          <w:rFonts w:eastAsia="MS Mincho"/>
          <w:lang w:val="en-GB"/>
        </w:rPr>
        <w:tab/>
      </w:r>
      <w:r w:rsidR="001F79CD" w:rsidRPr="007158E9">
        <w:rPr>
          <w:rFonts w:eastAsia="MS Mincho"/>
          <w:bCs/>
          <w:lang w:val="en-GB"/>
        </w:rPr>
        <w:t>83</w:t>
      </w:r>
      <w:r w:rsidR="00920BFF" w:rsidRPr="007158E9">
        <w:rPr>
          <w:rFonts w:eastAsia="MS Mincho"/>
          <w:bCs/>
          <w:lang w:val="en-GB"/>
        </w:rPr>
        <w:t>2</w:t>
      </w:r>
      <w:r w:rsidR="007B6B00" w:rsidRPr="007158E9">
        <w:rPr>
          <w:rFonts w:eastAsia="MS Mincho"/>
          <w:bCs/>
          <w:lang w:val="en-GB"/>
        </w:rPr>
        <w:t>.</w:t>
      </w:r>
      <w:r w:rsidRPr="007158E9">
        <w:rPr>
          <w:rFonts w:eastAsia="MS Mincho"/>
          <w:lang w:val="en-GB"/>
        </w:rPr>
        <w:tab/>
      </w:r>
      <w:r w:rsidR="005259FA" w:rsidRPr="007158E9">
        <w:rPr>
          <w:rFonts w:eastAsia="MS Mincho"/>
          <w:b/>
          <w:bCs/>
          <w:lang w:val="en-GB"/>
        </w:rPr>
        <w:t xml:space="preserve">For the medium and longer terms, the Commission also recommends that the Government of </w:t>
      </w:r>
      <w:r w:rsidR="001E3D94" w:rsidRPr="007158E9">
        <w:rPr>
          <w:rFonts w:eastAsia="MS Mincho"/>
          <w:b/>
          <w:bCs/>
          <w:lang w:val="en-GB"/>
        </w:rPr>
        <w:t>Burundi:</w:t>
      </w:r>
    </w:p>
    <w:p w14:paraId="6378E654" w14:textId="1B1F6D92" w:rsidR="00A15424" w:rsidRPr="007158E9" w:rsidRDefault="00FF5803" w:rsidP="001A5901">
      <w:pPr>
        <w:pStyle w:val="SingleTxtG"/>
        <w:numPr>
          <w:ilvl w:val="0"/>
          <w:numId w:val="13"/>
        </w:numPr>
        <w:ind w:left="1134" w:right="567" w:firstLine="567"/>
        <w:rPr>
          <w:rFonts w:eastAsia="MS Mincho"/>
          <w:b/>
          <w:bCs/>
          <w:lang w:val="en-GB"/>
        </w:rPr>
      </w:pPr>
      <w:r w:rsidRPr="007158E9">
        <w:rPr>
          <w:rFonts w:eastAsia="MS Mincho"/>
          <w:b/>
          <w:bCs/>
          <w:lang w:val="en-GB"/>
        </w:rPr>
        <w:t>Amend the Organization Act of 8 March 2018 amending Act No. 01/03 of 24 January 2013 on the mandate, composition, organization and functioning of the National Communication Council with a view to ensuring the latter’s independence</w:t>
      </w:r>
      <w:r w:rsidR="00A15424" w:rsidRPr="007158E9">
        <w:rPr>
          <w:rFonts w:eastAsia="MS Mincho"/>
          <w:b/>
          <w:bCs/>
          <w:lang w:val="en-GB"/>
        </w:rPr>
        <w:t>;</w:t>
      </w:r>
    </w:p>
    <w:p w14:paraId="34BA80CB" w14:textId="4443CEBF"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Ratify the International Convention for the Protection of All Persons from Enforced Disappearance</w:t>
      </w:r>
      <w:r w:rsidR="00A15424" w:rsidRPr="007158E9">
        <w:rPr>
          <w:rFonts w:eastAsia="MS Mincho"/>
          <w:b/>
          <w:bCs/>
          <w:lang w:val="en-GB"/>
        </w:rPr>
        <w:t>;</w:t>
      </w:r>
    </w:p>
    <w:p w14:paraId="7C3EA637" w14:textId="76C9548A"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 xml:space="preserve">Amend the Code of Criminal Procedure to align its provisions with international standards, in particular the provisions on time limits for police custody and on oversight of detention, night-time and warrantless searches, the </w:t>
      </w:r>
      <w:r w:rsidRPr="007158E9">
        <w:rPr>
          <w:b/>
          <w:bCs/>
          <w:i/>
          <w:iCs/>
          <w:lang w:val="en-GB"/>
        </w:rPr>
        <w:t xml:space="preserve">flagrante delicto </w:t>
      </w:r>
      <w:r w:rsidRPr="007158E9">
        <w:rPr>
          <w:b/>
          <w:bCs/>
          <w:lang w:val="en-GB"/>
        </w:rPr>
        <w:t>procedure and the offence of “undermining the internal security of the State”, and provisions that grant de jure impunity to judges and to officers of the criminal investigation police (</w:t>
      </w:r>
      <w:r w:rsidRPr="007158E9">
        <w:rPr>
          <w:b/>
          <w:bCs/>
          <w:i/>
          <w:iCs/>
          <w:lang w:val="en-GB"/>
        </w:rPr>
        <w:t>police judiciaire</w:t>
      </w:r>
      <w:r w:rsidRPr="007158E9">
        <w:rPr>
          <w:b/>
          <w:bCs/>
          <w:lang w:val="en-GB"/>
        </w:rPr>
        <w:t>);</w:t>
      </w:r>
    </w:p>
    <w:p w14:paraId="3DE95969" w14:textId="680CC1F0"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Put an end to arbitrary detention and improve conditions of detention by:</w:t>
      </w:r>
    </w:p>
    <w:p w14:paraId="7E00274F" w14:textId="1519B81B" w:rsidR="00A15424" w:rsidRPr="007158E9" w:rsidRDefault="00FF5803" w:rsidP="001A5901">
      <w:pPr>
        <w:pStyle w:val="SingleTxtG"/>
        <w:numPr>
          <w:ilvl w:val="0"/>
          <w:numId w:val="6"/>
        </w:numPr>
        <w:ind w:left="2268" w:right="567" w:firstLine="0"/>
        <w:rPr>
          <w:rFonts w:eastAsia="MS Mincho"/>
          <w:b/>
          <w:bCs/>
          <w:lang w:val="en-GB"/>
        </w:rPr>
      </w:pPr>
      <w:r w:rsidRPr="007158E9">
        <w:rPr>
          <w:b/>
          <w:bCs/>
          <w:lang w:val="en-GB"/>
        </w:rPr>
        <w:t xml:space="preserve">Implementing the Guidelines on the Conditions of Arrest, Police Custody and Pre-Trial Detention in Africa adopted by the African Commission on Human and </w:t>
      </w:r>
      <w:r w:rsidR="004F5C22" w:rsidRPr="007158E9">
        <w:rPr>
          <w:b/>
          <w:bCs/>
          <w:lang w:val="en-GB"/>
        </w:rPr>
        <w:t>Persons</w:t>
      </w:r>
      <w:r w:rsidRPr="007158E9">
        <w:rPr>
          <w:b/>
          <w:bCs/>
          <w:lang w:val="en-GB"/>
        </w:rPr>
        <w:t>s’ Rights;</w:t>
      </w:r>
    </w:p>
    <w:p w14:paraId="66F0F948" w14:textId="5AEE3A78" w:rsidR="00A15424" w:rsidRPr="007158E9" w:rsidRDefault="00FF5803" w:rsidP="001A5901">
      <w:pPr>
        <w:pStyle w:val="SingleTxtG"/>
        <w:numPr>
          <w:ilvl w:val="0"/>
          <w:numId w:val="6"/>
        </w:numPr>
        <w:ind w:left="2268" w:right="567" w:firstLine="0"/>
        <w:rPr>
          <w:rFonts w:eastAsia="MS Mincho"/>
          <w:b/>
          <w:bCs/>
          <w:lang w:val="en-GB"/>
        </w:rPr>
      </w:pPr>
      <w:r w:rsidRPr="007158E9">
        <w:rPr>
          <w:b/>
          <w:bCs/>
          <w:lang w:val="en-GB"/>
        </w:rPr>
        <w:t>Ensuring that detention is subject to oversight measures for assessing its legality and compatibility with human rights;</w:t>
      </w:r>
    </w:p>
    <w:p w14:paraId="7C2E04D1" w14:textId="26204693"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In the absence of an independent and efficient judicial system, cooperate fully with the International Criminal Court in the investigation opened on 25 October 2017;</w:t>
      </w:r>
    </w:p>
    <w:p w14:paraId="00FA0DEF" w14:textId="523A0813"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Undertake an in-depth reform of the judicial system to ensure its independence, impartiality and effectiveness, including by:</w:t>
      </w:r>
    </w:p>
    <w:p w14:paraId="3FDEFFEF" w14:textId="42F258CB"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 xml:space="preserve">Implementing the Principles and Guidelines on the Right to a Fair Trial and Legal Assistance in Africa adopted by the African Commission on Human and </w:t>
      </w:r>
      <w:r w:rsidR="004F5C22" w:rsidRPr="007158E9">
        <w:rPr>
          <w:b/>
          <w:bCs/>
          <w:lang w:val="en-GB"/>
        </w:rPr>
        <w:t>Persons</w:t>
      </w:r>
      <w:r w:rsidRPr="007158E9">
        <w:rPr>
          <w:b/>
          <w:bCs/>
          <w:lang w:val="en-GB"/>
        </w:rPr>
        <w:t>s’ Rights;</w:t>
      </w:r>
    </w:p>
    <w:p w14:paraId="690D4BE6" w14:textId="643C7B3E"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Publishing the conclusions of the national forum on the justice system held in 2013 and convening a meeting of justice-sector stakeholders and international partners to discuss follow-up action;</w:t>
      </w:r>
    </w:p>
    <w:p w14:paraId="3E25B76F" w14:textId="39B1F94A"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Increasing the budget for the justice sector and ensuring that it is managed autonomously;</w:t>
      </w:r>
    </w:p>
    <w:p w14:paraId="47FAE0FC" w14:textId="7173993A"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 xml:space="preserve">Raising the pay levels of judges in the ordinary courts and increasing the resources and facilities available to them; </w:t>
      </w:r>
    </w:p>
    <w:p w14:paraId="7E95FE35" w14:textId="06A043C2" w:rsidR="00A15424" w:rsidRPr="007158E9" w:rsidRDefault="00101D26" w:rsidP="001A5901">
      <w:pPr>
        <w:pStyle w:val="SingleTxtG"/>
        <w:numPr>
          <w:ilvl w:val="0"/>
          <w:numId w:val="7"/>
        </w:numPr>
        <w:ind w:left="2268" w:right="567" w:firstLine="0"/>
        <w:rPr>
          <w:rFonts w:eastAsia="MS Mincho"/>
          <w:b/>
          <w:bCs/>
          <w:lang w:val="en-GB"/>
        </w:rPr>
      </w:pPr>
      <w:r w:rsidRPr="007158E9">
        <w:rPr>
          <w:b/>
          <w:bCs/>
        </w:rPr>
        <w:t xml:space="preserve">Computerizing court </w:t>
      </w:r>
      <w:r w:rsidR="001E3D94" w:rsidRPr="007158E9">
        <w:rPr>
          <w:b/>
          <w:bCs/>
        </w:rPr>
        <w:t>registries</w:t>
      </w:r>
      <w:r w:rsidR="001E3D94" w:rsidRPr="007158E9">
        <w:rPr>
          <w:rFonts w:eastAsia="MS Mincho"/>
          <w:b/>
          <w:bCs/>
          <w:lang w:val="en-GB"/>
        </w:rPr>
        <w:t xml:space="preserve"> ;</w:t>
      </w:r>
    </w:p>
    <w:p w14:paraId="5B462F36" w14:textId="1109EE01"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Reviewing the composition of the Judicial Service Commission to ensure that the majority of its members are appointed by their peers</w:t>
      </w:r>
      <w:r w:rsidR="00A15424" w:rsidRPr="007158E9">
        <w:rPr>
          <w:rFonts w:eastAsia="MS Mincho"/>
          <w:b/>
          <w:bCs/>
          <w:lang w:val="en-GB"/>
        </w:rPr>
        <w:t>;</w:t>
      </w:r>
    </w:p>
    <w:p w14:paraId="2E8E237A" w14:textId="473E2228"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Reviewing procedures for the appointment, assignment, evaluation and promotion of judges to ensure that such procedures are not dependent on the executive branch</w:t>
      </w:r>
      <w:r w:rsidR="00A15424" w:rsidRPr="007158E9">
        <w:rPr>
          <w:rFonts w:eastAsia="MS Mincho"/>
          <w:b/>
          <w:bCs/>
          <w:lang w:val="en-GB"/>
        </w:rPr>
        <w:t>;</w:t>
      </w:r>
    </w:p>
    <w:p w14:paraId="1DF3D8A3" w14:textId="466F0009"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Ensuring strict observance of the principle that judges should have security of tenure</w:t>
      </w:r>
      <w:r w:rsidR="00A15424" w:rsidRPr="007158E9">
        <w:rPr>
          <w:rFonts w:eastAsia="MS Mincho"/>
          <w:b/>
          <w:bCs/>
          <w:lang w:val="en-GB"/>
        </w:rPr>
        <w:t>;</w:t>
      </w:r>
    </w:p>
    <w:p w14:paraId="2ECAAC79" w14:textId="1CC71518"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Protecting and safeguarding the independence of the judiciary by prohibiting any interference in the administration of justice by government authorities, members of the ruling party or members of the defence and security forces, and imposing penalties on anyone who influences or seeks to influence the administration of justice</w:t>
      </w:r>
      <w:r w:rsidR="00A15424" w:rsidRPr="007158E9">
        <w:rPr>
          <w:rFonts w:eastAsia="MS Mincho"/>
          <w:b/>
          <w:bCs/>
          <w:lang w:val="en-GB"/>
        </w:rPr>
        <w:t xml:space="preserve">; </w:t>
      </w:r>
    </w:p>
    <w:p w14:paraId="30476DD5" w14:textId="668CEC6C"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 xml:space="preserve">Developing legal aid programmes for persons belonging to the most vulnerable </w:t>
      </w:r>
      <w:r w:rsidR="001E3D94" w:rsidRPr="007158E9">
        <w:rPr>
          <w:b/>
          <w:bCs/>
          <w:lang w:val="en-GB"/>
        </w:rPr>
        <w:t>groups</w:t>
      </w:r>
      <w:r w:rsidR="001E3D94" w:rsidRPr="007158E9">
        <w:rPr>
          <w:rFonts w:eastAsia="MS Mincho"/>
          <w:b/>
          <w:bCs/>
          <w:lang w:val="en-GB"/>
        </w:rPr>
        <w:t>;</w:t>
      </w:r>
    </w:p>
    <w:p w14:paraId="3F4D4FFB" w14:textId="6E888887"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Strengthening victim and witness protection mechanisms and improving their effectiveness in order to restore public trust and encourage witnesses to come forward without fear for their safety</w:t>
      </w:r>
      <w:r w:rsidR="00A15424" w:rsidRPr="007158E9">
        <w:rPr>
          <w:rFonts w:eastAsia="MS Mincho"/>
          <w:b/>
          <w:bCs/>
          <w:lang w:val="en-GB"/>
        </w:rPr>
        <w:t>;</w:t>
      </w:r>
    </w:p>
    <w:p w14:paraId="33A8479E" w14:textId="5A471DE8"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 xml:space="preserve">In consultation with the beneficiaries, establish a reparations programme for victims of human rights violations, ensuring that material, symbolic, individual and collective reparations are made available regardless of whether or not the perpetrators are </w:t>
      </w:r>
      <w:r w:rsidR="001E3D94" w:rsidRPr="007158E9">
        <w:rPr>
          <w:b/>
          <w:bCs/>
          <w:lang w:val="en-GB"/>
        </w:rPr>
        <w:t>convicted</w:t>
      </w:r>
      <w:r w:rsidR="001E3D94" w:rsidRPr="007158E9">
        <w:rPr>
          <w:rFonts w:eastAsia="MS Mincho"/>
          <w:b/>
          <w:bCs/>
          <w:lang w:val="en-GB"/>
        </w:rPr>
        <w:t>;</w:t>
      </w:r>
    </w:p>
    <w:p w14:paraId="2706EA4F" w14:textId="6F8C8267"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 xml:space="preserve">Establish the State fund for victims of torture provided for by law, in conformity with general comment No. 4 on the African Charter on Human and </w:t>
      </w:r>
      <w:r w:rsidR="004F5C22" w:rsidRPr="007158E9">
        <w:rPr>
          <w:b/>
          <w:bCs/>
          <w:lang w:val="en-GB"/>
        </w:rPr>
        <w:t>Persons</w:t>
      </w:r>
      <w:r w:rsidRPr="007158E9">
        <w:rPr>
          <w:b/>
          <w:bCs/>
          <w:lang w:val="en-GB"/>
        </w:rPr>
        <w:t xml:space="preserve">s’ Rights, adopted by the African Commission on Human and </w:t>
      </w:r>
      <w:r w:rsidR="004F5C22" w:rsidRPr="007158E9">
        <w:rPr>
          <w:b/>
          <w:bCs/>
          <w:lang w:val="en-GB"/>
        </w:rPr>
        <w:t>Persons</w:t>
      </w:r>
      <w:r w:rsidRPr="007158E9">
        <w:rPr>
          <w:b/>
          <w:bCs/>
          <w:lang w:val="en-GB"/>
        </w:rPr>
        <w:t xml:space="preserve">s’ Rights, concerning the right to redress for victims of torture and other cruel, inhuman or degrading punishment or treatment (art. 5); </w:t>
      </w:r>
    </w:p>
    <w:p w14:paraId="70A01E5D" w14:textId="1AFB190C"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Establish a compensation fund for victims of arbitrary and unlawful detention</w:t>
      </w:r>
      <w:r w:rsidR="00A15424" w:rsidRPr="007158E9">
        <w:rPr>
          <w:rFonts w:eastAsia="MS Mincho"/>
          <w:b/>
          <w:bCs/>
          <w:lang w:val="en-GB"/>
        </w:rPr>
        <w:t>;</w:t>
      </w:r>
    </w:p>
    <w:p w14:paraId="79B7B834" w14:textId="14970C5D"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Reform the security sector by</w:t>
      </w:r>
      <w:r w:rsidR="00A15424" w:rsidRPr="007158E9">
        <w:rPr>
          <w:rFonts w:eastAsia="MS Mincho"/>
          <w:b/>
          <w:bCs/>
          <w:lang w:val="en-GB"/>
        </w:rPr>
        <w:t>:</w:t>
      </w:r>
    </w:p>
    <w:p w14:paraId="017EDC93" w14:textId="55266349" w:rsidR="00A15424" w:rsidRPr="007158E9" w:rsidRDefault="00101D26" w:rsidP="001A5901">
      <w:pPr>
        <w:pStyle w:val="SingleTxtG"/>
        <w:numPr>
          <w:ilvl w:val="0"/>
          <w:numId w:val="8"/>
        </w:numPr>
        <w:ind w:left="2268" w:right="567" w:firstLine="0"/>
        <w:rPr>
          <w:rFonts w:eastAsia="MS Mincho"/>
          <w:b/>
          <w:bCs/>
          <w:lang w:val="en-GB"/>
        </w:rPr>
      </w:pPr>
      <w:r w:rsidRPr="007158E9">
        <w:rPr>
          <w:b/>
          <w:bCs/>
          <w:lang w:val="en-GB"/>
        </w:rPr>
        <w:t>Ensuring that outsiders are not involved in defence or security activities</w:t>
      </w:r>
      <w:r w:rsidR="00A15424" w:rsidRPr="007158E9">
        <w:rPr>
          <w:rFonts w:eastAsia="MS Mincho"/>
          <w:b/>
          <w:bCs/>
          <w:lang w:val="en-GB"/>
        </w:rPr>
        <w:t>;</w:t>
      </w:r>
    </w:p>
    <w:p w14:paraId="7AE09F4F" w14:textId="5CE7D425"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Clearly defining the roles of the various defence and security forces, in particular the National Intelligence Service</w:t>
      </w:r>
      <w:r w:rsidR="00A15424" w:rsidRPr="007158E9">
        <w:rPr>
          <w:rFonts w:eastAsia="MS Mincho"/>
          <w:b/>
          <w:bCs/>
          <w:lang w:val="en-GB"/>
        </w:rPr>
        <w:t>;</w:t>
      </w:r>
    </w:p>
    <w:p w14:paraId="164C847A" w14:textId="1252BEF6"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 xml:space="preserve">Suspending members of the defence and security forces who are suspected of involvement in human rights violations until the relevant investigations and judicial proceedings have </w:t>
      </w:r>
      <w:r w:rsidR="001E3D94" w:rsidRPr="007158E9">
        <w:rPr>
          <w:b/>
          <w:bCs/>
          <w:lang w:val="en-GB"/>
        </w:rPr>
        <w:t>concluded;</w:t>
      </w:r>
    </w:p>
    <w:p w14:paraId="1082F532" w14:textId="71ED7FF6"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Establishing rigorous and transparent selection procedures that include vetting mechanisms</w:t>
      </w:r>
      <w:r w:rsidR="00A15424" w:rsidRPr="007158E9">
        <w:rPr>
          <w:rFonts w:eastAsia="MS Mincho"/>
          <w:b/>
          <w:bCs/>
          <w:lang w:val="en-GB"/>
        </w:rPr>
        <w:t>;</w:t>
      </w:r>
    </w:p>
    <w:p w14:paraId="0B052D79" w14:textId="571B403C"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Strengthening democratic civilian control over the defence and security forces, in particular the National Intelligence Service</w:t>
      </w:r>
      <w:r w:rsidR="00A15424" w:rsidRPr="007158E9">
        <w:rPr>
          <w:rFonts w:eastAsia="MS Mincho"/>
          <w:b/>
          <w:bCs/>
          <w:lang w:val="en-GB"/>
        </w:rPr>
        <w:t>;</w:t>
      </w:r>
    </w:p>
    <w:p w14:paraId="16ADD930" w14:textId="7B222159" w:rsidR="00A15424" w:rsidRPr="007158E9" w:rsidRDefault="007E0E47" w:rsidP="001A5901">
      <w:pPr>
        <w:pStyle w:val="SingleTxtG"/>
        <w:numPr>
          <w:ilvl w:val="0"/>
          <w:numId w:val="14"/>
        </w:numPr>
        <w:ind w:left="1134" w:right="567" w:firstLine="567"/>
        <w:rPr>
          <w:rFonts w:eastAsia="MS Mincho"/>
          <w:b/>
          <w:bCs/>
          <w:lang w:val="en-GB"/>
        </w:rPr>
      </w:pPr>
      <w:r w:rsidRPr="007158E9">
        <w:rPr>
          <w:b/>
          <w:bCs/>
          <w:lang w:val="en-GB"/>
        </w:rPr>
        <w:t>Meet its international obligations to respect, protect and fulfil economic and social rights by:</w:t>
      </w:r>
    </w:p>
    <w:p w14:paraId="74189620" w14:textId="4C5C7C7F"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Developing and implementing State budgets in such a way as to maximize the use of available resources to ensure that the human rights of the sectors impoverished by the political crisis are respected, in particular the rights to food, water and health care, and to develop indicators disaggregated by factors such as gender in order to better inform its policies</w:t>
      </w:r>
      <w:r w:rsidR="00A15424" w:rsidRPr="007158E9">
        <w:rPr>
          <w:rFonts w:eastAsia="MS Mincho"/>
          <w:b/>
          <w:bCs/>
          <w:lang w:val="en-GB"/>
        </w:rPr>
        <w:t>;</w:t>
      </w:r>
    </w:p>
    <w:p w14:paraId="6E443E49" w14:textId="3DFC6888"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In consultation with population groups working in the agricultural sector, including women, undertaking reforms with the aim of better protecting women’s rights and making better use of land for agriculture, and developing employment opportunities outside the agricultural sector</w:t>
      </w:r>
      <w:r w:rsidR="00A15424" w:rsidRPr="007158E9">
        <w:rPr>
          <w:rFonts w:eastAsia="MS Mincho"/>
          <w:b/>
          <w:bCs/>
          <w:lang w:val="en-GB"/>
        </w:rPr>
        <w:t>;</w:t>
      </w:r>
    </w:p>
    <w:p w14:paraId="4B166FAE" w14:textId="70D56575"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Taking a rights-based approach to the settlement of land conflicts, including those involving persons who fled Burundi either before or after 2015</w:t>
      </w:r>
      <w:r w:rsidR="00A15424" w:rsidRPr="007158E9">
        <w:rPr>
          <w:rFonts w:eastAsia="MS Mincho"/>
          <w:b/>
          <w:bCs/>
          <w:lang w:val="en-GB"/>
        </w:rPr>
        <w:t>;</w:t>
      </w:r>
    </w:p>
    <w:p w14:paraId="36C7351C" w14:textId="431EA19A"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Ending the inclusion of any political considerations in hiring processes for the civil service, State enterprises and public-private enterprises</w:t>
      </w:r>
      <w:r w:rsidR="00A15424" w:rsidRPr="007158E9">
        <w:rPr>
          <w:rFonts w:eastAsia="MS Mincho"/>
          <w:b/>
          <w:bCs/>
          <w:lang w:val="en-GB"/>
        </w:rPr>
        <w:t>.</w:t>
      </w:r>
    </w:p>
    <w:p w14:paraId="191A0C0C" w14:textId="5B8C88F5" w:rsidR="00A15424" w:rsidRPr="007158E9" w:rsidRDefault="00F90002" w:rsidP="000F73DC">
      <w:pPr>
        <w:pStyle w:val="SingleTxtG"/>
        <w:ind w:right="567"/>
        <w:rPr>
          <w:rFonts w:eastAsia="MS Mincho"/>
          <w:b/>
          <w:bCs/>
          <w:lang w:val="en-GB"/>
        </w:rPr>
      </w:pPr>
      <w:r w:rsidRPr="007158E9">
        <w:rPr>
          <w:rFonts w:eastAsia="MS Mincho"/>
          <w:b/>
          <w:bCs/>
          <w:lang w:val="en-GB"/>
        </w:rPr>
        <w:tab/>
      </w:r>
      <w:r w:rsidR="001F79CD" w:rsidRPr="007158E9">
        <w:rPr>
          <w:rFonts w:eastAsia="MS Mincho"/>
          <w:bCs/>
          <w:lang w:val="en-GB"/>
        </w:rPr>
        <w:t>83</w:t>
      </w:r>
      <w:r w:rsidR="00920BFF" w:rsidRPr="007158E9">
        <w:rPr>
          <w:rFonts w:eastAsia="MS Mincho"/>
          <w:bCs/>
          <w:lang w:val="en-GB"/>
        </w:rPr>
        <w:t>3</w:t>
      </w:r>
      <w:r w:rsidR="0055467E" w:rsidRPr="007158E9">
        <w:rPr>
          <w:rFonts w:eastAsia="MS Mincho"/>
          <w:bCs/>
          <w:lang w:val="en-GB"/>
        </w:rPr>
        <w:t>.</w:t>
      </w:r>
      <w:r w:rsidRPr="007158E9">
        <w:rPr>
          <w:rFonts w:eastAsia="MS Mincho"/>
          <w:b/>
          <w:bCs/>
          <w:lang w:val="en-GB"/>
        </w:rPr>
        <w:tab/>
      </w:r>
      <w:r w:rsidR="00DF71A6" w:rsidRPr="007158E9">
        <w:rPr>
          <w:b/>
          <w:bCs/>
          <w:lang w:val="en-GB"/>
        </w:rPr>
        <w:t>The Commission recommends that political parties and armed opposition groups refrain from engaging in any attacks on Burundian territory and from any speech calling for violence, and that they join the effort to find a lasting solution to the political crisis</w:t>
      </w:r>
      <w:r w:rsidR="00A15424" w:rsidRPr="007158E9">
        <w:rPr>
          <w:rFonts w:eastAsia="MS Mincho"/>
          <w:b/>
          <w:bCs/>
          <w:lang w:val="en-GB"/>
        </w:rPr>
        <w:t>.</w:t>
      </w:r>
    </w:p>
    <w:p w14:paraId="7C2A006F" w14:textId="317AF746" w:rsidR="00A15424" w:rsidRPr="007158E9" w:rsidRDefault="001F79CD" w:rsidP="000F73DC">
      <w:pPr>
        <w:pStyle w:val="SingleTxtG"/>
        <w:ind w:right="567"/>
        <w:rPr>
          <w:rFonts w:eastAsia="MS Mincho"/>
          <w:b/>
          <w:bCs/>
          <w:lang w:val="en-GB"/>
        </w:rPr>
      </w:pPr>
      <w:r w:rsidRPr="007158E9">
        <w:rPr>
          <w:rFonts w:eastAsia="MS Mincho"/>
          <w:bCs/>
          <w:lang w:val="en-GB"/>
        </w:rPr>
        <w:t>83</w:t>
      </w:r>
      <w:r w:rsidR="00920BFF" w:rsidRPr="007158E9">
        <w:rPr>
          <w:rFonts w:eastAsia="MS Mincho"/>
          <w:bCs/>
          <w:lang w:val="en-GB"/>
        </w:rPr>
        <w:t>4</w:t>
      </w:r>
      <w:r w:rsidRPr="007158E9">
        <w:rPr>
          <w:rFonts w:eastAsia="MS Mincho"/>
          <w:bCs/>
          <w:lang w:val="en-GB"/>
        </w:rPr>
        <w:t>.</w:t>
      </w:r>
      <w:r w:rsidR="00F90002" w:rsidRPr="007158E9">
        <w:rPr>
          <w:rFonts w:eastAsia="MS Mincho"/>
          <w:lang w:val="en-GB"/>
        </w:rPr>
        <w:tab/>
      </w:r>
      <w:r w:rsidR="00DF71A6" w:rsidRPr="007158E9">
        <w:rPr>
          <w:b/>
          <w:bCs/>
          <w:lang w:val="en-GB"/>
        </w:rPr>
        <w:t>The Commission recommends that the African Union, in its efforts to find a lasting solution to the crisis in Burundi, give priority to respect for human rights and the rejection of impunity, as provided for in its Constitutive Act</w:t>
      </w:r>
      <w:r w:rsidR="00A15424" w:rsidRPr="007158E9">
        <w:rPr>
          <w:rFonts w:eastAsia="MS Mincho"/>
          <w:b/>
          <w:bCs/>
          <w:lang w:val="en-GB"/>
        </w:rPr>
        <w:t>.</w:t>
      </w:r>
    </w:p>
    <w:p w14:paraId="5A3E42F7" w14:textId="5C8CD993" w:rsidR="00A15424" w:rsidRPr="007158E9" w:rsidRDefault="00F90002" w:rsidP="000F73DC">
      <w:pPr>
        <w:pStyle w:val="SingleTxtG"/>
        <w:ind w:right="567"/>
        <w:rPr>
          <w:rFonts w:eastAsia="MS Mincho"/>
          <w:b/>
          <w:bCs/>
          <w:lang w:val="en-GB"/>
        </w:rPr>
      </w:pPr>
      <w:r w:rsidRPr="007158E9">
        <w:rPr>
          <w:rFonts w:eastAsia="MS Mincho"/>
          <w:lang w:val="en-GB"/>
        </w:rPr>
        <w:tab/>
      </w:r>
      <w:r w:rsidR="001F79CD" w:rsidRPr="007158E9">
        <w:rPr>
          <w:rFonts w:eastAsia="MS Mincho"/>
          <w:bCs/>
          <w:lang w:val="en-GB"/>
        </w:rPr>
        <w:t>8</w:t>
      </w:r>
      <w:r w:rsidR="00920BFF" w:rsidRPr="007158E9">
        <w:rPr>
          <w:rFonts w:eastAsia="MS Mincho"/>
          <w:bCs/>
          <w:lang w:val="en-GB"/>
        </w:rPr>
        <w:t>35</w:t>
      </w:r>
      <w:r w:rsidR="001F79CD" w:rsidRPr="007158E9">
        <w:rPr>
          <w:rFonts w:eastAsia="MS Mincho"/>
          <w:bCs/>
          <w:lang w:val="en-GB"/>
        </w:rPr>
        <w:t>.</w:t>
      </w:r>
      <w:r w:rsidRPr="007158E9">
        <w:rPr>
          <w:rFonts w:eastAsia="MS Mincho"/>
          <w:lang w:val="en-GB"/>
        </w:rPr>
        <w:tab/>
      </w:r>
      <w:r w:rsidR="00DF71A6" w:rsidRPr="007158E9">
        <w:rPr>
          <w:b/>
          <w:bCs/>
          <w:lang w:val="en-GB"/>
        </w:rPr>
        <w:t>The Commission recommends that the technical and financial partners of Burundi</w:t>
      </w:r>
      <w:r w:rsidR="00A15424" w:rsidRPr="007158E9">
        <w:rPr>
          <w:rFonts w:eastAsia="MS Mincho"/>
          <w:b/>
          <w:bCs/>
          <w:lang w:val="en-GB"/>
        </w:rPr>
        <w:t>:</w:t>
      </w:r>
    </w:p>
    <w:p w14:paraId="65AB1F81" w14:textId="7A25AA74" w:rsidR="00A15424" w:rsidRPr="007158E9" w:rsidRDefault="00DF71A6" w:rsidP="001A5901">
      <w:pPr>
        <w:pStyle w:val="SingleTxtG"/>
        <w:numPr>
          <w:ilvl w:val="0"/>
          <w:numId w:val="15"/>
        </w:numPr>
        <w:ind w:left="1134" w:right="567" w:firstLine="567"/>
        <w:rPr>
          <w:rFonts w:eastAsia="MS Mincho"/>
          <w:b/>
          <w:bCs/>
          <w:lang w:val="en-GB"/>
        </w:rPr>
      </w:pPr>
      <w:r w:rsidRPr="007158E9">
        <w:rPr>
          <w:b/>
          <w:bCs/>
          <w:lang w:val="en-GB"/>
        </w:rPr>
        <w:t>Suspend, or maintain the suspension of, any direct budget support to the Government until such time as priority is given to the allocation of domestic resources for the fulfilment of the Sustainable Development Goals and the economic and social rights of the population, and effective measures are taken against corruption</w:t>
      </w:r>
      <w:r w:rsidR="00A15424" w:rsidRPr="007158E9">
        <w:rPr>
          <w:rFonts w:eastAsia="MS Mincho"/>
          <w:b/>
          <w:bCs/>
          <w:lang w:val="en-GB"/>
        </w:rPr>
        <w:t>;</w:t>
      </w:r>
    </w:p>
    <w:p w14:paraId="70E4748C" w14:textId="31C0F72E" w:rsidR="00A15424" w:rsidRPr="007158E9" w:rsidRDefault="00DF71A6" w:rsidP="001A5901">
      <w:pPr>
        <w:pStyle w:val="SingleTxtG"/>
        <w:numPr>
          <w:ilvl w:val="0"/>
          <w:numId w:val="15"/>
        </w:numPr>
        <w:ind w:left="1134" w:right="567" w:firstLine="567"/>
        <w:rPr>
          <w:rFonts w:eastAsia="MS Mincho"/>
          <w:b/>
          <w:bCs/>
          <w:lang w:val="en-GB"/>
        </w:rPr>
      </w:pPr>
      <w:r w:rsidRPr="007158E9">
        <w:rPr>
          <w:b/>
          <w:bCs/>
          <w:lang w:val="en-GB"/>
        </w:rPr>
        <w:t>Ensure that grants and financing provided to the Government are earmarked for projects to meet the population’s needs, and ensure that such funding is managed effectively and transparently</w:t>
      </w:r>
      <w:r w:rsidR="00A15424" w:rsidRPr="007158E9">
        <w:rPr>
          <w:rFonts w:eastAsia="MS Mincho"/>
          <w:b/>
          <w:bCs/>
          <w:lang w:val="en-GB"/>
        </w:rPr>
        <w:t>;</w:t>
      </w:r>
    </w:p>
    <w:p w14:paraId="58E36F0C" w14:textId="7B5914DA" w:rsidR="00A15424" w:rsidRPr="007158E9" w:rsidRDefault="00DF71A6" w:rsidP="001A5901">
      <w:pPr>
        <w:pStyle w:val="SingleTxtG"/>
        <w:numPr>
          <w:ilvl w:val="0"/>
          <w:numId w:val="15"/>
        </w:numPr>
        <w:ind w:left="1134" w:right="567" w:firstLine="567"/>
        <w:rPr>
          <w:rFonts w:eastAsia="MS Mincho"/>
          <w:b/>
          <w:bCs/>
          <w:lang w:val="en-GB"/>
        </w:rPr>
      </w:pPr>
      <w:r w:rsidRPr="007158E9">
        <w:rPr>
          <w:b/>
          <w:bCs/>
          <w:lang w:val="en-GB"/>
        </w:rPr>
        <w:t xml:space="preserve">Regularly evaluate the impact of financial sanctions on the </w:t>
      </w:r>
      <w:r w:rsidR="004F5C22" w:rsidRPr="007158E9">
        <w:rPr>
          <w:b/>
          <w:bCs/>
          <w:lang w:val="en-GB"/>
        </w:rPr>
        <w:t>persons</w:t>
      </w:r>
      <w:r w:rsidRPr="007158E9">
        <w:rPr>
          <w:b/>
          <w:bCs/>
          <w:lang w:val="en-GB"/>
        </w:rPr>
        <w:t xml:space="preserve"> of Burundi</w:t>
      </w:r>
      <w:r w:rsidR="00A15424" w:rsidRPr="007158E9">
        <w:rPr>
          <w:rFonts w:eastAsia="MS Mincho"/>
          <w:b/>
          <w:bCs/>
          <w:lang w:val="en-GB"/>
        </w:rPr>
        <w:t>.</w:t>
      </w:r>
    </w:p>
    <w:p w14:paraId="31E17011" w14:textId="5ED95F9B" w:rsidR="00A15424" w:rsidRPr="007158E9" w:rsidRDefault="00F90002" w:rsidP="000F73DC">
      <w:pPr>
        <w:pStyle w:val="SingleTxtG"/>
        <w:ind w:right="567"/>
        <w:rPr>
          <w:rFonts w:eastAsia="MS Mincho"/>
          <w:b/>
          <w:bCs/>
          <w:lang w:val="en-GB"/>
        </w:rPr>
      </w:pPr>
      <w:r w:rsidRPr="007158E9">
        <w:rPr>
          <w:rFonts w:eastAsia="MS Mincho"/>
          <w:lang w:val="en-GB"/>
        </w:rPr>
        <w:tab/>
      </w:r>
      <w:r w:rsidR="00920BFF" w:rsidRPr="007158E9">
        <w:rPr>
          <w:rFonts w:eastAsia="MS Mincho"/>
          <w:bCs/>
          <w:lang w:val="en-GB"/>
        </w:rPr>
        <w:t>836</w:t>
      </w:r>
      <w:r w:rsidR="0055467E" w:rsidRPr="007158E9">
        <w:rPr>
          <w:rFonts w:eastAsia="MS Mincho"/>
          <w:bCs/>
          <w:lang w:val="en-GB"/>
        </w:rPr>
        <w:t>.</w:t>
      </w:r>
      <w:r w:rsidRPr="007158E9">
        <w:rPr>
          <w:rFonts w:eastAsia="MS Mincho"/>
          <w:lang w:val="en-GB"/>
        </w:rPr>
        <w:tab/>
      </w:r>
      <w:r w:rsidR="00DF71A6" w:rsidRPr="007158E9">
        <w:rPr>
          <w:b/>
          <w:bCs/>
          <w:lang w:val="en-GB"/>
        </w:rPr>
        <w:t>The Commission recommends that the guarantors of the Arusha Agreement, in their capacity as committed proponents of a lasting peace in Burundi, continue to seek a durable solution to the political and human rights crisis that will preserve and safeguard the achievements of the Arusha Agreement</w:t>
      </w:r>
      <w:r w:rsidR="00A15424" w:rsidRPr="007158E9">
        <w:rPr>
          <w:rFonts w:eastAsia="MS Mincho"/>
          <w:b/>
          <w:bCs/>
          <w:lang w:val="en-GB"/>
        </w:rPr>
        <w:t>.</w:t>
      </w:r>
    </w:p>
    <w:p w14:paraId="159D513E" w14:textId="77777777" w:rsidR="004A5A51" w:rsidRPr="007158E9" w:rsidRDefault="004A5A51" w:rsidP="000F73DC">
      <w:pPr>
        <w:pStyle w:val="SingleTxtG"/>
        <w:ind w:right="567"/>
        <w:rPr>
          <w:rFonts w:eastAsia="MS Mincho"/>
          <w:b/>
          <w:bCs/>
          <w:lang w:val="en-GB"/>
        </w:rPr>
      </w:pPr>
    </w:p>
    <w:p w14:paraId="436B8106" w14:textId="77777777" w:rsidR="004A5A51" w:rsidRPr="007158E9" w:rsidRDefault="004A5A51">
      <w:pPr>
        <w:suppressAutoHyphens w:val="0"/>
        <w:spacing w:line="240" w:lineRule="auto"/>
        <w:rPr>
          <w:rFonts w:eastAsia="MS Mincho"/>
          <w:b/>
          <w:bCs/>
          <w:lang w:val="en-GB"/>
        </w:rPr>
      </w:pPr>
      <w:r w:rsidRPr="007158E9">
        <w:rPr>
          <w:rFonts w:eastAsia="MS Mincho"/>
          <w:b/>
          <w:bCs/>
          <w:lang w:val="en-GB"/>
        </w:rPr>
        <w:br w:type="page"/>
      </w:r>
    </w:p>
    <w:p w14:paraId="3241AF3E" w14:textId="2F38EDBC" w:rsidR="004A5A51" w:rsidRPr="007158E9" w:rsidRDefault="004A5A51" w:rsidP="004A5A51">
      <w:pPr>
        <w:pStyle w:val="HChG"/>
        <w:rPr>
          <w:lang w:val="en-GB"/>
        </w:rPr>
      </w:pPr>
      <w:r w:rsidRPr="007158E9">
        <w:rPr>
          <w:lang w:val="en-GB"/>
        </w:rPr>
        <w:tab/>
        <w:t>VII.</w:t>
      </w:r>
      <w:r w:rsidRPr="007158E9">
        <w:rPr>
          <w:lang w:val="en-GB"/>
        </w:rPr>
        <w:tab/>
        <w:t>Annexes</w:t>
      </w:r>
    </w:p>
    <w:p w14:paraId="1CECA083" w14:textId="751C7823" w:rsidR="004A5A51" w:rsidRPr="007158E9" w:rsidRDefault="00B64BB1" w:rsidP="004A5A51">
      <w:pPr>
        <w:pStyle w:val="H1G"/>
        <w:rPr>
          <w:rFonts w:eastAsia="Calibri"/>
        </w:rPr>
      </w:pPr>
      <w:r w:rsidRPr="007158E9">
        <w:rPr>
          <w:rFonts w:eastAsia="Calibri"/>
        </w:rPr>
        <w:tab/>
        <w:t>I</w:t>
      </w:r>
      <w:r w:rsidR="004A5A51" w:rsidRPr="007158E9">
        <w:rPr>
          <w:rFonts w:eastAsia="Calibri"/>
        </w:rPr>
        <w:t>.</w:t>
      </w:r>
      <w:r w:rsidR="004A5A51" w:rsidRPr="007158E9">
        <w:rPr>
          <w:rFonts w:eastAsia="Calibri"/>
        </w:rPr>
        <w:tab/>
      </w:r>
      <w:r w:rsidR="0074114E" w:rsidRPr="007158E9">
        <w:rPr>
          <w:rFonts w:eastAsia="Calibri"/>
        </w:rPr>
        <w:t xml:space="preserve">Map </w:t>
      </w:r>
      <w:r w:rsidR="00D06CFC" w:rsidRPr="007158E9">
        <w:rPr>
          <w:rFonts w:eastAsia="Calibri"/>
        </w:rPr>
        <w:t>of Burundi</w:t>
      </w:r>
    </w:p>
    <w:p w14:paraId="3CD683E7" w14:textId="77777777" w:rsidR="004A5A51" w:rsidRPr="007158E9" w:rsidRDefault="004A5A51" w:rsidP="004A5A51">
      <w:pPr>
        <w:rPr>
          <w:b/>
          <w:noProof/>
          <w:sz w:val="24"/>
          <w:szCs w:val="24"/>
          <w:lang w:val="en-GB" w:eastAsia="en-GB"/>
        </w:rPr>
      </w:pPr>
    </w:p>
    <w:p w14:paraId="0C8F053F" w14:textId="77777777" w:rsidR="004A5A51" w:rsidRPr="007158E9" w:rsidRDefault="004A5A51" w:rsidP="004A5A51">
      <w:pPr>
        <w:rPr>
          <w:b/>
          <w:noProof/>
          <w:sz w:val="24"/>
          <w:szCs w:val="24"/>
          <w:lang w:eastAsia="en-GB"/>
        </w:rPr>
      </w:pPr>
      <w:r w:rsidRPr="007158E9">
        <w:rPr>
          <w:rFonts w:eastAsia="Calibri"/>
          <w:noProof/>
          <w:sz w:val="24"/>
          <w:szCs w:val="24"/>
          <w:lang w:val="en-GB" w:eastAsia="en-GB"/>
        </w:rPr>
        <w:drawing>
          <wp:inline distT="0" distB="0" distL="0" distR="0" wp14:anchorId="264F0230" wp14:editId="4013AA4D">
            <wp:extent cx="5585460" cy="690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405" cy="6965631"/>
                    </a:xfrm>
                    <a:prstGeom prst="rect">
                      <a:avLst/>
                    </a:prstGeom>
                    <a:noFill/>
                    <a:ln>
                      <a:noFill/>
                    </a:ln>
                  </pic:spPr>
                </pic:pic>
              </a:graphicData>
            </a:graphic>
          </wp:inline>
        </w:drawing>
      </w:r>
    </w:p>
    <w:p w14:paraId="65C8EA92" w14:textId="77777777" w:rsidR="004A5A51" w:rsidRPr="007158E9" w:rsidRDefault="004A5A51" w:rsidP="004A5A51">
      <w:pPr>
        <w:rPr>
          <w:b/>
          <w:noProof/>
          <w:sz w:val="24"/>
          <w:szCs w:val="24"/>
          <w:lang w:eastAsia="en-GB"/>
        </w:rPr>
      </w:pPr>
    </w:p>
    <w:p w14:paraId="67DBD514" w14:textId="77777777" w:rsidR="004A5A51" w:rsidRPr="007158E9" w:rsidRDefault="004A5A51" w:rsidP="004A5A51">
      <w:pPr>
        <w:rPr>
          <w:b/>
          <w:noProof/>
          <w:sz w:val="24"/>
          <w:szCs w:val="24"/>
          <w:lang w:eastAsia="en-GB"/>
        </w:rPr>
      </w:pPr>
    </w:p>
    <w:p w14:paraId="778A4BA3" w14:textId="77777777" w:rsidR="004A5A51" w:rsidRPr="007158E9" w:rsidRDefault="004A5A51" w:rsidP="004A5A51">
      <w:pPr>
        <w:rPr>
          <w:b/>
          <w:noProof/>
          <w:sz w:val="24"/>
          <w:szCs w:val="24"/>
          <w:lang w:eastAsia="en-GB"/>
        </w:rPr>
      </w:pPr>
    </w:p>
    <w:p w14:paraId="0F849139" w14:textId="77777777" w:rsidR="004A5A51" w:rsidRPr="007158E9" w:rsidRDefault="004A5A51" w:rsidP="004A5A51">
      <w:pPr>
        <w:rPr>
          <w:b/>
          <w:noProof/>
          <w:sz w:val="24"/>
          <w:szCs w:val="24"/>
          <w:lang w:eastAsia="en-GB"/>
        </w:rPr>
      </w:pPr>
    </w:p>
    <w:p w14:paraId="6BC3E57C" w14:textId="77777777" w:rsidR="004A5A51" w:rsidRPr="007158E9" w:rsidRDefault="004A5A51" w:rsidP="004A5A51">
      <w:pPr>
        <w:rPr>
          <w:b/>
          <w:noProof/>
          <w:sz w:val="24"/>
          <w:szCs w:val="24"/>
          <w:lang w:eastAsia="en-GB"/>
        </w:rPr>
      </w:pPr>
    </w:p>
    <w:p w14:paraId="5547C593" w14:textId="6028A5B2" w:rsidR="004A5A51" w:rsidRPr="007158E9" w:rsidRDefault="004A5A51" w:rsidP="004A5A51">
      <w:pPr>
        <w:pStyle w:val="H1G"/>
        <w:ind w:right="567"/>
        <w:rPr>
          <w:noProof/>
          <w:lang w:eastAsia="en-GB"/>
        </w:rPr>
      </w:pPr>
      <w:r w:rsidRPr="007158E9">
        <w:rPr>
          <w:b w:val="0"/>
          <w:noProof/>
          <w:lang w:eastAsia="en-GB"/>
        </w:rPr>
        <w:br w:type="page"/>
      </w:r>
      <w:r w:rsidR="00B64BB1" w:rsidRPr="007158E9">
        <w:rPr>
          <w:noProof/>
          <w:lang w:eastAsia="en-GB"/>
        </w:rPr>
        <w:tab/>
        <w:t>II</w:t>
      </w:r>
      <w:r w:rsidR="0074114E" w:rsidRPr="007158E9">
        <w:rPr>
          <w:noProof/>
          <w:lang w:eastAsia="en-GB"/>
        </w:rPr>
        <w:t>.</w:t>
      </w:r>
      <w:r w:rsidR="0074114E" w:rsidRPr="007158E9">
        <w:rPr>
          <w:noProof/>
          <w:lang w:eastAsia="en-GB"/>
        </w:rPr>
        <w:tab/>
        <w:t xml:space="preserve"> Recomme</w:t>
      </w:r>
      <w:r w:rsidRPr="007158E9">
        <w:rPr>
          <w:noProof/>
          <w:lang w:eastAsia="en-GB"/>
        </w:rPr>
        <w:t xml:space="preserve">ndations </w:t>
      </w:r>
      <w:r w:rsidR="0074114E" w:rsidRPr="007158E9">
        <w:rPr>
          <w:noProof/>
          <w:lang w:eastAsia="en-GB"/>
        </w:rPr>
        <w:t>made by the Commission i</w:t>
      </w:r>
      <w:r w:rsidRPr="007158E9">
        <w:rPr>
          <w:noProof/>
          <w:lang w:eastAsia="en-GB"/>
        </w:rPr>
        <w:t>n 2017</w:t>
      </w:r>
    </w:p>
    <w:p w14:paraId="3BBE8A9E"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 xml:space="preserve">The Burundian authorities should: </w:t>
      </w:r>
    </w:p>
    <w:p w14:paraId="17D8B395"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Put an immediate end to the gross human rights violations being committed by agents of the State and Imbonerakure over which the State exercises control; </w:t>
      </w:r>
    </w:p>
    <w:p w14:paraId="6F6E1472"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Investigate these violations, ensure that the alleged perpetrators are prosecuted promptly in accordance with credible, independent and fair procedures, and that the victims obtain just reparation, and, where the alleged perpetrators are agents of the State, suspend them from their duties pending the completion of the investigation and the judicial proceedings;</w:t>
      </w:r>
    </w:p>
    <w:p w14:paraId="6D1357E4"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Take practical measures to bring about a rapid improvement of the human rights situation, in particular by:</w:t>
      </w:r>
    </w:p>
    <w:p w14:paraId="1A1FB70C"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Withdrawing the warrants for the arrest of heads of media outlets, civil society organizations and political parties who have neither used nor advocated violence, and permitting their safe return to Burundi;</w:t>
      </w:r>
    </w:p>
    <w:p w14:paraId="4DBE0C85" w14:textId="435101B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Lifting the suspension and reversing the revocation of the licences of media and civil society organizations, permitting them to resume their activities with complete independence and reviewing the laws adopted in 2017 concerning </w:t>
      </w:r>
      <w:r w:rsidR="00D905DD" w:rsidRPr="007158E9">
        <w:rPr>
          <w:b/>
          <w:lang w:val="en-GB" w:eastAsia="en-GB"/>
        </w:rPr>
        <w:t>no</w:t>
      </w:r>
      <w:r w:rsidRPr="007158E9">
        <w:rPr>
          <w:b/>
          <w:lang w:val="en-GB" w:eastAsia="en-GB"/>
        </w:rPr>
        <w:t xml:space="preserve">-profit organizations and foreign </w:t>
      </w:r>
      <w:r w:rsidR="00D905DD" w:rsidRPr="007158E9">
        <w:rPr>
          <w:b/>
          <w:lang w:val="en-GB" w:eastAsia="en-GB"/>
        </w:rPr>
        <w:t>no</w:t>
      </w:r>
      <w:r w:rsidRPr="007158E9">
        <w:rPr>
          <w:b/>
          <w:lang w:val="en-GB" w:eastAsia="en-GB"/>
        </w:rPr>
        <w:t>-governmental organizations;</w:t>
      </w:r>
    </w:p>
    <w:p w14:paraId="0EF316E5"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Immediately releasing all political prisoners; </w:t>
      </w:r>
    </w:p>
    <w:p w14:paraId="1EC21B19"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Ensuring that every person arrested is detained in an official place of detention and that national and international observers are allowed to visit them; </w:t>
      </w:r>
    </w:p>
    <w:p w14:paraId="179641A3"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Ensure that criminal investigation officers </w:t>
      </w:r>
      <w:r w:rsidRPr="007158E9">
        <w:rPr>
          <w:b/>
          <w:i/>
          <w:lang w:val="en-GB" w:eastAsia="en-GB"/>
        </w:rPr>
        <w:t>(officiers de police judiciaire)</w:t>
      </w:r>
      <w:r w:rsidRPr="007158E9">
        <w:rPr>
          <w:b/>
          <w:lang w:val="en-GB" w:eastAsia="en-GB"/>
        </w:rPr>
        <w:t xml:space="preserve"> are not authorized to conduct searches without a warrant, including at night, as envisaged in the draft amendments to the Criminal Code and the Code of Criminal Procedure; </w:t>
      </w:r>
    </w:p>
    <w:p w14:paraId="7A60BC7D"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Ensuring that individuals lacking legal authorization, particularly the Imbonerakure, do not perform or participate in law enforcement activities, including in places of detention, and do not wear military or police uniforms or possess weapons;  </w:t>
      </w:r>
    </w:p>
    <w:p w14:paraId="6C2C030A"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Prosecuting individuals who incite hatred or violence; </w:t>
      </w:r>
    </w:p>
    <w:p w14:paraId="6F7D8BBE"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Putting an end to threats, intimidation and acts of extortion by State officials and the Imbonerakure;</w:t>
      </w:r>
    </w:p>
    <w:p w14:paraId="3E66F4A1"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Giving victims of sexual violence and torture access to medical and psychosocial services;</w:t>
      </w:r>
    </w:p>
    <w:p w14:paraId="0EC3A107"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Undertake a thorough reform of the judiciary, in particular by: </w:t>
      </w:r>
    </w:p>
    <w:p w14:paraId="02054989"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Publishing the conclusions of  the General Convention on the Judiciary (</w:t>
      </w:r>
      <w:r w:rsidRPr="007158E9">
        <w:rPr>
          <w:b/>
          <w:i/>
          <w:lang w:val="en-GB" w:eastAsia="en-GB"/>
        </w:rPr>
        <w:t>États généraux de la justice</w:t>
      </w:r>
      <w:r w:rsidRPr="007158E9">
        <w:rPr>
          <w:b/>
          <w:lang w:val="en-GB" w:eastAsia="en-GB"/>
        </w:rPr>
        <w:t xml:space="preserve">) held in Gitega in 2013;  </w:t>
      </w:r>
    </w:p>
    <w:p w14:paraId="1FE2C4E5"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Reviewing the composition of the Superior Council of Magistrates (</w:t>
      </w:r>
      <w:r w:rsidRPr="007158E9">
        <w:rPr>
          <w:b/>
          <w:i/>
          <w:lang w:val="en-GB" w:eastAsia="en-GB"/>
        </w:rPr>
        <w:t>Conseil supérieur de la magistrature</w:t>
      </w:r>
      <w:r w:rsidRPr="007158E9">
        <w:rPr>
          <w:b/>
          <w:lang w:val="en-GB" w:eastAsia="en-GB"/>
        </w:rPr>
        <w:t xml:space="preserve">) so that the majority of its members are designated by their peers; </w:t>
      </w:r>
    </w:p>
    <w:p w14:paraId="59A83A8B"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 xml:space="preserve">Reviewing the nomination, posting, evaluation and promotion procedures of magistrates so that they do not depend of the executive;   </w:t>
      </w:r>
    </w:p>
    <w:p w14:paraId="25DABD91"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Ensuring the respect of the principle of security of tenure for judges;</w:t>
      </w:r>
    </w:p>
    <w:p w14:paraId="53A719B3"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 xml:space="preserve">Protecting and guaranteeing the independence of the judiciary by prohibiting all interference in their functions by governmental authorities, members of the ruling party or security and defence forces, and imposing sanctions on those who influence, or seek to influence, the functioning of the judiciary; </w:t>
      </w:r>
    </w:p>
    <w:p w14:paraId="4C91C071"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Developing legal aid programmes for the most vulnerable;</w:t>
      </w:r>
    </w:p>
    <w:p w14:paraId="0E9095C8" w14:textId="4970FD52"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 xml:space="preserve">Reinforcing the protection mechanisms for victims and witnesses, as well as their efficiency, in order to restore </w:t>
      </w:r>
      <w:r w:rsidR="004F5C22" w:rsidRPr="007158E9">
        <w:rPr>
          <w:b/>
          <w:lang w:val="en-GB" w:eastAsia="en-GB"/>
        </w:rPr>
        <w:t>persons</w:t>
      </w:r>
      <w:r w:rsidRPr="007158E9">
        <w:rPr>
          <w:b/>
          <w:lang w:val="en-GB" w:eastAsia="en-GB"/>
        </w:rPr>
        <w:t xml:space="preserve">’s confidence in the system and to encourage witnesses to testify without fear for their security; </w:t>
      </w:r>
    </w:p>
    <w:p w14:paraId="5BCECE41"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Ensure that members of the defence and security forces respect human rights in all circumstances and serve the interests of the population as a whole, not solely those of the ruling party, in particular by: </w:t>
      </w:r>
    </w:p>
    <w:p w14:paraId="27CB8116" w14:textId="77777777" w:rsidR="004A5A51" w:rsidRPr="007158E9" w:rsidRDefault="004A5A51" w:rsidP="001A5901">
      <w:pPr>
        <w:pStyle w:val="SingleTxtG"/>
        <w:numPr>
          <w:ilvl w:val="0"/>
          <w:numId w:val="19"/>
        </w:numPr>
        <w:suppressAutoHyphens w:val="0"/>
        <w:spacing w:line="240" w:lineRule="auto"/>
        <w:ind w:right="567"/>
        <w:rPr>
          <w:b/>
          <w:lang w:val="en-GB" w:eastAsia="en-GB"/>
        </w:rPr>
      </w:pPr>
      <w:r w:rsidRPr="007158E9">
        <w:rPr>
          <w:b/>
          <w:lang w:val="en-GB" w:eastAsia="en-GB"/>
        </w:rPr>
        <w:t>Reinforcing civilian control over the military and the independence of the competent organs created by the Constitution to supervise this control, in particular the Parliament, the National Human Rights Commission and the Ombudsman;</w:t>
      </w:r>
    </w:p>
    <w:p w14:paraId="4523EAEE" w14:textId="77777777" w:rsidR="004A5A51" w:rsidRPr="007158E9" w:rsidRDefault="004A5A51" w:rsidP="001A5901">
      <w:pPr>
        <w:pStyle w:val="SingleTxtG"/>
        <w:numPr>
          <w:ilvl w:val="0"/>
          <w:numId w:val="19"/>
        </w:numPr>
        <w:suppressAutoHyphens w:val="0"/>
        <w:spacing w:line="240" w:lineRule="auto"/>
        <w:ind w:right="567"/>
        <w:rPr>
          <w:b/>
          <w:lang w:val="en-GB" w:eastAsia="en-GB"/>
        </w:rPr>
      </w:pPr>
      <w:r w:rsidRPr="007158E9">
        <w:rPr>
          <w:b/>
          <w:lang w:val="en-GB" w:eastAsia="en-GB"/>
        </w:rPr>
        <w:t>Implementing civilian control over the National Intelligence Service (</w:t>
      </w:r>
      <w:r w:rsidRPr="007158E9">
        <w:rPr>
          <w:b/>
          <w:i/>
          <w:lang w:val="en-GB" w:eastAsia="en-GB"/>
        </w:rPr>
        <w:t xml:space="preserve">Service national de renseignement) </w:t>
      </w:r>
      <w:r w:rsidRPr="007158E9">
        <w:rPr>
          <w:b/>
          <w:lang w:val="en-GB" w:eastAsia="en-GB"/>
        </w:rPr>
        <w:t>in line with the Constitution;</w:t>
      </w:r>
    </w:p>
    <w:p w14:paraId="0DF8804F" w14:textId="77777777" w:rsidR="004A5A51" w:rsidRPr="007158E9" w:rsidRDefault="004A5A51" w:rsidP="001A5901">
      <w:pPr>
        <w:pStyle w:val="SingleTxtG"/>
        <w:numPr>
          <w:ilvl w:val="0"/>
          <w:numId w:val="19"/>
        </w:numPr>
        <w:suppressAutoHyphens w:val="0"/>
        <w:spacing w:line="240" w:lineRule="auto"/>
        <w:ind w:right="567"/>
        <w:rPr>
          <w:b/>
          <w:lang w:val="en-GB" w:eastAsia="en-GB"/>
        </w:rPr>
      </w:pPr>
      <w:r w:rsidRPr="007158E9">
        <w:rPr>
          <w:b/>
          <w:lang w:val="en-GB" w:eastAsia="en-GB"/>
        </w:rPr>
        <w:t xml:space="preserve">Conducting background checks, in particular on human rights, on defence and security forces and incorporating these measures into reforms of the recruitment and career progression of these agents; </w:t>
      </w:r>
    </w:p>
    <w:p w14:paraId="115F13FE"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Reconsider their decision to withdraw from the Rome Statute, cooperate fully with the International Criminal Court in the ongoing preliminary examination and, if an investigation is initiated, continue that cooperation, inter alia by ensuring the protection of victims and witnesses;</w:t>
      </w:r>
    </w:p>
    <w:p w14:paraId="078EC115"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Authorize the Office of the United Nations High Commissioner for Human Rights to resume its documentation of human rights violations in Burundi, which has been suspended since October 2016; </w:t>
      </w:r>
    </w:p>
    <w:p w14:paraId="0A91F2E3"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Sign and implement the memorandum of understanding with the African Union and permit the full deployment of 100 human rights observers and 100 military experts that was decided upon in 2016;</w:t>
      </w:r>
    </w:p>
    <w:p w14:paraId="1C1FA10B"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Cooperate with United Nations human rights mechanisms by once again receiving special procedures missions and implementing the recent recommendations of treaty bodies; </w:t>
      </w:r>
    </w:p>
    <w:p w14:paraId="0471EDC7"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Actively seek a lasting solution to the political crisis, inter alia through international initiatives to promote dialogue.</w:t>
      </w:r>
    </w:p>
    <w:p w14:paraId="21BBA969" w14:textId="77777777" w:rsidR="004A5A51" w:rsidRPr="007158E9" w:rsidRDefault="004A5A51" w:rsidP="00AA1AB2">
      <w:pPr>
        <w:pStyle w:val="H4G"/>
        <w:ind w:right="567"/>
        <w:rPr>
          <w:b/>
          <w:lang w:val="en-GB"/>
        </w:rPr>
      </w:pPr>
      <w:r w:rsidRPr="007158E9">
        <w:rPr>
          <w:b/>
          <w:lang w:val="en-GB"/>
        </w:rPr>
        <w:tab/>
      </w:r>
      <w:r w:rsidRPr="007158E9">
        <w:rPr>
          <w:b/>
          <w:lang w:val="en-GB"/>
        </w:rPr>
        <w:tab/>
        <w:t>Political parties and armed opposition groups should:</w:t>
      </w:r>
    </w:p>
    <w:p w14:paraId="375EEAE0"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Put an immediate end to human rights abuses and acts of violence committed by their members; </w:t>
      </w:r>
    </w:p>
    <w:p w14:paraId="4F656306"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Refrain from any incitement of violence and participate in the quest for a lasting solution to the political crisis in Burundi.</w:t>
      </w:r>
    </w:p>
    <w:p w14:paraId="7F94BA3D" w14:textId="37818349"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w:t>
      </w:r>
      <w:r w:rsidR="00AA1AB2" w:rsidRPr="007158E9">
        <w:rPr>
          <w:b/>
          <w:lang w:val="en-GB" w:eastAsia="en-GB"/>
        </w:rPr>
        <w:t>he Human Rights Council should:</w:t>
      </w:r>
    </w:p>
    <w:p w14:paraId="07B9A6EE" w14:textId="7E99214E"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Extend the Commission’s mandate for a period of one year to enable it to conduct further and more thorough investigations in view of the persistence of gross human rights violations and abuses and the absence of other specific mechanisms capable of undertaking independent and thorough investigations into the hum</w:t>
      </w:r>
      <w:r w:rsidR="00AA1AB2" w:rsidRPr="007158E9">
        <w:rPr>
          <w:b/>
          <w:lang w:val="en-GB" w:eastAsia="en-GB"/>
        </w:rPr>
        <w:t>an rights situation in Burundi;</w:t>
      </w:r>
    </w:p>
    <w:p w14:paraId="7845BA2C"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Request the Office of the United Nations High Commissioner for Human Rights to report, at the forthcoming sessions of the Council, on the development of its cooperation with the Burundian Government. </w:t>
      </w:r>
    </w:p>
    <w:p w14:paraId="26040F4A"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International Criminal Court should:</w:t>
      </w:r>
    </w:p>
    <w:p w14:paraId="04CB538B" w14:textId="30648FFA"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Initiate, as soon as possible, an investigation into the crimes committed in Burundi in light of the conclusions contained in the present report and other information at its disp</w:t>
      </w:r>
      <w:r w:rsidR="00AA1AB2" w:rsidRPr="007158E9">
        <w:rPr>
          <w:b/>
          <w:lang w:val="en-GB" w:eastAsia="en-GB"/>
        </w:rPr>
        <w:t>osal.</w:t>
      </w:r>
    </w:p>
    <w:p w14:paraId="07509DD1" w14:textId="19897F34"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United Nations Security Council should:</w:t>
      </w:r>
    </w:p>
    <w:p w14:paraId="3AC315BF" w14:textId="4C4474B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Take due account of the Commission’s conclusions, as well as persistence of gross violations of human rights, in any discussion on Burundi and, in this context, ensure the effective implementation of re</w:t>
      </w:r>
      <w:r w:rsidR="00AA1AB2" w:rsidRPr="007158E9">
        <w:rPr>
          <w:b/>
          <w:lang w:val="en-GB" w:eastAsia="en-GB"/>
        </w:rPr>
        <w:t>solution 2303 (2016);</w:t>
      </w:r>
    </w:p>
    <w:p w14:paraId="69260A6A" w14:textId="7E1877EB"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Refer to the International Criminal Court any international crime that might be committed in</w:t>
      </w:r>
      <w:r w:rsidR="00AA1AB2" w:rsidRPr="007158E9">
        <w:rPr>
          <w:b/>
          <w:lang w:val="en-GB" w:eastAsia="en-GB"/>
        </w:rPr>
        <w:t xml:space="preserve"> Burundi after 27 October 2017;</w:t>
      </w:r>
    </w:p>
    <w:p w14:paraId="736A7007" w14:textId="5CFA53C5"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Impose individual sanctions against the principal alleged perpetrators of gross human rights violations and i</w:t>
      </w:r>
      <w:r w:rsidR="00AA1AB2" w:rsidRPr="007158E9">
        <w:rPr>
          <w:b/>
          <w:lang w:val="en-GB" w:eastAsia="en-GB"/>
        </w:rPr>
        <w:t>nternational crimes in Burundi.</w:t>
      </w:r>
    </w:p>
    <w:p w14:paraId="5558AF7B" w14:textId="2C35C155"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Secretary-General</w:t>
      </w:r>
      <w:r w:rsidR="00AA1AB2" w:rsidRPr="007158E9">
        <w:rPr>
          <w:b/>
          <w:lang w:val="en-GB" w:eastAsia="en-GB"/>
        </w:rPr>
        <w:t xml:space="preserve"> of the United Nations should:</w:t>
      </w:r>
    </w:p>
    <w:p w14:paraId="4650F419"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Ensure that respect for human rights and restoration of the rule of law are among the priorities of his Special Envoy for Burundi; </w:t>
      </w:r>
    </w:p>
    <w:p w14:paraId="2AB14AEF"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Ensure that no alleged perpetrator of human rights violations or international crimes in Burundi is recruited for United Nations peacekeeping missions.</w:t>
      </w:r>
    </w:p>
    <w:p w14:paraId="6E948338"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States Members of the United Nations should:</w:t>
      </w:r>
    </w:p>
    <w:p w14:paraId="527AF7B9" w14:textId="5D15F432"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Grant prima facie refugee status to Burundian asylum seekers and ensure strict respect for the principle of </w:t>
      </w:r>
      <w:r w:rsidR="00D905DD" w:rsidRPr="007158E9">
        <w:rPr>
          <w:b/>
          <w:lang w:val="en-GB" w:eastAsia="en-GB"/>
        </w:rPr>
        <w:t>no</w:t>
      </w:r>
      <w:r w:rsidRPr="007158E9">
        <w:rPr>
          <w:b/>
          <w:lang w:val="en-GB" w:eastAsia="en-GB"/>
        </w:rPr>
        <w:t>-refo</w:t>
      </w:r>
      <w:r w:rsidR="00AA1AB2" w:rsidRPr="007158E9">
        <w:rPr>
          <w:b/>
          <w:lang w:val="en-GB" w:eastAsia="en-GB"/>
        </w:rPr>
        <w:t>ulement and refugee protection;</w:t>
      </w:r>
    </w:p>
    <w:p w14:paraId="527E6220"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Prosecute, in accordance with the principle of universal jurisdiction, alleged perpetrators of international crimes committed in Burundi who are found to be in their territory;</w:t>
      </w:r>
    </w:p>
    <w:p w14:paraId="5587515F"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Maintain, in the absence of any improvement in the human rights situation in Burundi, the individual sanctions and the suspension of direct aid to the Government;</w:t>
      </w:r>
    </w:p>
    <w:p w14:paraId="43498AFE"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Provide technical assistance inter alia in respect to autopsies, exhumations and identification of bodies, to enable the Burundian to conduct credible and independent investigations;</w:t>
      </w:r>
    </w:p>
    <w:p w14:paraId="7766182C" w14:textId="36FDEEB4"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Support the establishment of specialized medical and psychosocial services, especially for victims </w:t>
      </w:r>
      <w:r w:rsidR="00AA1AB2" w:rsidRPr="007158E9">
        <w:rPr>
          <w:b/>
          <w:lang w:val="en-GB" w:eastAsia="en-GB"/>
        </w:rPr>
        <w:t>of torture and sexual violence;</w:t>
      </w:r>
    </w:p>
    <w:p w14:paraId="22BA5163" w14:textId="7167EBD5"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Support Burundian authorities in any judicial and security sector reform endeavours that they might wish to undertake in order to impr</w:t>
      </w:r>
      <w:r w:rsidR="00AA1AB2" w:rsidRPr="007158E9">
        <w:rPr>
          <w:b/>
          <w:lang w:val="en-GB" w:eastAsia="en-GB"/>
        </w:rPr>
        <w:t>ove the human rights situation.</w:t>
      </w:r>
    </w:p>
    <w:p w14:paraId="60D1111D"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African Union should:</w:t>
      </w:r>
    </w:p>
    <w:p w14:paraId="4F8A70AF" w14:textId="67F1CAE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Retake the lead in seeking a lasting solution to the crisis in Burundi based on respect for human rights and rejection of impunity, as provided for in its Constitutive Act, and play </w:t>
      </w:r>
      <w:r w:rsidR="00AA1AB2" w:rsidRPr="007158E9">
        <w:rPr>
          <w:b/>
          <w:lang w:val="en-GB" w:eastAsia="en-GB"/>
        </w:rPr>
        <w:t>an active role in that process;</w:t>
      </w:r>
    </w:p>
    <w:p w14:paraId="0D11B9AD" w14:textId="7FB95BDC"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Ensure that no agent of the Burundian State who is accused of human rights violations or international crimes is recruited for African Union peacekeeping</w:t>
      </w:r>
      <w:r w:rsidR="00AA1AB2" w:rsidRPr="007158E9">
        <w:rPr>
          <w:b/>
          <w:lang w:val="en-GB" w:eastAsia="en-GB"/>
        </w:rPr>
        <w:t xml:space="preserve"> missions;</w:t>
      </w:r>
    </w:p>
    <w:p w14:paraId="7C0CDBFD" w14:textId="11298E55"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Ensure that the full complement of African Union human rights observers and military experts i</w:t>
      </w:r>
      <w:r w:rsidR="00AA1AB2" w:rsidRPr="007158E9">
        <w:rPr>
          <w:b/>
          <w:lang w:val="en-GB" w:eastAsia="en-GB"/>
        </w:rPr>
        <w:t>s deployed rapidly in Burundi;</w:t>
      </w:r>
    </w:p>
    <w:p w14:paraId="14607751"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Consider, in the event that the current situation in Burundi persists, the application of Article 4 (h) of the Constitutive Act of the African Union, under which it is authorized to intervene in a member State in certain circumstances, particularly in the event of crimes against humanity. </w:t>
      </w:r>
    </w:p>
    <w:p w14:paraId="53CE2263"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 xml:space="preserve">The East African Community should: </w:t>
      </w:r>
    </w:p>
    <w:p w14:paraId="260A0024"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Ensure that a rapid improvement of the human rights situation is a priority in its mediation efforts.  </w:t>
      </w:r>
    </w:p>
    <w:p w14:paraId="68B42630"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guarantors of the 2000 Arusha Agreement, in their capacity as committed proponents of a lasting peace in Burundi, should:</w:t>
      </w:r>
    </w:p>
    <w:p w14:paraId="6229F9B8"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Meet with a view to finding a lasting solution to the political and human rights crisis in Burundi.</w:t>
      </w:r>
    </w:p>
    <w:p w14:paraId="7F5DF277" w14:textId="77777777" w:rsidR="004A5A51" w:rsidRPr="007158E9" w:rsidRDefault="004A5A51" w:rsidP="00AA1AB2">
      <w:pPr>
        <w:suppressAutoHyphens w:val="0"/>
        <w:spacing w:line="240" w:lineRule="auto"/>
        <w:ind w:right="567"/>
        <w:rPr>
          <w:b/>
          <w:lang w:val="en-GB" w:eastAsia="en-GB"/>
        </w:rPr>
      </w:pPr>
      <w:r w:rsidRPr="007158E9">
        <w:rPr>
          <w:b/>
          <w:lang w:val="en-GB" w:eastAsia="en-GB"/>
        </w:rPr>
        <w:br w:type="page"/>
      </w:r>
    </w:p>
    <w:p w14:paraId="522BAB47" w14:textId="5738BB0F" w:rsidR="004A5A51" w:rsidRPr="007158E9" w:rsidRDefault="004A5A51" w:rsidP="004A5A51">
      <w:pPr>
        <w:pStyle w:val="H1G"/>
        <w:rPr>
          <w:noProof/>
          <w:lang w:eastAsia="en-GB"/>
        </w:rPr>
      </w:pPr>
      <w:r w:rsidRPr="007158E9">
        <w:rPr>
          <w:noProof/>
          <w:lang w:eastAsia="en-GB"/>
        </w:rPr>
        <w:tab/>
      </w:r>
      <w:r w:rsidR="00B64BB1" w:rsidRPr="007158E9">
        <w:rPr>
          <w:noProof/>
          <w:lang w:eastAsia="en-GB"/>
        </w:rPr>
        <w:t>III</w:t>
      </w:r>
      <w:r w:rsidR="00930E9F" w:rsidRPr="007158E9">
        <w:rPr>
          <w:noProof/>
          <w:lang w:eastAsia="en-GB"/>
        </w:rPr>
        <w:t>.</w:t>
      </w:r>
      <w:r w:rsidR="00930E9F" w:rsidRPr="007158E9">
        <w:rPr>
          <w:noProof/>
          <w:lang w:eastAsia="en-GB"/>
        </w:rPr>
        <w:tab/>
        <w:t xml:space="preserve"> </w:t>
      </w:r>
      <w:r w:rsidR="00DF71A6" w:rsidRPr="007158E9">
        <w:rPr>
          <w:bCs/>
          <w:noProof/>
          <w:lang w:eastAsia="en-GB"/>
        </w:rPr>
        <w:t xml:space="preserve">Correspondence with the Government of Burundi </w:t>
      </w:r>
    </w:p>
    <w:p w14:paraId="705699EF" w14:textId="31872F99" w:rsidR="004A5A51" w:rsidRPr="007158E9" w:rsidRDefault="004A5A51" w:rsidP="00DF71A6">
      <w:pPr>
        <w:pStyle w:val="H23G"/>
        <w:rPr>
          <w:noProof/>
          <w:lang w:val="en-GB" w:eastAsia="en-GB"/>
        </w:rPr>
      </w:pPr>
      <w:r w:rsidRPr="007158E9">
        <w:rPr>
          <w:noProof/>
          <w:lang w:val="en-GB" w:eastAsia="en-GB"/>
        </w:rPr>
        <w:tab/>
        <w:t>1.</w:t>
      </w:r>
      <w:r w:rsidRPr="007158E9">
        <w:rPr>
          <w:noProof/>
          <w:lang w:val="en-GB" w:eastAsia="en-GB"/>
        </w:rPr>
        <w:tab/>
      </w:r>
      <w:r w:rsidR="00DF71A6" w:rsidRPr="007158E9">
        <w:rPr>
          <w:bCs/>
          <w:noProof/>
          <w:lang w:val="en-GB" w:eastAsia="en-GB"/>
        </w:rPr>
        <w:t>Note verbale sent to the Permanent Mission of Burundi on 10 October 2017</w:t>
      </w:r>
    </w:p>
    <w:p w14:paraId="455C492E" w14:textId="77777777" w:rsidR="004A5A51" w:rsidRPr="007158E9" w:rsidRDefault="004A5A51" w:rsidP="004A5A51">
      <w:pPr>
        <w:rPr>
          <w:b/>
          <w:noProof/>
          <w:sz w:val="24"/>
          <w:szCs w:val="24"/>
          <w:lang w:val="en-GB" w:eastAsia="en-GB"/>
        </w:rPr>
      </w:pPr>
    </w:p>
    <w:p w14:paraId="00703E29" w14:textId="77777777" w:rsidR="004A5A51" w:rsidRPr="007158E9" w:rsidRDefault="004A5A51" w:rsidP="004A5A51">
      <w:pPr>
        <w:rPr>
          <w:noProof/>
          <w:sz w:val="24"/>
          <w:szCs w:val="24"/>
          <w:lang w:val="en-GB" w:eastAsia="en-GB"/>
        </w:rPr>
      </w:pPr>
    </w:p>
    <w:p w14:paraId="6D0D5334" w14:textId="77777777" w:rsidR="004A5A51" w:rsidRPr="007158E9" w:rsidRDefault="004A5A51" w:rsidP="004A5A51">
      <w:pPr>
        <w:rPr>
          <w:noProof/>
          <w:sz w:val="24"/>
          <w:szCs w:val="24"/>
          <w:lang w:val="en-GB" w:eastAsia="en-GB"/>
        </w:rPr>
      </w:pPr>
      <w:r w:rsidRPr="007158E9">
        <w:rPr>
          <w:noProof/>
          <w:sz w:val="24"/>
          <w:szCs w:val="24"/>
          <w:lang w:val="en-GB" w:eastAsia="en-GB"/>
        </w:rPr>
        <w:drawing>
          <wp:inline distT="0" distB="0" distL="0" distR="0" wp14:anchorId="4D793506" wp14:editId="3DF3F3FB">
            <wp:extent cx="6119161" cy="7975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9714" cy="7989354"/>
                    </a:xfrm>
                    <a:prstGeom prst="rect">
                      <a:avLst/>
                    </a:prstGeom>
                    <a:noFill/>
                    <a:ln>
                      <a:noFill/>
                    </a:ln>
                  </pic:spPr>
                </pic:pic>
              </a:graphicData>
            </a:graphic>
          </wp:inline>
        </w:drawing>
      </w:r>
    </w:p>
    <w:p w14:paraId="333DE775" w14:textId="77777777" w:rsidR="004A5A51" w:rsidRPr="007158E9" w:rsidRDefault="004A5A51" w:rsidP="004A5A51">
      <w:pPr>
        <w:rPr>
          <w:noProof/>
          <w:sz w:val="24"/>
          <w:szCs w:val="24"/>
          <w:lang w:val="en-GB" w:eastAsia="en-GB"/>
        </w:rPr>
      </w:pPr>
    </w:p>
    <w:p w14:paraId="68E5325E" w14:textId="1EA76C45" w:rsidR="004A5A51" w:rsidRPr="007158E9" w:rsidRDefault="004A5A51" w:rsidP="00DF71A6">
      <w:pPr>
        <w:pStyle w:val="H23G"/>
        <w:rPr>
          <w:noProof/>
          <w:lang w:val="en-GB" w:eastAsia="en-GB"/>
        </w:rPr>
      </w:pPr>
      <w:r w:rsidRPr="007158E9">
        <w:rPr>
          <w:noProof/>
          <w:lang w:val="en-GB" w:eastAsia="en-GB"/>
        </w:rPr>
        <w:tab/>
        <w:t>2.</w:t>
      </w:r>
      <w:r w:rsidRPr="007158E9">
        <w:rPr>
          <w:noProof/>
          <w:lang w:val="en-GB" w:eastAsia="en-GB"/>
        </w:rPr>
        <w:tab/>
      </w:r>
      <w:r w:rsidR="00DF71A6" w:rsidRPr="007158E9">
        <w:rPr>
          <w:bCs/>
          <w:noProof/>
          <w:lang w:val="en-GB" w:eastAsia="en-GB"/>
        </w:rPr>
        <w:t>Note verbale sent to the Permanent Mission of Burundi on 30 November 2017, transmitting a letter addressed to the Minister for Foreign Affairs and International Cooperation of Burundi</w:t>
      </w:r>
    </w:p>
    <w:p w14:paraId="3BCA2933" w14:textId="77777777" w:rsidR="004A5A51" w:rsidRPr="007158E9" w:rsidRDefault="004A5A51" w:rsidP="004A5A51">
      <w:pPr>
        <w:rPr>
          <w:noProof/>
          <w:sz w:val="24"/>
          <w:szCs w:val="24"/>
          <w:lang w:val="en-GB" w:eastAsia="en-GB"/>
        </w:rPr>
      </w:pPr>
    </w:p>
    <w:p w14:paraId="559B5654" w14:textId="77777777" w:rsidR="004A5A51" w:rsidRPr="007158E9" w:rsidRDefault="004A5A51" w:rsidP="004A5A51">
      <w:pPr>
        <w:rPr>
          <w:noProof/>
          <w:sz w:val="24"/>
          <w:szCs w:val="24"/>
          <w:lang w:val="en-GB" w:eastAsia="en-GB"/>
        </w:rPr>
      </w:pPr>
    </w:p>
    <w:p w14:paraId="434BB553"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52E3C4FD" wp14:editId="070911D4">
            <wp:extent cx="6119106" cy="755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010" cy="7566785"/>
                    </a:xfrm>
                    <a:prstGeom prst="rect">
                      <a:avLst/>
                    </a:prstGeom>
                    <a:noFill/>
                    <a:ln>
                      <a:noFill/>
                    </a:ln>
                  </pic:spPr>
                </pic:pic>
              </a:graphicData>
            </a:graphic>
          </wp:inline>
        </w:drawing>
      </w:r>
    </w:p>
    <w:p w14:paraId="4A77FEB4" w14:textId="77777777" w:rsidR="004A5A51" w:rsidRPr="006B7237" w:rsidRDefault="004A5A51" w:rsidP="004A5A51">
      <w:pPr>
        <w:rPr>
          <w:noProof/>
          <w:sz w:val="24"/>
          <w:szCs w:val="24"/>
          <w:lang w:val="en-GB" w:eastAsia="en-GB"/>
        </w:rPr>
      </w:pPr>
    </w:p>
    <w:p w14:paraId="78731927" w14:textId="77777777" w:rsidR="004A5A51" w:rsidRPr="006B7237" w:rsidRDefault="004A5A51" w:rsidP="004A5A51">
      <w:pPr>
        <w:rPr>
          <w:noProof/>
          <w:sz w:val="24"/>
          <w:szCs w:val="24"/>
          <w:lang w:val="en-GB" w:eastAsia="en-GB"/>
        </w:rPr>
      </w:pPr>
    </w:p>
    <w:p w14:paraId="7298DE3B" w14:textId="77777777" w:rsidR="004A5A51" w:rsidRPr="006B7237" w:rsidRDefault="004A5A51" w:rsidP="004A5A51">
      <w:pPr>
        <w:rPr>
          <w:noProof/>
          <w:sz w:val="24"/>
          <w:szCs w:val="24"/>
          <w:lang w:val="en-GB" w:eastAsia="en-GB"/>
        </w:rPr>
      </w:pPr>
    </w:p>
    <w:p w14:paraId="6D928161" w14:textId="77777777" w:rsidR="004A5A51" w:rsidRPr="006B7237" w:rsidRDefault="004A5A51" w:rsidP="004A5A51">
      <w:pPr>
        <w:rPr>
          <w:noProof/>
          <w:sz w:val="24"/>
          <w:szCs w:val="24"/>
          <w:lang w:val="en-GB" w:eastAsia="en-GB"/>
        </w:rPr>
      </w:pPr>
    </w:p>
    <w:p w14:paraId="287A617F"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01FDA56C" wp14:editId="7ABFC492">
            <wp:extent cx="6120097" cy="8329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3742" cy="8334256"/>
                    </a:xfrm>
                    <a:prstGeom prst="rect">
                      <a:avLst/>
                    </a:prstGeom>
                    <a:noFill/>
                    <a:ln>
                      <a:noFill/>
                    </a:ln>
                  </pic:spPr>
                </pic:pic>
              </a:graphicData>
            </a:graphic>
          </wp:inline>
        </w:drawing>
      </w:r>
    </w:p>
    <w:p w14:paraId="79FB1754" w14:textId="77777777" w:rsidR="004A5A51" w:rsidRPr="006B7237" w:rsidRDefault="004A5A51" w:rsidP="004A5A51">
      <w:pPr>
        <w:rPr>
          <w:noProof/>
          <w:sz w:val="24"/>
          <w:szCs w:val="24"/>
          <w:lang w:val="en-GB" w:eastAsia="en-GB"/>
        </w:rPr>
      </w:pPr>
    </w:p>
    <w:p w14:paraId="30BAFBAF" w14:textId="77777777" w:rsidR="004A5A51" w:rsidRPr="006B7237" w:rsidRDefault="004A5A51" w:rsidP="004A5A51">
      <w:pPr>
        <w:rPr>
          <w:noProof/>
          <w:sz w:val="24"/>
          <w:szCs w:val="24"/>
          <w:lang w:val="en-GB" w:eastAsia="en-GB"/>
        </w:rPr>
      </w:pPr>
    </w:p>
    <w:p w14:paraId="10564052"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29E518EB" wp14:editId="54F9ADEF">
            <wp:extent cx="6120097" cy="838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3742" cy="8391440"/>
                    </a:xfrm>
                    <a:prstGeom prst="rect">
                      <a:avLst/>
                    </a:prstGeom>
                    <a:noFill/>
                    <a:ln>
                      <a:noFill/>
                    </a:ln>
                  </pic:spPr>
                </pic:pic>
              </a:graphicData>
            </a:graphic>
          </wp:inline>
        </w:drawing>
      </w:r>
    </w:p>
    <w:p w14:paraId="57EE31CD" w14:textId="77777777" w:rsidR="004A5A51" w:rsidRPr="006B7237" w:rsidRDefault="004A5A51" w:rsidP="004A5A51">
      <w:pPr>
        <w:rPr>
          <w:noProof/>
          <w:sz w:val="24"/>
          <w:szCs w:val="24"/>
          <w:lang w:val="en-GB" w:eastAsia="en-GB"/>
        </w:rPr>
      </w:pPr>
    </w:p>
    <w:p w14:paraId="67F95F29" w14:textId="77777777" w:rsidR="004A5A51" w:rsidRPr="006B7237" w:rsidRDefault="004A5A51" w:rsidP="004A5A51">
      <w:pPr>
        <w:rPr>
          <w:noProof/>
          <w:sz w:val="24"/>
          <w:szCs w:val="24"/>
          <w:lang w:val="en-GB" w:eastAsia="en-GB"/>
        </w:rPr>
      </w:pPr>
    </w:p>
    <w:p w14:paraId="64C491FE" w14:textId="3B77F785" w:rsidR="004A5A51" w:rsidRPr="000A5FCB" w:rsidRDefault="004A5A51" w:rsidP="00DF71A6">
      <w:pPr>
        <w:pStyle w:val="H23G"/>
        <w:rPr>
          <w:noProof/>
          <w:lang w:val="en-GB" w:eastAsia="en-GB"/>
        </w:rPr>
      </w:pPr>
      <w:r w:rsidRPr="006B7237">
        <w:rPr>
          <w:noProof/>
          <w:lang w:val="en-GB" w:eastAsia="en-GB"/>
        </w:rPr>
        <w:tab/>
      </w:r>
      <w:r w:rsidRPr="000A5FCB">
        <w:rPr>
          <w:noProof/>
          <w:lang w:val="en-GB" w:eastAsia="en-GB"/>
        </w:rPr>
        <w:t>3.</w:t>
      </w:r>
      <w:r w:rsidRPr="000A5FCB">
        <w:rPr>
          <w:noProof/>
          <w:lang w:val="en-GB" w:eastAsia="en-GB"/>
        </w:rPr>
        <w:tab/>
      </w:r>
      <w:r w:rsidR="00DF71A6" w:rsidRPr="000A5FCB">
        <w:rPr>
          <w:bCs/>
          <w:noProof/>
          <w:lang w:val="en-GB" w:eastAsia="en-GB"/>
        </w:rPr>
        <w:t>Note verbale sent to the Permanent Mission of Burundi on 11 January 2018</w:t>
      </w:r>
    </w:p>
    <w:p w14:paraId="64219EE7" w14:textId="77777777" w:rsidR="004A5A51" w:rsidRPr="000A5FCB" w:rsidRDefault="004A5A51" w:rsidP="004A5A51">
      <w:pPr>
        <w:rPr>
          <w:noProof/>
          <w:sz w:val="24"/>
          <w:szCs w:val="24"/>
          <w:lang w:val="en-GB" w:eastAsia="en-GB"/>
        </w:rPr>
      </w:pPr>
    </w:p>
    <w:p w14:paraId="78D9F7C1"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09929D5E" wp14:editId="58ABD612">
            <wp:extent cx="6120097" cy="8119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549" cy="8126978"/>
                    </a:xfrm>
                    <a:prstGeom prst="rect">
                      <a:avLst/>
                    </a:prstGeom>
                    <a:noFill/>
                    <a:ln>
                      <a:noFill/>
                    </a:ln>
                  </pic:spPr>
                </pic:pic>
              </a:graphicData>
            </a:graphic>
          </wp:inline>
        </w:drawing>
      </w:r>
    </w:p>
    <w:p w14:paraId="5D02A045" w14:textId="77777777" w:rsidR="004A5A51" w:rsidRPr="006B7237" w:rsidRDefault="004A5A51" w:rsidP="004A5A51">
      <w:pPr>
        <w:rPr>
          <w:noProof/>
          <w:sz w:val="24"/>
          <w:szCs w:val="24"/>
          <w:lang w:val="en-GB" w:eastAsia="en-GB"/>
        </w:rPr>
      </w:pPr>
    </w:p>
    <w:p w14:paraId="48CB6C54" w14:textId="77777777" w:rsidR="004A5A51" w:rsidRPr="006B7237" w:rsidRDefault="004A5A51" w:rsidP="004A5A51">
      <w:pPr>
        <w:rPr>
          <w:noProof/>
          <w:sz w:val="24"/>
          <w:szCs w:val="24"/>
          <w:lang w:val="en-GB" w:eastAsia="en-GB"/>
        </w:rPr>
      </w:pPr>
    </w:p>
    <w:p w14:paraId="3F07B69F" w14:textId="1CA397E8" w:rsidR="004A5A51" w:rsidRPr="000A5FCB" w:rsidRDefault="004A5A51" w:rsidP="00DF71A6">
      <w:pPr>
        <w:pStyle w:val="H23G"/>
        <w:rPr>
          <w:noProof/>
          <w:lang w:val="en-GB" w:eastAsia="en-GB"/>
        </w:rPr>
      </w:pPr>
      <w:r w:rsidRPr="006B7237">
        <w:rPr>
          <w:noProof/>
          <w:lang w:val="en-GB" w:eastAsia="en-GB"/>
        </w:rPr>
        <w:tab/>
      </w:r>
      <w:r w:rsidRPr="000A5FCB">
        <w:rPr>
          <w:noProof/>
          <w:lang w:val="en-GB" w:eastAsia="en-GB"/>
        </w:rPr>
        <w:t>4.</w:t>
      </w:r>
      <w:r w:rsidRPr="000A5FCB">
        <w:rPr>
          <w:noProof/>
          <w:lang w:val="en-GB" w:eastAsia="en-GB"/>
        </w:rPr>
        <w:tab/>
      </w:r>
      <w:r w:rsidR="00DF71A6" w:rsidRPr="000A5FCB">
        <w:rPr>
          <w:bCs/>
          <w:noProof/>
          <w:lang w:val="en-GB" w:eastAsia="en-GB"/>
        </w:rPr>
        <w:t>Letter sent to the Permanent Mission of Burundi on 2 March 2018</w:t>
      </w:r>
    </w:p>
    <w:p w14:paraId="25F5BF04" w14:textId="77777777" w:rsidR="004A5A51" w:rsidRPr="000A5FCB" w:rsidRDefault="004A5A51" w:rsidP="004A5A51">
      <w:pPr>
        <w:rPr>
          <w:noProof/>
          <w:sz w:val="24"/>
          <w:szCs w:val="24"/>
          <w:lang w:val="en-GB" w:eastAsia="en-GB"/>
        </w:rPr>
      </w:pPr>
    </w:p>
    <w:p w14:paraId="5FADBA58"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53404FD9" wp14:editId="65441378">
            <wp:extent cx="6119495" cy="8315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972" cy="8318650"/>
                    </a:xfrm>
                    <a:prstGeom prst="rect">
                      <a:avLst/>
                    </a:prstGeom>
                    <a:noFill/>
                    <a:ln>
                      <a:noFill/>
                    </a:ln>
                  </pic:spPr>
                </pic:pic>
              </a:graphicData>
            </a:graphic>
          </wp:inline>
        </w:drawing>
      </w:r>
    </w:p>
    <w:p w14:paraId="26D29D29"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7FABC20D" wp14:editId="7B40564B">
            <wp:extent cx="6120130" cy="865907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78E3E38A" w14:textId="2725B34E" w:rsidR="004A5A51" w:rsidRPr="000A5FCB" w:rsidRDefault="004A5A51" w:rsidP="00DF71A6">
      <w:pPr>
        <w:pStyle w:val="H23G"/>
        <w:rPr>
          <w:noProof/>
          <w:lang w:val="en-GB" w:eastAsia="en-GB"/>
        </w:rPr>
      </w:pPr>
      <w:r w:rsidRPr="006B7237">
        <w:rPr>
          <w:noProof/>
          <w:lang w:val="en-GB" w:eastAsia="en-GB"/>
        </w:rPr>
        <w:tab/>
      </w:r>
      <w:r w:rsidRPr="000A5FCB">
        <w:rPr>
          <w:noProof/>
          <w:lang w:val="en-GB" w:eastAsia="en-GB"/>
        </w:rPr>
        <w:t>5.</w:t>
      </w:r>
      <w:r w:rsidRPr="000A5FCB">
        <w:rPr>
          <w:noProof/>
          <w:lang w:val="en-GB" w:eastAsia="en-GB"/>
        </w:rPr>
        <w:tab/>
      </w:r>
      <w:r w:rsidR="00DF71A6" w:rsidRPr="000A5FCB">
        <w:rPr>
          <w:bCs/>
          <w:noProof/>
          <w:lang w:val="en-GB" w:eastAsia="en-GB"/>
        </w:rPr>
        <w:t>Note verbale sent to the Permanent Mission of Burundi on 13 March 2018</w:t>
      </w:r>
    </w:p>
    <w:p w14:paraId="599D276F"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6E3B78E6" wp14:editId="7A9A00EB">
            <wp:extent cx="6120130" cy="865907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7CFEA25D" w14:textId="308F658E" w:rsidR="004A5A51" w:rsidRPr="000A5FCB" w:rsidRDefault="004A5A51" w:rsidP="00D06CFC">
      <w:pPr>
        <w:pStyle w:val="H23G"/>
        <w:rPr>
          <w:noProof/>
          <w:lang w:val="en-GB" w:eastAsia="en-GB"/>
        </w:rPr>
      </w:pPr>
      <w:r w:rsidRPr="006B7237">
        <w:rPr>
          <w:noProof/>
          <w:lang w:val="en-GB" w:eastAsia="en-GB"/>
        </w:rPr>
        <w:tab/>
      </w:r>
      <w:r w:rsidRPr="000A5FCB">
        <w:rPr>
          <w:noProof/>
          <w:lang w:val="en-GB" w:eastAsia="en-GB"/>
        </w:rPr>
        <w:t>6.</w:t>
      </w:r>
      <w:r w:rsidRPr="000A5FCB">
        <w:rPr>
          <w:noProof/>
          <w:lang w:val="en-GB" w:eastAsia="en-GB"/>
        </w:rPr>
        <w:tab/>
      </w:r>
      <w:r w:rsidR="00D06CFC" w:rsidRPr="000A5FCB">
        <w:rPr>
          <w:bCs/>
          <w:noProof/>
          <w:lang w:val="en-GB" w:eastAsia="en-GB"/>
        </w:rPr>
        <w:t>Note verbale sent to the Permanent Mission of Burundi on 26 June 2018</w:t>
      </w:r>
    </w:p>
    <w:p w14:paraId="4FA7D035" w14:textId="77777777" w:rsidR="004A5A51" w:rsidRPr="000A5FCB" w:rsidRDefault="004A5A51" w:rsidP="004A5A51">
      <w:pPr>
        <w:rPr>
          <w:noProof/>
          <w:sz w:val="24"/>
          <w:szCs w:val="24"/>
          <w:lang w:val="en-GB" w:eastAsia="en-GB"/>
        </w:rPr>
      </w:pPr>
    </w:p>
    <w:p w14:paraId="4D546B9A" w14:textId="51AD2995" w:rsidR="00AA1AB2" w:rsidRPr="006B7237" w:rsidRDefault="004A5A51" w:rsidP="004A5A51">
      <w:pPr>
        <w:rPr>
          <w:noProof/>
          <w:sz w:val="24"/>
          <w:szCs w:val="24"/>
          <w:lang w:val="en-GB" w:eastAsia="en-GB"/>
        </w:rPr>
      </w:pPr>
      <w:r w:rsidRPr="006B7237">
        <w:rPr>
          <w:noProof/>
          <w:lang w:val="en-GB" w:eastAsia="en-GB"/>
        </w:rPr>
        <w:drawing>
          <wp:inline distT="0" distB="0" distL="0" distR="0" wp14:anchorId="012230D6" wp14:editId="17B81FCB">
            <wp:extent cx="5903909" cy="751268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4867" cy="7526628"/>
                    </a:xfrm>
                    <a:prstGeom prst="rect">
                      <a:avLst/>
                    </a:prstGeom>
                    <a:noFill/>
                    <a:ln>
                      <a:noFill/>
                    </a:ln>
                  </pic:spPr>
                </pic:pic>
              </a:graphicData>
            </a:graphic>
          </wp:inline>
        </w:drawing>
      </w:r>
    </w:p>
    <w:p w14:paraId="7B212639" w14:textId="7ECA5353" w:rsidR="00AA1AB2" w:rsidRPr="006B7237" w:rsidRDefault="00AA1AB2">
      <w:pPr>
        <w:suppressAutoHyphens w:val="0"/>
        <w:spacing w:line="240" w:lineRule="auto"/>
        <w:rPr>
          <w:noProof/>
          <w:sz w:val="24"/>
          <w:szCs w:val="24"/>
          <w:lang w:val="en-GB" w:eastAsia="en-GB"/>
        </w:rPr>
      </w:pPr>
    </w:p>
    <w:p w14:paraId="1542770E" w14:textId="270000A8" w:rsidR="00AA1AB2" w:rsidRPr="000A5FCB" w:rsidRDefault="00AA1AB2" w:rsidP="00AA1AB2">
      <w:pPr>
        <w:pStyle w:val="H23G"/>
        <w:rPr>
          <w:noProof/>
          <w:lang w:val="en-GB" w:eastAsia="en-GB"/>
        </w:rPr>
      </w:pPr>
      <w:r w:rsidRPr="006B7237">
        <w:rPr>
          <w:noProof/>
          <w:lang w:val="en-GB" w:eastAsia="en-GB"/>
        </w:rPr>
        <w:tab/>
      </w:r>
      <w:r w:rsidRPr="000A5FCB">
        <w:rPr>
          <w:noProof/>
          <w:lang w:val="en-GB" w:eastAsia="en-GB"/>
        </w:rPr>
        <w:t>7.</w:t>
      </w:r>
      <w:r w:rsidRPr="000A5FCB">
        <w:rPr>
          <w:noProof/>
          <w:lang w:val="en-GB" w:eastAsia="en-GB"/>
        </w:rPr>
        <w:tab/>
      </w:r>
      <w:r w:rsidR="00D06CFC" w:rsidRPr="000A5FCB">
        <w:rPr>
          <w:bCs/>
          <w:noProof/>
          <w:lang w:val="en-GB" w:eastAsia="en-GB"/>
        </w:rPr>
        <w:t>Note verbale sent to the Permanent Mission of Burundi on</w:t>
      </w:r>
      <w:r w:rsidR="00930E9F" w:rsidRPr="000A5FCB">
        <w:rPr>
          <w:noProof/>
          <w:lang w:val="en-GB" w:eastAsia="en-GB"/>
        </w:rPr>
        <w:t xml:space="preserve"> 27 </w:t>
      </w:r>
      <w:r w:rsidR="00D06CFC" w:rsidRPr="000A5FCB">
        <w:rPr>
          <w:noProof/>
          <w:lang w:val="en-GB" w:eastAsia="en-GB"/>
        </w:rPr>
        <w:t>August</w:t>
      </w:r>
      <w:r w:rsidRPr="000A5FCB">
        <w:rPr>
          <w:noProof/>
          <w:lang w:val="en-GB" w:eastAsia="en-GB"/>
        </w:rPr>
        <w:t xml:space="preserve"> 2018</w:t>
      </w:r>
    </w:p>
    <w:p w14:paraId="2237CC81" w14:textId="11573D9C" w:rsidR="00AA1AB2" w:rsidRPr="00AA1AB2" w:rsidRDefault="00A757A2" w:rsidP="004A5A51">
      <w:pPr>
        <w:rPr>
          <w:noProof/>
          <w:sz w:val="24"/>
          <w:szCs w:val="24"/>
          <w:lang w:eastAsia="en-GB"/>
        </w:rPr>
      </w:pPr>
      <w:r w:rsidRPr="006B7237">
        <w:rPr>
          <w:noProof/>
          <w:sz w:val="24"/>
          <w:szCs w:val="24"/>
          <w:lang w:val="en-GB" w:eastAsia="en-GB"/>
        </w:rPr>
        <w:drawing>
          <wp:inline distT="0" distB="0" distL="0" distR="0" wp14:anchorId="0666F08C" wp14:editId="1C84719F">
            <wp:extent cx="5760720" cy="814991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9916"/>
                    </a:xfrm>
                    <a:prstGeom prst="rect">
                      <a:avLst/>
                    </a:prstGeom>
                    <a:noFill/>
                    <a:ln>
                      <a:noFill/>
                    </a:ln>
                  </pic:spPr>
                </pic:pic>
              </a:graphicData>
            </a:graphic>
          </wp:inline>
        </w:drawing>
      </w:r>
    </w:p>
    <w:p w14:paraId="2DB46D5B" w14:textId="67C50C98" w:rsidR="00A15424" w:rsidRPr="00E536BE" w:rsidRDefault="00E536BE" w:rsidP="00E536BE">
      <w:pPr>
        <w:pStyle w:val="SingleTxtG"/>
        <w:spacing w:before="240" w:after="0"/>
        <w:jc w:val="center"/>
        <w:rPr>
          <w:rFonts w:eastAsia="MS Mincho"/>
          <w:u w:val="single"/>
        </w:rPr>
      </w:pPr>
      <w:r>
        <w:rPr>
          <w:rFonts w:eastAsia="MS Mincho"/>
        </w:rPr>
        <w:tab/>
      </w:r>
      <w:r>
        <w:rPr>
          <w:rFonts w:eastAsia="MS Mincho"/>
          <w:u w:val="single"/>
        </w:rPr>
        <w:tab/>
      </w:r>
      <w:r>
        <w:rPr>
          <w:rFonts w:eastAsia="MS Mincho"/>
          <w:u w:val="single"/>
        </w:rPr>
        <w:tab/>
      </w:r>
      <w:r>
        <w:rPr>
          <w:rFonts w:eastAsia="MS Mincho"/>
          <w:u w:val="single"/>
        </w:rPr>
        <w:tab/>
      </w:r>
    </w:p>
    <w:sectPr w:rsidR="00A15424" w:rsidRPr="00E536BE" w:rsidSect="005611D3">
      <w:headerReference w:type="even" r:id="rId22"/>
      <w:headerReference w:type="default" r:id="rId23"/>
      <w:footerReference w:type="even" r:id="rId24"/>
      <w:footerReference w:type="default" r:id="rId25"/>
      <w:endnotePr>
        <w:numFmt w:val="decimal"/>
      </w:endnotePr>
      <w:pgSz w:w="11907" w:h="16840" w:code="9"/>
      <w:pgMar w:top="1417" w:right="1842"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C3E0C" w14:textId="77777777" w:rsidR="00B831ED" w:rsidRDefault="00B831ED"/>
  </w:endnote>
  <w:endnote w:type="continuationSeparator" w:id="0">
    <w:p w14:paraId="4AE1A225" w14:textId="77777777" w:rsidR="00B831ED" w:rsidRDefault="00B831ED"/>
  </w:endnote>
  <w:endnote w:type="continuationNotice" w:id="1">
    <w:p w14:paraId="6B4F8A43" w14:textId="77777777" w:rsidR="00B831ED" w:rsidRDefault="00B83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4BF2" w14:textId="57D5311D" w:rsidR="00B831ED" w:rsidRPr="00EA0114" w:rsidRDefault="00B831ED" w:rsidP="00EA0114">
    <w:pPr>
      <w:pStyle w:val="Footer"/>
      <w:tabs>
        <w:tab w:val="right" w:pos="9638"/>
      </w:tabs>
      <w:rPr>
        <w:sz w:val="18"/>
      </w:rPr>
    </w:pPr>
    <w:r w:rsidRPr="00EA0114">
      <w:rPr>
        <w:b/>
        <w:sz w:val="18"/>
      </w:rPr>
      <w:fldChar w:fldCharType="begin"/>
    </w:r>
    <w:r w:rsidRPr="00EA0114">
      <w:rPr>
        <w:b/>
        <w:sz w:val="18"/>
      </w:rPr>
      <w:instrText xml:space="preserve"> PAGE  \* MERGEFORMAT </w:instrText>
    </w:r>
    <w:r w:rsidRPr="00EA0114">
      <w:rPr>
        <w:b/>
        <w:sz w:val="18"/>
      </w:rPr>
      <w:fldChar w:fldCharType="separate"/>
    </w:r>
    <w:r w:rsidR="003476D9">
      <w:rPr>
        <w:b/>
        <w:noProof/>
        <w:sz w:val="18"/>
      </w:rPr>
      <w:t>14</w:t>
    </w:r>
    <w:r w:rsidRPr="00EA011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83DA" w14:textId="69B867A3" w:rsidR="00B831ED" w:rsidRPr="00EA0114" w:rsidRDefault="00B831ED" w:rsidP="00EA0114">
    <w:pPr>
      <w:pStyle w:val="Footer"/>
      <w:tabs>
        <w:tab w:val="right" w:pos="9638"/>
      </w:tabs>
      <w:rPr>
        <w:b/>
        <w:sz w:val="18"/>
      </w:rPr>
    </w:pPr>
    <w:r>
      <w:tab/>
    </w:r>
    <w:r w:rsidRPr="00EA0114">
      <w:rPr>
        <w:b/>
        <w:sz w:val="18"/>
      </w:rPr>
      <w:fldChar w:fldCharType="begin"/>
    </w:r>
    <w:r w:rsidRPr="00EA0114">
      <w:rPr>
        <w:b/>
        <w:sz w:val="18"/>
      </w:rPr>
      <w:instrText xml:space="preserve"> PAGE  \* MERGEFORMAT </w:instrText>
    </w:r>
    <w:r w:rsidRPr="00EA0114">
      <w:rPr>
        <w:b/>
        <w:sz w:val="18"/>
      </w:rPr>
      <w:fldChar w:fldCharType="separate"/>
    </w:r>
    <w:r w:rsidR="003476D9">
      <w:rPr>
        <w:b/>
        <w:noProof/>
        <w:sz w:val="18"/>
      </w:rPr>
      <w:t>15</w:t>
    </w:r>
    <w:r w:rsidRPr="00EA011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4EC7B" w14:textId="77777777" w:rsidR="00B831ED" w:rsidRPr="00D27D5E" w:rsidRDefault="00B831ED" w:rsidP="00D27D5E">
      <w:pPr>
        <w:tabs>
          <w:tab w:val="right" w:pos="2155"/>
        </w:tabs>
        <w:spacing w:after="80"/>
        <w:ind w:left="680"/>
        <w:rPr>
          <w:u w:val="single"/>
        </w:rPr>
      </w:pPr>
      <w:r>
        <w:rPr>
          <w:u w:val="single"/>
        </w:rPr>
        <w:tab/>
      </w:r>
    </w:p>
  </w:footnote>
  <w:footnote w:type="continuationSeparator" w:id="0">
    <w:p w14:paraId="1D01A0C4" w14:textId="77777777" w:rsidR="00B831ED" w:rsidRPr="00D72E7E" w:rsidRDefault="00B831ED" w:rsidP="00D72E7E">
      <w:pPr>
        <w:tabs>
          <w:tab w:val="right" w:pos="2155"/>
        </w:tabs>
        <w:spacing w:after="80"/>
        <w:ind w:left="680"/>
        <w:rPr>
          <w:u w:val="single"/>
        </w:rPr>
      </w:pPr>
      <w:r w:rsidRPr="00D72E7E">
        <w:rPr>
          <w:u w:val="single"/>
        </w:rPr>
        <w:tab/>
      </w:r>
    </w:p>
  </w:footnote>
  <w:footnote w:type="continuationNotice" w:id="1">
    <w:p w14:paraId="10E6D5DF" w14:textId="77777777" w:rsidR="00B831ED" w:rsidRDefault="00B831ED"/>
  </w:footnote>
  <w:footnote w:id="2">
    <w:p w14:paraId="0EDBB4B8" w14:textId="044CBFEC" w:rsidR="00B831ED" w:rsidRPr="00900F04" w:rsidRDefault="00B831ED" w:rsidP="00BB1F2F">
      <w:pPr>
        <w:pStyle w:val="FootnoteText"/>
        <w:spacing w:line="240" w:lineRule="auto"/>
        <w:rPr>
          <w:lang w:val="fr-FR"/>
        </w:rPr>
      </w:pPr>
      <w:r w:rsidRPr="00900F04">
        <w:rPr>
          <w:rStyle w:val="FootnoteReference"/>
          <w:lang w:val="fr-FR"/>
        </w:rPr>
        <w:tab/>
      </w:r>
      <w:r w:rsidRPr="00900F04">
        <w:rPr>
          <w:rStyle w:val="FootnoteReference"/>
          <w:sz w:val="20"/>
          <w:vertAlign w:val="baseline"/>
          <w:lang w:val="fr-FR"/>
        </w:rPr>
        <w:t>*</w:t>
      </w:r>
      <w:r w:rsidRPr="00900F04">
        <w:rPr>
          <w:rStyle w:val="FootnoteReference"/>
          <w:sz w:val="20"/>
          <w:vertAlign w:val="baseline"/>
          <w:lang w:val="fr-FR"/>
        </w:rPr>
        <w:tab/>
        <w:t xml:space="preserve">Original in French available at </w:t>
      </w:r>
      <w:r>
        <w:rPr>
          <w:sz w:val="20"/>
          <w:lang w:val="fr-FR"/>
        </w:rPr>
        <w:tab/>
      </w:r>
      <w:r>
        <w:rPr>
          <w:sz w:val="20"/>
          <w:lang w:val="fr-FR"/>
        </w:rPr>
        <w:tab/>
      </w:r>
      <w:r w:rsidRPr="00900F04">
        <w:rPr>
          <w:sz w:val="20"/>
          <w:lang w:val="fr-FR"/>
        </w:rPr>
        <w:t>https://ohchr.org/Documents/HRBodies/HRCouncil/CoIBurundi/ReportHRC39/A_HRC_39_CRP_1_FR.docx</w:t>
      </w:r>
    </w:p>
  </w:footnote>
  <w:footnote w:id="3">
    <w:p w14:paraId="004D55E4"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III.C.1, 2, 3 and 4 of this report.</w:t>
      </w:r>
    </w:p>
  </w:footnote>
  <w:footnote w:id="4">
    <w:p w14:paraId="31E4C96C"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YI-054.</w:t>
      </w:r>
    </w:p>
  </w:footnote>
  <w:footnote w:id="5">
    <w:p w14:paraId="311001ED" w14:textId="77777777" w:rsidR="00B831ED" w:rsidRPr="00B34E2E" w:rsidRDefault="00B831ED" w:rsidP="00F35CB9">
      <w:pPr>
        <w:pStyle w:val="FootnoteText"/>
        <w:spacing w:line="240" w:lineRule="auto"/>
        <w:rPr>
          <w:szCs w:val="18"/>
        </w:rPr>
      </w:pPr>
      <w:r w:rsidRPr="00B34E2E">
        <w:rPr>
          <w:szCs w:val="18"/>
        </w:rPr>
        <w:tab/>
      </w:r>
      <w:r w:rsidRPr="00B34E2E">
        <w:rPr>
          <w:rStyle w:val="FootnoteReference"/>
          <w:szCs w:val="18"/>
        </w:rPr>
        <w:footnoteRef/>
      </w:r>
      <w:r w:rsidRPr="00B34E2E">
        <w:rPr>
          <w:szCs w:val="18"/>
        </w:rPr>
        <w:tab/>
        <w:t>Thus, several women testified of violence they endured while their spouse was away. See JI-034, JI-035, XI-094, YI-004, YI-008, YI-035.</w:t>
      </w:r>
    </w:p>
  </w:footnote>
  <w:footnote w:id="6">
    <w:p w14:paraId="4E269CC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III.C.5 (a) of this report.</w:t>
      </w:r>
    </w:p>
  </w:footnote>
  <w:footnote w:id="7">
    <w:p w14:paraId="3A595EEA"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Ibid.</w:t>
      </w:r>
    </w:p>
  </w:footnote>
  <w:footnote w:id="8">
    <w:p w14:paraId="119B0649"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III.D of this report.</w:t>
      </w:r>
    </w:p>
  </w:footnote>
  <w:footnote w:id="9">
    <w:p w14:paraId="034CD8BE"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III.E of this report.</w:t>
      </w:r>
    </w:p>
  </w:footnote>
  <w:footnote w:id="10">
    <w:p w14:paraId="3623A9AC"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article 2 (para. 1) of the International Covenant on Civil and Political Rights.</w:t>
      </w:r>
    </w:p>
  </w:footnote>
  <w:footnote w:id="11">
    <w:p w14:paraId="1130EB41"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A/HRC/36/CRP.1, para. 202 to 204.</w:t>
      </w:r>
    </w:p>
  </w:footnote>
  <w:footnote w:id="12">
    <w:p w14:paraId="1CBDD6D6" w14:textId="77777777"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In international human rights law, it is not required to demonstrate the individual responsibility of such or such state agent in the commission of violations. The State is ultimately responsible for the behavior of its entities or agents. The Commission has nonetheless dressed up a list of presumed perpetrators of acts for which it has reasonable grounds to believe that they represent crimes under international criminal law (see part IV.C of the present report). Unlike international human rights law, international criminal law does require to demonstrate individual responsibility of the perpetrators of crimes under its jurisdiction (crimes against humanity, genocide, war crimes and crimes of aggression). For more details on the responsibility in international human rights and international criminal law, see: A/HRC/36/CRP.1, para. 66 to 77. </w:t>
      </w:r>
    </w:p>
  </w:footnote>
  <w:footnote w:id="13">
    <w:p w14:paraId="39E78864"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III.C.1, 2, 3 and 4 of this report.</w:t>
      </w:r>
    </w:p>
  </w:footnote>
  <w:footnote w:id="14">
    <w:p w14:paraId="02682419" w14:textId="77777777"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In its previous report (A/HRC/36/CRP.1, para. 204), the Commission identified the </w:t>
      </w:r>
      <w:r w:rsidRPr="00B34E2E">
        <w:rPr>
          <w:i/>
          <w:iCs/>
          <w:szCs w:val="18"/>
        </w:rPr>
        <w:t>Appui à la protection des institutions</w:t>
      </w:r>
      <w:r w:rsidRPr="00B34E2E">
        <w:rPr>
          <w:szCs w:val="18"/>
        </w:rPr>
        <w:t xml:space="preserve"> (API) and the Anti-riot Brigade (BAE) amongst the police units most responsible for human rights violations. </w:t>
      </w:r>
    </w:p>
  </w:footnote>
  <w:footnote w:id="15">
    <w:p w14:paraId="703D764C"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QI-275, TI-070, TI-072, TI-124, TI-161, XI-079.</w:t>
      </w:r>
    </w:p>
  </w:footnote>
  <w:footnote w:id="16">
    <w:p w14:paraId="00F029B1"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III.E.2 (Vs) and (d) of this report.</w:t>
      </w:r>
    </w:p>
  </w:footnote>
  <w:footnote w:id="17">
    <w:p w14:paraId="187C1AE2"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Article 11 of the International Covenant on Economic, Social and Cultural Rights.</w:t>
      </w:r>
    </w:p>
  </w:footnote>
  <w:footnote w:id="18">
    <w:p w14:paraId="6C2010B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III.E.6 of this report.</w:t>
      </w:r>
    </w:p>
  </w:footnote>
  <w:footnote w:id="19">
    <w:p w14:paraId="252D2B4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III.E.2 (d) of this report.</w:t>
      </w:r>
    </w:p>
  </w:footnote>
  <w:footnote w:id="20">
    <w:p w14:paraId="50E33F34"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JI-010, JI-047, XI-079</w:t>
      </w:r>
    </w:p>
  </w:footnote>
  <w:footnote w:id="21">
    <w:p w14:paraId="38FC8F0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I-011, JI-020, JI-040, JI-042, QI-228, QI-235, QI-236, QI-237, QI-238, QI-239, QI-243, QI-247, </w:t>
      </w:r>
      <w:r w:rsidRPr="00B34E2E">
        <w:rPr>
          <w:szCs w:val="18"/>
        </w:rPr>
        <w:tab/>
      </w:r>
      <w:r w:rsidRPr="00B34E2E">
        <w:rPr>
          <w:szCs w:val="18"/>
        </w:rPr>
        <w:tab/>
        <w:t>QI-255, QI-258, QI-262, QI-268, YI-029, YI-031, YI-036, ZI-013.</w:t>
      </w:r>
    </w:p>
  </w:footnote>
  <w:footnote w:id="22">
    <w:p w14:paraId="4C06B60F" w14:textId="75CF260C"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r>
      <w:r>
        <w:rPr>
          <w:szCs w:val="18"/>
        </w:rPr>
        <w:t>Joint order of the Minister of I</w:t>
      </w:r>
      <w:r w:rsidRPr="00B34E2E">
        <w:rPr>
          <w:szCs w:val="18"/>
        </w:rPr>
        <w:t xml:space="preserve">nterior and the Minister of </w:t>
      </w:r>
      <w:r>
        <w:rPr>
          <w:szCs w:val="18"/>
        </w:rPr>
        <w:t>Public S</w:t>
      </w:r>
      <w:r w:rsidRPr="00B34E2E">
        <w:rPr>
          <w:szCs w:val="18"/>
        </w:rPr>
        <w:t xml:space="preserve">ecurity n°530/215/137/2014 on the responsibilities of the mixed committees for human security. </w:t>
      </w:r>
    </w:p>
  </w:footnote>
  <w:footnote w:id="23">
    <w:p w14:paraId="38834D18" w14:textId="5C854317"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In 2017, the executive secretary in charge of </w:t>
      </w:r>
      <w:r>
        <w:rPr>
          <w:szCs w:val="18"/>
        </w:rPr>
        <w:t xml:space="preserve">the </w:t>
      </w:r>
      <w:r w:rsidRPr="00B34E2E">
        <w:rPr>
          <w:szCs w:val="18"/>
        </w:rPr>
        <w:t>CNDD-FDD communication and information, Nancy-Ninette Mutoni, recognised this role in a response to questions from NGO Human Rights Watch. On this subject, see: A/HRC/36/CRP.1, para. 219.</w:t>
      </w:r>
    </w:p>
  </w:footnote>
  <w:footnote w:id="24">
    <w:p w14:paraId="20315DEC"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JI-003, JI-021, QI-245.</w:t>
      </w:r>
    </w:p>
  </w:footnote>
  <w:footnote w:id="25">
    <w:p w14:paraId="20ECF62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JI-001, JI-021, JI-025, JI-047, JI-039, QI-230.</w:t>
      </w:r>
    </w:p>
  </w:footnote>
  <w:footnote w:id="26">
    <w:p w14:paraId="3DAC4B0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JI-018, QI-209.</w:t>
      </w:r>
    </w:p>
  </w:footnote>
  <w:footnote w:id="27">
    <w:p w14:paraId="15C8087E" w14:textId="77777777"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Articles of the International Law Commission on the responsibility of States for internationally wrongful acts, art.11.</w:t>
      </w:r>
    </w:p>
  </w:footnote>
  <w:footnote w:id="28">
    <w:p w14:paraId="35FA8A4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Ibid, art. 8.</w:t>
      </w:r>
    </w:p>
  </w:footnote>
  <w:footnote w:id="29">
    <w:p w14:paraId="6797FB6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JI-005, JI-016, QI-227, QI-255, QI-238, QI-261, QI-273.</w:t>
      </w:r>
    </w:p>
  </w:footnote>
  <w:footnote w:id="30">
    <w:p w14:paraId="4C951D1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TI-146, ZI-011.</w:t>
      </w:r>
    </w:p>
  </w:footnote>
  <w:footnote w:id="31">
    <w:p w14:paraId="0F8A312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JI-015, JI-019, JI-020, JI-047, QI-236, QI-257, QI-275, QI-276, QI-277, TI-074, TI-122, ZI-014.</w:t>
      </w:r>
    </w:p>
  </w:footnote>
  <w:footnote w:id="32">
    <w:p w14:paraId="438BB22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JI-001, JI-039, JI-047, QI-181, QI-270, TI-072, TI-080, TI-093.</w:t>
      </w:r>
    </w:p>
  </w:footnote>
  <w:footnote w:id="33">
    <w:p w14:paraId="613E62F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JI-032, QI-207, QI-251, QI-273. See also: A/HRC/36/CRP.1, para. 218.</w:t>
      </w:r>
    </w:p>
  </w:footnote>
  <w:footnote w:id="34">
    <w:p w14:paraId="3167DE5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280434">
        <w:rPr>
          <w:szCs w:val="18"/>
        </w:rPr>
        <w:tab/>
        <w:t xml:space="preserve">QI-132, QI-205, QI-207, QI-274, ZI-011. </w:t>
      </w:r>
      <w:r w:rsidRPr="00B34E2E">
        <w:rPr>
          <w:szCs w:val="18"/>
        </w:rPr>
        <w:t>See also part III.C.2 of this report.</w:t>
      </w:r>
    </w:p>
  </w:footnote>
  <w:footnote w:id="35">
    <w:p w14:paraId="78CABC46" w14:textId="12F838BC"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r>
      <w:bookmarkStart w:id="1" w:name="_Hlk39009411"/>
      <w:r w:rsidRPr="00B34E2E">
        <w:rPr>
          <w:iCs/>
          <w:szCs w:val="18"/>
        </w:rPr>
        <w:t>International Court of Justice</w:t>
      </w:r>
      <w:r>
        <w:rPr>
          <w:iCs/>
          <w:szCs w:val="18"/>
        </w:rPr>
        <w:t>,</w:t>
      </w:r>
      <w:r w:rsidRPr="00B34E2E">
        <w:rPr>
          <w:i/>
          <w:szCs w:val="18"/>
        </w:rPr>
        <w:t xml:space="preserve"> Application of the Convention on the prevention and punishment of the crime of genocide </w:t>
      </w:r>
      <w:bookmarkEnd w:id="1"/>
      <w:r w:rsidRPr="00B34E2E">
        <w:rPr>
          <w:i/>
          <w:szCs w:val="18"/>
        </w:rPr>
        <w:t xml:space="preserve">(Bosnia and Herzegovina Vs. Serbia and Montenegro), </w:t>
      </w:r>
      <w:r w:rsidRPr="00B34E2E">
        <w:rPr>
          <w:szCs w:val="18"/>
        </w:rPr>
        <w:t>judgement,</w:t>
      </w:r>
      <w:r w:rsidRPr="00B34E2E">
        <w:rPr>
          <w:iCs/>
          <w:szCs w:val="18"/>
        </w:rPr>
        <w:t xml:space="preserve"> Reports 2007</w:t>
      </w:r>
      <w:r w:rsidRPr="00B34E2E">
        <w:rPr>
          <w:szCs w:val="18"/>
        </w:rPr>
        <w:t>.</w:t>
      </w:r>
    </w:p>
  </w:footnote>
  <w:footnote w:id="36">
    <w:p w14:paraId="14A5BA8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PI-027, QI-063, QI-275, TI-099, TI-114, TI-158, TI-122. See also:</w:t>
      </w:r>
      <w:r w:rsidRPr="00B34E2E">
        <w:rPr>
          <w:szCs w:val="18"/>
        </w:rPr>
        <w:br/>
      </w:r>
      <w:r w:rsidRPr="00B34E2E">
        <w:rPr>
          <w:szCs w:val="18"/>
        </w:rPr>
        <w:tab/>
      </w:r>
      <w:r w:rsidRPr="00B34E2E">
        <w:rPr>
          <w:szCs w:val="18"/>
        </w:rPr>
        <w:tab/>
        <w:t>A/HRC/36/CRP.1, para. 213.</w:t>
      </w:r>
    </w:p>
  </w:footnote>
  <w:footnote w:id="37">
    <w:p w14:paraId="34F077B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QI-279, TI-070, TI-122, TI-158, TI-161, ZI-034.</w:t>
      </w:r>
    </w:p>
  </w:footnote>
  <w:footnote w:id="38">
    <w:p w14:paraId="082DC908"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QI-279, TI-070, TI-122, TI-158, TI-161, ZI-034.</w:t>
      </w:r>
    </w:p>
  </w:footnote>
  <w:footnote w:id="39">
    <w:p w14:paraId="5F85DCB2" w14:textId="7BA3B34D" w:rsidR="00B831ED" w:rsidRPr="00B34E2E" w:rsidRDefault="00B831ED" w:rsidP="00F35CB9">
      <w:pPr>
        <w:pStyle w:val="FootnoteText"/>
        <w:spacing w:line="240" w:lineRule="auto"/>
        <w:ind w:right="567"/>
        <w:rPr>
          <w:szCs w:val="18"/>
        </w:rPr>
      </w:pPr>
      <w:r w:rsidRPr="00B34E2E">
        <w:rPr>
          <w:szCs w:val="18"/>
          <w:vertAlign w:val="superscript"/>
        </w:rPr>
        <w:tab/>
      </w:r>
      <w:r w:rsidRPr="00B34E2E">
        <w:rPr>
          <w:rStyle w:val="FootnoteReference"/>
          <w:szCs w:val="18"/>
        </w:rPr>
        <w:footnoteRef/>
      </w:r>
      <w:r w:rsidRPr="00B34E2E">
        <w:rPr>
          <w:szCs w:val="18"/>
          <w:vertAlign w:val="superscript"/>
        </w:rPr>
        <w:t xml:space="preserve"> </w:t>
      </w:r>
      <w:r w:rsidRPr="00B34E2E">
        <w:rPr>
          <w:szCs w:val="18"/>
          <w:vertAlign w:val="superscript"/>
        </w:rPr>
        <w:tab/>
      </w:r>
      <w:bookmarkStart w:id="2" w:name="_Hlk39009243"/>
      <w:r w:rsidRPr="00B34E2E">
        <w:rPr>
          <w:iCs/>
          <w:szCs w:val="18"/>
        </w:rPr>
        <w:t>International Court of Justice</w:t>
      </w:r>
      <w:r>
        <w:rPr>
          <w:iCs/>
          <w:szCs w:val="18"/>
        </w:rPr>
        <w:t>,</w:t>
      </w:r>
      <w:r w:rsidRPr="00B34E2E">
        <w:rPr>
          <w:i/>
          <w:szCs w:val="18"/>
        </w:rPr>
        <w:t xml:space="preserve"> Military and Paramilitary Activities in and against Nicaragua </w:t>
      </w:r>
      <w:bookmarkEnd w:id="2"/>
      <w:r w:rsidRPr="00B34E2E">
        <w:rPr>
          <w:i/>
          <w:szCs w:val="18"/>
        </w:rPr>
        <w:t xml:space="preserve">(Nicaragua Vs. United States of America), background, </w:t>
      </w:r>
      <w:r w:rsidRPr="00B34E2E">
        <w:rPr>
          <w:szCs w:val="18"/>
        </w:rPr>
        <w:t>judgement,</w:t>
      </w:r>
      <w:r w:rsidRPr="00B34E2E">
        <w:rPr>
          <w:i/>
          <w:szCs w:val="18"/>
        </w:rPr>
        <w:t xml:space="preserve"> </w:t>
      </w:r>
      <w:r w:rsidRPr="00B34E2E">
        <w:rPr>
          <w:iCs/>
          <w:szCs w:val="18"/>
        </w:rPr>
        <w:t>,</w:t>
      </w:r>
      <w:r w:rsidRPr="00B34E2E">
        <w:rPr>
          <w:i/>
          <w:szCs w:val="18"/>
        </w:rPr>
        <w:t xml:space="preserve"> </w:t>
      </w:r>
      <w:r w:rsidRPr="00B34E2E">
        <w:rPr>
          <w:iCs/>
          <w:szCs w:val="18"/>
        </w:rPr>
        <w:t>Report 1986</w:t>
      </w:r>
      <w:r w:rsidRPr="00B34E2E">
        <w:rPr>
          <w:szCs w:val="18"/>
        </w:rPr>
        <w:t>.</w:t>
      </w:r>
    </w:p>
  </w:footnote>
  <w:footnote w:id="40">
    <w:p w14:paraId="2D70799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TI-064, TI-085, XI-015, ZI-036.</w:t>
      </w:r>
    </w:p>
  </w:footnote>
  <w:footnote w:id="41">
    <w:p w14:paraId="4EF6A44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TI-064, TI-070, ZI-034.</w:t>
      </w:r>
    </w:p>
  </w:footnote>
  <w:footnote w:id="42">
    <w:p w14:paraId="6707FCC5"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TI-064, ZI-034, ZI-036. At the time of the publication of this report, this operation is still ongoing. </w:t>
      </w:r>
    </w:p>
  </w:footnote>
  <w:footnote w:id="43">
    <w:p w14:paraId="38790362"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supra, para. 233.</w:t>
      </w:r>
    </w:p>
  </w:footnote>
  <w:footnote w:id="44">
    <w:p w14:paraId="15839D12" w14:textId="77777777" w:rsidR="00B831ED" w:rsidRPr="00280434"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280434">
        <w:rPr>
          <w:szCs w:val="18"/>
        </w:rPr>
        <w:tab/>
        <w:t>JI-010, QI-230, QI-241, XI-058, XI-079, ZI-013, ZI-034.</w:t>
      </w:r>
    </w:p>
  </w:footnote>
  <w:footnote w:id="45">
    <w:p w14:paraId="752D868A" w14:textId="77777777" w:rsidR="00B831ED" w:rsidRPr="00280434" w:rsidRDefault="00B831ED"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 xml:space="preserve">JI-005, JI-028, JI-032, JI-037, JI-039, JI-042, QI-187, QI-230, QI-241, QI-247, QI-252, QI-257, </w:t>
      </w:r>
    </w:p>
    <w:p w14:paraId="6E8F5584" w14:textId="77777777" w:rsidR="00B831ED" w:rsidRPr="00B34E2E" w:rsidRDefault="00B831ED" w:rsidP="00F35CB9">
      <w:pPr>
        <w:pStyle w:val="FootnoteText"/>
        <w:spacing w:line="240" w:lineRule="auto"/>
        <w:ind w:left="0" w:right="567" w:firstLine="0"/>
        <w:rPr>
          <w:szCs w:val="18"/>
        </w:rPr>
      </w:pPr>
      <w:r w:rsidRPr="00280434">
        <w:rPr>
          <w:szCs w:val="18"/>
        </w:rPr>
        <w:tab/>
      </w:r>
      <w:r w:rsidRPr="00280434">
        <w:rPr>
          <w:szCs w:val="18"/>
        </w:rPr>
        <w:tab/>
      </w:r>
      <w:r w:rsidRPr="00B34E2E">
        <w:rPr>
          <w:szCs w:val="18"/>
        </w:rPr>
        <w:t xml:space="preserve">QI-275, YI-025, </w:t>
      </w:r>
      <w:r w:rsidRPr="00B34E2E">
        <w:rPr>
          <w:szCs w:val="18"/>
        </w:rPr>
        <w:br/>
      </w:r>
      <w:r w:rsidRPr="00B34E2E">
        <w:rPr>
          <w:szCs w:val="18"/>
        </w:rPr>
        <w:tab/>
      </w:r>
      <w:r w:rsidRPr="00B34E2E">
        <w:rPr>
          <w:szCs w:val="18"/>
        </w:rPr>
        <w:tab/>
        <w:t>ZI-013.</w:t>
      </w:r>
    </w:p>
  </w:footnote>
  <w:footnote w:id="46">
    <w:p w14:paraId="0BD08CB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JI-042, QI-187, QI-256, QI-257, YI-025.</w:t>
      </w:r>
    </w:p>
  </w:footnote>
  <w:footnote w:id="47">
    <w:p w14:paraId="5AB1E66C"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QI-230, ZI-036.</w:t>
      </w:r>
    </w:p>
  </w:footnote>
  <w:footnote w:id="48">
    <w:p w14:paraId="75E196B2"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TI-064-TI-070, TI-085.</w:t>
      </w:r>
    </w:p>
  </w:footnote>
  <w:footnote w:id="49">
    <w:p w14:paraId="6A5F2638" w14:textId="789AD861"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In the case </w:t>
      </w:r>
      <w:r w:rsidRPr="00B34E2E">
        <w:rPr>
          <w:i/>
          <w:szCs w:val="18"/>
        </w:rPr>
        <w:t xml:space="preserve">Military and Paramilitary Activities in and against Nicaragua </w:t>
      </w:r>
      <w:r w:rsidRPr="00B34E2E">
        <w:rPr>
          <w:szCs w:val="18"/>
        </w:rPr>
        <w:t xml:space="preserve">(cited above in the footnotes), there were « Contras », a paramilitary group which operated in Nicaragua with the support of the United States. In the case </w:t>
      </w:r>
      <w:r w:rsidRPr="00B34E2E">
        <w:rPr>
          <w:i/>
          <w:szCs w:val="18"/>
        </w:rPr>
        <w:t xml:space="preserve">Application of the Convention on the prevention and punishment of the crime of genocide </w:t>
      </w:r>
      <w:r w:rsidRPr="00B34E2E">
        <w:rPr>
          <w:szCs w:val="18"/>
        </w:rPr>
        <w:t>(also cited above), it was the Serbian Republic of Bosnia or « Srpska Republic » which benefitted from the support of Serbia during the Yugoslav conflict.</w:t>
      </w:r>
    </w:p>
  </w:footnote>
  <w:footnote w:id="50">
    <w:p w14:paraId="5F4A206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TI-099, XI-079, XI-081, ZI-034. See also part III.C.2 of this report.</w:t>
      </w:r>
    </w:p>
  </w:footnote>
  <w:footnote w:id="51">
    <w:p w14:paraId="39CA55D4" w14:textId="23CBCA65"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The International Covenant on Civil and Political Rights (article 2 para. 1) states in that regard that each </w:t>
      </w:r>
      <w:r w:rsidRPr="00B34E2E">
        <w:t xml:space="preserve">State </w:t>
      </w:r>
      <w:r>
        <w:t>p</w:t>
      </w:r>
      <w:r w:rsidRPr="00B34E2E">
        <w:t xml:space="preserve">arty </w:t>
      </w:r>
      <w:r w:rsidRPr="00B34E2E">
        <w:rPr>
          <w:szCs w:val="18"/>
        </w:rPr>
        <w:t xml:space="preserve">undertakes to not only «respect», but also to «ensure» </w:t>
      </w:r>
      <w:r w:rsidRPr="00B34E2E">
        <w:t>the rights recognized in the Covenant</w:t>
      </w:r>
      <w:r w:rsidRPr="00B34E2E">
        <w:rPr>
          <w:szCs w:val="18"/>
        </w:rPr>
        <w:t xml:space="preserve"> « </w:t>
      </w:r>
      <w:r w:rsidRPr="00B34E2E">
        <w:t>to all individuals within its territory</w:t>
      </w:r>
      <w:r w:rsidRPr="00B34E2E">
        <w:rPr>
          <w:szCs w:val="18"/>
        </w:rPr>
        <w:t>». By « ensure », it is understood that the State will ensure that « </w:t>
      </w:r>
      <w:r w:rsidRPr="00B34E2E">
        <w:t>any person whose rights or freedoms as herein recognized are violated shall have an effective remedy, notwithstanding that the violation has been committed by persons acting in an official capacity</w:t>
      </w:r>
      <w:r w:rsidRPr="00B34E2E">
        <w:rPr>
          <w:szCs w:val="18"/>
        </w:rPr>
        <w:t>», and that «</w:t>
      </w:r>
      <w:r w:rsidRPr="00B34E2E">
        <w:t>any person claiming such a remedy shall have his right thereto determined by competent judicial, administrative or legislative authorities, or by any other competent authority provided for by the legal system of the State, and to develop the possibilities of judicial remedy</w:t>
      </w:r>
      <w:r w:rsidRPr="00B34E2E">
        <w:rPr>
          <w:szCs w:val="18"/>
        </w:rPr>
        <w:t>» (art</w:t>
      </w:r>
      <w:r>
        <w:rPr>
          <w:szCs w:val="18"/>
        </w:rPr>
        <w:t>icle 2, para. 3 b and c of the C</w:t>
      </w:r>
      <w:r w:rsidRPr="00B34E2E">
        <w:rPr>
          <w:szCs w:val="18"/>
        </w:rPr>
        <w:t>ovenant).</w:t>
      </w:r>
    </w:p>
  </w:footnote>
  <w:footnote w:id="52">
    <w:p w14:paraId="224B7F42"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III.D of this report.</w:t>
      </w:r>
    </w:p>
  </w:footnote>
  <w:footnote w:id="53">
    <w:p w14:paraId="455DC744" w14:textId="77777777"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On this subject, see part III.D of this report and the recommendations, para. 832 (f) of this report.</w:t>
      </w:r>
    </w:p>
  </w:footnote>
  <w:footnote w:id="54">
    <w:p w14:paraId="39B24FB3"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Article 2 (para. 1) of the International Covenant on Economic, Social and Cultural Rights.</w:t>
      </w:r>
    </w:p>
  </w:footnote>
  <w:footnote w:id="55">
    <w:p w14:paraId="08A85142"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III.E.3 of this report.</w:t>
      </w:r>
    </w:p>
  </w:footnote>
  <w:footnote w:id="56">
    <w:p w14:paraId="3C42128A" w14:textId="77777777" w:rsidR="00B831ED" w:rsidRPr="00B34E2E" w:rsidRDefault="00B831ED"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parts II.B.3 (c) and III.E.3 of this report.</w:t>
      </w:r>
    </w:p>
  </w:footnote>
  <w:footnote w:id="57">
    <w:p w14:paraId="4DCE0F80"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III.5 (a) (iii) of this report.</w:t>
      </w:r>
    </w:p>
  </w:footnote>
  <w:footnote w:id="58">
    <w:p w14:paraId="75357365"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A/HRC/36/CRP.1, para. 228 to 307.</w:t>
      </w:r>
    </w:p>
  </w:footnote>
  <w:footnote w:id="59">
    <w:p w14:paraId="1E98D7F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below.</w:t>
      </w:r>
    </w:p>
  </w:footnote>
  <w:footnote w:id="60">
    <w:p w14:paraId="68A2C6C5" w14:textId="77777777"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This would imply « verifying each information seeking to obtain corroborating information from at least two other independent and reliable sources». For the standard of proof retained by the Commission, see: A/HRC/36/CRP.1, para. 28.</w:t>
      </w:r>
    </w:p>
  </w:footnote>
  <w:footnote w:id="61">
    <w:p w14:paraId="47B066CE" w14:textId="77777777" w:rsidR="00B831ED" w:rsidRPr="00280434"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280434">
        <w:rPr>
          <w:szCs w:val="18"/>
        </w:rPr>
        <w:tab/>
        <w:t>JI-003, QI-230, QI-279, ZI-036, TI-085, JI-054.</w:t>
      </w:r>
    </w:p>
  </w:footnote>
  <w:footnote w:id="62">
    <w:p w14:paraId="5564D49C" w14:textId="77777777" w:rsidR="00B831ED" w:rsidRPr="00280434" w:rsidRDefault="00B831ED"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 xml:space="preserve">QI-265, TI-085, TI-070, XI-114. </w:t>
      </w:r>
    </w:p>
  </w:footnote>
  <w:footnote w:id="63">
    <w:p w14:paraId="183D5478" w14:textId="77777777" w:rsidR="00B831ED" w:rsidRPr="00280434" w:rsidRDefault="00B831ED"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QI-230, QI-270, YI-045.</w:t>
      </w:r>
    </w:p>
  </w:footnote>
  <w:footnote w:id="64">
    <w:p w14:paraId="03DE3360" w14:textId="77777777" w:rsidR="00B831ED" w:rsidRPr="00280434" w:rsidRDefault="00B831ED"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QI-227, QI-238, TI-161.</w:t>
      </w:r>
    </w:p>
  </w:footnote>
  <w:footnote w:id="65">
    <w:p w14:paraId="7E658AB1" w14:textId="77777777" w:rsidR="00B831ED" w:rsidRPr="00B34E2E" w:rsidRDefault="00B831ED"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B34E2E">
        <w:rPr>
          <w:szCs w:val="18"/>
        </w:rPr>
        <w:tab/>
        <w:t>QI-235, TI-070, TI-109, YI-010, YI-042.</w:t>
      </w:r>
    </w:p>
  </w:footnote>
  <w:footnote w:id="66">
    <w:p w14:paraId="18869792" w14:textId="77777777" w:rsidR="00B831ED" w:rsidRPr="004B77F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QI-219, QI-274, TI-130, XI-114, ZI-036, TI-085.</w:t>
      </w:r>
    </w:p>
  </w:footnote>
  <w:footnote w:id="67">
    <w:p w14:paraId="7E718BD6"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QI-265, QI-277, QI-279, TI-158, XI-114.</w:t>
      </w:r>
    </w:p>
  </w:footnote>
  <w:footnote w:id="68">
    <w:p w14:paraId="650E7BBD" w14:textId="77777777" w:rsidR="00B831ED" w:rsidRPr="0028043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280434">
        <w:rPr>
          <w:szCs w:val="18"/>
          <w:lang w:val="fr-FR"/>
        </w:rPr>
        <w:tab/>
        <w:t>QI-230, ZI-036,</w:t>
      </w:r>
    </w:p>
  </w:footnote>
  <w:footnote w:id="69">
    <w:p w14:paraId="77ADEA2F" w14:textId="77777777" w:rsidR="00B831ED" w:rsidRPr="00280434" w:rsidRDefault="00B831ED" w:rsidP="00F35CB9">
      <w:pPr>
        <w:pStyle w:val="FootnoteText"/>
        <w:spacing w:line="240" w:lineRule="auto"/>
        <w:ind w:left="0" w:right="567" w:firstLine="0"/>
        <w:rPr>
          <w:szCs w:val="18"/>
          <w:lang w:val="fr-FR"/>
        </w:rPr>
      </w:pPr>
      <w:r w:rsidRPr="00280434">
        <w:rPr>
          <w:szCs w:val="18"/>
          <w:lang w:val="fr-FR"/>
        </w:rPr>
        <w:tab/>
      </w:r>
      <w:r w:rsidRPr="00B34E2E">
        <w:rPr>
          <w:rStyle w:val="FootnoteReference"/>
          <w:szCs w:val="18"/>
        </w:rPr>
        <w:footnoteRef/>
      </w:r>
      <w:r w:rsidRPr="00280434">
        <w:rPr>
          <w:szCs w:val="18"/>
          <w:lang w:val="fr-FR"/>
        </w:rPr>
        <w:tab/>
        <w:t>ZI-036.</w:t>
      </w:r>
    </w:p>
  </w:footnote>
  <w:footnote w:id="70">
    <w:p w14:paraId="65FDF5D2" w14:textId="77777777" w:rsidR="00B831ED" w:rsidRPr="00B34E2E" w:rsidRDefault="00B831ED" w:rsidP="00F35CB9">
      <w:pPr>
        <w:pStyle w:val="FootnoteText"/>
        <w:spacing w:line="240" w:lineRule="auto"/>
        <w:ind w:right="567"/>
        <w:rPr>
          <w:szCs w:val="18"/>
        </w:rPr>
      </w:pPr>
      <w:r w:rsidRPr="00280434">
        <w:rPr>
          <w:szCs w:val="18"/>
          <w:lang w:val="fr-FR"/>
        </w:rPr>
        <w:tab/>
      </w:r>
      <w:r w:rsidRPr="00B34E2E">
        <w:rPr>
          <w:rStyle w:val="FootnoteReference"/>
          <w:szCs w:val="18"/>
        </w:rPr>
        <w:footnoteRef/>
      </w:r>
      <w:r w:rsidRPr="004B77F4">
        <w:rPr>
          <w:szCs w:val="18"/>
          <w:lang w:val="fr-FR"/>
        </w:rPr>
        <w:tab/>
        <w:t xml:space="preserve">JI-042, QI-227, QI-238, TI-109, YI-010. </w:t>
      </w:r>
      <w:r w:rsidRPr="00B34E2E">
        <w:rPr>
          <w:szCs w:val="18"/>
        </w:rPr>
        <w:t>These cases still constitute violations because, as it was demonstrated in this report (part III.B.1 (a) (ii)), Imbonerakure, even when acting alone, are under the effective general control of the Burundian State.</w:t>
      </w:r>
    </w:p>
  </w:footnote>
  <w:footnote w:id="71">
    <w:p w14:paraId="5ACC7718"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QI-227.</w:t>
      </w:r>
    </w:p>
  </w:footnote>
  <w:footnote w:id="72">
    <w:p w14:paraId="7101AC95"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QI-274, QI-277.</w:t>
      </w:r>
    </w:p>
  </w:footnote>
  <w:footnote w:id="73">
    <w:p w14:paraId="6846BA4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QI-277.</w:t>
      </w:r>
    </w:p>
  </w:footnote>
  <w:footnote w:id="74">
    <w:p w14:paraId="7C6604A5"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TI-161, QI-227, QI-230, QI-238, QI-265, YI-010, YI-045, ZI-036.</w:t>
      </w:r>
    </w:p>
  </w:footnote>
  <w:footnote w:id="75">
    <w:p w14:paraId="70CD24A0" w14:textId="77777777" w:rsidR="00B831ED" w:rsidRPr="004B77F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 xml:space="preserve">ZI-036, QI-238. </w:t>
      </w:r>
    </w:p>
  </w:footnote>
  <w:footnote w:id="76">
    <w:p w14:paraId="0903038B" w14:textId="77777777" w:rsidR="00B831ED" w:rsidRPr="004B77F4" w:rsidRDefault="00B831ED" w:rsidP="00F35CB9">
      <w:pPr>
        <w:pStyle w:val="FootnoteText"/>
        <w:spacing w:line="240" w:lineRule="auto"/>
        <w:ind w:left="0" w:right="0" w:firstLine="0"/>
        <w:rPr>
          <w:szCs w:val="18"/>
          <w:lang w:val="fr-FR"/>
        </w:rPr>
      </w:pPr>
      <w:r w:rsidRPr="004B77F4">
        <w:rPr>
          <w:szCs w:val="18"/>
          <w:lang w:val="fr-FR"/>
        </w:rPr>
        <w:tab/>
      </w:r>
      <w:r w:rsidRPr="00B34E2E">
        <w:rPr>
          <w:rStyle w:val="FootnoteReference"/>
          <w:szCs w:val="18"/>
        </w:rPr>
        <w:footnoteRef/>
      </w:r>
      <w:r w:rsidRPr="004B77F4">
        <w:rPr>
          <w:szCs w:val="18"/>
          <w:lang w:val="fr-FR"/>
        </w:rPr>
        <w:tab/>
        <w:t>TI-085, TI-161, QI-230, QI-279. </w:t>
      </w:r>
    </w:p>
  </w:footnote>
  <w:footnote w:id="77">
    <w:p w14:paraId="53AB90E2" w14:textId="77777777" w:rsidR="00B831ED" w:rsidRPr="00B34E2E" w:rsidRDefault="00B831ED" w:rsidP="00F35CB9">
      <w:pPr>
        <w:pStyle w:val="FootnoteText"/>
        <w:spacing w:line="240" w:lineRule="auto"/>
        <w:ind w:left="0" w:right="0" w:firstLine="0"/>
        <w:rPr>
          <w:szCs w:val="18"/>
        </w:rPr>
      </w:pPr>
      <w:r w:rsidRPr="004B77F4">
        <w:rPr>
          <w:szCs w:val="18"/>
          <w:lang w:val="fr-FR"/>
        </w:rPr>
        <w:tab/>
      </w:r>
      <w:r w:rsidRPr="00B34E2E">
        <w:rPr>
          <w:rStyle w:val="FootnoteReference"/>
          <w:szCs w:val="18"/>
        </w:rPr>
        <w:footnoteRef/>
      </w:r>
      <w:r w:rsidRPr="00B34E2E">
        <w:rPr>
          <w:szCs w:val="18"/>
        </w:rPr>
        <w:tab/>
        <w:t>QI-230.</w:t>
      </w:r>
    </w:p>
  </w:footnote>
  <w:footnote w:id="78">
    <w:p w14:paraId="77E22070"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III.D.4 of this report.</w:t>
      </w:r>
    </w:p>
  </w:footnote>
  <w:footnote w:id="79">
    <w:p w14:paraId="39036FEF"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TI-080, QI-277, QI-279, QI-281. See also the section on enforced disappearances below.</w:t>
      </w:r>
    </w:p>
  </w:footnote>
  <w:footnote w:id="80">
    <w:p w14:paraId="53E9F86B" w14:textId="13CD6D38" w:rsidR="00B831ED" w:rsidRPr="00B34E2E" w:rsidRDefault="00B831ED" w:rsidP="00F35CB9">
      <w:pPr>
        <w:pStyle w:val="FootnoteText"/>
        <w:tabs>
          <w:tab w:val="clear" w:pos="1021"/>
        </w:tabs>
        <w:spacing w:line="240" w:lineRule="auto"/>
        <w:ind w:left="851" w:right="0" w:firstLine="0"/>
        <w:rPr>
          <w:szCs w:val="18"/>
        </w:rPr>
      </w:pPr>
      <w:r w:rsidRPr="00B34E2E">
        <w:rPr>
          <w:rStyle w:val="FootnoteReference"/>
          <w:szCs w:val="18"/>
        </w:rPr>
        <w:footnoteRef/>
      </w:r>
      <w:r w:rsidRPr="00B34E2E">
        <w:rPr>
          <w:szCs w:val="18"/>
        </w:rPr>
        <w:tab/>
        <w:t>See tweet of 29 December 2019 of the police spokes</w:t>
      </w:r>
      <w:r>
        <w:rPr>
          <w:szCs w:val="18"/>
        </w:rPr>
        <w:t>person</w:t>
      </w:r>
      <w:r w:rsidRPr="00B34E2E">
        <w:rPr>
          <w:szCs w:val="18"/>
        </w:rPr>
        <w:t>:</w:t>
      </w:r>
      <w:r w:rsidRPr="00B34E2E">
        <w:rPr>
          <w:szCs w:val="18"/>
        </w:rPr>
        <w:tab/>
      </w:r>
      <w:hyperlink r:id="rId1" w:history="1">
        <w:r w:rsidRPr="00B34E2E">
          <w:rPr>
            <w:rStyle w:val="Hyperlink"/>
            <w:szCs w:val="18"/>
          </w:rPr>
          <w:t>https://twitter.com/PierreNkurikiye/status/814432975689547776</w:t>
        </w:r>
      </w:hyperlink>
      <w:r w:rsidRPr="00B34E2E">
        <w:rPr>
          <w:rStyle w:val="Hyperlink"/>
          <w:szCs w:val="18"/>
        </w:rPr>
        <w:t>.</w:t>
      </w:r>
    </w:p>
  </w:footnote>
  <w:footnote w:id="81">
    <w:p w14:paraId="51EBFD7B"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QI-277, QI- 279, QI-291.</w:t>
      </w:r>
    </w:p>
  </w:footnote>
  <w:footnote w:id="82">
    <w:p w14:paraId="65684501"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A/HRC/36/CRP.1, para. 308 to 353.</w:t>
      </w:r>
    </w:p>
  </w:footnote>
  <w:footnote w:id="83">
    <w:p w14:paraId="6C2C11B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Ibid., para. 341 to 343.</w:t>
      </w:r>
    </w:p>
  </w:footnote>
  <w:footnote w:id="84">
    <w:p w14:paraId="71B0E8A8"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QI-277.</w:t>
      </w:r>
    </w:p>
  </w:footnote>
  <w:footnote w:id="85">
    <w:p w14:paraId="2ADA5803" w14:textId="65A716B5" w:rsidR="00B831ED" w:rsidRPr="00B34E2E" w:rsidRDefault="00B831ED" w:rsidP="00F10888">
      <w:pPr>
        <w:pStyle w:val="FootnoteText"/>
        <w:spacing w:line="240" w:lineRule="auto"/>
        <w:ind w:left="851" w:right="567" w:firstLine="0"/>
        <w:rPr>
          <w:szCs w:val="18"/>
        </w:rPr>
      </w:pPr>
      <w:r w:rsidRPr="00B34E2E">
        <w:rPr>
          <w:szCs w:val="18"/>
        </w:rPr>
        <w:tab/>
      </w:r>
      <w:r w:rsidRPr="00B34E2E">
        <w:rPr>
          <w:rStyle w:val="FootnoteReference"/>
          <w:szCs w:val="18"/>
        </w:rPr>
        <w:footnoteRef/>
      </w:r>
      <w:r w:rsidRPr="00B34E2E">
        <w:rPr>
          <w:szCs w:val="18"/>
        </w:rPr>
        <w:tab/>
        <w:t xml:space="preserve">See part III.C.2 of this report. See also the cases of the twins Shabani and </w:t>
      </w:r>
      <w:r>
        <w:rPr>
          <w:szCs w:val="18"/>
        </w:rPr>
        <w:t xml:space="preserve">of </w:t>
      </w:r>
      <w:r w:rsidRPr="00B34E2E">
        <w:rPr>
          <w:szCs w:val="18"/>
        </w:rPr>
        <w:t>Évariste Nyandwi, detailed below.</w:t>
      </w:r>
    </w:p>
  </w:footnote>
  <w:footnote w:id="86">
    <w:p w14:paraId="156F42FC"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III.D of this report.</w:t>
      </w:r>
    </w:p>
  </w:footnote>
  <w:footnote w:id="87">
    <w:p w14:paraId="6869737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JI-042, JI-05, QI-276, QI-277, QI-279, QI-281, TI-070, TI-072, TI-123, TI-158.</w:t>
      </w:r>
    </w:p>
  </w:footnote>
  <w:footnote w:id="88">
    <w:p w14:paraId="3080A09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below.</w:t>
      </w:r>
    </w:p>
  </w:footnote>
  <w:footnote w:id="89">
    <w:p w14:paraId="519D5EF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QI-278</w:t>
      </w:r>
    </w:p>
  </w:footnote>
  <w:footnote w:id="90">
    <w:p w14:paraId="1D517769"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JI-054, QI-174, QI-278, QI-286, QI-288.</w:t>
      </w:r>
    </w:p>
  </w:footnote>
  <w:footnote w:id="91">
    <w:p w14:paraId="595EC1C6"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Party not recognised by the interior minister.</w:t>
      </w:r>
    </w:p>
  </w:footnote>
  <w:footnote w:id="92">
    <w:p w14:paraId="233C9F79"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w:t>
      </w:r>
      <w:hyperlink r:id="rId2" w:history="1">
        <w:r w:rsidRPr="00B34E2E">
          <w:rPr>
            <w:rStyle w:val="Hyperlink"/>
            <w:szCs w:val="18"/>
          </w:rPr>
          <w:t>http://www.iwacu-burundi.org/qui-a-enleve-leopold-habarugira/</w:t>
        </w:r>
      </w:hyperlink>
      <w:r w:rsidRPr="00B34E2E">
        <w:rPr>
          <w:szCs w:val="18"/>
        </w:rPr>
        <w:t>.</w:t>
      </w:r>
    </w:p>
  </w:footnote>
  <w:footnote w:id="93">
    <w:p w14:paraId="67BEB6ED"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QI-277, QI-279, QI-281.</w:t>
      </w:r>
    </w:p>
  </w:footnote>
  <w:footnote w:id="94">
    <w:p w14:paraId="1A7C975D"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QI-277, QI-279, QI-281.</w:t>
      </w:r>
    </w:p>
  </w:footnote>
  <w:footnote w:id="95">
    <w:p w14:paraId="38C78887"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QI-287, QI-290, TI-087, TI-161.</w:t>
      </w:r>
    </w:p>
  </w:footnote>
  <w:footnote w:id="96">
    <w:p w14:paraId="59CD704B"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QI-190, QI-276, QI-282.</w:t>
      </w:r>
    </w:p>
  </w:footnote>
  <w:footnote w:id="97">
    <w:p w14:paraId="3959D180"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JI-054, QI-286, QI-289, TI-114.</w:t>
      </w:r>
    </w:p>
  </w:footnote>
  <w:footnote w:id="98">
    <w:p w14:paraId="45C6F6B0" w14:textId="0E81D48D"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The Working Group on </w:t>
      </w:r>
      <w:r>
        <w:rPr>
          <w:szCs w:val="18"/>
        </w:rPr>
        <w:t>e</w:t>
      </w:r>
      <w:r w:rsidRPr="00B34E2E">
        <w:rPr>
          <w:szCs w:val="18"/>
        </w:rPr>
        <w:t xml:space="preserve">nforced or </w:t>
      </w:r>
      <w:r>
        <w:rPr>
          <w:szCs w:val="18"/>
        </w:rPr>
        <w:t>i</w:t>
      </w:r>
      <w:r w:rsidRPr="00B34E2E">
        <w:rPr>
          <w:szCs w:val="18"/>
        </w:rPr>
        <w:t xml:space="preserve">nvoluntary </w:t>
      </w:r>
      <w:r>
        <w:rPr>
          <w:szCs w:val="18"/>
        </w:rPr>
        <w:t>d</w:t>
      </w:r>
      <w:r w:rsidRPr="00B34E2E">
        <w:rPr>
          <w:szCs w:val="18"/>
        </w:rPr>
        <w:t>isappearances, 114</w:t>
      </w:r>
      <w:r w:rsidRPr="00B34E2E">
        <w:rPr>
          <w:szCs w:val="18"/>
          <w:vertAlign w:val="superscript"/>
        </w:rPr>
        <w:t>th</w:t>
      </w:r>
      <w:r w:rsidRPr="00B34E2E">
        <w:rPr>
          <w:szCs w:val="18"/>
        </w:rPr>
        <w:t xml:space="preserve"> session (5-9 February 2018), </w:t>
      </w:r>
      <w:r w:rsidRPr="00B34E2E">
        <w:rPr>
          <w:szCs w:val="18"/>
        </w:rPr>
        <w:tab/>
      </w:r>
      <w:r w:rsidRPr="00B34E2E">
        <w:rPr>
          <w:szCs w:val="18"/>
        </w:rPr>
        <w:tab/>
      </w:r>
      <w:r w:rsidRPr="00B34E2E">
        <w:rPr>
          <w:szCs w:val="18"/>
        </w:rPr>
        <w:tab/>
        <w:t>A/HRC/WGEID/114/1, para. 26.</w:t>
      </w:r>
    </w:p>
  </w:footnote>
  <w:footnote w:id="99">
    <w:p w14:paraId="7CF299F2"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TI-130, TI-161, TI-072, QI-219.</w:t>
      </w:r>
    </w:p>
  </w:footnote>
  <w:footnote w:id="100">
    <w:p w14:paraId="0208DB38"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JI-042, QI-252, QI -270, QI-221, QI-235, QI-238, XI-091, YI-008, YI-010.</w:t>
      </w:r>
    </w:p>
  </w:footnote>
  <w:footnote w:id="101">
    <w:p w14:paraId="28CEA20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TI-072, TI-130.</w:t>
      </w:r>
    </w:p>
  </w:footnote>
  <w:footnote w:id="102">
    <w:p w14:paraId="1A2AA03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QI-235, TI-108, XI-082, YI-025, YI-029, YI-034.</w:t>
      </w:r>
    </w:p>
  </w:footnote>
  <w:footnote w:id="103">
    <w:p w14:paraId="70522FC1"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QI-235, QI-238, QI-252, TI-108, JI-004, JI-014, XI-082, XI-091, YI-008, YI-010, YI-016.</w:t>
      </w:r>
    </w:p>
  </w:footnote>
  <w:footnote w:id="104">
    <w:p w14:paraId="1BFEF90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QI-270, JI -042.</w:t>
      </w:r>
    </w:p>
  </w:footnote>
  <w:footnote w:id="105">
    <w:p w14:paraId="1FA4230A" w14:textId="77777777" w:rsidR="00B831ED" w:rsidRPr="00B34E2E" w:rsidRDefault="00B831ED" w:rsidP="00F35CB9">
      <w:pPr>
        <w:pStyle w:val="FootnoteText"/>
        <w:spacing w:line="240" w:lineRule="auto"/>
        <w:ind w:right="567"/>
      </w:pPr>
      <w:r w:rsidRPr="00B34E2E">
        <w:tab/>
      </w:r>
      <w:r w:rsidRPr="00B34E2E">
        <w:rPr>
          <w:rStyle w:val="FootnoteReference"/>
        </w:rPr>
        <w:footnoteRef/>
      </w:r>
      <w:r w:rsidRPr="00B34E2E">
        <w:tab/>
        <w:t>See part III.B.1 (a) (ii) of this report.</w:t>
      </w:r>
    </w:p>
  </w:footnote>
  <w:footnote w:id="106">
    <w:p w14:paraId="76E0F186" w14:textId="77777777" w:rsidR="00B831ED" w:rsidRPr="00B34E2E" w:rsidRDefault="00B831ED" w:rsidP="00F35CB9">
      <w:pPr>
        <w:pStyle w:val="FootnoteText"/>
        <w:spacing w:line="240" w:lineRule="auto"/>
        <w:ind w:right="567"/>
      </w:pPr>
      <w:r w:rsidRPr="00B34E2E">
        <w:tab/>
      </w:r>
      <w:r w:rsidRPr="00B34E2E">
        <w:rPr>
          <w:rStyle w:val="FootnoteReference"/>
        </w:rPr>
        <w:footnoteRef/>
      </w:r>
      <w:r w:rsidRPr="00B34E2E">
        <w:tab/>
        <w:t>See below, section (iv) of this chapter.</w:t>
      </w:r>
    </w:p>
  </w:footnote>
  <w:footnote w:id="107">
    <w:p w14:paraId="2E9E990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QI-235, QI-238, QI-252, QI -270, TI-108, JI-004, JI -014, XI-082, XI-091, YI-010, YI-016, YI-025, </w:t>
      </w:r>
      <w:r w:rsidRPr="00B34E2E">
        <w:rPr>
          <w:szCs w:val="18"/>
        </w:rPr>
        <w:tab/>
      </w:r>
      <w:r w:rsidRPr="00B34E2E">
        <w:rPr>
          <w:szCs w:val="18"/>
        </w:rPr>
        <w:tab/>
        <w:t>YI-029, YI-034.</w:t>
      </w:r>
    </w:p>
  </w:footnote>
  <w:footnote w:id="108">
    <w:p w14:paraId="1561FC1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QI-252, YI-008, YI-016, YI-025.</w:t>
      </w:r>
    </w:p>
  </w:footnote>
  <w:footnote w:id="109">
    <w:p w14:paraId="6B11921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YI-029, QI-270</w:t>
      </w:r>
    </w:p>
  </w:footnote>
  <w:footnote w:id="110">
    <w:p w14:paraId="1C1E66F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XI-091, YI-008, YI-016.</w:t>
      </w:r>
    </w:p>
  </w:footnote>
  <w:footnote w:id="111">
    <w:p w14:paraId="556170F1" w14:textId="77777777" w:rsidR="00B831ED" w:rsidRPr="00B34E2E" w:rsidRDefault="00B831ED" w:rsidP="00F35CB9">
      <w:pPr>
        <w:pStyle w:val="FootnoteText"/>
        <w:spacing w:line="240" w:lineRule="auto"/>
        <w:ind w:right="567"/>
      </w:pPr>
      <w:r w:rsidRPr="00B34E2E">
        <w:tab/>
      </w:r>
      <w:r w:rsidRPr="00B34E2E">
        <w:rPr>
          <w:rStyle w:val="FootnoteReference"/>
          <w:szCs w:val="18"/>
        </w:rPr>
        <w:footnoteRef/>
      </w:r>
      <w:r w:rsidRPr="00B34E2E">
        <w:tab/>
        <w:t>XI-091, YI-025, YI-029.</w:t>
      </w:r>
    </w:p>
  </w:footnote>
  <w:footnote w:id="112">
    <w:p w14:paraId="1636AB84" w14:textId="77777777" w:rsidR="00B831ED" w:rsidRPr="004B77F4" w:rsidRDefault="00B831ED" w:rsidP="00F35CB9">
      <w:pPr>
        <w:pStyle w:val="FootnoteText"/>
        <w:spacing w:line="240" w:lineRule="auto"/>
        <w:ind w:right="567"/>
        <w:rPr>
          <w:lang w:val="fr-FR"/>
        </w:rPr>
      </w:pPr>
      <w:r w:rsidRPr="00B34E2E">
        <w:tab/>
      </w:r>
      <w:r w:rsidRPr="00B34E2E">
        <w:rPr>
          <w:rStyle w:val="FootnoteReference"/>
          <w:szCs w:val="18"/>
        </w:rPr>
        <w:footnoteRef/>
      </w:r>
      <w:r w:rsidRPr="004B77F4">
        <w:rPr>
          <w:lang w:val="fr-FR"/>
        </w:rPr>
        <w:tab/>
        <w:t>JI-004, JI -014, QI-235, QI-238, XI-082, XI-091.</w:t>
      </w:r>
    </w:p>
  </w:footnote>
  <w:footnote w:id="113">
    <w:p w14:paraId="4A5E91E3" w14:textId="77777777" w:rsidR="00B831ED" w:rsidRPr="00B34E2E" w:rsidRDefault="00B831ED" w:rsidP="00F35CB9">
      <w:pPr>
        <w:pStyle w:val="FootnoteText"/>
        <w:spacing w:line="240" w:lineRule="auto"/>
        <w:ind w:right="567"/>
      </w:pPr>
      <w:r w:rsidRPr="004B77F4">
        <w:rPr>
          <w:lang w:val="fr-FR"/>
        </w:rPr>
        <w:tab/>
      </w:r>
      <w:r w:rsidRPr="00B34E2E">
        <w:rPr>
          <w:rStyle w:val="FootnoteReference"/>
          <w:szCs w:val="18"/>
        </w:rPr>
        <w:footnoteRef/>
      </w:r>
      <w:r w:rsidRPr="00B34E2E">
        <w:tab/>
        <w:t>QI-282, QI-283.</w:t>
      </w:r>
    </w:p>
  </w:footnote>
  <w:footnote w:id="114">
    <w:p w14:paraId="290F8E61" w14:textId="77777777" w:rsidR="00B831ED" w:rsidRPr="00B34E2E" w:rsidRDefault="00B831ED" w:rsidP="00F35CB9">
      <w:pPr>
        <w:pStyle w:val="FootnoteText"/>
        <w:spacing w:line="240" w:lineRule="auto"/>
        <w:ind w:right="567"/>
        <w:rPr>
          <w:szCs w:val="18"/>
        </w:rPr>
      </w:pPr>
      <w:r w:rsidRPr="00B34E2E">
        <w:tab/>
      </w:r>
      <w:r w:rsidRPr="00B34E2E">
        <w:rPr>
          <w:rStyle w:val="FootnoteReference"/>
          <w:szCs w:val="18"/>
        </w:rPr>
        <w:footnoteRef/>
      </w:r>
      <w:r w:rsidRPr="00B34E2E">
        <w:tab/>
        <w:t>QI-</w:t>
      </w:r>
      <w:r w:rsidRPr="00B34E2E">
        <w:rPr>
          <w:szCs w:val="18"/>
        </w:rPr>
        <w:t>283</w:t>
      </w:r>
    </w:p>
  </w:footnote>
  <w:footnote w:id="115">
    <w:p w14:paraId="54D5DBB4" w14:textId="77777777" w:rsidR="00B831ED" w:rsidRPr="00B34E2E" w:rsidRDefault="00B831ED" w:rsidP="00F35CB9">
      <w:pPr>
        <w:pStyle w:val="FootnoteText"/>
        <w:spacing w:line="240" w:lineRule="auto"/>
        <w:ind w:right="567"/>
        <w:rPr>
          <w:szCs w:val="18"/>
        </w:rPr>
      </w:pPr>
      <w:r w:rsidRPr="00B34E2E">
        <w:tab/>
      </w:r>
      <w:r w:rsidRPr="00B34E2E">
        <w:rPr>
          <w:rStyle w:val="FootnoteReference"/>
          <w:szCs w:val="18"/>
        </w:rPr>
        <w:footnoteRef/>
      </w:r>
      <w:r w:rsidRPr="00B34E2E">
        <w:tab/>
      </w:r>
      <w:r w:rsidRPr="00B34E2E">
        <w:rPr>
          <w:szCs w:val="18"/>
        </w:rPr>
        <w:t>QI-238.</w:t>
      </w:r>
    </w:p>
  </w:footnote>
  <w:footnote w:id="116">
    <w:p w14:paraId="2B5A78A3" w14:textId="77777777" w:rsidR="00B831ED" w:rsidRPr="00B34E2E" w:rsidRDefault="00B831ED" w:rsidP="00F35CB9">
      <w:pPr>
        <w:pStyle w:val="FootnoteText"/>
        <w:spacing w:line="240" w:lineRule="auto"/>
        <w:ind w:right="567"/>
        <w:rPr>
          <w:szCs w:val="18"/>
        </w:rPr>
      </w:pPr>
      <w:r w:rsidRPr="00B34E2E">
        <w:tab/>
      </w:r>
      <w:r w:rsidRPr="00B34E2E">
        <w:rPr>
          <w:rStyle w:val="FootnoteReference"/>
          <w:szCs w:val="18"/>
        </w:rPr>
        <w:footnoteRef/>
      </w:r>
      <w:r w:rsidRPr="00B34E2E">
        <w:tab/>
      </w:r>
      <w:r w:rsidRPr="00B34E2E">
        <w:rPr>
          <w:szCs w:val="18"/>
        </w:rPr>
        <w:t>See part III.D of this report.</w:t>
      </w:r>
    </w:p>
  </w:footnote>
  <w:footnote w:id="117">
    <w:p w14:paraId="48D2BC70" w14:textId="77777777" w:rsidR="00B831ED" w:rsidRPr="00280434" w:rsidRDefault="00B831ED" w:rsidP="00F35CB9">
      <w:pPr>
        <w:pStyle w:val="FootnoteText"/>
        <w:spacing w:line="240" w:lineRule="auto"/>
        <w:ind w:right="567"/>
        <w:rPr>
          <w:szCs w:val="18"/>
          <w:lang w:val="fr-FR"/>
        </w:rPr>
      </w:pPr>
      <w:r w:rsidRPr="00B34E2E">
        <w:tab/>
      </w:r>
      <w:r w:rsidRPr="00B34E2E">
        <w:rPr>
          <w:rStyle w:val="FootnoteReference"/>
          <w:szCs w:val="18"/>
        </w:rPr>
        <w:footnoteRef/>
      </w:r>
      <w:r w:rsidRPr="00280434">
        <w:rPr>
          <w:lang w:val="fr-FR"/>
        </w:rPr>
        <w:tab/>
      </w:r>
      <w:r w:rsidRPr="00280434">
        <w:rPr>
          <w:szCs w:val="18"/>
          <w:lang w:val="fr-FR"/>
        </w:rPr>
        <w:t>YI-016.</w:t>
      </w:r>
    </w:p>
  </w:footnote>
  <w:footnote w:id="118">
    <w:p w14:paraId="5793E981" w14:textId="77777777" w:rsidR="00B831ED" w:rsidRPr="00280434" w:rsidRDefault="00B831ED" w:rsidP="00F35CB9">
      <w:pPr>
        <w:pStyle w:val="FootnoteText"/>
        <w:spacing w:line="240" w:lineRule="auto"/>
        <w:ind w:right="567"/>
        <w:rPr>
          <w:szCs w:val="18"/>
          <w:lang w:val="fr-FR"/>
        </w:rPr>
      </w:pPr>
      <w:r w:rsidRPr="00280434">
        <w:rPr>
          <w:lang w:val="fr-FR"/>
        </w:rPr>
        <w:tab/>
      </w:r>
      <w:r w:rsidRPr="00B34E2E">
        <w:rPr>
          <w:rStyle w:val="FootnoteReference"/>
          <w:szCs w:val="18"/>
        </w:rPr>
        <w:footnoteRef/>
      </w:r>
      <w:r w:rsidRPr="00280434">
        <w:rPr>
          <w:lang w:val="fr-FR"/>
        </w:rPr>
        <w:tab/>
      </w:r>
      <w:r w:rsidRPr="00280434">
        <w:rPr>
          <w:szCs w:val="18"/>
          <w:lang w:val="fr-FR"/>
        </w:rPr>
        <w:t>XI-091.</w:t>
      </w:r>
    </w:p>
  </w:footnote>
  <w:footnote w:id="119">
    <w:p w14:paraId="6071EB61" w14:textId="77777777" w:rsidR="00B831ED" w:rsidRPr="00280434" w:rsidRDefault="00B831ED" w:rsidP="00F35CB9">
      <w:pPr>
        <w:pStyle w:val="FootnoteText"/>
        <w:spacing w:line="240" w:lineRule="auto"/>
        <w:ind w:right="567"/>
        <w:rPr>
          <w:szCs w:val="18"/>
          <w:lang w:val="fr-FR"/>
        </w:rPr>
      </w:pPr>
      <w:r w:rsidRPr="00280434">
        <w:rPr>
          <w:lang w:val="fr-FR"/>
        </w:rPr>
        <w:tab/>
      </w:r>
      <w:r w:rsidRPr="00B34E2E">
        <w:rPr>
          <w:rStyle w:val="FootnoteReference"/>
          <w:szCs w:val="18"/>
        </w:rPr>
        <w:footnoteRef/>
      </w:r>
      <w:r w:rsidRPr="00280434">
        <w:rPr>
          <w:lang w:val="fr-FR"/>
        </w:rPr>
        <w:tab/>
      </w:r>
      <w:r w:rsidRPr="00280434">
        <w:rPr>
          <w:szCs w:val="18"/>
          <w:lang w:val="fr-FR"/>
        </w:rPr>
        <w:t>QI-238.</w:t>
      </w:r>
    </w:p>
  </w:footnote>
  <w:footnote w:id="120">
    <w:p w14:paraId="0D5FC933" w14:textId="77777777" w:rsidR="00B831ED" w:rsidRPr="00280434" w:rsidRDefault="00B831ED" w:rsidP="00F35CB9">
      <w:pPr>
        <w:pStyle w:val="FootnoteText"/>
        <w:spacing w:line="240" w:lineRule="auto"/>
        <w:ind w:right="567"/>
        <w:rPr>
          <w:szCs w:val="18"/>
          <w:lang w:val="fr-FR"/>
        </w:rPr>
      </w:pPr>
      <w:r w:rsidRPr="00280434">
        <w:rPr>
          <w:lang w:val="fr-FR"/>
        </w:rPr>
        <w:tab/>
      </w:r>
      <w:r w:rsidRPr="00B34E2E">
        <w:rPr>
          <w:rStyle w:val="FootnoteReference"/>
          <w:szCs w:val="18"/>
        </w:rPr>
        <w:footnoteRef/>
      </w:r>
      <w:r w:rsidRPr="00280434">
        <w:rPr>
          <w:lang w:val="fr-FR"/>
        </w:rPr>
        <w:tab/>
      </w:r>
      <w:r w:rsidRPr="00280434">
        <w:rPr>
          <w:szCs w:val="18"/>
          <w:lang w:val="fr-FR"/>
        </w:rPr>
        <w:t>JI-042, XI-082.</w:t>
      </w:r>
    </w:p>
  </w:footnote>
  <w:footnote w:id="121">
    <w:p w14:paraId="2EB65EA7" w14:textId="77777777" w:rsidR="00B831ED" w:rsidRPr="00B34E2E" w:rsidRDefault="00B831ED" w:rsidP="00F35CB9">
      <w:pPr>
        <w:pStyle w:val="FootnoteText"/>
        <w:spacing w:line="240" w:lineRule="auto"/>
        <w:ind w:right="567"/>
        <w:rPr>
          <w:szCs w:val="18"/>
        </w:rPr>
      </w:pPr>
      <w:r w:rsidRPr="00280434">
        <w:rPr>
          <w:lang w:val="fr-FR"/>
        </w:rPr>
        <w:tab/>
      </w:r>
      <w:r w:rsidRPr="00B34E2E">
        <w:rPr>
          <w:rStyle w:val="FootnoteReference"/>
          <w:szCs w:val="18"/>
        </w:rPr>
        <w:footnoteRef/>
      </w:r>
      <w:r w:rsidRPr="00B34E2E">
        <w:tab/>
        <w:t xml:space="preserve">QI-235, QI-238, TI-108, YI-016, YI-031. </w:t>
      </w:r>
      <w:r w:rsidRPr="00B34E2E">
        <w:rPr>
          <w:szCs w:val="18"/>
        </w:rPr>
        <w:t>See also part III.E.2 (d) of this report.</w:t>
      </w:r>
    </w:p>
  </w:footnote>
  <w:footnote w:id="122">
    <w:p w14:paraId="2559FE31" w14:textId="77777777" w:rsidR="00B831ED" w:rsidRPr="00B34E2E" w:rsidRDefault="00B831ED" w:rsidP="00F35CB9">
      <w:pPr>
        <w:pStyle w:val="FootnoteText"/>
        <w:spacing w:line="240" w:lineRule="auto"/>
        <w:ind w:right="567"/>
      </w:pPr>
      <w:r w:rsidRPr="00B34E2E">
        <w:tab/>
      </w:r>
      <w:r w:rsidRPr="00B34E2E">
        <w:rPr>
          <w:rStyle w:val="FootnoteReference"/>
        </w:rPr>
        <w:footnoteRef/>
      </w:r>
      <w:r w:rsidRPr="00B34E2E">
        <w:tab/>
        <w:t>Committee of Human Rights, communications n° 7/1981, 950/2000, 1327/2004, and 1776/2008.</w:t>
      </w:r>
    </w:p>
  </w:footnote>
  <w:footnote w:id="123">
    <w:p w14:paraId="08796942" w14:textId="77777777" w:rsidR="00B831ED" w:rsidRPr="00B34E2E" w:rsidRDefault="00B831ED" w:rsidP="00F35CB9">
      <w:pPr>
        <w:pStyle w:val="FootnoteText"/>
        <w:spacing w:line="240" w:lineRule="auto"/>
        <w:ind w:right="567"/>
        <w:jc w:val="both"/>
        <w:rPr>
          <w:szCs w:val="18"/>
        </w:rPr>
      </w:pPr>
      <w:r w:rsidRPr="00B34E2E">
        <w:tab/>
      </w:r>
      <w:r w:rsidRPr="00B34E2E">
        <w:rPr>
          <w:rStyle w:val="FootnoteReference"/>
          <w:szCs w:val="18"/>
        </w:rPr>
        <w:footnoteRef/>
      </w:r>
      <w:r w:rsidRPr="00B34E2E">
        <w:tab/>
      </w:r>
      <w:r w:rsidRPr="00B34E2E">
        <w:rPr>
          <w:szCs w:val="18"/>
        </w:rPr>
        <w:t>A/HRC/36/CRP.1, para. 356 to 399.</w:t>
      </w:r>
    </w:p>
  </w:footnote>
  <w:footnote w:id="124">
    <w:p w14:paraId="34C7B915" w14:textId="77777777" w:rsidR="00B831ED" w:rsidRPr="00B34E2E" w:rsidRDefault="00B831ED" w:rsidP="00F35CB9">
      <w:pPr>
        <w:pStyle w:val="FootnoteText"/>
        <w:tabs>
          <w:tab w:val="clear" w:pos="1021"/>
          <w:tab w:val="left" w:pos="851"/>
          <w:tab w:val="left" w:pos="1134"/>
          <w:tab w:val="right" w:pos="1276"/>
        </w:tabs>
        <w:spacing w:line="240" w:lineRule="auto"/>
        <w:ind w:left="426" w:right="567" w:firstLine="0"/>
        <w:jc w:val="both"/>
        <w:rPr>
          <w:szCs w:val="18"/>
        </w:rPr>
      </w:pPr>
      <w:r w:rsidRPr="00B34E2E">
        <w:rPr>
          <w:szCs w:val="18"/>
        </w:rPr>
        <w:tab/>
      </w:r>
      <w:r w:rsidRPr="00B34E2E">
        <w:rPr>
          <w:rStyle w:val="FootnoteReference"/>
          <w:szCs w:val="18"/>
        </w:rPr>
        <w:footnoteRef/>
      </w:r>
      <w:r w:rsidRPr="00B34E2E">
        <w:rPr>
          <w:szCs w:val="18"/>
        </w:rPr>
        <w:tab/>
        <w:t>A/HRC/WGAD/2017/54.</w:t>
      </w:r>
    </w:p>
  </w:footnote>
  <w:footnote w:id="125">
    <w:p w14:paraId="6D1425A1" w14:textId="77777777" w:rsidR="00B831ED" w:rsidRPr="00B34E2E" w:rsidRDefault="00B831ED" w:rsidP="00F35CB9">
      <w:pPr>
        <w:pStyle w:val="FootnoteText"/>
        <w:tabs>
          <w:tab w:val="clear" w:pos="1021"/>
          <w:tab w:val="right" w:pos="0"/>
          <w:tab w:val="left" w:pos="851"/>
        </w:tabs>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A/HRC/WGAD/2018/7.</w:t>
      </w:r>
    </w:p>
  </w:footnote>
  <w:footnote w:id="126">
    <w:p w14:paraId="38F48ADF" w14:textId="1A565CE2" w:rsidR="00B831ED" w:rsidRPr="00B34E2E" w:rsidRDefault="00B831ED" w:rsidP="00F35CB9">
      <w:pPr>
        <w:pStyle w:val="FootnoteText"/>
        <w:tabs>
          <w:tab w:val="clear" w:pos="1021"/>
          <w:tab w:val="right" w:pos="0"/>
          <w:tab w:val="left" w:pos="851"/>
          <w:tab w:val="left" w:pos="1134"/>
          <w:tab w:val="left" w:pos="1276"/>
        </w:tabs>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UA BDI 2/2017 </w:t>
      </w:r>
      <w:r>
        <w:rPr>
          <w:szCs w:val="18"/>
        </w:rPr>
        <w:t xml:space="preserve">sent </w:t>
      </w:r>
      <w:r w:rsidRPr="00B34E2E">
        <w:rPr>
          <w:szCs w:val="18"/>
        </w:rPr>
        <w:t xml:space="preserve">by the Working Group on </w:t>
      </w:r>
      <w:r>
        <w:rPr>
          <w:szCs w:val="18"/>
        </w:rPr>
        <w:t>a</w:t>
      </w:r>
      <w:r w:rsidRPr="00B34E2E">
        <w:rPr>
          <w:szCs w:val="18"/>
        </w:rPr>
        <w:t xml:space="preserve">rbitrary </w:t>
      </w:r>
      <w:r>
        <w:rPr>
          <w:szCs w:val="18"/>
        </w:rPr>
        <w:t>d</w:t>
      </w:r>
      <w:r w:rsidRPr="00B34E2E">
        <w:rPr>
          <w:szCs w:val="18"/>
        </w:rPr>
        <w:t xml:space="preserve">etention; </w:t>
      </w:r>
      <w:bookmarkStart w:id="3" w:name="_Hlk39054902"/>
      <w:r w:rsidRPr="00B34E2E">
        <w:rPr>
          <w:szCs w:val="18"/>
        </w:rPr>
        <w:t>the Special Rapporteur on the promotion and protection of the right to freedom of opinion and expression</w:t>
      </w:r>
      <w:bookmarkEnd w:id="3"/>
      <w:r w:rsidRPr="00B34E2E">
        <w:rPr>
          <w:szCs w:val="18"/>
        </w:rPr>
        <w:t xml:space="preserve">; the Special Rapporteur on the right to freedom of association and peaceful assembly; the Special Rapporteur on the situation of human rights defenders; </w:t>
      </w:r>
      <w:r>
        <w:rPr>
          <w:szCs w:val="18"/>
        </w:rPr>
        <w:t>and</w:t>
      </w:r>
      <w:r w:rsidRPr="00B34E2E">
        <w:rPr>
          <w:szCs w:val="18"/>
        </w:rPr>
        <w:t xml:space="preserve"> the Special Rapporteur on torture and other cruel, inhuman or degrading treatment or punishment.</w:t>
      </w:r>
    </w:p>
  </w:footnote>
  <w:footnote w:id="127">
    <w:p w14:paraId="188070BE" w14:textId="1E038166" w:rsidR="00B831ED" w:rsidRPr="00B34E2E" w:rsidRDefault="00B831ED" w:rsidP="00F35CB9">
      <w:pPr>
        <w:pStyle w:val="FootnoteText"/>
        <w:tabs>
          <w:tab w:val="clear" w:pos="1021"/>
          <w:tab w:val="right" w:pos="0"/>
          <w:tab w:val="left" w:pos="851"/>
        </w:tabs>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UA BDI 4/2017 </w:t>
      </w:r>
      <w:r>
        <w:rPr>
          <w:szCs w:val="18"/>
        </w:rPr>
        <w:t xml:space="preserve">sent by </w:t>
      </w:r>
      <w:r w:rsidRPr="00B34E2E">
        <w:rPr>
          <w:szCs w:val="18"/>
        </w:rPr>
        <w:t xml:space="preserve">the Working Group on </w:t>
      </w:r>
      <w:r>
        <w:rPr>
          <w:szCs w:val="18"/>
        </w:rPr>
        <w:t>a</w:t>
      </w:r>
      <w:r w:rsidRPr="00B34E2E">
        <w:rPr>
          <w:szCs w:val="18"/>
        </w:rPr>
        <w:t xml:space="preserve">rbitrary </w:t>
      </w:r>
      <w:r>
        <w:rPr>
          <w:szCs w:val="18"/>
        </w:rPr>
        <w:t>d</w:t>
      </w:r>
      <w:r w:rsidRPr="00B34E2E">
        <w:rPr>
          <w:szCs w:val="18"/>
        </w:rPr>
        <w:t xml:space="preserve">etention; the Working Group on </w:t>
      </w:r>
      <w:r>
        <w:rPr>
          <w:szCs w:val="18"/>
        </w:rPr>
        <w:t>e</w:t>
      </w:r>
      <w:r w:rsidRPr="00B34E2E">
        <w:rPr>
          <w:szCs w:val="18"/>
        </w:rPr>
        <w:t xml:space="preserve">nforced or </w:t>
      </w:r>
      <w:r>
        <w:rPr>
          <w:szCs w:val="18"/>
        </w:rPr>
        <w:t>i</w:t>
      </w:r>
      <w:r w:rsidRPr="00B34E2E">
        <w:rPr>
          <w:szCs w:val="18"/>
        </w:rPr>
        <w:t xml:space="preserve">nvoluntary </w:t>
      </w:r>
      <w:r>
        <w:rPr>
          <w:szCs w:val="18"/>
        </w:rPr>
        <w:t>d</w:t>
      </w:r>
      <w:r w:rsidRPr="00B34E2E">
        <w:rPr>
          <w:szCs w:val="18"/>
        </w:rPr>
        <w:t>isappearances; the Special Rapporteur on the promotion and protection of the right to freedom of opinion and expression; the Special Rapporteur on the situation of human rights defenders; and the Special Rapporteur on torture and other cruel, inhuman or degrading treatment or punishment. The Government sent a notice of receipt on 22 December 2017 without providing a substantive response.</w:t>
      </w:r>
    </w:p>
  </w:footnote>
  <w:footnote w:id="128">
    <w:p w14:paraId="1271F9C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On these two cases, for more details, see section (c) (iii) of this chapter.</w:t>
      </w:r>
    </w:p>
  </w:footnote>
  <w:footnote w:id="129">
    <w:p w14:paraId="3988D99B"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III.C.3 of this report.</w:t>
      </w:r>
    </w:p>
  </w:footnote>
  <w:footnote w:id="130">
    <w:p w14:paraId="5210E89F"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part III.C.1 (b) of this report. </w:t>
      </w:r>
    </w:p>
  </w:footnote>
  <w:footnote w:id="131">
    <w:p w14:paraId="6DB90961" w14:textId="77777777" w:rsidR="00B831ED" w:rsidRPr="00B34E2E" w:rsidRDefault="00B831ED" w:rsidP="00F35CB9">
      <w:pPr>
        <w:pStyle w:val="FootnoteText"/>
        <w:spacing w:line="240" w:lineRule="auto"/>
        <w:ind w:left="0" w:right="0" w:firstLine="0"/>
        <w:rPr>
          <w:szCs w:val="18"/>
          <w:u w:val="single"/>
        </w:rPr>
      </w:pPr>
      <w:r w:rsidRPr="00B34E2E">
        <w:rPr>
          <w:szCs w:val="18"/>
        </w:rPr>
        <w:tab/>
      </w:r>
      <w:r w:rsidRPr="00B34E2E">
        <w:rPr>
          <w:rStyle w:val="FootnoteReference"/>
          <w:szCs w:val="18"/>
        </w:rPr>
        <w:footnoteRef/>
      </w:r>
      <w:r w:rsidRPr="00B34E2E">
        <w:rPr>
          <w:szCs w:val="18"/>
        </w:rPr>
        <w:tab/>
        <w:t>JI-032, JI-048, QI-210, TI-133, TI-136, TI-137, TI-138.</w:t>
      </w:r>
    </w:p>
  </w:footnote>
  <w:footnote w:id="132">
    <w:p w14:paraId="6EA9C479"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I.D.1 (b) of this report.</w:t>
      </w:r>
    </w:p>
  </w:footnote>
  <w:footnote w:id="133">
    <w:p w14:paraId="01E34814"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JI-021, TI-070, TI-076, TI-132, TI-159, XI-059.</w:t>
      </w:r>
    </w:p>
  </w:footnote>
  <w:footnote w:id="134">
    <w:p w14:paraId="0750CCF5"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TI-087, TI-132.</w:t>
      </w:r>
    </w:p>
  </w:footnote>
  <w:footnote w:id="135">
    <w:p w14:paraId="41D3947E"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TI-132.</w:t>
      </w:r>
    </w:p>
  </w:footnote>
  <w:footnote w:id="136">
    <w:p w14:paraId="6CF48D2A"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JI-011, QI-250, QI-255, YI-031. </w:t>
      </w:r>
    </w:p>
  </w:footnote>
  <w:footnote w:id="137">
    <w:p w14:paraId="7CD8684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JI-047, JI-050, TI-144, TI-070, TI-147.</w:t>
      </w:r>
    </w:p>
  </w:footnote>
  <w:footnote w:id="138">
    <w:p w14:paraId="1525A53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JI-029, JI-039, QI-250.</w:t>
      </w:r>
    </w:p>
  </w:footnote>
  <w:footnote w:id="139">
    <w:p w14:paraId="60410494" w14:textId="77777777" w:rsidR="00B831ED" w:rsidRPr="00B34E2E" w:rsidRDefault="00B831ED" w:rsidP="00F35CB9">
      <w:pPr>
        <w:pStyle w:val="FootnoteText"/>
        <w:spacing w:line="240" w:lineRule="auto"/>
        <w:ind w:left="0" w:right="567" w:firstLine="0"/>
        <w:rPr>
          <w:szCs w:val="18"/>
        </w:rPr>
      </w:pPr>
      <w:r w:rsidRPr="00B34E2E">
        <w:rPr>
          <w:szCs w:val="18"/>
          <w:vertAlign w:val="superscript"/>
        </w:rPr>
        <w:tab/>
      </w:r>
      <w:r w:rsidRPr="00B34E2E">
        <w:rPr>
          <w:szCs w:val="18"/>
          <w:vertAlign w:val="superscript"/>
        </w:rPr>
        <w:footnoteRef/>
      </w:r>
      <w:r w:rsidRPr="00B34E2E">
        <w:rPr>
          <w:szCs w:val="18"/>
          <w:vertAlign w:val="superscript"/>
        </w:rPr>
        <w:tab/>
      </w:r>
      <w:r w:rsidRPr="00B34E2E">
        <w:rPr>
          <w:szCs w:val="18"/>
        </w:rPr>
        <w:t>QI-255.</w:t>
      </w:r>
    </w:p>
  </w:footnote>
  <w:footnote w:id="140">
    <w:p w14:paraId="39597F6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XI-058, XI-069, JI-021, QI-217.</w:t>
      </w:r>
    </w:p>
  </w:footnote>
  <w:footnote w:id="141">
    <w:p w14:paraId="397A546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See below, section (c) (iii) of this chapter. </w:t>
      </w:r>
    </w:p>
  </w:footnote>
  <w:footnote w:id="142">
    <w:p w14:paraId="25042100" w14:textId="03892FB6"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See articles 28, 39, 108, 116 and 120, 155, 177, 228 and 229 of the Criminal Procedure Code adopted by </w:t>
      </w:r>
      <w:r>
        <w:rPr>
          <w:szCs w:val="18"/>
        </w:rPr>
        <w:t>l</w:t>
      </w:r>
      <w:r w:rsidRPr="00B34E2E">
        <w:rPr>
          <w:szCs w:val="18"/>
        </w:rPr>
        <w:t xml:space="preserve">aw n° 1/09 of 11 May 2018 on legal warrants. See also articles 35, 36 and 111 of the </w:t>
      </w:r>
      <w:bookmarkStart w:id="4" w:name="_Hlk39055748"/>
      <w:r w:rsidRPr="00B34E2E">
        <w:rPr>
          <w:szCs w:val="18"/>
        </w:rPr>
        <w:t xml:space="preserve">Criminal Procedure Code </w:t>
      </w:r>
      <w:bookmarkEnd w:id="4"/>
      <w:r w:rsidRPr="00B34E2E">
        <w:rPr>
          <w:szCs w:val="18"/>
        </w:rPr>
        <w:t>on the duty to inform the accused of his rights. The Commission notes that contrary to the draft revision of the Criminal Procedure Code that was published, night searches are only authorised in cases of flagrante delicto, serious threats to the physical integrity of individuals and terrorism, and officers of the judicial police must have a search warrant, except in cases of terrorism. The officers of public prosecution are authorised to carry out searches upon presenting their professional card. (On this subject, see articles 29, 123, 125 and 126 of the Crim</w:t>
      </w:r>
      <w:r>
        <w:rPr>
          <w:szCs w:val="18"/>
        </w:rPr>
        <w:t>inal Procedure Code adopted by l</w:t>
      </w:r>
      <w:r w:rsidRPr="00B34E2E">
        <w:rPr>
          <w:szCs w:val="18"/>
        </w:rPr>
        <w:t>aw n° 1/09 of 11 May 2018).</w:t>
      </w:r>
    </w:p>
  </w:footnote>
  <w:footnote w:id="143">
    <w:p w14:paraId="72A3B2F8" w14:textId="77777777" w:rsidR="00B831ED" w:rsidRPr="00B34E2E" w:rsidRDefault="00B831ED" w:rsidP="006F3606">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QI-176, QI-240, QI-251, QI-255, QI-265, TI-124, TI-133, XI-079, XI-081.</w:t>
      </w:r>
    </w:p>
  </w:footnote>
  <w:footnote w:id="144">
    <w:p w14:paraId="0E087D1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JI-043, TI-124.</w:t>
      </w:r>
    </w:p>
  </w:footnote>
  <w:footnote w:id="145">
    <w:p w14:paraId="76B28BB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JI-039, QI-227, QI-251, QI-255, TI-110, TI-144, TI-146, TI-147, XI-079, XI-081.</w:t>
      </w:r>
    </w:p>
  </w:footnote>
  <w:footnote w:id="146">
    <w:p w14:paraId="3AA75243" w14:textId="0447A276"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Pr>
          <w:szCs w:val="18"/>
        </w:rPr>
        <w:tab/>
        <w:t>Article 30 of the P</w:t>
      </w:r>
      <w:r w:rsidRPr="00B34E2E">
        <w:rPr>
          <w:szCs w:val="18"/>
        </w:rPr>
        <w:t xml:space="preserve">enal </w:t>
      </w:r>
      <w:r>
        <w:rPr>
          <w:szCs w:val="18"/>
        </w:rPr>
        <w:t>C</w:t>
      </w:r>
      <w:r w:rsidRPr="00B34E2E">
        <w:rPr>
          <w:szCs w:val="18"/>
        </w:rPr>
        <w:t>ode adopted by law n° 1/10 of 3 April 2013, remained unchanged in the penal code adopted by law n° 1/09 of 11 May 2018.</w:t>
      </w:r>
    </w:p>
  </w:footnote>
  <w:footnote w:id="147">
    <w:p w14:paraId="400B993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QI-217, QI-240, QI-251.</w:t>
      </w:r>
    </w:p>
  </w:footnote>
  <w:footnote w:id="148">
    <w:p w14:paraId="1801109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JI-027, JI-035, JI-039, QI-176.</w:t>
      </w:r>
    </w:p>
  </w:footnote>
  <w:footnote w:id="149">
    <w:p w14:paraId="7BE6739A" w14:textId="77777777" w:rsidR="00B831ED" w:rsidRPr="00B34E2E" w:rsidRDefault="00B831ED" w:rsidP="00F35CB9">
      <w:pPr>
        <w:pStyle w:val="FootnoteText"/>
        <w:spacing w:line="240" w:lineRule="auto"/>
        <w:ind w:right="567"/>
      </w:pPr>
      <w:r w:rsidRPr="00B34E2E">
        <w:tab/>
      </w:r>
      <w:r w:rsidRPr="00B34E2E">
        <w:rPr>
          <w:rStyle w:val="FootnoteReference"/>
          <w:szCs w:val="18"/>
        </w:rPr>
        <w:footnoteRef/>
      </w:r>
      <w:r w:rsidRPr="00B34E2E">
        <w:tab/>
        <w:t>JI-039.</w:t>
      </w:r>
    </w:p>
  </w:footnote>
  <w:footnote w:id="150">
    <w:p w14:paraId="52EDD9B9" w14:textId="77777777" w:rsidR="00B831ED" w:rsidRPr="00B34E2E" w:rsidRDefault="00B831ED" w:rsidP="00F35CB9">
      <w:pPr>
        <w:pStyle w:val="FootnoteText"/>
        <w:spacing w:line="240" w:lineRule="auto"/>
      </w:pPr>
      <w:r w:rsidRPr="00B34E2E">
        <w:tab/>
      </w:r>
      <w:r w:rsidRPr="00B34E2E">
        <w:rPr>
          <w:vertAlign w:val="superscript"/>
        </w:rPr>
        <w:footnoteRef/>
      </w:r>
      <w:r w:rsidRPr="00B34E2E">
        <w:tab/>
        <w:t>JI-027, TI-132, TI-144, TI-147, XI-058</w:t>
      </w:r>
    </w:p>
  </w:footnote>
  <w:footnote w:id="151">
    <w:p w14:paraId="09C674F0"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JI-001, XI-057, XI-070, XI-071. See part III.D of this report.</w:t>
      </w:r>
    </w:p>
  </w:footnote>
  <w:footnote w:id="152">
    <w:p w14:paraId="1D80CFCA"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 xml:space="preserve">JI-039, QI-250, QI-265, QI-273, TI-133, TI-146, XI-107. See also part III.C.3 of this report. </w:t>
      </w:r>
    </w:p>
  </w:footnote>
  <w:footnote w:id="153">
    <w:p w14:paraId="71B03F7D"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See part III.D of this report.</w:t>
      </w:r>
    </w:p>
  </w:footnote>
  <w:footnote w:id="154">
    <w:p w14:paraId="118086B7"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JI-025, JI-043, QI-176, QI-217, QI-240, TI-124, TI-138, TI-144, YI-025, XI-081.</w:t>
      </w:r>
    </w:p>
  </w:footnote>
  <w:footnote w:id="155">
    <w:p w14:paraId="0ABCC7F7"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JI-018, JI-043, TI-070, TI-140.</w:t>
      </w:r>
    </w:p>
  </w:footnote>
  <w:footnote w:id="156">
    <w:p w14:paraId="07500C07"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TI-133, TI-140.</w:t>
      </w:r>
    </w:p>
  </w:footnote>
  <w:footnote w:id="157">
    <w:p w14:paraId="24EA0BFC"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JI-039, TI-110, TI-146, QI-227, QI-240, QI-251, QI-255, XI-079, XI-081.</w:t>
      </w:r>
    </w:p>
  </w:footnote>
  <w:footnote w:id="158">
    <w:p w14:paraId="41DA992A" w14:textId="77777777" w:rsidR="00B831ED" w:rsidRPr="00B34E2E" w:rsidRDefault="00B831ED" w:rsidP="00F35CB9">
      <w:pPr>
        <w:pStyle w:val="FootnoteText"/>
        <w:spacing w:line="240" w:lineRule="auto"/>
      </w:pPr>
      <w:r w:rsidRPr="00B34E2E">
        <w:tab/>
      </w:r>
      <w:r w:rsidRPr="00B34E2E">
        <w:rPr>
          <w:vertAlign w:val="superscript"/>
        </w:rPr>
        <w:footnoteRef/>
      </w:r>
      <w:r w:rsidRPr="00B34E2E">
        <w:tab/>
        <w:t>QI-277, XI-079.</w:t>
      </w:r>
    </w:p>
  </w:footnote>
  <w:footnote w:id="159">
    <w:p w14:paraId="7A32B932" w14:textId="77777777" w:rsidR="00B831ED" w:rsidRPr="00B34E2E" w:rsidRDefault="00B831ED" w:rsidP="00F35CB9">
      <w:pPr>
        <w:pStyle w:val="FootnoteText"/>
        <w:spacing w:line="240" w:lineRule="auto"/>
      </w:pPr>
      <w:r w:rsidRPr="00B34E2E">
        <w:tab/>
      </w:r>
      <w:r w:rsidRPr="00B34E2E">
        <w:rPr>
          <w:rStyle w:val="FootnoteReference"/>
          <w:szCs w:val="18"/>
        </w:rPr>
        <w:footnoteRef/>
      </w:r>
      <w:r w:rsidRPr="00B34E2E">
        <w:tab/>
        <w:t>JI-001, JI-030, QI-240, TI-144, TI-147, XI-081.</w:t>
      </w:r>
    </w:p>
  </w:footnote>
  <w:footnote w:id="160">
    <w:p w14:paraId="06F7A44F" w14:textId="77777777" w:rsidR="00B831ED" w:rsidRPr="00B34E2E" w:rsidRDefault="00B831ED" w:rsidP="00F35CB9">
      <w:pPr>
        <w:pStyle w:val="FootnoteText"/>
        <w:spacing w:line="240" w:lineRule="auto"/>
        <w:ind w:right="567"/>
      </w:pPr>
      <w:r w:rsidRPr="00B34E2E">
        <w:tab/>
      </w:r>
      <w:r w:rsidRPr="00B34E2E">
        <w:rPr>
          <w:rStyle w:val="FootnoteReference"/>
          <w:szCs w:val="18"/>
        </w:rPr>
        <w:footnoteRef/>
      </w:r>
      <w:r w:rsidRPr="00B34E2E">
        <w:tab/>
        <w:t>QI-250.</w:t>
      </w:r>
    </w:p>
  </w:footnote>
  <w:footnote w:id="161">
    <w:p w14:paraId="656728F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JI-047, QI-251, TI-110, TI-144, TI-146, YI-025, XI-058, XI-069.</w:t>
      </w:r>
    </w:p>
  </w:footnote>
  <w:footnote w:id="162">
    <w:p w14:paraId="419B6366" w14:textId="77777777" w:rsidR="00B831ED" w:rsidRPr="00B34E2E" w:rsidRDefault="00B831ED" w:rsidP="00F35CB9">
      <w:pPr>
        <w:pStyle w:val="FootnoteText"/>
        <w:spacing w:line="240" w:lineRule="auto"/>
        <w:ind w:left="0" w:right="567" w:firstLine="0"/>
        <w:rPr>
          <w:szCs w:val="18"/>
        </w:rPr>
      </w:pPr>
      <w:r w:rsidRPr="00B34E2E">
        <w:rPr>
          <w:szCs w:val="18"/>
          <w:vertAlign w:val="superscript"/>
        </w:rPr>
        <w:tab/>
      </w:r>
      <w:r w:rsidRPr="00B34E2E">
        <w:rPr>
          <w:szCs w:val="18"/>
          <w:vertAlign w:val="superscript"/>
        </w:rPr>
        <w:footnoteRef/>
      </w:r>
      <w:r w:rsidRPr="00B34E2E">
        <w:rPr>
          <w:szCs w:val="18"/>
          <w:vertAlign w:val="superscript"/>
        </w:rPr>
        <w:tab/>
      </w:r>
      <w:r w:rsidRPr="00B34E2E">
        <w:rPr>
          <w:szCs w:val="18"/>
        </w:rPr>
        <w:t>XI-069.</w:t>
      </w:r>
    </w:p>
  </w:footnote>
  <w:footnote w:id="163">
    <w:p w14:paraId="0141077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TI-070.</w:t>
      </w:r>
    </w:p>
  </w:footnote>
  <w:footnote w:id="164">
    <w:p w14:paraId="36C817A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ZI-036. </w:t>
      </w:r>
    </w:p>
  </w:footnote>
  <w:footnote w:id="165">
    <w:p w14:paraId="35413193" w14:textId="77777777"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See the five categories of arbitrary detention identified in the methods of work of the United Nations Working Group on arbitrary detention (A/HRC/36/38, par. 8). The Working Group also considers that a detention is arbitrary when an asylum seeker, an immigrant or a refugee is subjected to a prolonged administrative detention without the possibility of administrative or judicial control or appeal ; and also when the  deprivation of liberty constitutes a violation of international law in so far as it results from discrimination based on birth, national, ethnic or social origin, language, religion, economic situation, political or other opinion, sex, sexual orientation, disability or other condition that tend or can lead to the violation of the principle of equality for all human beings.</w:t>
      </w:r>
    </w:p>
  </w:footnote>
  <w:footnote w:id="166">
    <w:p w14:paraId="21179EA9" w14:textId="77777777" w:rsidR="00B831ED" w:rsidRPr="00B34E2E" w:rsidRDefault="00B831ED" w:rsidP="00F35CB9">
      <w:pPr>
        <w:pStyle w:val="FootnoteText"/>
        <w:tabs>
          <w:tab w:val="clear" w:pos="1021"/>
          <w:tab w:val="left" w:pos="851"/>
          <w:tab w:val="left" w:pos="1134"/>
          <w:tab w:val="right" w:pos="1276"/>
        </w:tabs>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See article 111 of the 2013 </w:t>
      </w:r>
      <w:bookmarkStart w:id="5" w:name="_Hlk39060562"/>
      <w:r w:rsidRPr="00B34E2E">
        <w:rPr>
          <w:szCs w:val="18"/>
        </w:rPr>
        <w:t>Criminal Procedure Code</w:t>
      </w:r>
      <w:bookmarkEnd w:id="5"/>
      <w:r w:rsidRPr="00B34E2E">
        <w:rPr>
          <w:szCs w:val="18"/>
        </w:rPr>
        <w:t>. The Commission notes that the Criminal Procedure Code, revised in May 2018, prolongs this duration to 44 days, since the council chamber has up to 15 days to meet (see article 155 of the 2018 Criminal Procedure Code).</w:t>
      </w:r>
    </w:p>
  </w:footnote>
  <w:footnote w:id="167">
    <w:p w14:paraId="222E6D1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 of this report.</w:t>
      </w:r>
    </w:p>
  </w:footnote>
  <w:footnote w:id="168">
    <w:p w14:paraId="6A1C184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JI-035. </w:t>
      </w:r>
    </w:p>
  </w:footnote>
  <w:footnote w:id="169">
    <w:p w14:paraId="52DCE8A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JI-011, QI-255, YI-025.</w:t>
      </w:r>
    </w:p>
  </w:footnote>
  <w:footnote w:id="170">
    <w:p w14:paraId="7FD5848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JI-032, JI-048, XI-078, YI-054, YI-055.</w:t>
      </w:r>
    </w:p>
  </w:footnote>
  <w:footnote w:id="171">
    <w:p w14:paraId="3D4B6FD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QI-207, TI-118.</w:t>
      </w:r>
    </w:p>
  </w:footnote>
  <w:footnote w:id="172">
    <w:p w14:paraId="120F4C5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XI-057, YI-054, YI-055.</w:t>
      </w:r>
    </w:p>
  </w:footnote>
  <w:footnote w:id="173">
    <w:p w14:paraId="6FEFDA3A" w14:textId="5EF74C06"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The </w:t>
      </w:r>
      <w:r>
        <w:rPr>
          <w:szCs w:val="18"/>
        </w:rPr>
        <w:t>counter-part</w:t>
      </w:r>
      <w:r w:rsidRPr="00B34E2E">
        <w:rPr>
          <w:szCs w:val="18"/>
        </w:rPr>
        <w:t xml:space="preserve"> of </w:t>
      </w:r>
      <w:r>
        <w:rPr>
          <w:szCs w:val="18"/>
        </w:rPr>
        <w:t>detention</w:t>
      </w:r>
      <w:r w:rsidRPr="00B34E2E">
        <w:rPr>
          <w:szCs w:val="18"/>
        </w:rPr>
        <w:t xml:space="preserve"> without any legal basis, namely the release with no legal basis but against cash payments, is documented in detail in part III.D. of this report</w:t>
      </w:r>
      <w:r>
        <w:rPr>
          <w:szCs w:val="18"/>
        </w:rPr>
        <w:t>,</w:t>
      </w:r>
      <w:r w:rsidRPr="00B34E2E">
        <w:rPr>
          <w:szCs w:val="18"/>
        </w:rPr>
        <w:t xml:space="preserve"> which focuses on the corruption within the judicial system.</w:t>
      </w:r>
    </w:p>
  </w:footnote>
  <w:footnote w:id="174">
    <w:p w14:paraId="5F93C73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TI-099, XI-079, XI-081, ZI-034.</w:t>
      </w:r>
    </w:p>
  </w:footnote>
  <w:footnote w:id="175">
    <w:p w14:paraId="434FB68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III.B (b) of this report.</w:t>
      </w:r>
    </w:p>
  </w:footnote>
  <w:footnote w:id="176">
    <w:p w14:paraId="641AD998"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ZI-034.</w:t>
      </w:r>
    </w:p>
  </w:footnote>
  <w:footnote w:id="177">
    <w:p w14:paraId="751A9A05" w14:textId="77777777"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The Working Group on arbitrary detention identifies the rights and freedoms of movement, thought, conscience and religion, opinion and expression, peaceful assembly, association, participation in public affairs and equality before the law and cultural rights of minorities. See also part III.C.5 of this report.</w:t>
      </w:r>
    </w:p>
  </w:footnote>
  <w:footnote w:id="178">
    <w:p w14:paraId="1893B10C"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These cases are detailed in section (iii) of this chapter.</w:t>
      </w:r>
    </w:p>
  </w:footnote>
  <w:footnote w:id="179">
    <w:p w14:paraId="74FBDD51"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 xml:space="preserve">See part III.D of this report. </w:t>
      </w:r>
    </w:p>
  </w:footnote>
  <w:footnote w:id="180">
    <w:p w14:paraId="7D6662F5"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JI-032, TI-133, ZI-020, ZI-024, ZI-033.</w:t>
      </w:r>
    </w:p>
  </w:footnote>
  <w:footnote w:id="181">
    <w:p w14:paraId="5BEF5EFE"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JI-032, TI-133, TI-136, TI-137, TI-138.</w:t>
      </w:r>
    </w:p>
  </w:footnote>
  <w:footnote w:id="182">
    <w:p w14:paraId="091C1835" w14:textId="77777777" w:rsidR="00B831ED" w:rsidRPr="004B77F4" w:rsidRDefault="00B831ED" w:rsidP="00F35CB9">
      <w:pPr>
        <w:pStyle w:val="FootnoteText"/>
        <w:spacing w:line="240" w:lineRule="auto"/>
        <w:ind w:left="0" w:firstLine="0"/>
        <w:rPr>
          <w:szCs w:val="18"/>
          <w:lang w:val="fr-FR"/>
        </w:rPr>
      </w:pPr>
      <w:r w:rsidRPr="00B34E2E">
        <w:rPr>
          <w:szCs w:val="18"/>
        </w:rPr>
        <w:tab/>
      </w:r>
      <w:r w:rsidRPr="00B34E2E">
        <w:rPr>
          <w:szCs w:val="18"/>
          <w:vertAlign w:val="superscript"/>
        </w:rPr>
        <w:footnoteRef/>
      </w:r>
      <w:r w:rsidRPr="004B77F4">
        <w:rPr>
          <w:szCs w:val="18"/>
          <w:lang w:val="fr-FR"/>
        </w:rPr>
        <w:tab/>
        <w:t xml:space="preserve">JI-011, QI-250, QI-255, YI-031. See supra., la section (a) du chapitre. </w:t>
      </w:r>
    </w:p>
  </w:footnote>
  <w:footnote w:id="183">
    <w:p w14:paraId="15D96C3E" w14:textId="77777777" w:rsidR="00B831ED" w:rsidRPr="00B34E2E" w:rsidRDefault="00B831ED" w:rsidP="00F35CB9">
      <w:pPr>
        <w:pStyle w:val="FootnoteText"/>
        <w:spacing w:line="240" w:lineRule="auto"/>
        <w:ind w:left="0" w:firstLine="0"/>
        <w:rPr>
          <w:szCs w:val="18"/>
        </w:rPr>
      </w:pPr>
      <w:r w:rsidRPr="004B77F4">
        <w:rPr>
          <w:szCs w:val="18"/>
          <w:lang w:val="fr-FR"/>
        </w:rPr>
        <w:tab/>
      </w:r>
      <w:r w:rsidRPr="00B34E2E">
        <w:rPr>
          <w:rStyle w:val="FootnoteReference"/>
          <w:szCs w:val="18"/>
        </w:rPr>
        <w:footnoteRef/>
      </w:r>
      <w:r w:rsidRPr="00B34E2E">
        <w:rPr>
          <w:szCs w:val="18"/>
        </w:rPr>
        <w:tab/>
        <w:t xml:space="preserve">JI-011. </w:t>
      </w:r>
    </w:p>
  </w:footnote>
  <w:footnote w:id="184">
    <w:p w14:paraId="511A48D6"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Article 14 of the International Covenant on Civil and Political Rights.</w:t>
      </w:r>
    </w:p>
  </w:footnote>
  <w:footnote w:id="185">
    <w:p w14:paraId="78690A10" w14:textId="77777777" w:rsidR="00B831ED" w:rsidRPr="00B34E2E" w:rsidRDefault="00B831ED" w:rsidP="00F35CB9">
      <w:pPr>
        <w:pStyle w:val="FootnoteText"/>
        <w:spacing w:line="240" w:lineRule="auto"/>
        <w:rPr>
          <w:szCs w:val="18"/>
        </w:rPr>
      </w:pPr>
      <w:r w:rsidRPr="00B34E2E">
        <w:rPr>
          <w:szCs w:val="18"/>
        </w:rPr>
        <w:tab/>
      </w:r>
      <w:r w:rsidRPr="00B34E2E">
        <w:rPr>
          <w:rStyle w:val="FootnoteReference"/>
          <w:szCs w:val="18"/>
        </w:rPr>
        <w:footnoteRef/>
      </w:r>
      <w:r w:rsidRPr="00B34E2E">
        <w:rPr>
          <w:szCs w:val="18"/>
        </w:rPr>
        <w:tab/>
        <w:t>See part III.D of this report which details the lack of independence of the judicial system in general, as well as the regular violations of the rights to defense.</w:t>
      </w:r>
    </w:p>
  </w:footnote>
  <w:footnote w:id="186">
    <w:p w14:paraId="70B3FD3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TI-137, TI-138. </w:t>
      </w:r>
    </w:p>
  </w:footnote>
  <w:footnote w:id="187">
    <w:p w14:paraId="440665D3" w14:textId="77777777" w:rsidR="00B831ED" w:rsidRPr="00B34E2E" w:rsidRDefault="00B831ED" w:rsidP="00F35CB9">
      <w:pPr>
        <w:pStyle w:val="FootnoteText"/>
        <w:spacing w:line="240" w:lineRule="auto"/>
        <w:ind w:left="0" w:right="567" w:firstLine="0"/>
        <w:rPr>
          <w:szCs w:val="18"/>
        </w:rPr>
      </w:pPr>
      <w:r w:rsidRPr="00B34E2E">
        <w:rPr>
          <w:szCs w:val="18"/>
          <w:vertAlign w:val="superscript"/>
        </w:rPr>
        <w:tab/>
      </w:r>
      <w:r w:rsidRPr="00B34E2E">
        <w:rPr>
          <w:szCs w:val="18"/>
          <w:vertAlign w:val="superscript"/>
        </w:rPr>
        <w:footnoteRef/>
      </w:r>
      <w:r w:rsidRPr="00B34E2E">
        <w:rPr>
          <w:szCs w:val="18"/>
          <w:vertAlign w:val="superscript"/>
        </w:rPr>
        <w:tab/>
      </w:r>
      <w:r w:rsidRPr="00B34E2E">
        <w:rPr>
          <w:szCs w:val="18"/>
        </w:rPr>
        <w:t>TI-112.</w:t>
      </w:r>
    </w:p>
  </w:footnote>
  <w:footnote w:id="188">
    <w:p w14:paraId="447D1BB4"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JI-027, JI-039, QI-250, TI-110, TI-124, TI-133, TI-140, TI-146, XI-107.</w:t>
      </w:r>
    </w:p>
  </w:footnote>
  <w:footnote w:id="189">
    <w:p w14:paraId="0E9CB03F" w14:textId="77777777" w:rsidR="00B831ED" w:rsidRPr="004B77F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QI-227, TI-124, ZI-034.</w:t>
      </w:r>
    </w:p>
  </w:footnote>
  <w:footnote w:id="190">
    <w:p w14:paraId="2C220AEC"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JI-025, QI-217, TI-133.</w:t>
      </w:r>
    </w:p>
  </w:footnote>
  <w:footnote w:id="191">
    <w:p w14:paraId="3109D5C1" w14:textId="77777777" w:rsidR="00B831ED" w:rsidRPr="00B34E2E" w:rsidRDefault="00B831ED" w:rsidP="00F35CB9">
      <w:pPr>
        <w:pStyle w:val="FootnoteText"/>
        <w:spacing w:line="240" w:lineRule="auto"/>
        <w:ind w:right="567"/>
        <w:rPr>
          <w:szCs w:val="18"/>
        </w:rPr>
      </w:pPr>
      <w:r w:rsidRPr="004B77F4">
        <w:rPr>
          <w:szCs w:val="18"/>
          <w:lang w:val="fr-FR"/>
        </w:rPr>
        <w:tab/>
      </w:r>
      <w:r w:rsidRPr="00B34E2E">
        <w:rPr>
          <w:rStyle w:val="FootnoteReference"/>
          <w:szCs w:val="18"/>
        </w:rPr>
        <w:footnoteRef/>
      </w:r>
      <w:r w:rsidRPr="00B34E2E">
        <w:rPr>
          <w:szCs w:val="18"/>
        </w:rPr>
        <w:tab/>
        <w:t>Prison of Mpimba in Bujumbura Mairie, prison of Bubanza; prison of Bururi, prison of Gitega (which has a wing for women), prison of Muramvya, prison of Muyinga, prison for men and for women in Ngozi, prison of Rumonge, prison of Rutana, prison of Ruyigi, and the minors’ detention center of Ruyigi.</w:t>
      </w:r>
    </w:p>
  </w:footnote>
  <w:footnote w:id="192">
    <w:p w14:paraId="615A14AB" w14:textId="77777777" w:rsidR="00B831ED" w:rsidRPr="004B77F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See partie III.D sur présent rapport.</w:t>
      </w:r>
    </w:p>
  </w:footnote>
  <w:footnote w:id="193">
    <w:p w14:paraId="57D7CFDE" w14:textId="77777777" w:rsidR="00B831ED" w:rsidRPr="001163DE" w:rsidRDefault="00B831ED" w:rsidP="00F35CB9">
      <w:pPr>
        <w:pStyle w:val="FootnoteText"/>
        <w:spacing w:line="240" w:lineRule="auto"/>
        <w:ind w:left="0" w:right="567" w:firstLine="0"/>
        <w:rPr>
          <w:szCs w:val="18"/>
        </w:rPr>
      </w:pPr>
      <w:r w:rsidRPr="004B77F4">
        <w:rPr>
          <w:szCs w:val="18"/>
          <w:lang w:val="fr-FR"/>
        </w:rPr>
        <w:tab/>
      </w:r>
      <w:r w:rsidRPr="00B34E2E">
        <w:rPr>
          <w:rStyle w:val="FootnoteReference"/>
          <w:szCs w:val="18"/>
        </w:rPr>
        <w:footnoteRef/>
      </w:r>
      <w:r w:rsidRPr="001163DE">
        <w:rPr>
          <w:szCs w:val="18"/>
        </w:rPr>
        <w:tab/>
        <w:t>QI-217, QI-219, XI-057.</w:t>
      </w:r>
    </w:p>
  </w:footnote>
  <w:footnote w:id="194">
    <w:p w14:paraId="0D4E5922" w14:textId="5EEAE022" w:rsidR="00B831ED" w:rsidRPr="00181328" w:rsidRDefault="00B831ED" w:rsidP="00F35CB9">
      <w:pPr>
        <w:pStyle w:val="FootnoteText"/>
        <w:spacing w:line="240" w:lineRule="auto"/>
        <w:ind w:right="567"/>
        <w:rPr>
          <w:szCs w:val="18"/>
        </w:rPr>
      </w:pPr>
      <w:r w:rsidRPr="001163DE">
        <w:rPr>
          <w:szCs w:val="18"/>
        </w:rPr>
        <w:tab/>
      </w:r>
      <w:r w:rsidRPr="00B34E2E">
        <w:rPr>
          <w:rStyle w:val="FootnoteReference"/>
          <w:szCs w:val="18"/>
        </w:rPr>
        <w:footnoteRef/>
      </w:r>
      <w:r w:rsidRPr="00181328">
        <w:rPr>
          <w:szCs w:val="18"/>
        </w:rPr>
        <w:tab/>
        <w:t xml:space="preserve">CNIDH was permanently downgraded to status B during the assessment by the accreditation sub- committee of the Global Alliance of National Human Rights Institutions (GANHRI), </w:t>
      </w:r>
      <w:r w:rsidRPr="00181328">
        <w:rPr>
          <w:szCs w:val="18"/>
        </w:rPr>
        <w:br/>
      </w:r>
      <w:r w:rsidRPr="00181328">
        <w:rPr>
          <w:szCs w:val="18"/>
        </w:rPr>
        <w:tab/>
      </w:r>
      <w:r>
        <w:rPr>
          <w:szCs w:val="18"/>
        </w:rPr>
        <w:t>i</w:t>
      </w:r>
      <w:r w:rsidRPr="00181328">
        <w:rPr>
          <w:szCs w:val="18"/>
        </w:rPr>
        <w:t xml:space="preserve">n </w:t>
      </w:r>
      <w:r>
        <w:rPr>
          <w:szCs w:val="18"/>
        </w:rPr>
        <w:t>N</w:t>
      </w:r>
      <w:r w:rsidRPr="00181328">
        <w:rPr>
          <w:szCs w:val="18"/>
        </w:rPr>
        <w:t>ovembre 2017.</w:t>
      </w:r>
    </w:p>
  </w:footnote>
  <w:footnote w:id="195">
    <w:p w14:paraId="11BE2CE5" w14:textId="2E0B2391" w:rsidR="00B831ED" w:rsidRPr="00B34E2E" w:rsidRDefault="00B831ED" w:rsidP="00F35CB9">
      <w:pPr>
        <w:pStyle w:val="FootnoteText"/>
        <w:spacing w:line="240" w:lineRule="auto"/>
        <w:ind w:left="0" w:right="567" w:firstLine="0"/>
        <w:rPr>
          <w:szCs w:val="18"/>
        </w:rPr>
      </w:pPr>
      <w:r w:rsidRPr="00181328">
        <w:rPr>
          <w:szCs w:val="18"/>
        </w:rPr>
        <w:tab/>
      </w:r>
      <w:r w:rsidRPr="00B34E2E">
        <w:rPr>
          <w:rStyle w:val="FootnoteReference"/>
          <w:szCs w:val="18"/>
        </w:rPr>
        <w:footnoteRef/>
      </w:r>
      <w:r w:rsidRPr="00C00967">
        <w:rPr>
          <w:szCs w:val="18"/>
        </w:rPr>
        <w:tab/>
        <w:t xml:space="preserve">ACAT </w:t>
      </w:r>
      <w:r>
        <w:rPr>
          <w:szCs w:val="18"/>
        </w:rPr>
        <w:t>lost its registration</w:t>
      </w:r>
      <w:r w:rsidRPr="00C00967">
        <w:rPr>
          <w:szCs w:val="18"/>
        </w:rPr>
        <w:t xml:space="preserve"> in Octobre 2016. </w:t>
      </w:r>
      <w:r>
        <w:rPr>
          <w:szCs w:val="18"/>
        </w:rPr>
        <w:t>See</w:t>
      </w:r>
      <w:r w:rsidRPr="00B34E2E">
        <w:rPr>
          <w:szCs w:val="18"/>
        </w:rPr>
        <w:t>: A/HRC/36/CRP. 1, para. 576.</w:t>
      </w:r>
    </w:p>
  </w:footnote>
  <w:footnote w:id="196">
    <w:p w14:paraId="47CD01DE" w14:textId="77777777"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QI-193, QI-219, TI-068, TI-121, ZI-033. See also : </w:t>
      </w:r>
      <w:hyperlink r:id="rId3" w:history="1">
        <w:r w:rsidRPr="00B34E2E">
          <w:rPr>
            <w:rStyle w:val="Hyperlink"/>
            <w:szCs w:val="18"/>
          </w:rPr>
          <w:t>https://www.voaafrique.com/a/prison-a-vie-requise-contre-</w:t>
        </w:r>
      </w:hyperlink>
      <w:r w:rsidRPr="00B34E2E">
        <w:rPr>
          <w:szCs w:val="18"/>
        </w:rPr>
        <w:t>un-activiste-au-burundi/4335246.html.</w:t>
      </w:r>
    </w:p>
  </w:footnote>
  <w:footnote w:id="197">
    <w:p w14:paraId="1ECD6FBA" w14:textId="022AB864"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also: UA BDI 2/2017.</w:t>
      </w:r>
    </w:p>
  </w:footnote>
  <w:footnote w:id="198">
    <w:p w14:paraId="4A43F063" w14:textId="77777777" w:rsidR="00B831ED" w:rsidRPr="00B34E2E" w:rsidRDefault="00B831ED"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QI-190, QI-198, QI-274. See also: </w:t>
      </w:r>
      <w:hyperlink r:id="rId4" w:history="1">
        <w:r w:rsidRPr="00B34E2E">
          <w:rPr>
            <w:rStyle w:val="Hyperlink"/>
            <w:szCs w:val="18"/>
          </w:rPr>
          <w:t>http://www.rfi.fr/afrique/20180310-burundi-justice-trois-militants-jugement-condamnation-dix-ans-prison-absence-avocat</w:t>
        </w:r>
      </w:hyperlink>
      <w:r w:rsidRPr="00B34E2E">
        <w:rPr>
          <w:szCs w:val="18"/>
        </w:rPr>
        <w:t xml:space="preserve"> ; </w:t>
      </w:r>
      <w:hyperlink r:id="rId5" w:history="1">
        <w:r w:rsidRPr="00B34E2E">
          <w:rPr>
            <w:rStyle w:val="Hyperlink"/>
            <w:szCs w:val="18"/>
          </w:rPr>
          <w:t>http://www.omct.org/fr/human-rights-defenders/urgent-interventions/burundi/2018/07/d24984/</w:t>
        </w:r>
      </w:hyperlink>
      <w:r w:rsidRPr="00B34E2E">
        <w:rPr>
          <w:szCs w:val="18"/>
        </w:rPr>
        <w:t>.</w:t>
      </w:r>
    </w:p>
  </w:footnote>
  <w:footnote w:id="199">
    <w:p w14:paraId="2B69DA30"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QI-190, QI-198, QI-274.</w:t>
      </w:r>
    </w:p>
  </w:footnote>
  <w:footnote w:id="200">
    <w:p w14:paraId="16E41D36"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See A/HRC/36/CRP. 1, para. 576.</w:t>
      </w:r>
    </w:p>
  </w:footnote>
  <w:footnote w:id="201">
    <w:p w14:paraId="484155D1" w14:textId="77777777" w:rsidR="00B831ED" w:rsidRPr="00B34E2E" w:rsidRDefault="00B831ED"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 xml:space="preserve">JI-018. See also : UA BDI 4/2017 and </w:t>
      </w:r>
      <w:hyperlink r:id="rId6" w:history="1">
        <w:r w:rsidRPr="00B34E2E">
          <w:rPr>
            <w:rStyle w:val="Hyperlink"/>
            <w:szCs w:val="18"/>
          </w:rPr>
          <w:t>http://www.rfi.fr/afrique/20180814-burundi-</w:t>
        </w:r>
        <w:r w:rsidRPr="00B34E2E">
          <w:rPr>
            <w:rStyle w:val="Hyperlink"/>
            <w:szCs w:val="18"/>
          </w:rPr>
          <w:br/>
        </w:r>
        <w:r w:rsidRPr="00B34E2E">
          <w:rPr>
            <w:rStyle w:val="Hyperlink"/>
            <w:szCs w:val="18"/>
          </w:rPr>
          <w:tab/>
        </w:r>
        <w:r w:rsidRPr="00B34E2E">
          <w:rPr>
            <w:rStyle w:val="Hyperlink"/>
            <w:szCs w:val="18"/>
          </w:rPr>
          <w:tab/>
          <w:t>nestor-nibitanga-droits-homme-condamnation-prison</w:t>
        </w:r>
      </w:hyperlink>
      <w:r w:rsidRPr="00B34E2E">
        <w:rPr>
          <w:szCs w:val="18"/>
        </w:rPr>
        <w:t>.</w:t>
      </w:r>
    </w:p>
  </w:footnote>
  <w:footnote w:id="202">
    <w:p w14:paraId="0D860B6B"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JI-011, TI-144, TI-147, XI-055.</w:t>
      </w:r>
    </w:p>
  </w:footnote>
  <w:footnote w:id="203">
    <w:p w14:paraId="6A70CF33"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TI-144.</w:t>
      </w:r>
    </w:p>
  </w:footnote>
  <w:footnote w:id="204">
    <w:p w14:paraId="04C9D4BD"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III.C.3 and III.C.1 (b) of this report.</w:t>
      </w:r>
    </w:p>
  </w:footnote>
  <w:footnote w:id="205">
    <w:p w14:paraId="4DF2F7C7"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A/HRC/36/CRP.1, para. 400 to 443.</w:t>
      </w:r>
    </w:p>
  </w:footnote>
  <w:footnote w:id="206">
    <w:p w14:paraId="7D187211"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A/HRC/36/CRP.1, para. 308 to 35, 416, 444 to 499.</w:t>
      </w:r>
    </w:p>
  </w:footnote>
  <w:footnote w:id="207">
    <w:p w14:paraId="2DDD0225"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JI-006, JI-022, JI-028, JI-032, JI-038, XI-078, QI-279.</w:t>
      </w:r>
    </w:p>
  </w:footnote>
  <w:footnote w:id="208">
    <w:p w14:paraId="12A8049C"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III.C.1 (b) and 4 of this report.</w:t>
      </w:r>
    </w:p>
  </w:footnote>
  <w:footnote w:id="209">
    <w:p w14:paraId="52C58CDE" w14:textId="6829E222" w:rsidR="00B831ED" w:rsidRPr="00B34E2E" w:rsidRDefault="00B831ED" w:rsidP="00F35CB9">
      <w:pPr>
        <w:pStyle w:val="FootnoteText"/>
        <w:tabs>
          <w:tab w:val="clear" w:pos="1021"/>
          <w:tab w:val="right" w:pos="0"/>
          <w:tab w:val="left" w:pos="851"/>
          <w:tab w:val="left" w:pos="1134"/>
          <w:tab w:val="left" w:pos="1418"/>
        </w:tabs>
        <w:spacing w:line="240" w:lineRule="auto"/>
        <w:ind w:right="567"/>
        <w:rPr>
          <w:szCs w:val="18"/>
        </w:rPr>
      </w:pPr>
      <w:r w:rsidRPr="00B34E2E">
        <w:rPr>
          <w:szCs w:val="18"/>
        </w:rPr>
        <w:tab/>
      </w:r>
      <w:r w:rsidRPr="00B34E2E">
        <w:rPr>
          <w:rStyle w:val="FootnoteReference"/>
          <w:szCs w:val="18"/>
        </w:rPr>
        <w:footnoteRef/>
      </w:r>
      <w:r>
        <w:rPr>
          <w:szCs w:val="18"/>
        </w:rPr>
        <w:tab/>
        <w:t>Committee Against Torture, General C</w:t>
      </w:r>
      <w:r w:rsidRPr="00B34E2E">
        <w:rPr>
          <w:szCs w:val="18"/>
        </w:rPr>
        <w:t>omment n° 2, CA</w:t>
      </w:r>
      <w:r>
        <w:rPr>
          <w:szCs w:val="18"/>
        </w:rPr>
        <w:t>T/C/GC/2/CRP.1/Rev.4, para. 3; H</w:t>
      </w:r>
      <w:r w:rsidRPr="00B34E2E">
        <w:rPr>
          <w:szCs w:val="18"/>
        </w:rPr>
        <w:t xml:space="preserve">uman </w:t>
      </w:r>
      <w:r>
        <w:rPr>
          <w:szCs w:val="18"/>
        </w:rPr>
        <w:t>R</w:t>
      </w:r>
      <w:r w:rsidRPr="00B34E2E">
        <w:rPr>
          <w:szCs w:val="18"/>
        </w:rPr>
        <w:t>ights</w:t>
      </w:r>
      <w:r>
        <w:rPr>
          <w:szCs w:val="18"/>
        </w:rPr>
        <w:t xml:space="preserve"> Committee</w:t>
      </w:r>
      <w:r w:rsidRPr="00B34E2E">
        <w:rPr>
          <w:szCs w:val="18"/>
        </w:rPr>
        <w:t xml:space="preserve">, </w:t>
      </w:r>
      <w:r>
        <w:rPr>
          <w:szCs w:val="18"/>
        </w:rPr>
        <w:t>Vuolanne vs. Finland, C</w:t>
      </w:r>
      <w:r w:rsidRPr="00B34E2E">
        <w:rPr>
          <w:szCs w:val="18"/>
        </w:rPr>
        <w:t>ommunication n° 265/1987, 7 April 1989, para. 9-2.</w:t>
      </w:r>
    </w:p>
  </w:footnote>
  <w:footnote w:id="210">
    <w:p w14:paraId="7FBA035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JI-039, TI-081, TI-097, TI-133, XI-094, XI-104, YI-047, QI-227, QI-228.</w:t>
      </w:r>
    </w:p>
  </w:footnote>
  <w:footnote w:id="211">
    <w:p w14:paraId="1E1E8FD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TI-133, TI-143, QI-217.</w:t>
      </w:r>
    </w:p>
  </w:footnote>
  <w:footnote w:id="212">
    <w:p w14:paraId="1580511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XI-104.</w:t>
      </w:r>
    </w:p>
  </w:footnote>
  <w:footnote w:id="213">
    <w:p w14:paraId="76B4BFF7" w14:textId="77777777" w:rsidR="00B831ED" w:rsidRPr="00B34E2E" w:rsidRDefault="00B831ED" w:rsidP="00F35CB9">
      <w:pPr>
        <w:pStyle w:val="FootnoteText"/>
        <w:tabs>
          <w:tab w:val="clear" w:pos="1021"/>
          <w:tab w:val="right" w:pos="142"/>
          <w:tab w:val="left" w:pos="851"/>
          <w:tab w:val="left" w:pos="1134"/>
        </w:tabs>
        <w:spacing w:line="240" w:lineRule="auto"/>
        <w:ind w:right="567"/>
        <w:rPr>
          <w:szCs w:val="18"/>
        </w:rPr>
      </w:pPr>
      <w:r w:rsidRPr="00B34E2E">
        <w:rPr>
          <w:szCs w:val="18"/>
        </w:rPr>
        <w:tab/>
      </w:r>
      <w:r w:rsidRPr="00B34E2E">
        <w:rPr>
          <w:szCs w:val="18"/>
        </w:rPr>
        <w:tab/>
      </w:r>
      <w:r w:rsidRPr="00B34E2E">
        <w:rPr>
          <w:rStyle w:val="FootnoteReference"/>
          <w:szCs w:val="18"/>
        </w:rPr>
        <w:footnoteRef/>
      </w:r>
      <w:r w:rsidRPr="00B34E2E">
        <w:rPr>
          <w:szCs w:val="18"/>
        </w:rPr>
        <w:tab/>
        <w:t>JI-011, JI-042, QI-228, QI-243, QI-255, QI-256, QI-257, XI-094, XI-101, YI-002, TI-108, TI-148, YI-043.</w:t>
      </w:r>
    </w:p>
  </w:footnote>
  <w:footnote w:id="214">
    <w:p w14:paraId="0F355F4B" w14:textId="77777777" w:rsidR="00B831ED" w:rsidRPr="00B34E2E" w:rsidRDefault="00B831ED" w:rsidP="00F35CB9">
      <w:pPr>
        <w:pStyle w:val="FootnoteText"/>
        <w:tabs>
          <w:tab w:val="left" w:pos="567"/>
          <w:tab w:val="left" w:pos="851"/>
        </w:tabs>
        <w:spacing w:line="240" w:lineRule="auto"/>
        <w:ind w:left="0" w:right="0" w:firstLine="0"/>
        <w:rPr>
          <w:szCs w:val="18"/>
        </w:rPr>
      </w:pPr>
      <w:r w:rsidRPr="00B34E2E">
        <w:rPr>
          <w:szCs w:val="18"/>
        </w:rPr>
        <w:tab/>
      </w:r>
      <w:r w:rsidRPr="00B34E2E">
        <w:rPr>
          <w:szCs w:val="18"/>
        </w:rPr>
        <w:tab/>
      </w:r>
      <w:r w:rsidRPr="00B34E2E">
        <w:rPr>
          <w:rStyle w:val="FootnoteReference"/>
          <w:szCs w:val="18"/>
        </w:rPr>
        <w:footnoteRef/>
      </w:r>
      <w:r w:rsidRPr="00B34E2E">
        <w:rPr>
          <w:szCs w:val="18"/>
        </w:rPr>
        <w:tab/>
        <w:t>JI-010, JI-030, TI-144</w:t>
      </w:r>
      <w:r w:rsidRPr="00B34E2E">
        <w:rPr>
          <w:color w:val="FF0000"/>
          <w:szCs w:val="18"/>
        </w:rPr>
        <w:t>.</w:t>
      </w:r>
    </w:p>
  </w:footnote>
  <w:footnote w:id="215">
    <w:p w14:paraId="0D957DC4" w14:textId="77777777" w:rsidR="00B831ED" w:rsidRPr="00B34E2E" w:rsidRDefault="00B831ED" w:rsidP="00F35CB9">
      <w:pPr>
        <w:pStyle w:val="FootnoteText"/>
        <w:tabs>
          <w:tab w:val="left" w:pos="851"/>
          <w:tab w:val="left" w:pos="1134"/>
        </w:tabs>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TI-144.</w:t>
      </w:r>
    </w:p>
  </w:footnote>
  <w:footnote w:id="216">
    <w:p w14:paraId="3B06808D" w14:textId="6CFC205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w:t>
      </w:r>
      <w:hyperlink r:id="rId7" w:history="1">
        <w:r w:rsidRPr="00B34E2E">
          <w:rPr>
            <w:rStyle w:val="Hyperlink"/>
            <w:szCs w:val="18"/>
          </w:rPr>
          <w:t>https://www.youtube.com/watch?v=3TOoXb2PqVI</w:t>
        </w:r>
      </w:hyperlink>
      <w:r w:rsidRPr="00B34E2E">
        <w:rPr>
          <w:szCs w:val="18"/>
        </w:rPr>
        <w:t xml:space="preserve">. </w:t>
      </w:r>
    </w:p>
  </w:footnote>
  <w:footnote w:id="217">
    <w:p w14:paraId="037E6B7B"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 </w:t>
      </w:r>
      <w:hyperlink r:id="rId8" w:history="1">
        <w:r w:rsidRPr="00B34E2E">
          <w:rPr>
            <w:rStyle w:val="Hyperlink"/>
            <w:szCs w:val="18"/>
          </w:rPr>
          <w:t>http://www.rfi.fr/afrique/20180322-burundi-mort-etrange-simon-bizimana-police-pnb</w:t>
        </w:r>
      </w:hyperlink>
      <w:r w:rsidRPr="00B34E2E">
        <w:rPr>
          <w:szCs w:val="18"/>
        </w:rPr>
        <w:t>.</w:t>
      </w:r>
    </w:p>
  </w:footnote>
  <w:footnote w:id="218">
    <w:p w14:paraId="23EE0163"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JI-037, XI-094, QI-176, YI-047.</w:t>
      </w:r>
    </w:p>
  </w:footnote>
  <w:footnote w:id="219">
    <w:p w14:paraId="7CB7F32D"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YI-047.</w:t>
      </w:r>
    </w:p>
  </w:footnote>
  <w:footnote w:id="220">
    <w:p w14:paraId="37F8F8B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JI-032, JI-039, JI-042, TI-081.</w:t>
      </w:r>
    </w:p>
  </w:footnote>
  <w:footnote w:id="221">
    <w:p w14:paraId="656B3A02"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w:t>
      </w:r>
    </w:p>
  </w:footnote>
  <w:footnote w:id="222">
    <w:p w14:paraId="5D9D4647" w14:textId="77777777" w:rsidR="00B831ED" w:rsidRPr="00B34E2E" w:rsidRDefault="00B831ED" w:rsidP="00F35CB9">
      <w:pPr>
        <w:pStyle w:val="FootnoteText"/>
      </w:pPr>
      <w:r w:rsidRPr="00B34E2E">
        <w:tab/>
      </w:r>
      <w:r w:rsidRPr="00B34E2E">
        <w:rPr>
          <w:rStyle w:val="FootnoteReference"/>
          <w:szCs w:val="18"/>
        </w:rPr>
        <w:footnoteRef/>
      </w:r>
      <w:r w:rsidRPr="00B34E2E">
        <w:tab/>
        <w:t xml:space="preserve">JI-010, JI-021, JI-037, JI-039, QI-207, QI-228, QI-273, TI-081, TI-146, TI-144, XI-081, XI-094, </w:t>
      </w:r>
    </w:p>
    <w:p w14:paraId="759DECAE" w14:textId="77777777" w:rsidR="00B831ED" w:rsidRPr="00B34E2E" w:rsidRDefault="00B831ED" w:rsidP="00F35CB9">
      <w:pPr>
        <w:pStyle w:val="FootnoteText"/>
        <w:tabs>
          <w:tab w:val="clear" w:pos="1021"/>
          <w:tab w:val="left" w:pos="284"/>
          <w:tab w:val="right" w:pos="567"/>
          <w:tab w:val="left" w:pos="851"/>
        </w:tabs>
        <w:spacing w:line="240" w:lineRule="auto"/>
        <w:ind w:right="567"/>
        <w:rPr>
          <w:szCs w:val="18"/>
        </w:rPr>
      </w:pPr>
      <w:r w:rsidRPr="00B34E2E">
        <w:rPr>
          <w:szCs w:val="18"/>
        </w:rPr>
        <w:tab/>
      </w:r>
      <w:r w:rsidRPr="00B34E2E">
        <w:rPr>
          <w:szCs w:val="18"/>
        </w:rPr>
        <w:tab/>
      </w:r>
      <w:r w:rsidRPr="00B34E2E">
        <w:rPr>
          <w:szCs w:val="18"/>
        </w:rPr>
        <w:tab/>
      </w:r>
      <w:r w:rsidRPr="00B34E2E">
        <w:rPr>
          <w:szCs w:val="18"/>
        </w:rPr>
        <w:tab/>
        <w:t>XI-105, XI-110, XI-111, YI-025, YI-043, YI-047.</w:t>
      </w:r>
    </w:p>
  </w:footnote>
  <w:footnote w:id="223">
    <w:p w14:paraId="468DB5B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JI-039.</w:t>
      </w:r>
    </w:p>
  </w:footnote>
  <w:footnote w:id="224">
    <w:p w14:paraId="4580F38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TI-132, TI-148, QI-227, XI-104. </w:t>
      </w:r>
    </w:p>
  </w:footnote>
  <w:footnote w:id="225">
    <w:p w14:paraId="7F0BC89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JI-025, QI-217, TI-133. </w:t>
      </w:r>
    </w:p>
  </w:footnote>
  <w:footnote w:id="226">
    <w:p w14:paraId="021BA32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TI-133, TI-143, TI-124.</w:t>
      </w:r>
    </w:p>
  </w:footnote>
  <w:footnote w:id="227">
    <w:p w14:paraId="794DBAB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JI-030, TI-132.</w:t>
      </w:r>
    </w:p>
  </w:footnote>
  <w:footnote w:id="228">
    <w:p w14:paraId="36020D1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III.B.1 (b) of this report.</w:t>
      </w:r>
    </w:p>
  </w:footnote>
  <w:footnote w:id="229">
    <w:p w14:paraId="07BD759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JI-039.</w:t>
      </w:r>
    </w:p>
  </w:footnote>
  <w:footnote w:id="230">
    <w:p w14:paraId="0A54DED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TI-110, TI-132, TI-148, XI-104, JI-030.</w:t>
      </w:r>
    </w:p>
  </w:footnote>
  <w:footnote w:id="231">
    <w:p w14:paraId="74F5FF2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TI-133, QI-217.</w:t>
      </w:r>
    </w:p>
  </w:footnote>
  <w:footnote w:id="232">
    <w:p w14:paraId="1C4955B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JI-021, JI-028, JI-032, QI-075, QI-203, QI-205, QI-207, QI-274, XI-078.</w:t>
      </w:r>
    </w:p>
  </w:footnote>
  <w:footnote w:id="233">
    <w:p w14:paraId="446A980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w:t>
      </w:r>
    </w:p>
  </w:footnote>
  <w:footnote w:id="234">
    <w:p w14:paraId="485683F4"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QI-207.</w:t>
      </w:r>
    </w:p>
  </w:footnote>
  <w:footnote w:id="235">
    <w:p w14:paraId="3A1111D1"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JI-011, JI-046, TI-097, TI-144, XI-081.</w:t>
      </w:r>
    </w:p>
  </w:footnote>
  <w:footnote w:id="236">
    <w:p w14:paraId="3BE5412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JI-011, JI-021, JI-039, JI-042, TI-143, XI-094, QI-228, QI-256, QI-273, TI-146.</w:t>
      </w:r>
    </w:p>
  </w:footnote>
  <w:footnote w:id="237">
    <w:p w14:paraId="6501B19C"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JI-037, TI-144, XI-107, XI-110, XI-111, YI-025, YI-043, YI-047, QI-255.</w:t>
      </w:r>
    </w:p>
  </w:footnote>
  <w:footnote w:id="238">
    <w:p w14:paraId="0D07A73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w:t>
      </w:r>
    </w:p>
  </w:footnote>
  <w:footnote w:id="239">
    <w:p w14:paraId="79A6678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TI-133, TI-132, TI-144.</w:t>
      </w:r>
    </w:p>
  </w:footnote>
  <w:footnote w:id="240">
    <w:p w14:paraId="7FDFA17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JI-021 JI-025, XI-104, TI-133, YI-047.</w:t>
      </w:r>
    </w:p>
  </w:footnote>
  <w:footnote w:id="241">
    <w:p w14:paraId="4142BEE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JI-030, JI-046, XI-081, XI-094, XI-104, TI-097, TI-132, TI-144, TI-148, QI-273.</w:t>
      </w:r>
    </w:p>
  </w:footnote>
  <w:footnote w:id="242">
    <w:p w14:paraId="38A382CF" w14:textId="77777777" w:rsidR="00B831ED" w:rsidRPr="004B77F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JI-025, JI-046, XI-094.</w:t>
      </w:r>
    </w:p>
  </w:footnote>
  <w:footnote w:id="243">
    <w:p w14:paraId="73DE0A93"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JI-011, QI-243, TI-081.</w:t>
      </w:r>
    </w:p>
  </w:footnote>
  <w:footnote w:id="244">
    <w:p w14:paraId="28489F44" w14:textId="0A26C2C2"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JI-021, JI-037, TI-144, QI-207, QI-273, YI-047.</w:t>
      </w:r>
    </w:p>
  </w:footnote>
  <w:footnote w:id="245">
    <w:p w14:paraId="0512C2E8"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JI-011, JI-025, JI-030, JI-039, JI-046, TI-143, TI-144, YI-043, YI-047, QI-256, XI-104.</w:t>
      </w:r>
    </w:p>
  </w:footnote>
  <w:footnote w:id="246">
    <w:p w14:paraId="3BCBF188" w14:textId="77777777" w:rsidR="00B831ED" w:rsidRPr="00B34E2E" w:rsidRDefault="00B831ED" w:rsidP="00F35CB9">
      <w:pPr>
        <w:pStyle w:val="FootnoteText"/>
        <w:spacing w:line="240" w:lineRule="auto"/>
        <w:ind w:left="0" w:right="567" w:firstLine="0"/>
        <w:rPr>
          <w:szCs w:val="18"/>
        </w:rPr>
      </w:pPr>
      <w:r w:rsidRPr="004B77F4">
        <w:rPr>
          <w:szCs w:val="18"/>
          <w:lang w:val="fr-FR"/>
        </w:rPr>
        <w:tab/>
      </w:r>
      <w:r w:rsidRPr="00B34E2E">
        <w:rPr>
          <w:rStyle w:val="FootnoteReference"/>
          <w:szCs w:val="18"/>
        </w:rPr>
        <w:footnoteRef/>
      </w:r>
      <w:r w:rsidRPr="00B34E2E">
        <w:rPr>
          <w:szCs w:val="18"/>
        </w:rPr>
        <w:tab/>
        <w:t>QI-256, TI-133, TI-143, XI-081.</w:t>
      </w:r>
    </w:p>
  </w:footnote>
  <w:footnote w:id="247">
    <w:p w14:paraId="19FDD18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JI-030, JI-039. </w:t>
      </w:r>
    </w:p>
  </w:footnote>
  <w:footnote w:id="248">
    <w:p w14:paraId="395C5A8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JI-039, TI-124, TI-133, YI-043. </w:t>
      </w:r>
    </w:p>
  </w:footnote>
  <w:footnote w:id="249">
    <w:p w14:paraId="270993C8"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III.C.4 of this report.</w:t>
      </w:r>
    </w:p>
  </w:footnote>
  <w:footnote w:id="250">
    <w:p w14:paraId="357735F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JI-021, JI-025, JI-037, JI-039, JI-042, TI-133, YI-047. </w:t>
      </w:r>
    </w:p>
  </w:footnote>
  <w:footnote w:id="251">
    <w:p w14:paraId="395E74E3" w14:textId="77777777" w:rsidR="00B831ED" w:rsidRPr="0028043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280434">
        <w:rPr>
          <w:szCs w:val="18"/>
          <w:lang w:val="fr-FR"/>
        </w:rPr>
        <w:tab/>
        <w:t>TI-133.</w:t>
      </w:r>
    </w:p>
  </w:footnote>
  <w:footnote w:id="252">
    <w:p w14:paraId="77B703B9" w14:textId="77777777" w:rsidR="00B831ED" w:rsidRPr="004B77F4" w:rsidRDefault="00B831ED" w:rsidP="00F35CB9">
      <w:pPr>
        <w:pStyle w:val="FootnoteText"/>
        <w:spacing w:line="240" w:lineRule="auto"/>
        <w:ind w:left="0" w:right="567" w:firstLine="0"/>
        <w:rPr>
          <w:szCs w:val="18"/>
          <w:lang w:val="fr-FR"/>
        </w:rPr>
      </w:pPr>
      <w:r w:rsidRPr="00280434">
        <w:rPr>
          <w:szCs w:val="18"/>
          <w:lang w:val="fr-FR"/>
        </w:rPr>
        <w:tab/>
      </w:r>
      <w:r w:rsidRPr="00B34E2E">
        <w:rPr>
          <w:rStyle w:val="FootnoteReference"/>
          <w:szCs w:val="18"/>
        </w:rPr>
        <w:footnoteRef/>
      </w:r>
      <w:r w:rsidRPr="004B77F4">
        <w:rPr>
          <w:szCs w:val="18"/>
          <w:lang w:val="fr-FR"/>
        </w:rPr>
        <w:tab/>
        <w:t>XI-066, JI-028, TI-140, QI-210.</w:t>
      </w:r>
    </w:p>
  </w:footnote>
  <w:footnote w:id="253">
    <w:p w14:paraId="4316D98D"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JI-018, JI-030, XI-066.</w:t>
      </w:r>
    </w:p>
  </w:footnote>
  <w:footnote w:id="254">
    <w:p w14:paraId="5EA4CE1D"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JI-018, XI-078, XI-107, QI-200, QI-274.</w:t>
      </w:r>
    </w:p>
  </w:footnote>
  <w:footnote w:id="255">
    <w:p w14:paraId="73840AD8"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JI-011, JI-018, JI-025, JI-030, JI-035, JI-039, TI-110, TI-133, QI-210.</w:t>
      </w:r>
    </w:p>
  </w:footnote>
  <w:footnote w:id="256">
    <w:p w14:paraId="2BA0F848" w14:textId="77777777" w:rsidR="00B831ED" w:rsidRPr="00B34E2E" w:rsidRDefault="00B831ED" w:rsidP="00F35CB9">
      <w:pPr>
        <w:pStyle w:val="FootnoteText"/>
        <w:spacing w:line="240" w:lineRule="auto"/>
        <w:ind w:left="0" w:right="567" w:firstLine="0"/>
        <w:rPr>
          <w:szCs w:val="18"/>
        </w:rPr>
      </w:pPr>
      <w:r w:rsidRPr="004B77F4">
        <w:rPr>
          <w:szCs w:val="18"/>
          <w:lang w:val="fr-FR"/>
        </w:rPr>
        <w:tab/>
      </w:r>
      <w:r w:rsidRPr="00B34E2E">
        <w:rPr>
          <w:rStyle w:val="FootnoteReference"/>
          <w:szCs w:val="18"/>
        </w:rPr>
        <w:footnoteRef/>
      </w:r>
      <w:r w:rsidRPr="00B34E2E">
        <w:rPr>
          <w:szCs w:val="18"/>
        </w:rPr>
        <w:tab/>
        <w:t>JI-018, XI-066.</w:t>
      </w:r>
    </w:p>
  </w:footnote>
  <w:footnote w:id="257">
    <w:p w14:paraId="5961A6B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XI-066.</w:t>
      </w:r>
    </w:p>
  </w:footnote>
  <w:footnote w:id="258">
    <w:p w14:paraId="12459C0A" w14:textId="77777777" w:rsidR="00B831ED" w:rsidRPr="00B34E2E" w:rsidRDefault="00B831ED" w:rsidP="00F35CB9">
      <w:pPr>
        <w:pStyle w:val="FootnoteText"/>
        <w:spacing w:line="240" w:lineRule="auto"/>
        <w:ind w:right="567"/>
      </w:pPr>
      <w:r w:rsidRPr="00B34E2E">
        <w:tab/>
      </w:r>
      <w:r w:rsidRPr="00B34E2E">
        <w:rPr>
          <w:rStyle w:val="FootnoteReference"/>
        </w:rPr>
        <w:footnoteRef/>
      </w:r>
      <w:r w:rsidRPr="00B34E2E">
        <w:tab/>
      </w:r>
      <w:r w:rsidRPr="00B34E2E">
        <w:tab/>
        <w:t xml:space="preserve">See: </w:t>
      </w:r>
      <w:hyperlink r:id="rId9" w:history="1">
        <w:r w:rsidRPr="00B34E2E">
          <w:rPr>
            <w:rStyle w:val="Hyperlink"/>
          </w:rPr>
          <w:t>http://www.iwacu-burundi.org/plus-de-9-mille-detenus-dans-11-prisons-au-burundi/</w:t>
        </w:r>
      </w:hyperlink>
      <w:r w:rsidRPr="00B34E2E">
        <w:t>.</w:t>
      </w:r>
    </w:p>
  </w:footnote>
  <w:footnote w:id="259">
    <w:p w14:paraId="137FF225" w14:textId="39E02C92" w:rsidR="00B831ED" w:rsidRPr="00B34E2E" w:rsidRDefault="00B831ED" w:rsidP="00F35CB9">
      <w:pPr>
        <w:pStyle w:val="FootnoteText"/>
        <w:tabs>
          <w:tab w:val="clear" w:pos="1021"/>
          <w:tab w:val="right" w:pos="0"/>
          <w:tab w:val="left" w:pos="851"/>
        </w:tabs>
        <w:spacing w:line="240" w:lineRule="auto"/>
        <w:ind w:right="567"/>
        <w:jc w:val="both"/>
        <w:rPr>
          <w:szCs w:val="18"/>
        </w:rPr>
      </w:pPr>
      <w:r w:rsidRPr="00B34E2E">
        <w:rPr>
          <w:szCs w:val="18"/>
        </w:rPr>
        <w:tab/>
      </w:r>
      <w:r w:rsidRPr="00B34E2E">
        <w:rPr>
          <w:rStyle w:val="FootnoteReference"/>
          <w:szCs w:val="18"/>
        </w:rPr>
        <w:footnoteRef/>
      </w:r>
      <w:r>
        <w:rPr>
          <w:szCs w:val="18"/>
        </w:rPr>
        <w:tab/>
        <w:t>The general D</w:t>
      </w:r>
      <w:r w:rsidRPr="00B34E2E">
        <w:rPr>
          <w:szCs w:val="18"/>
        </w:rPr>
        <w:t xml:space="preserve">irector mentionned that 49 agents were allocated to Mpimba prison with only five agents allocated to social service, four agents to logistics and around four others to legal service to ensure the follow up of cases of 3,500 detainees. Therefore, the remaining ten prisons have an average of 14 agents for judicial, social and logistical services. </w:t>
      </w:r>
    </w:p>
  </w:footnote>
  <w:footnote w:id="260">
    <w:p w14:paraId="2E7925F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Press conference of 16 July 2018. </w:t>
      </w:r>
    </w:p>
  </w:footnote>
  <w:footnote w:id="261">
    <w:p w14:paraId="78B37615" w14:textId="16D86AEE" w:rsidR="00B831ED" w:rsidRPr="00B34E2E" w:rsidRDefault="00B831ED" w:rsidP="00F35CB9">
      <w:pPr>
        <w:pStyle w:val="FootnoteText"/>
        <w:tabs>
          <w:tab w:val="clear" w:pos="1021"/>
          <w:tab w:val="right" w:pos="0"/>
          <w:tab w:val="left" w:pos="851"/>
        </w:tabs>
        <w:spacing w:line="240" w:lineRule="auto"/>
        <w:ind w:right="567"/>
        <w:jc w:val="both"/>
        <w:rPr>
          <w:szCs w:val="18"/>
        </w:rPr>
      </w:pPr>
      <w:r w:rsidRPr="00B34E2E">
        <w:rPr>
          <w:szCs w:val="18"/>
        </w:rPr>
        <w:tab/>
      </w:r>
      <w:r w:rsidRPr="00B34E2E">
        <w:rPr>
          <w:rStyle w:val="FootnoteReference"/>
          <w:szCs w:val="18"/>
        </w:rPr>
        <w:footnoteRef/>
      </w:r>
      <w:r w:rsidRPr="00B34E2E">
        <w:rPr>
          <w:szCs w:val="18"/>
        </w:rPr>
        <w:tab/>
        <w:t>They are either detainees who join the youth league of CNDD-FDD once in prison in order to obtain</w:t>
      </w:r>
      <w:r>
        <w:rPr>
          <w:szCs w:val="18"/>
        </w:rPr>
        <w:t xml:space="preserve"> advantages such as</w:t>
      </w:r>
      <w:r w:rsidRPr="00B34E2E">
        <w:rPr>
          <w:szCs w:val="18"/>
        </w:rPr>
        <w:t xml:space="preserve"> a better detention regime or some form of protection; </w:t>
      </w:r>
      <w:r>
        <w:rPr>
          <w:szCs w:val="18"/>
        </w:rPr>
        <w:t xml:space="preserve">or </w:t>
      </w:r>
      <w:r w:rsidRPr="00B34E2E">
        <w:rPr>
          <w:szCs w:val="18"/>
        </w:rPr>
        <w:t xml:space="preserve">detained Imbonerakure outside of the judicial procedure as a result of an internal disciplinary action decided by their hierarchical supervisors; </w:t>
      </w:r>
      <w:r>
        <w:rPr>
          <w:szCs w:val="18"/>
        </w:rPr>
        <w:t xml:space="preserve">or </w:t>
      </w:r>
      <w:r w:rsidRPr="00B34E2E">
        <w:rPr>
          <w:szCs w:val="18"/>
        </w:rPr>
        <w:t>Imbonerakure who were condemned before or in preventive custody; or Imbonerakure who lost the confidence of the CNDD-FDD youth league.</w:t>
      </w:r>
    </w:p>
  </w:footnote>
  <w:footnote w:id="262">
    <w:p w14:paraId="17C60AA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JI-032, QI-207.</w:t>
      </w:r>
    </w:p>
  </w:footnote>
  <w:footnote w:id="263">
    <w:p w14:paraId="2393686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JI-032, QI-274.</w:t>
      </w:r>
    </w:p>
  </w:footnote>
  <w:footnote w:id="264">
    <w:p w14:paraId="691A33E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III.D.2 (b) of this report.</w:t>
      </w:r>
    </w:p>
  </w:footnote>
  <w:footnote w:id="265">
    <w:p w14:paraId="2D460CFF" w14:textId="77777777" w:rsidR="00B831ED" w:rsidRPr="004B77F4" w:rsidRDefault="00B831ED"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JI-042, JI-046, ZI-013, ZI-029, QI-255.</w:t>
      </w:r>
    </w:p>
  </w:footnote>
  <w:footnote w:id="266">
    <w:p w14:paraId="736D5193" w14:textId="77777777" w:rsidR="00B831ED" w:rsidRPr="004B77F4" w:rsidRDefault="00B831ED"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JI-006, JI-021, JI-025, JI-046, QI-177, QI-227, QI-228, TI-081, TI-133, XI-081, XI-104.</w:t>
      </w:r>
    </w:p>
  </w:footnote>
  <w:footnote w:id="267">
    <w:p w14:paraId="43DF646C" w14:textId="77777777" w:rsidR="00B831ED" w:rsidRPr="00B34E2E" w:rsidRDefault="00B831ED" w:rsidP="00F35CB9">
      <w:pPr>
        <w:pStyle w:val="FootnoteText"/>
        <w:spacing w:line="240" w:lineRule="auto"/>
        <w:ind w:left="0" w:right="567" w:firstLine="0"/>
        <w:rPr>
          <w:szCs w:val="18"/>
        </w:rPr>
      </w:pPr>
      <w:r w:rsidRPr="004B77F4">
        <w:rPr>
          <w:szCs w:val="18"/>
          <w:lang w:val="fr-FR"/>
        </w:rPr>
        <w:tab/>
      </w:r>
      <w:r w:rsidRPr="00B34E2E">
        <w:rPr>
          <w:rStyle w:val="FootnoteReference"/>
          <w:szCs w:val="18"/>
        </w:rPr>
        <w:footnoteRef/>
      </w:r>
      <w:r w:rsidRPr="00B34E2E">
        <w:rPr>
          <w:szCs w:val="18"/>
        </w:rPr>
        <w:tab/>
        <w:t>JI-035, JI-046, QI-227, TI-133.</w:t>
      </w:r>
    </w:p>
  </w:footnote>
  <w:footnote w:id="268">
    <w:p w14:paraId="6C1C4BF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 TI-133, QI-227, XI-081.</w:t>
      </w:r>
    </w:p>
  </w:footnote>
  <w:footnote w:id="269">
    <w:p w14:paraId="149C1110"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JI-006.</w:t>
      </w:r>
    </w:p>
  </w:footnote>
  <w:footnote w:id="270">
    <w:p w14:paraId="424758D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w:t>
      </w:r>
    </w:p>
  </w:footnote>
  <w:footnote w:id="271">
    <w:p w14:paraId="4629367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A/HRC/36/CRP.1, para. 444 to 499.</w:t>
      </w:r>
    </w:p>
  </w:footnote>
  <w:footnote w:id="272">
    <w:p w14:paraId="361BF3DC" w14:textId="77777777" w:rsidR="00B831ED" w:rsidRPr="00B34E2E" w:rsidRDefault="00B831ED"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The Commission recalls that the witness statements collected as part of the current investigation only represent a fraction of sexual violence likely committed since April 2015 since, generally, victims of sexual violence remain silent on the crimes they endured for years; and several never talk about them out of shame or fear of being stigmatised. In addition, persons who endured sexual violence in detention can only testify after their release, often several years after the facts.</w:t>
      </w:r>
    </w:p>
  </w:footnote>
  <w:footnote w:id="273">
    <w:p w14:paraId="69671D54" w14:textId="77777777" w:rsidR="00B831ED" w:rsidRPr="00B34E2E" w:rsidRDefault="00B831ED" w:rsidP="00F35CB9">
      <w:pPr>
        <w:pStyle w:val="FootnoteText"/>
        <w:widowControl w:val="0"/>
        <w:spacing w:line="240" w:lineRule="auto"/>
        <w:ind w:left="0" w:right="567" w:firstLine="0"/>
        <w:contextualSpacing/>
        <w:rPr>
          <w:szCs w:val="18"/>
        </w:rPr>
      </w:pPr>
      <w:r w:rsidRPr="00B34E2E">
        <w:rPr>
          <w:szCs w:val="18"/>
        </w:rPr>
        <w:tab/>
      </w:r>
      <w:r w:rsidRPr="00B34E2E">
        <w:rPr>
          <w:rStyle w:val="FootnoteReference"/>
          <w:szCs w:val="18"/>
        </w:rPr>
        <w:footnoteRef/>
      </w:r>
      <w:r w:rsidRPr="00B34E2E">
        <w:rPr>
          <w:szCs w:val="18"/>
        </w:rPr>
        <w:tab/>
        <w:t>See part III.C.3 of this report.</w:t>
      </w:r>
    </w:p>
  </w:footnote>
  <w:footnote w:id="274">
    <w:p w14:paraId="33DD1AA0" w14:textId="37A78137" w:rsidR="00B831ED" w:rsidRPr="00B34E2E" w:rsidRDefault="00B831ED" w:rsidP="00F35CB9">
      <w:pPr>
        <w:pStyle w:val="FootnoteText"/>
      </w:pPr>
      <w:r w:rsidRPr="00B34E2E">
        <w:tab/>
      </w:r>
      <w:r w:rsidRPr="00B34E2E">
        <w:rPr>
          <w:rStyle w:val="FootnoteReference"/>
          <w:szCs w:val="18"/>
        </w:rPr>
        <w:footnoteRef/>
      </w:r>
      <w:r w:rsidRPr="00B34E2E">
        <w:tab/>
        <w:t>Committee on the Elimination of</w:t>
      </w:r>
      <w:r>
        <w:t xml:space="preserve"> Discrimination against Women, C</w:t>
      </w:r>
      <w:r w:rsidRPr="00B34E2E">
        <w:t xml:space="preserve">oncluding </w:t>
      </w:r>
      <w:r>
        <w:t>O</w:t>
      </w:r>
      <w:r w:rsidRPr="00B34E2E">
        <w:t>bservations on Burundi’s fifth and sixth periodic review, CEDAW/C/BDI/CO/5-6, 18 November 2016, para. 24 (a).</w:t>
      </w:r>
    </w:p>
  </w:footnote>
  <w:footnote w:id="275">
    <w:p w14:paraId="4453304F" w14:textId="77777777" w:rsidR="00B831ED" w:rsidRPr="00B34E2E" w:rsidRDefault="00B831ED" w:rsidP="00F35CB9">
      <w:pPr>
        <w:pStyle w:val="FootnoteText"/>
        <w:widowControl w:val="0"/>
        <w:spacing w:line="240" w:lineRule="auto"/>
        <w:ind w:left="0" w:right="567" w:firstLine="0"/>
        <w:contextualSpacing/>
        <w:rPr>
          <w:szCs w:val="18"/>
        </w:rPr>
      </w:pPr>
      <w:r w:rsidRPr="00B34E2E">
        <w:rPr>
          <w:szCs w:val="18"/>
        </w:rPr>
        <w:tab/>
      </w:r>
      <w:r w:rsidRPr="00B34E2E">
        <w:rPr>
          <w:rStyle w:val="FootnoteReference"/>
          <w:szCs w:val="18"/>
        </w:rPr>
        <w:footnoteRef/>
      </w:r>
      <w:r w:rsidRPr="00B34E2E">
        <w:rPr>
          <w:szCs w:val="18"/>
        </w:rPr>
        <w:tab/>
        <w:t>EDSB-III 2016-2017, p. 341.</w:t>
      </w:r>
    </w:p>
  </w:footnote>
  <w:footnote w:id="276">
    <w:p w14:paraId="46712BC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African Development Bank, Gender profile for Burundi, November 2011, p. 51.</w:t>
      </w:r>
    </w:p>
  </w:footnote>
  <w:footnote w:id="277">
    <w:p w14:paraId="7EA94C6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CEDAW/C/BDI/CO/5-6, para. 26.</w:t>
      </w:r>
    </w:p>
  </w:footnote>
  <w:footnote w:id="278">
    <w:p w14:paraId="3FE506D3"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YI-010, YI-021, YI-034.</w:t>
      </w:r>
    </w:p>
  </w:footnote>
  <w:footnote w:id="279">
    <w:p w14:paraId="5043ACC9"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XI-091, YI-008, YI-010, YI-025, YI-026, YI-027, YI-028, YI-029, YI-034.</w:t>
      </w:r>
    </w:p>
  </w:footnote>
  <w:footnote w:id="280">
    <w:p w14:paraId="4F487695"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YI-010, XI-091.</w:t>
      </w:r>
    </w:p>
  </w:footnote>
  <w:footnote w:id="281">
    <w:p w14:paraId="29FA0A9F"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YI-008, YI-028, YI-035.</w:t>
      </w:r>
    </w:p>
  </w:footnote>
  <w:footnote w:id="282">
    <w:p w14:paraId="78763D17"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YI-008, YI-025, YI-028, YI-029, YI-034.</w:t>
      </w:r>
    </w:p>
  </w:footnote>
  <w:footnote w:id="283">
    <w:p w14:paraId="6B12988F"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YI-025.</w:t>
      </w:r>
    </w:p>
  </w:footnote>
  <w:footnote w:id="284">
    <w:p w14:paraId="437393DF"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TI-080, TI-133, XI-104, QI-227.</w:t>
      </w:r>
    </w:p>
  </w:footnote>
  <w:footnote w:id="285">
    <w:p w14:paraId="43FC9778"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XI-104, QI-227, TI-080.</w:t>
      </w:r>
    </w:p>
  </w:footnote>
  <w:footnote w:id="286">
    <w:p w14:paraId="4C4BBF0B"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TI-080, TI-133. </w:t>
      </w:r>
    </w:p>
  </w:footnote>
  <w:footnote w:id="287">
    <w:p w14:paraId="10ECEAC8"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JI-010, JI-034, YI-008, YI-025, YI-035, XI-095.</w:t>
      </w:r>
    </w:p>
  </w:footnote>
  <w:footnote w:id="288">
    <w:p w14:paraId="6BF7AFB4" w14:textId="77777777" w:rsidR="00B831ED" w:rsidRPr="00B34E2E" w:rsidRDefault="00B831ED"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YI-021, YI-026, YI-029, YI-034, XI-091.</w:t>
      </w:r>
    </w:p>
  </w:footnote>
  <w:footnote w:id="289">
    <w:p w14:paraId="181C7D4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YI-025, YI-026, YI-029, YI-034, YI-035, XI-091.</w:t>
      </w:r>
    </w:p>
  </w:footnote>
  <w:footnote w:id="290">
    <w:p w14:paraId="18000F5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YI-029.</w:t>
      </w:r>
    </w:p>
  </w:footnote>
  <w:footnote w:id="291">
    <w:p w14:paraId="5559A664"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JI-010, JI-034, XI-091, XI-095, YI-008, YI-010, YI-021, YI-025, YI-026, YI-027, YI-029, YI-034, </w:t>
      </w:r>
      <w:r w:rsidRPr="00B34E2E">
        <w:rPr>
          <w:szCs w:val="18"/>
        </w:rPr>
        <w:tab/>
      </w:r>
      <w:r w:rsidRPr="00B34E2E">
        <w:rPr>
          <w:szCs w:val="18"/>
        </w:rPr>
        <w:tab/>
        <w:t>YI-035.</w:t>
      </w:r>
    </w:p>
  </w:footnote>
  <w:footnote w:id="292">
    <w:p w14:paraId="6B513B18" w14:textId="77777777" w:rsidR="00B831ED" w:rsidRPr="00B34E2E" w:rsidRDefault="00B831ED" w:rsidP="00F35CB9">
      <w:pPr>
        <w:pStyle w:val="FootnoteText"/>
        <w:spacing w:line="240" w:lineRule="auto"/>
        <w:ind w:left="0" w:right="567" w:firstLine="0"/>
        <w:rPr>
          <w:szCs w:val="18"/>
        </w:rPr>
      </w:pPr>
      <w:r w:rsidRPr="00AB0AED">
        <w:rPr>
          <w:szCs w:val="18"/>
        </w:rPr>
        <w:tab/>
      </w:r>
      <w:r w:rsidRPr="00B34E2E">
        <w:rPr>
          <w:rStyle w:val="FootnoteReference"/>
          <w:szCs w:val="18"/>
        </w:rPr>
        <w:footnoteRef/>
      </w:r>
      <w:r w:rsidRPr="00B34E2E">
        <w:rPr>
          <w:szCs w:val="18"/>
        </w:rPr>
        <w:tab/>
        <w:t>YI-008, YI-034, YI-035.</w:t>
      </w:r>
    </w:p>
  </w:footnote>
  <w:footnote w:id="293">
    <w:p w14:paraId="2654EFB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YI-035.</w:t>
      </w:r>
    </w:p>
  </w:footnote>
  <w:footnote w:id="294">
    <w:p w14:paraId="237D442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YI-034.</w:t>
      </w:r>
    </w:p>
  </w:footnote>
  <w:footnote w:id="295">
    <w:p w14:paraId="17AD667D"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YI-008, YI-010, YI-025, YI-034, YI-035.</w:t>
      </w:r>
    </w:p>
  </w:footnote>
  <w:footnote w:id="296">
    <w:p w14:paraId="724191B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YI-025.</w:t>
      </w:r>
    </w:p>
  </w:footnote>
  <w:footnote w:id="297">
    <w:p w14:paraId="587FFE2F"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YI-008.</w:t>
      </w:r>
    </w:p>
  </w:footnote>
  <w:footnote w:id="298">
    <w:p w14:paraId="41472FB5" w14:textId="77777777" w:rsidR="00B831ED" w:rsidRPr="00B34E2E" w:rsidRDefault="00B831ED" w:rsidP="00CD6779">
      <w:pPr>
        <w:pStyle w:val="FootnoteText"/>
        <w:spacing w:line="240" w:lineRule="auto"/>
        <w:ind w:left="0" w:right="567" w:firstLine="0"/>
        <w:rPr>
          <w:szCs w:val="18"/>
        </w:rPr>
      </w:pPr>
      <w:r w:rsidRPr="00B34E2E">
        <w:rPr>
          <w:szCs w:val="18"/>
        </w:rPr>
        <w:tab/>
      </w:r>
      <w:r w:rsidRPr="00CD6779">
        <w:rPr>
          <w:rStyle w:val="FootnoteReference"/>
          <w:szCs w:val="18"/>
        </w:rPr>
        <w:footnoteRef/>
      </w:r>
      <w:r w:rsidRPr="00B34E2E">
        <w:rPr>
          <w:szCs w:val="18"/>
        </w:rPr>
        <w:tab/>
        <w:t>QI-227, TI-080, TI-133, XI-104.</w:t>
      </w:r>
    </w:p>
  </w:footnote>
  <w:footnote w:id="299">
    <w:p w14:paraId="62FE1C67"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QI-227, TI-080, TI-133, , TI-136, XI-104.</w:t>
      </w:r>
    </w:p>
  </w:footnote>
  <w:footnote w:id="300">
    <w:p w14:paraId="4994799A"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XI-091, YI-008, YI-010, YI-025, YI-026, YI-034, YI-035, YI-037.</w:t>
      </w:r>
    </w:p>
  </w:footnote>
  <w:footnote w:id="301">
    <w:p w14:paraId="6009EF25"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YI-029, YI-026.</w:t>
      </w:r>
    </w:p>
  </w:footnote>
  <w:footnote w:id="302">
    <w:p w14:paraId="78285559"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YI-035.</w:t>
      </w:r>
    </w:p>
  </w:footnote>
  <w:footnote w:id="303">
    <w:p w14:paraId="3E5F41A6"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YI-008, YI-010, YI-025, YI-026, YI-027, YI-029, YI-034. </w:t>
      </w:r>
    </w:p>
  </w:footnote>
  <w:footnote w:id="304">
    <w:p w14:paraId="67666321"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YI-008, YI-026, YI-034, YI-035.</w:t>
      </w:r>
    </w:p>
  </w:footnote>
  <w:footnote w:id="305">
    <w:p w14:paraId="5DF5E36B"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YI-034.</w:t>
      </w:r>
    </w:p>
  </w:footnote>
  <w:footnote w:id="306">
    <w:p w14:paraId="3D22786E" w14:textId="77777777" w:rsidR="00B831ED" w:rsidRPr="00B34E2E" w:rsidRDefault="00B831ED"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TI-080, TI-133, QI-227, XI-104</w:t>
      </w:r>
    </w:p>
  </w:footnote>
  <w:footnote w:id="307">
    <w:p w14:paraId="39252B4A"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39230E">
        <w:rPr>
          <w:rStyle w:val="FootnoteReference"/>
          <w:szCs w:val="18"/>
        </w:rPr>
        <w:footnoteRef/>
      </w:r>
      <w:r w:rsidRPr="0042142E">
        <w:rPr>
          <w:szCs w:val="18"/>
        </w:rPr>
        <w:tab/>
        <w:t>YM-005, YM-006, YM-007.</w:t>
      </w:r>
    </w:p>
  </w:footnote>
  <w:footnote w:id="308">
    <w:p w14:paraId="61FA933E"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See part III.D of this report.</w:t>
      </w:r>
    </w:p>
  </w:footnote>
  <w:footnote w:id="309">
    <w:p w14:paraId="64EF97CC"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w:t>
      </w:r>
      <w:r>
        <w:rPr>
          <w:szCs w:val="18"/>
        </w:rPr>
        <w:t>I-034, YI-034, YM-005, YM-006. See also</w:t>
      </w:r>
      <w:r w:rsidRPr="0042142E">
        <w:rPr>
          <w:szCs w:val="18"/>
        </w:rPr>
        <w:t xml:space="preserve"> CEDAW/C/BDI/CO/5-6, </w:t>
      </w:r>
      <w:r>
        <w:rPr>
          <w:szCs w:val="18"/>
        </w:rPr>
        <w:t>para.</w:t>
      </w:r>
      <w:r w:rsidRPr="0042142E">
        <w:rPr>
          <w:szCs w:val="18"/>
        </w:rPr>
        <w:t xml:space="preserve"> 25 (</w:t>
      </w:r>
      <w:r>
        <w:rPr>
          <w:szCs w:val="18"/>
        </w:rPr>
        <w:t>c</w:t>
      </w:r>
      <w:r w:rsidRPr="0042142E">
        <w:rPr>
          <w:szCs w:val="18"/>
        </w:rPr>
        <w:t>).</w:t>
      </w:r>
    </w:p>
  </w:footnote>
  <w:footnote w:id="310">
    <w:p w14:paraId="569F6AFD"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YM-003, YM-005.</w:t>
      </w:r>
    </w:p>
  </w:footnote>
  <w:footnote w:id="311">
    <w:p w14:paraId="3CD84BBE"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YI-025, YI-034, XI-095.</w:t>
      </w:r>
    </w:p>
  </w:footnote>
  <w:footnote w:id="312">
    <w:p w14:paraId="50DE9E1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YI-034.</w:t>
      </w:r>
    </w:p>
  </w:footnote>
  <w:footnote w:id="313">
    <w:p w14:paraId="076327E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YI-008, YI-025, XI-095. </w:t>
      </w:r>
    </w:p>
  </w:footnote>
  <w:footnote w:id="314">
    <w:p w14:paraId="01FDA89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YI-025.</w:t>
      </w:r>
    </w:p>
  </w:footnote>
  <w:footnote w:id="315">
    <w:p w14:paraId="7B38CDF7" w14:textId="22D68C97" w:rsidR="00B831ED" w:rsidRPr="00851EFA" w:rsidRDefault="00B831ED" w:rsidP="006B05D6">
      <w:pPr>
        <w:pStyle w:val="FootnoteText"/>
        <w:spacing w:line="240" w:lineRule="auto"/>
        <w:ind w:left="1138" w:right="562" w:hanging="1138"/>
      </w:pPr>
      <w:r>
        <w:tab/>
      </w:r>
      <w:r>
        <w:rPr>
          <w:rStyle w:val="FootnoteReference"/>
        </w:rPr>
        <w:footnoteRef/>
      </w:r>
      <w:r>
        <w:t xml:space="preserve"> </w:t>
      </w:r>
      <w:r>
        <w:tab/>
      </w:r>
      <w:r>
        <w:rPr>
          <w:szCs w:val="18"/>
        </w:rPr>
        <w:t>According to a recent investigation, a quarter of women</w:t>
      </w:r>
      <w:r w:rsidRPr="0042142E">
        <w:rPr>
          <w:szCs w:val="18"/>
        </w:rPr>
        <w:t xml:space="preserve"> </w:t>
      </w:r>
      <w:r>
        <w:rPr>
          <w:szCs w:val="18"/>
        </w:rPr>
        <w:t xml:space="preserve">who were interviewed </w:t>
      </w:r>
      <w:r w:rsidRPr="0042142E">
        <w:rPr>
          <w:szCs w:val="18"/>
        </w:rPr>
        <w:t>(23</w:t>
      </w:r>
      <w:r>
        <w:rPr>
          <w:szCs w:val="18"/>
        </w:rPr>
        <w:t> %</w:t>
      </w:r>
      <w:r w:rsidRPr="0042142E">
        <w:rPr>
          <w:szCs w:val="18"/>
        </w:rPr>
        <w:t xml:space="preserve">) </w:t>
      </w:r>
      <w:r>
        <w:rPr>
          <w:szCs w:val="18"/>
        </w:rPr>
        <w:t>have suffered sexual violence</w:t>
      </w:r>
      <w:r w:rsidRPr="0042142E">
        <w:rPr>
          <w:szCs w:val="18"/>
        </w:rPr>
        <w:t>,</w:t>
      </w:r>
      <w:r>
        <w:rPr>
          <w:szCs w:val="18"/>
        </w:rPr>
        <w:t xml:space="preserve"> in comparison to 6 %</w:t>
      </w:r>
      <w:r w:rsidRPr="0042142E">
        <w:rPr>
          <w:szCs w:val="18"/>
        </w:rPr>
        <w:t xml:space="preserve"> </w:t>
      </w:r>
      <w:r>
        <w:rPr>
          <w:szCs w:val="18"/>
        </w:rPr>
        <w:t>of men</w:t>
      </w:r>
      <w:r w:rsidRPr="0042142E">
        <w:rPr>
          <w:szCs w:val="18"/>
        </w:rPr>
        <w:t xml:space="preserve"> (</w:t>
      </w:r>
      <w:r>
        <w:rPr>
          <w:szCs w:val="18"/>
        </w:rPr>
        <w:t xml:space="preserve">Republic Burundi 2017, </w:t>
      </w:r>
      <w:r w:rsidRPr="0042142E">
        <w:rPr>
          <w:szCs w:val="18"/>
        </w:rPr>
        <w:t>EDSB-III, 2016-2017)</w:t>
      </w:r>
    </w:p>
  </w:footnote>
  <w:footnote w:id="316">
    <w:p w14:paraId="4D427046" w14:textId="34843D0B" w:rsidR="00B831ED" w:rsidRPr="00851EFA" w:rsidRDefault="00B831ED" w:rsidP="006B05D6">
      <w:pPr>
        <w:pStyle w:val="FootnoteText"/>
        <w:spacing w:line="240" w:lineRule="auto"/>
        <w:ind w:left="1138" w:right="562" w:hanging="1138"/>
      </w:pPr>
      <w:r w:rsidRPr="0042142E">
        <w:rPr>
          <w:szCs w:val="18"/>
        </w:rPr>
        <w:tab/>
      </w:r>
      <w:r w:rsidRPr="00851EFA">
        <w:rPr>
          <w:rStyle w:val="FootnoteReference"/>
          <w:szCs w:val="18"/>
        </w:rPr>
        <w:footnoteRef/>
      </w:r>
      <w:r w:rsidRPr="00851EFA">
        <w:rPr>
          <w:rStyle w:val="FootnoteReference"/>
          <w:szCs w:val="18"/>
        </w:rPr>
        <w:tab/>
      </w:r>
      <w:r w:rsidRPr="00851EFA">
        <w:t xml:space="preserve">YM-003, YM-005, YM-006. Burundi’s statistic directories report several hundred criminal judgements for rape in 2016, but the Commission is unable to access more information on concerned cases. A majority of cases relate to underage victims. Numbers appear to be uneven across provinces with zero rape cases reported in six provinces, including the Capital </w:t>
      </w:r>
      <w:r>
        <w:t xml:space="preserve">of Bujumbra </w:t>
      </w:r>
      <w:r w:rsidRPr="00851EFA">
        <w:t>(</w:t>
      </w:r>
      <w:r w:rsidRPr="00351539">
        <w:rPr>
          <w:i/>
          <w:iCs/>
        </w:rPr>
        <w:t>Annuaires Statistiques de la Justice au Burundi, Édition</w:t>
      </w:r>
      <w:r w:rsidRPr="00851EFA">
        <w:t xml:space="preserve"> 2015-2016, p. 67). At the end of 2016, the Committee on the Elimination of Discriminations against Women deplored the lack of systematic collection of data on investigations, prosecutions and convictions relating to sexual violence (CEDAW/C/BDI/CO/5-6, </w:t>
      </w:r>
      <w:r>
        <w:t>para.</w:t>
      </w:r>
      <w:r w:rsidRPr="00851EFA">
        <w:t xml:space="preserve"> 24 d).</w:t>
      </w:r>
    </w:p>
  </w:footnote>
  <w:footnote w:id="317">
    <w:p w14:paraId="08D9FB6F"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YM-003, YM-006, YM-007.</w:t>
      </w:r>
    </w:p>
  </w:footnote>
  <w:footnote w:id="318">
    <w:p w14:paraId="2D8F882C"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YI-019.</w:t>
      </w:r>
    </w:p>
  </w:footnote>
  <w:footnote w:id="319">
    <w:p w14:paraId="7667D852" w14:textId="77777777" w:rsidR="00B831ED" w:rsidRPr="006B7237" w:rsidRDefault="00B831ED" w:rsidP="006B05D6">
      <w:pPr>
        <w:pStyle w:val="FootnoteText"/>
        <w:spacing w:line="240" w:lineRule="auto"/>
        <w:ind w:left="1138" w:right="562" w:hanging="1138"/>
        <w:jc w:val="both"/>
        <w:rPr>
          <w:szCs w:val="18"/>
          <w:lang w:val="it-IT"/>
        </w:rPr>
      </w:pPr>
      <w:r w:rsidRPr="006B7237">
        <w:rPr>
          <w:szCs w:val="18"/>
          <w:lang w:val="it-IT"/>
        </w:rPr>
        <w:tab/>
      </w:r>
      <w:r w:rsidRPr="006B7237">
        <w:rPr>
          <w:rStyle w:val="FootnoteReference"/>
          <w:szCs w:val="18"/>
        </w:rPr>
        <w:footnoteRef/>
      </w:r>
      <w:r w:rsidRPr="006B7237">
        <w:rPr>
          <w:szCs w:val="18"/>
          <w:lang w:val="it-IT"/>
        </w:rPr>
        <w:tab/>
        <w:t>TI-133, QI-227.</w:t>
      </w:r>
    </w:p>
  </w:footnote>
  <w:footnote w:id="320">
    <w:p w14:paraId="08E2C7EA" w14:textId="77777777" w:rsidR="00B831ED" w:rsidRPr="006B7237" w:rsidRDefault="00B831ED" w:rsidP="006B05D6">
      <w:pPr>
        <w:pStyle w:val="FootnoteText"/>
        <w:spacing w:line="240" w:lineRule="auto"/>
        <w:ind w:left="1138" w:right="562" w:hanging="1138"/>
        <w:jc w:val="both"/>
        <w:rPr>
          <w:szCs w:val="18"/>
          <w:lang w:val="it-IT"/>
        </w:rPr>
      </w:pPr>
      <w:r w:rsidRPr="006B7237">
        <w:rPr>
          <w:szCs w:val="18"/>
          <w:lang w:val="it-IT"/>
        </w:rPr>
        <w:tab/>
      </w:r>
      <w:r w:rsidRPr="006B7237">
        <w:rPr>
          <w:rStyle w:val="FootnoteReference"/>
          <w:szCs w:val="18"/>
        </w:rPr>
        <w:footnoteRef/>
      </w:r>
      <w:r w:rsidRPr="006B7237">
        <w:rPr>
          <w:szCs w:val="18"/>
          <w:lang w:val="it-IT"/>
        </w:rPr>
        <w:tab/>
        <w:t>YI-029, YI-034, TI-133, TI-136, XI-100.</w:t>
      </w:r>
    </w:p>
  </w:footnote>
  <w:footnote w:id="321">
    <w:p w14:paraId="7F1C14E0" w14:textId="77777777" w:rsidR="00B831ED" w:rsidRPr="00351539" w:rsidRDefault="00B831ED" w:rsidP="006B05D6">
      <w:pPr>
        <w:pStyle w:val="FootnoteText"/>
        <w:spacing w:line="240" w:lineRule="auto"/>
        <w:ind w:left="1138" w:right="562" w:hanging="1138"/>
        <w:jc w:val="both"/>
        <w:rPr>
          <w:szCs w:val="18"/>
        </w:rPr>
      </w:pPr>
      <w:r w:rsidRPr="006B7237">
        <w:rPr>
          <w:szCs w:val="18"/>
          <w:lang w:val="it-IT"/>
        </w:rPr>
        <w:tab/>
      </w:r>
      <w:r w:rsidRPr="006B7237">
        <w:rPr>
          <w:rStyle w:val="FootnoteReference"/>
          <w:szCs w:val="18"/>
        </w:rPr>
        <w:footnoteRef/>
      </w:r>
      <w:r w:rsidRPr="00351539">
        <w:rPr>
          <w:szCs w:val="18"/>
        </w:rPr>
        <w:tab/>
        <w:t>YI-025, YI-026.</w:t>
      </w:r>
    </w:p>
  </w:footnote>
  <w:footnote w:id="322">
    <w:p w14:paraId="7359D068"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TI-133.</w:t>
      </w:r>
    </w:p>
  </w:footnote>
  <w:footnote w:id="323">
    <w:p w14:paraId="579D0982" w14:textId="3A489772" w:rsidR="00B831ED" w:rsidRPr="00351539" w:rsidRDefault="00B831ED"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r>
      <w:r w:rsidRPr="00B0217A">
        <w:rPr>
          <w:szCs w:val="18"/>
          <w:lang w:val="en"/>
        </w:rPr>
        <w:t>According to a</w:t>
      </w:r>
      <w:r>
        <w:rPr>
          <w:szCs w:val="18"/>
          <w:lang w:val="en"/>
        </w:rPr>
        <w:t xml:space="preserve">rticles 528 to 534 of the Penal </w:t>
      </w:r>
      <w:r w:rsidRPr="00B0217A">
        <w:rPr>
          <w:szCs w:val="18"/>
          <w:lang w:val="en"/>
        </w:rPr>
        <w:t xml:space="preserve">Code introduced </w:t>
      </w:r>
      <w:r>
        <w:rPr>
          <w:szCs w:val="18"/>
          <w:lang w:val="en"/>
        </w:rPr>
        <w:t>pursuant to</w:t>
      </w:r>
      <w:r w:rsidRPr="00B0217A">
        <w:rPr>
          <w:szCs w:val="18"/>
          <w:lang w:val="en"/>
        </w:rPr>
        <w:t xml:space="preserve"> the adoption of </w:t>
      </w:r>
      <w:r w:rsidR="00FF1355">
        <w:rPr>
          <w:szCs w:val="18"/>
          <w:lang w:val="en"/>
        </w:rPr>
        <w:t>l</w:t>
      </w:r>
      <w:r w:rsidRPr="00B0217A">
        <w:rPr>
          <w:szCs w:val="18"/>
          <w:lang w:val="en"/>
        </w:rPr>
        <w:t xml:space="preserve">aw No. </w:t>
      </w:r>
      <w:r w:rsidRPr="00CC748D">
        <w:t xml:space="preserve">1/27 of 29 December 2017, a woman who has voluntarily had an abortion shall be punished with a one- to two-year </w:t>
      </w:r>
      <w:r>
        <w:t>prison term</w:t>
      </w:r>
      <w:r w:rsidRPr="00CC748D">
        <w:t xml:space="preserve"> and a fine of 20,000 to 50,000 Burundian francs (11 to 28 US dollars), unless it was performed in order to avoid </w:t>
      </w:r>
      <w:r>
        <w:t xml:space="preserve">a danger </w:t>
      </w:r>
      <w:r w:rsidRPr="00CC748D">
        <w:t xml:space="preserve">impossible to divert  or one which was threatening the life of the mother or seriously threatening her health </w:t>
      </w:r>
      <w:r>
        <w:t>due to a grave</w:t>
      </w:r>
      <w:r w:rsidRPr="00CC748D">
        <w:t xml:space="preserve"> and permanent impairment. Those who perform, assist or incite an abortion shall also be punished with</w:t>
      </w:r>
      <w:r w:rsidRPr="00B0217A">
        <w:rPr>
          <w:szCs w:val="18"/>
          <w:lang w:val="en"/>
        </w:rPr>
        <w:t xml:space="preserve"> </w:t>
      </w:r>
      <w:r>
        <w:rPr>
          <w:szCs w:val="18"/>
          <w:lang w:val="en"/>
        </w:rPr>
        <w:t>im</w:t>
      </w:r>
      <w:r w:rsidRPr="00B0217A">
        <w:rPr>
          <w:szCs w:val="18"/>
          <w:lang w:val="en"/>
        </w:rPr>
        <w:t>prison</w:t>
      </w:r>
      <w:r>
        <w:rPr>
          <w:szCs w:val="18"/>
          <w:lang w:val="en"/>
        </w:rPr>
        <w:t>ment</w:t>
      </w:r>
      <w:r w:rsidRPr="00B0217A">
        <w:rPr>
          <w:szCs w:val="18"/>
          <w:lang w:val="en"/>
        </w:rPr>
        <w:t>. See also: CEDAW / C</w:t>
      </w:r>
      <w:r>
        <w:rPr>
          <w:szCs w:val="18"/>
          <w:lang w:val="en"/>
        </w:rPr>
        <w:t xml:space="preserve"> / BDI / CO / 5-6, para. 38 (c).</w:t>
      </w:r>
      <w:r w:rsidRPr="0042142E">
        <w:rPr>
          <w:szCs w:val="18"/>
        </w:rPr>
        <w:t xml:space="preserve"> </w:t>
      </w:r>
      <w:r>
        <w:rPr>
          <w:szCs w:val="18"/>
        </w:rPr>
        <w:t>See also</w:t>
      </w:r>
      <w:r w:rsidRPr="0042142E">
        <w:rPr>
          <w:szCs w:val="18"/>
        </w:rPr>
        <w:t xml:space="preserve">: CEDAW/C/BDI/CO/5-6, </w:t>
      </w:r>
      <w:r>
        <w:rPr>
          <w:szCs w:val="18"/>
        </w:rPr>
        <w:t>para.</w:t>
      </w:r>
      <w:r w:rsidRPr="0042142E">
        <w:rPr>
          <w:szCs w:val="18"/>
        </w:rPr>
        <w:t xml:space="preserve"> 38 (Vs).</w:t>
      </w:r>
    </w:p>
  </w:footnote>
  <w:footnote w:id="324">
    <w:p w14:paraId="3E82B770"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JI-034, YI-009.</w:t>
      </w:r>
    </w:p>
  </w:footnote>
  <w:footnote w:id="325">
    <w:p w14:paraId="37C41D27"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QI-227, YI-026, YI-039.</w:t>
      </w:r>
    </w:p>
  </w:footnote>
  <w:footnote w:id="326">
    <w:p w14:paraId="799F365C"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YI-035.</w:t>
      </w:r>
    </w:p>
  </w:footnote>
  <w:footnote w:id="327">
    <w:p w14:paraId="6BF5556A"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YI-007, YI-021.</w:t>
      </w:r>
    </w:p>
  </w:footnote>
  <w:footnote w:id="328">
    <w:p w14:paraId="3DDAB639"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YI-024, YI-025, XI-091.</w:t>
      </w:r>
    </w:p>
  </w:footnote>
  <w:footnote w:id="329">
    <w:p w14:paraId="0A8D8625"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500 </w:t>
      </w:r>
      <w:r>
        <w:rPr>
          <w:szCs w:val="18"/>
        </w:rPr>
        <w:t>to</w:t>
      </w:r>
      <w:r w:rsidRPr="0042142E">
        <w:rPr>
          <w:szCs w:val="18"/>
        </w:rPr>
        <w:t xml:space="preserve"> 613. </w:t>
      </w:r>
    </w:p>
  </w:footnote>
  <w:footnote w:id="330">
    <w:p w14:paraId="72600052" w14:textId="77777777" w:rsidR="00B831ED" w:rsidRPr="00351DE0"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351DE0">
        <w:rPr>
          <w:szCs w:val="18"/>
        </w:rPr>
        <w:tab/>
        <w:t xml:space="preserve">Ibid., para. 534. </w:t>
      </w:r>
    </w:p>
  </w:footnote>
  <w:footnote w:id="331">
    <w:p w14:paraId="67F9438C" w14:textId="77777777" w:rsidR="00B831ED" w:rsidRPr="0042142E" w:rsidRDefault="00B831ED" w:rsidP="006B05D6">
      <w:pPr>
        <w:pStyle w:val="FootnoteText"/>
        <w:spacing w:line="240" w:lineRule="auto"/>
        <w:ind w:left="1138" w:right="562" w:hanging="1138"/>
        <w:jc w:val="both"/>
        <w:rPr>
          <w:szCs w:val="18"/>
        </w:rPr>
      </w:pPr>
      <w:r w:rsidRPr="00351DE0">
        <w:rPr>
          <w:szCs w:val="18"/>
        </w:rPr>
        <w:tab/>
      </w:r>
      <w:r w:rsidRPr="0042142E">
        <w:rPr>
          <w:rStyle w:val="FootnoteReference"/>
          <w:szCs w:val="18"/>
        </w:rPr>
        <w:footnoteRef/>
      </w:r>
      <w:r w:rsidRPr="00351DE0">
        <w:rPr>
          <w:szCs w:val="18"/>
        </w:rPr>
        <w:tab/>
        <w:t xml:space="preserve">JI-010, JI-047, JI-049, XI-079, TI-120. </w:t>
      </w:r>
      <w:r>
        <w:rPr>
          <w:szCs w:val="18"/>
        </w:rPr>
        <w:t>See</w:t>
      </w:r>
      <w:r w:rsidRPr="0042142E">
        <w:rPr>
          <w:szCs w:val="18"/>
        </w:rPr>
        <w:t xml:space="preserve"> </w:t>
      </w:r>
      <w:r>
        <w:rPr>
          <w:szCs w:val="18"/>
        </w:rPr>
        <w:t>other chapters of P</w:t>
      </w:r>
      <w:r w:rsidRPr="0042142E">
        <w:rPr>
          <w:szCs w:val="18"/>
        </w:rPr>
        <w:t xml:space="preserve">art III </w:t>
      </w:r>
      <w:r>
        <w:rPr>
          <w:szCs w:val="18"/>
        </w:rPr>
        <w:t>of this report</w:t>
      </w:r>
      <w:r w:rsidRPr="0042142E">
        <w:rPr>
          <w:szCs w:val="18"/>
        </w:rPr>
        <w:t>.</w:t>
      </w:r>
    </w:p>
  </w:footnote>
  <w:footnote w:id="332">
    <w:p w14:paraId="60A13224"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JI-010.</w:t>
      </w:r>
    </w:p>
  </w:footnote>
  <w:footnote w:id="333">
    <w:p w14:paraId="230D7894"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szCs w:val="18"/>
        </w:rPr>
        <w:t>See below</w:t>
      </w:r>
      <w:r w:rsidRPr="0042142E">
        <w:rPr>
          <w:szCs w:val="18"/>
        </w:rPr>
        <w:t xml:space="preserve">, section (iii) </w:t>
      </w:r>
      <w:r>
        <w:rPr>
          <w:szCs w:val="18"/>
        </w:rPr>
        <w:t>of this chapter</w:t>
      </w:r>
      <w:r w:rsidRPr="0042142E">
        <w:rPr>
          <w:szCs w:val="18"/>
        </w:rPr>
        <w:t>.</w:t>
      </w:r>
    </w:p>
  </w:footnote>
  <w:footnote w:id="334">
    <w:p w14:paraId="56D7960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TI-156.</w:t>
      </w:r>
    </w:p>
  </w:footnote>
  <w:footnote w:id="335">
    <w:p w14:paraId="27A2DF89"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TI-149. </w:t>
      </w:r>
    </w:p>
  </w:footnote>
  <w:footnote w:id="336">
    <w:p w14:paraId="2E665A9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500</w:t>
      </w:r>
    </w:p>
  </w:footnote>
  <w:footnote w:id="337">
    <w:p w14:paraId="27AD57AD"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szCs w:val="18"/>
        </w:rPr>
        <w:t>Translated by the Commission</w:t>
      </w:r>
      <w:r w:rsidRPr="0042142E">
        <w:rPr>
          <w:szCs w:val="18"/>
        </w:rPr>
        <w:t>.</w:t>
      </w:r>
    </w:p>
  </w:footnote>
  <w:footnote w:id="338">
    <w:p w14:paraId="40094A0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szCs w:val="18"/>
        </w:rPr>
        <w:t>See below</w:t>
      </w:r>
      <w:r w:rsidRPr="0042142E">
        <w:rPr>
          <w:szCs w:val="18"/>
        </w:rPr>
        <w:t xml:space="preserve">, section (iii) </w:t>
      </w:r>
      <w:r>
        <w:rPr>
          <w:szCs w:val="18"/>
        </w:rPr>
        <w:t>of this chapter.</w:t>
      </w:r>
    </w:p>
  </w:footnote>
  <w:footnote w:id="339">
    <w:p w14:paraId="3F69177A"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535.</w:t>
      </w:r>
    </w:p>
  </w:footnote>
  <w:footnote w:id="340">
    <w:p w14:paraId="3DB67A9D"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10" w:history="1">
        <w:r w:rsidRPr="0042142E">
          <w:rPr>
            <w:rStyle w:val="Hyperlink"/>
            <w:szCs w:val="18"/>
          </w:rPr>
          <w:t>https://rsf.org/fr/burundi</w:t>
        </w:r>
      </w:hyperlink>
      <w:r w:rsidRPr="0042142E">
        <w:rPr>
          <w:szCs w:val="18"/>
        </w:rPr>
        <w:t>.</w:t>
      </w:r>
    </w:p>
  </w:footnote>
  <w:footnote w:id="341">
    <w:p w14:paraId="1C8AA3F7"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On this, s</w:t>
      </w:r>
      <w:r w:rsidRPr="0042142E">
        <w:rPr>
          <w:szCs w:val="18"/>
        </w:rPr>
        <w:t xml:space="preserve">ee: A/HRC/36/CRP.1, </w:t>
      </w:r>
      <w:r>
        <w:rPr>
          <w:szCs w:val="18"/>
        </w:rPr>
        <w:t>para.</w:t>
      </w:r>
      <w:r w:rsidRPr="0042142E">
        <w:rPr>
          <w:szCs w:val="18"/>
        </w:rPr>
        <w:t xml:space="preserve"> 504 and 505.</w:t>
      </w:r>
    </w:p>
  </w:footnote>
  <w:footnote w:id="342">
    <w:p w14:paraId="0DC106C9"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505.</w:t>
      </w:r>
    </w:p>
  </w:footnote>
  <w:footnote w:id="343">
    <w:p w14:paraId="412E0E8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 xml:space="preserve">Article 16 of the </w:t>
      </w:r>
      <w:r w:rsidRPr="0042142E">
        <w:rPr>
          <w:szCs w:val="18"/>
        </w:rPr>
        <w:t xml:space="preserve">8 </w:t>
      </w:r>
      <w:r>
        <w:rPr>
          <w:szCs w:val="18"/>
        </w:rPr>
        <w:t>March</w:t>
      </w:r>
      <w:r w:rsidRPr="0042142E">
        <w:rPr>
          <w:szCs w:val="18"/>
        </w:rPr>
        <w:t xml:space="preserve"> 2018</w:t>
      </w:r>
      <w:r>
        <w:rPr>
          <w:szCs w:val="18"/>
        </w:rPr>
        <w:t xml:space="preserve"> </w:t>
      </w:r>
      <w:r w:rsidRPr="00356860">
        <w:rPr>
          <w:szCs w:val="18"/>
        </w:rPr>
        <w:t>organic law</w:t>
      </w:r>
      <w:r>
        <w:rPr>
          <w:szCs w:val="18"/>
        </w:rPr>
        <w:t xml:space="preserve"> n° 1/06.</w:t>
      </w:r>
    </w:p>
  </w:footnote>
  <w:footnote w:id="344">
    <w:p w14:paraId="1EEF61A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17.</w:t>
      </w:r>
    </w:p>
  </w:footnote>
  <w:footnote w:id="345">
    <w:p w14:paraId="60810D24"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2.</w:t>
      </w:r>
    </w:p>
  </w:footnote>
  <w:footnote w:id="346">
    <w:p w14:paraId="51E20BFF"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3.</w:t>
      </w:r>
    </w:p>
  </w:footnote>
  <w:footnote w:id="347">
    <w:p w14:paraId="67F3216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w:t>
      </w:r>
    </w:p>
  </w:footnote>
  <w:footnote w:id="348">
    <w:p w14:paraId="75548E15"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9.</w:t>
      </w:r>
    </w:p>
  </w:footnote>
  <w:footnote w:id="349">
    <w:p w14:paraId="47DBA188"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w:t>
      </w:r>
    </w:p>
  </w:footnote>
  <w:footnote w:id="350">
    <w:p w14:paraId="4FD0B972" w14:textId="375498E2"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See CNC</w:t>
      </w:r>
      <w:r w:rsidR="00FF1355">
        <w:rPr>
          <w:szCs w:val="18"/>
        </w:rPr>
        <w:t>,</w:t>
      </w:r>
      <w:r w:rsidRPr="0042142E">
        <w:rPr>
          <w:szCs w:val="18"/>
        </w:rPr>
        <w:t xml:space="preserve"> </w:t>
      </w:r>
      <w:r w:rsidRPr="00FF1355">
        <w:rPr>
          <w:i/>
          <w:szCs w:val="18"/>
        </w:rPr>
        <w:t>2017 Annual Report</w:t>
      </w:r>
      <w:r w:rsidRPr="0042142E">
        <w:rPr>
          <w:szCs w:val="18"/>
        </w:rPr>
        <w:t xml:space="preserve">, p. 25-29, </w:t>
      </w:r>
      <w:r>
        <w:rPr>
          <w:szCs w:val="18"/>
        </w:rPr>
        <w:t>available at</w:t>
      </w:r>
      <w:r w:rsidRPr="0042142E">
        <w:rPr>
          <w:szCs w:val="18"/>
        </w:rPr>
        <w:t xml:space="preserve"> </w:t>
      </w:r>
      <w:hyperlink r:id="rId11" w:history="1">
        <w:r w:rsidRPr="00653F58">
          <w:rPr>
            <w:rStyle w:val="Hyperlink"/>
            <w:szCs w:val="18"/>
          </w:rPr>
          <w:t>http://cnc-burundi.bi/wp-content/uploads/2017/11/rapport-narratif-annuel-2017.docx-COPIE.pdf</w:t>
        </w:r>
      </w:hyperlink>
      <w:r w:rsidRPr="0042142E">
        <w:rPr>
          <w:szCs w:val="18"/>
        </w:rPr>
        <w:t>.</w:t>
      </w:r>
      <w:r>
        <w:rPr>
          <w:szCs w:val="18"/>
        </w:rPr>
        <w:t xml:space="preserve"> </w:t>
      </w:r>
    </w:p>
  </w:footnote>
  <w:footnote w:id="351">
    <w:p w14:paraId="1567187E"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See:</w:t>
      </w:r>
      <w:r w:rsidRPr="0042142E">
        <w:rPr>
          <w:szCs w:val="18"/>
        </w:rPr>
        <w:t xml:space="preserve"> </w:t>
      </w:r>
      <w:hyperlink r:id="rId12" w:history="1">
        <w:r w:rsidRPr="00653F58">
          <w:rPr>
            <w:rStyle w:val="Hyperlink"/>
            <w:szCs w:val="18"/>
          </w:rPr>
          <w:t>https://rsf.org/fr/actualites/des-suspensions-de-medias-font-peser-des-menaces-supplementaires-sur-la-liberte-de-la-presse-au</w:t>
        </w:r>
      </w:hyperlink>
      <w:r w:rsidRPr="0042142E">
        <w:rPr>
          <w:szCs w:val="18"/>
        </w:rPr>
        <w:t>.</w:t>
      </w:r>
    </w:p>
  </w:footnote>
  <w:footnote w:id="352">
    <w:p w14:paraId="2F235797" w14:textId="77777777" w:rsidR="00B831ED" w:rsidRPr="0042142E" w:rsidRDefault="00B831ED"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t>See </w:t>
      </w:r>
      <w:r>
        <w:rPr>
          <w:szCs w:val="18"/>
        </w:rPr>
        <w:t>for example</w:t>
      </w:r>
      <w:r w:rsidRPr="0042142E">
        <w:rPr>
          <w:szCs w:val="18"/>
        </w:rPr>
        <w:t xml:space="preserve">: TI-077 and </w:t>
      </w:r>
      <w:r w:rsidRPr="00FF1355">
        <w:rPr>
          <w:i/>
          <w:szCs w:val="18"/>
        </w:rPr>
        <w:t>Fourth Quarterly 2017 Report</w:t>
      </w:r>
      <w:r>
        <w:rPr>
          <w:szCs w:val="18"/>
        </w:rPr>
        <w:t xml:space="preserve"> of </w:t>
      </w:r>
      <w:r w:rsidRPr="00FF1355">
        <w:rPr>
          <w:szCs w:val="18"/>
        </w:rPr>
        <w:t>Union burundaise des journalistes</w:t>
      </w:r>
      <w:r>
        <w:rPr>
          <w:szCs w:val="18"/>
        </w:rPr>
        <w:t xml:space="preserve"> (UBJ), </w:t>
      </w:r>
      <w:r w:rsidRPr="0042142E">
        <w:rPr>
          <w:szCs w:val="18"/>
        </w:rPr>
        <w:t>31 December 2017.</w:t>
      </w:r>
    </w:p>
  </w:footnote>
  <w:footnote w:id="353">
    <w:p w14:paraId="79E41012"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See: </w:t>
      </w:r>
      <w:hyperlink r:id="rId13" w:history="1">
        <w:r w:rsidRPr="0042142E">
          <w:rPr>
            <w:rStyle w:val="Hyperlink"/>
            <w:szCs w:val="18"/>
          </w:rPr>
          <w:t>http://cnc-burundi.bi/wp-content/uploads/2017/11/D%C3%A9cision-IWACU-.pdf</w:t>
        </w:r>
      </w:hyperlink>
      <w:r w:rsidRPr="0042142E">
        <w:rPr>
          <w:rStyle w:val="Hyperlink"/>
          <w:szCs w:val="18"/>
        </w:rPr>
        <w:t>.</w:t>
      </w:r>
    </w:p>
  </w:footnote>
  <w:footnote w:id="354">
    <w:p w14:paraId="3D498909" w14:textId="77777777" w:rsidR="00B831ED" w:rsidRPr="006E1A1D" w:rsidRDefault="00B831ED" w:rsidP="006B05D6">
      <w:pPr>
        <w:pStyle w:val="FootnoteText"/>
        <w:spacing w:line="240" w:lineRule="auto"/>
        <w:ind w:left="1138" w:right="562" w:hanging="1138"/>
        <w:jc w:val="both"/>
        <w:rPr>
          <w:szCs w:val="18"/>
          <w:lang w:val="fr-FR"/>
        </w:rPr>
      </w:pPr>
      <w:r w:rsidRPr="0042142E">
        <w:rPr>
          <w:szCs w:val="18"/>
        </w:rPr>
        <w:tab/>
      </w:r>
      <w:r w:rsidRPr="0042142E">
        <w:rPr>
          <w:rStyle w:val="FootnoteReference"/>
          <w:szCs w:val="18"/>
        </w:rPr>
        <w:footnoteRef/>
      </w:r>
      <w:r w:rsidRPr="006E1A1D">
        <w:rPr>
          <w:szCs w:val="18"/>
          <w:lang w:val="fr-FR"/>
        </w:rPr>
        <w:tab/>
        <w:t xml:space="preserve">QI-214. </w:t>
      </w:r>
    </w:p>
  </w:footnote>
  <w:footnote w:id="355">
    <w:p w14:paraId="491AF9E8" w14:textId="16F318C0" w:rsidR="00B831ED" w:rsidRPr="00D71E9D" w:rsidRDefault="00B831ED" w:rsidP="006B05D6">
      <w:pPr>
        <w:pStyle w:val="FootnoteText"/>
        <w:spacing w:line="240" w:lineRule="auto"/>
        <w:ind w:left="1138" w:right="562" w:hanging="1138"/>
        <w:jc w:val="both"/>
        <w:rPr>
          <w:szCs w:val="18"/>
        </w:rPr>
      </w:pPr>
      <w:r w:rsidRPr="006E1A1D">
        <w:rPr>
          <w:szCs w:val="18"/>
          <w:lang w:val="fr-FR"/>
        </w:rPr>
        <w:tab/>
      </w:r>
      <w:r w:rsidRPr="0042142E">
        <w:rPr>
          <w:rStyle w:val="FootnoteReference"/>
          <w:szCs w:val="18"/>
        </w:rPr>
        <w:footnoteRef/>
      </w:r>
      <w:r w:rsidRPr="00D71E9D">
        <w:rPr>
          <w:szCs w:val="18"/>
        </w:rPr>
        <w:tab/>
        <w:t>CNC</w:t>
      </w:r>
      <w:r w:rsidR="00FF1355" w:rsidRPr="00D71E9D">
        <w:rPr>
          <w:szCs w:val="18"/>
        </w:rPr>
        <w:t>,</w:t>
      </w:r>
      <w:r w:rsidRPr="00D71E9D">
        <w:rPr>
          <w:szCs w:val="18"/>
        </w:rPr>
        <w:t xml:space="preserve"> Press Release n° 004/CNC/KR </w:t>
      </w:r>
      <w:r w:rsidR="00FF1355" w:rsidRPr="00D71E9D">
        <w:rPr>
          <w:szCs w:val="18"/>
        </w:rPr>
        <w:t>dated</w:t>
      </w:r>
      <w:r w:rsidRPr="00D71E9D">
        <w:rPr>
          <w:szCs w:val="18"/>
        </w:rPr>
        <w:t xml:space="preserve"> 4 </w:t>
      </w:r>
      <w:r w:rsidR="007A6578" w:rsidRPr="00D71E9D">
        <w:rPr>
          <w:szCs w:val="18"/>
        </w:rPr>
        <w:t>May 2</w:t>
      </w:r>
      <w:r w:rsidRPr="00D71E9D">
        <w:rPr>
          <w:szCs w:val="18"/>
        </w:rPr>
        <w:t xml:space="preserve">018. </w:t>
      </w:r>
    </w:p>
  </w:footnote>
  <w:footnote w:id="356">
    <w:p w14:paraId="2AF218BE" w14:textId="77777777" w:rsidR="00B831ED" w:rsidRPr="00351DE0" w:rsidRDefault="00B831ED" w:rsidP="006B05D6">
      <w:pPr>
        <w:pStyle w:val="FootnoteText"/>
        <w:spacing w:line="240" w:lineRule="auto"/>
        <w:ind w:left="1138" w:right="562" w:hanging="1138"/>
        <w:jc w:val="both"/>
        <w:rPr>
          <w:szCs w:val="18"/>
        </w:rPr>
      </w:pPr>
      <w:r w:rsidRPr="00D71E9D">
        <w:rPr>
          <w:szCs w:val="18"/>
        </w:rPr>
        <w:tab/>
      </w:r>
      <w:r w:rsidRPr="0042142E">
        <w:rPr>
          <w:rStyle w:val="FootnoteReference"/>
          <w:szCs w:val="18"/>
        </w:rPr>
        <w:footnoteRef/>
      </w:r>
      <w:r w:rsidRPr="00CB76E0">
        <w:rPr>
          <w:szCs w:val="18"/>
        </w:rPr>
        <w:tab/>
        <w:t>For more detai</w:t>
      </w:r>
      <w:r>
        <w:rPr>
          <w:szCs w:val="18"/>
        </w:rPr>
        <w:t xml:space="preserve">ls on the case of </w:t>
      </w:r>
      <w:r w:rsidRPr="00CB76E0">
        <w:rPr>
          <w:szCs w:val="18"/>
        </w:rPr>
        <w:t xml:space="preserve">Pierre Claver Mbonimpa, See: A/HRC/36/CRP.1, para. </w:t>
      </w:r>
      <w:r w:rsidRPr="00351DE0">
        <w:rPr>
          <w:szCs w:val="18"/>
        </w:rPr>
        <w:t>581.</w:t>
      </w:r>
    </w:p>
  </w:footnote>
  <w:footnote w:id="357">
    <w:p w14:paraId="24ABF43C" w14:textId="77777777" w:rsidR="00B831ED" w:rsidRPr="0042142E" w:rsidRDefault="00B831ED" w:rsidP="006B05D6">
      <w:pPr>
        <w:pStyle w:val="FootnoteText"/>
        <w:spacing w:line="240" w:lineRule="auto"/>
        <w:ind w:left="1138" w:right="562" w:hanging="1138"/>
        <w:jc w:val="both"/>
        <w:rPr>
          <w:szCs w:val="18"/>
        </w:rPr>
      </w:pPr>
      <w:r w:rsidRPr="00351DE0">
        <w:rPr>
          <w:szCs w:val="18"/>
        </w:rPr>
        <w:tab/>
      </w:r>
      <w:r w:rsidRPr="0042142E">
        <w:rPr>
          <w:rStyle w:val="FootnoteReference"/>
          <w:szCs w:val="18"/>
        </w:rPr>
        <w:footnoteRef/>
      </w:r>
      <w:r w:rsidRPr="0042142E">
        <w:rPr>
          <w:szCs w:val="18"/>
        </w:rPr>
        <w:tab/>
        <w:t xml:space="preserve">TI-154, TI-155, QI-278. See </w:t>
      </w:r>
      <w:r>
        <w:rPr>
          <w:szCs w:val="18"/>
        </w:rPr>
        <w:t>also</w:t>
      </w:r>
      <w:r w:rsidRPr="0042142E">
        <w:rPr>
          <w:szCs w:val="18"/>
        </w:rPr>
        <w:t xml:space="preserve">: </w:t>
      </w:r>
      <w:hyperlink r:id="rId14" w:history="1">
        <w:r w:rsidRPr="00653F58">
          <w:rPr>
            <w:rStyle w:val="Hyperlink"/>
            <w:szCs w:val="18"/>
          </w:rPr>
          <w:t>http://www.presidence.gov.bi/2018/04/30/communique-du-gouvernement-du-30042018/</w:t>
        </w:r>
      </w:hyperlink>
      <w:r w:rsidRPr="0042142E">
        <w:rPr>
          <w:rStyle w:val="Hyperlink"/>
          <w:szCs w:val="18"/>
        </w:rPr>
        <w:t>.</w:t>
      </w:r>
    </w:p>
  </w:footnote>
  <w:footnote w:id="358">
    <w:p w14:paraId="73C57903" w14:textId="77777777" w:rsidR="00B831ED" w:rsidRPr="0042142E" w:rsidRDefault="00B831ED"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t>See:</w:t>
      </w:r>
      <w:hyperlink r:id="rId15" w:history="1">
        <w:r w:rsidRPr="007C4AC6">
          <w:rPr>
            <w:rStyle w:val="Hyperlink"/>
            <w:szCs w:val="18"/>
          </w:rPr>
          <w:t>http://www.jeuneafrique.com/557271/politique/burundi-les-radios-bbc-and-voa-suspendues-a-</w:t>
        </w:r>
        <w:r w:rsidRPr="00705DC7">
          <w:rPr>
            <w:rStyle w:val="Hyperlink"/>
            <w:szCs w:val="18"/>
          </w:rPr>
          <w:t>deux-semaines-du-referendum/</w:t>
        </w:r>
      </w:hyperlink>
      <w:r w:rsidRPr="0042142E">
        <w:rPr>
          <w:rStyle w:val="Hyperlink"/>
          <w:szCs w:val="18"/>
        </w:rPr>
        <w:t>.</w:t>
      </w:r>
    </w:p>
  </w:footnote>
  <w:footnote w:id="359">
    <w:p w14:paraId="79C05269"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See: </w:t>
      </w:r>
      <w:hyperlink r:id="rId16" w:history="1">
        <w:r w:rsidRPr="0042142E">
          <w:rPr>
            <w:rStyle w:val="Hyperlink"/>
            <w:szCs w:val="18"/>
          </w:rPr>
          <w:t>http://www.rtnb.bi/fr/art.php?idapi=2/5/21</w:t>
        </w:r>
      </w:hyperlink>
      <w:r w:rsidRPr="0042142E">
        <w:rPr>
          <w:szCs w:val="18"/>
        </w:rPr>
        <w:t>.</w:t>
      </w:r>
    </w:p>
  </w:footnote>
  <w:footnote w:id="360">
    <w:p w14:paraId="62267CC1" w14:textId="77777777" w:rsidR="00B831ED" w:rsidRPr="0042142E" w:rsidRDefault="00B831ED"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t>QI-278. </w:t>
      </w:r>
      <w:r>
        <w:rPr>
          <w:szCs w:val="18"/>
        </w:rPr>
        <w:t>See also:</w:t>
      </w:r>
      <w:r w:rsidRPr="0042142E">
        <w:rPr>
          <w:szCs w:val="18"/>
        </w:rPr>
        <w:t xml:space="preserve"> </w:t>
      </w:r>
      <w:hyperlink r:id="rId17" w:history="1">
        <w:r w:rsidRPr="007C4AC6">
          <w:rPr>
            <w:rStyle w:val="Hyperlink"/>
            <w:szCs w:val="18"/>
          </w:rPr>
          <w:t>http://cnc-burundi.bi/wp-content/uploads/2017/11/lettre-de-MISE-EN-GARDE-DE-BBC-scan%C3%A9%C3%A92018.pdf</w:t>
        </w:r>
      </w:hyperlink>
    </w:p>
  </w:footnote>
  <w:footnote w:id="361">
    <w:p w14:paraId="798CE6A1" w14:textId="77777777" w:rsidR="00B831ED" w:rsidRPr="0042142E" w:rsidRDefault="00B831ED"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See: </w:t>
      </w:r>
      <w:hyperlink r:id="rId18" w:history="1">
        <w:r w:rsidRPr="0042142E">
          <w:rPr>
            <w:rStyle w:val="Hyperlink"/>
            <w:szCs w:val="18"/>
          </w:rPr>
          <w:t>http://cnc-burundi.bi/wp-content/uploads/2017/11/Avertissement-culture.pdf</w:t>
        </w:r>
      </w:hyperlink>
      <w:r w:rsidRPr="0042142E">
        <w:rPr>
          <w:rStyle w:val="Hyperlink"/>
          <w:szCs w:val="18"/>
        </w:rPr>
        <w:t>.</w:t>
      </w:r>
    </w:p>
  </w:footnote>
  <w:footnote w:id="362">
    <w:p w14:paraId="2D78AB9F"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19" w:history="1">
        <w:r w:rsidRPr="0042142E">
          <w:rPr>
            <w:rStyle w:val="Hyperlink"/>
            <w:szCs w:val="18"/>
          </w:rPr>
          <w:t>http://cnc-burundi.bi/wp-content/uploads/2017/11/avertissement-iwacu.pdf</w:t>
        </w:r>
      </w:hyperlink>
      <w:r w:rsidRPr="0042142E">
        <w:rPr>
          <w:szCs w:val="18"/>
        </w:rPr>
        <w:t xml:space="preserve">, </w:t>
      </w:r>
      <w:hyperlink r:id="rId20" w:history="1">
        <w:r w:rsidRPr="00653F58">
          <w:rPr>
            <w:rStyle w:val="Hyperlink"/>
            <w:szCs w:val="18"/>
          </w:rPr>
          <w:t>http://cnc-burundi.bi/wp-content/uploads/2017/11/Avertissement-renouveau.pdf</w:t>
        </w:r>
      </w:hyperlink>
      <w:r w:rsidRPr="0042142E">
        <w:rPr>
          <w:szCs w:val="18"/>
        </w:rPr>
        <w:t>.</w:t>
      </w:r>
    </w:p>
  </w:footnote>
  <w:footnote w:id="363">
    <w:p w14:paraId="095CB36E" w14:textId="2DDC8953" w:rsidR="00B831ED" w:rsidRPr="003D4C86"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3D4C86">
        <w:rPr>
          <w:szCs w:val="18"/>
        </w:rPr>
        <w:tab/>
        <w:t>CNC</w:t>
      </w:r>
      <w:r w:rsidR="00D71E9D">
        <w:rPr>
          <w:szCs w:val="18"/>
        </w:rPr>
        <w:t>,</w:t>
      </w:r>
      <w:r w:rsidRPr="003D4C86">
        <w:rPr>
          <w:szCs w:val="18"/>
        </w:rPr>
        <w:t xml:space="preserve"> Press Release n° 004/CNC/KR of 4 May 2018.</w:t>
      </w:r>
    </w:p>
  </w:footnote>
  <w:footnote w:id="364">
    <w:p w14:paraId="445C2D12" w14:textId="77777777" w:rsidR="00B831ED" w:rsidRPr="003D4C86" w:rsidRDefault="00B831ED" w:rsidP="006B05D6">
      <w:pPr>
        <w:pStyle w:val="FootnoteText"/>
        <w:spacing w:line="240" w:lineRule="auto"/>
        <w:ind w:left="1138" w:right="562" w:hanging="1138"/>
        <w:rPr>
          <w:szCs w:val="18"/>
        </w:rPr>
      </w:pPr>
      <w:r w:rsidRPr="003D4C86">
        <w:rPr>
          <w:szCs w:val="18"/>
        </w:rPr>
        <w:tab/>
      </w:r>
      <w:r w:rsidRPr="0042142E">
        <w:rPr>
          <w:rStyle w:val="FootnoteReference"/>
          <w:szCs w:val="18"/>
        </w:rPr>
        <w:footnoteRef/>
      </w:r>
      <w:r w:rsidRPr="0042142E">
        <w:rPr>
          <w:szCs w:val="18"/>
        </w:rPr>
        <w:tab/>
        <w:t xml:space="preserve">Ibid. </w:t>
      </w:r>
      <w:r w:rsidRPr="003D4C86">
        <w:rPr>
          <w:szCs w:val="18"/>
        </w:rPr>
        <w:t xml:space="preserve">See </w:t>
      </w:r>
      <w:r>
        <w:rPr>
          <w:szCs w:val="18"/>
        </w:rPr>
        <w:t>also</w:t>
      </w:r>
      <w:r w:rsidRPr="003D4C86">
        <w:rPr>
          <w:szCs w:val="18"/>
        </w:rPr>
        <w:t xml:space="preserve">: </w:t>
      </w:r>
      <w:hyperlink r:id="rId21" w:history="1">
        <w:r w:rsidRPr="00653F58">
          <w:rPr>
            <w:rStyle w:val="Hyperlink"/>
            <w:szCs w:val="18"/>
          </w:rPr>
          <w:t>http://www.jeuneafrique.com/557271/politique/burundi-les-radios-bbc-and-voa-suspendues-a-deux-semaines-du-referendum/</w:t>
        </w:r>
      </w:hyperlink>
      <w:r w:rsidRPr="003D4C86">
        <w:rPr>
          <w:rStyle w:val="Hyperlink"/>
          <w:szCs w:val="18"/>
        </w:rPr>
        <w:t>.</w:t>
      </w:r>
    </w:p>
  </w:footnote>
  <w:footnote w:id="365">
    <w:p w14:paraId="1F39E887" w14:textId="77777777" w:rsidR="00B831ED" w:rsidRPr="0042142E" w:rsidRDefault="00B831ED" w:rsidP="006B05D6">
      <w:pPr>
        <w:pStyle w:val="FootnoteText"/>
        <w:spacing w:line="240" w:lineRule="auto"/>
        <w:ind w:left="1138" w:right="562" w:hanging="1138"/>
        <w:rPr>
          <w:szCs w:val="18"/>
        </w:rPr>
      </w:pPr>
      <w:r w:rsidRPr="003D4C86">
        <w:rPr>
          <w:szCs w:val="18"/>
        </w:rPr>
        <w:tab/>
      </w:r>
      <w:r w:rsidRPr="0042142E">
        <w:rPr>
          <w:rStyle w:val="FootnoteReference"/>
          <w:szCs w:val="18"/>
        </w:rPr>
        <w:footnoteRef/>
      </w:r>
      <w:r w:rsidRPr="0042142E">
        <w:rPr>
          <w:szCs w:val="18"/>
        </w:rPr>
        <w:tab/>
        <w:t xml:space="preserve">See: </w:t>
      </w:r>
      <w:hyperlink r:id="rId22" w:history="1">
        <w:r w:rsidRPr="0042142E">
          <w:rPr>
            <w:rStyle w:val="Hyperlink"/>
            <w:szCs w:val="18"/>
          </w:rPr>
          <w:t>http://www.rtnb.bi/fr/art.php?idapi=2/5/21</w:t>
        </w:r>
      </w:hyperlink>
      <w:r w:rsidRPr="0042142E">
        <w:rPr>
          <w:szCs w:val="18"/>
        </w:rPr>
        <w:t>.</w:t>
      </w:r>
    </w:p>
  </w:footnote>
  <w:footnote w:id="366">
    <w:p w14:paraId="0B9A467B"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QI-214.</w:t>
      </w:r>
    </w:p>
  </w:footnote>
  <w:footnote w:id="367">
    <w:p w14:paraId="388EA27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QI-220.</w:t>
      </w:r>
    </w:p>
  </w:footnote>
  <w:footnote w:id="368">
    <w:p w14:paraId="52FAA70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QI-215.</w:t>
      </w:r>
    </w:p>
  </w:footnote>
  <w:footnote w:id="369">
    <w:p w14:paraId="74E5EF6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QI-264.</w:t>
      </w:r>
    </w:p>
  </w:footnote>
  <w:footnote w:id="370">
    <w:p w14:paraId="341D85E1" w14:textId="77777777" w:rsidR="00B831ED" w:rsidRPr="0042142E" w:rsidRDefault="00B831ED" w:rsidP="00385F4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JI-037.</w:t>
      </w:r>
    </w:p>
  </w:footnote>
  <w:footnote w:id="371">
    <w:p w14:paraId="6BA5C534" w14:textId="0FE3A48E" w:rsidR="00B831ED" w:rsidRPr="0042142E" w:rsidRDefault="00B831ED"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QI-222.</w:t>
      </w:r>
    </w:p>
  </w:footnote>
  <w:footnote w:id="372">
    <w:p w14:paraId="518B4C22" w14:textId="2B2C9F19" w:rsidR="00B831ED" w:rsidRPr="0042142E" w:rsidRDefault="00B831ED"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QI-264.</w:t>
      </w:r>
    </w:p>
  </w:footnote>
  <w:footnote w:id="373">
    <w:p w14:paraId="67F49216" w14:textId="69E04ECE" w:rsidR="00B831ED" w:rsidRPr="00351539" w:rsidRDefault="00B831ED" w:rsidP="00385F44">
      <w:pPr>
        <w:pStyle w:val="FootnoteText"/>
        <w:spacing w:line="240" w:lineRule="auto"/>
        <w:ind w:left="0" w:right="562" w:hanging="1138"/>
        <w:rPr>
          <w:szCs w:val="18"/>
        </w:rPr>
      </w:pPr>
      <w:r w:rsidRPr="00351539">
        <w:rPr>
          <w:szCs w:val="18"/>
        </w:rPr>
        <w:tab/>
      </w:r>
      <w:r>
        <w:rPr>
          <w:szCs w:val="18"/>
        </w:rPr>
        <w:tab/>
      </w:r>
      <w:r w:rsidRPr="006B7237">
        <w:rPr>
          <w:rStyle w:val="FootnoteReference"/>
          <w:szCs w:val="18"/>
        </w:rPr>
        <w:footnoteRef/>
      </w:r>
      <w:r w:rsidRPr="00351539">
        <w:rPr>
          <w:szCs w:val="18"/>
        </w:rPr>
        <w:tab/>
        <w:t>See supra., section a.</w:t>
      </w:r>
    </w:p>
  </w:footnote>
  <w:footnote w:id="374">
    <w:p w14:paraId="2C9538C0" w14:textId="5D3C3509" w:rsidR="00B831ED" w:rsidRPr="00351539" w:rsidRDefault="00B831ED" w:rsidP="00385F44">
      <w:pPr>
        <w:pStyle w:val="FootnoteText"/>
        <w:spacing w:line="240" w:lineRule="auto"/>
        <w:ind w:left="0" w:right="562" w:hanging="1138"/>
        <w:rPr>
          <w:szCs w:val="18"/>
        </w:rPr>
      </w:pPr>
      <w:r w:rsidRPr="00351539">
        <w:rPr>
          <w:szCs w:val="18"/>
        </w:rPr>
        <w:tab/>
      </w:r>
      <w:r>
        <w:rPr>
          <w:szCs w:val="18"/>
        </w:rPr>
        <w:tab/>
      </w:r>
      <w:r w:rsidRPr="006B7237">
        <w:rPr>
          <w:rStyle w:val="FootnoteReference"/>
          <w:szCs w:val="18"/>
        </w:rPr>
        <w:footnoteRef/>
      </w:r>
      <w:r w:rsidRPr="00351539">
        <w:rPr>
          <w:szCs w:val="18"/>
        </w:rPr>
        <w:tab/>
        <w:t xml:space="preserve">A/HRC/36/CRP.1, </w:t>
      </w:r>
      <w:r>
        <w:rPr>
          <w:szCs w:val="18"/>
        </w:rPr>
        <w:t>para.</w:t>
      </w:r>
      <w:r w:rsidRPr="00351539">
        <w:rPr>
          <w:szCs w:val="18"/>
        </w:rPr>
        <w:t xml:space="preserve"> 519 to 532.</w:t>
      </w:r>
    </w:p>
  </w:footnote>
  <w:footnote w:id="375">
    <w:p w14:paraId="73AEE0A8" w14:textId="69CB924D" w:rsidR="00B831ED" w:rsidRPr="0042142E" w:rsidRDefault="00B831ED"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QI-214.</w:t>
      </w:r>
    </w:p>
  </w:footnote>
  <w:footnote w:id="376">
    <w:p w14:paraId="16ED951B" w14:textId="41B893BA" w:rsidR="00B831ED" w:rsidRPr="0042142E" w:rsidRDefault="00B831ED"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 xml:space="preserve">See: </w:t>
      </w:r>
      <w:hyperlink r:id="rId23" w:history="1">
        <w:r w:rsidRPr="0042142E">
          <w:rPr>
            <w:rStyle w:val="Hyperlink"/>
            <w:szCs w:val="18"/>
          </w:rPr>
          <w:t>http://french.china.org.cn/foreign/txt/2018-06/15/content_52251128.htm</w:t>
        </w:r>
      </w:hyperlink>
      <w:r w:rsidRPr="0042142E">
        <w:rPr>
          <w:szCs w:val="18"/>
        </w:rPr>
        <w:t>.</w:t>
      </w:r>
    </w:p>
  </w:footnote>
  <w:footnote w:id="377">
    <w:p w14:paraId="337DDAE4" w14:textId="12CAD9C9" w:rsidR="00B831ED" w:rsidRPr="006B7237" w:rsidRDefault="00B831ED" w:rsidP="00385F44">
      <w:pPr>
        <w:pStyle w:val="FootnoteText"/>
        <w:spacing w:line="240" w:lineRule="auto"/>
        <w:ind w:left="0" w:right="562" w:hanging="1138"/>
        <w:rPr>
          <w:szCs w:val="18"/>
          <w:lang w:val="fr-CH"/>
        </w:rPr>
      </w:pPr>
      <w:r w:rsidRPr="00351539">
        <w:rPr>
          <w:szCs w:val="18"/>
        </w:rPr>
        <w:tab/>
      </w:r>
      <w:r>
        <w:rPr>
          <w:szCs w:val="18"/>
        </w:rPr>
        <w:tab/>
      </w:r>
      <w:r w:rsidRPr="006B7237">
        <w:rPr>
          <w:rStyle w:val="FootnoteReference"/>
          <w:szCs w:val="18"/>
        </w:rPr>
        <w:footnoteRef/>
      </w:r>
      <w:r w:rsidRPr="006B7237">
        <w:rPr>
          <w:szCs w:val="18"/>
          <w:lang w:val="fr-CH"/>
        </w:rPr>
        <w:tab/>
        <w:t xml:space="preserve">QI-278. Voir : </w:t>
      </w:r>
      <w:hyperlink r:id="rId24" w:history="1">
        <w:r w:rsidRPr="00536122">
          <w:rPr>
            <w:rStyle w:val="Hyperlink"/>
            <w:szCs w:val="18"/>
            <w:lang w:val="fr-CH"/>
          </w:rPr>
          <w:t>http://www.iwacu-burundi.org/judith-basutama-journaliste-de-bbc-afrique-est-</w:t>
        </w:r>
        <w:r w:rsidRPr="00536122">
          <w:rPr>
            <w:rStyle w:val="Hyperlink"/>
            <w:szCs w:val="18"/>
            <w:lang w:val="fr-CH"/>
          </w:rPr>
          <w:tab/>
        </w:r>
        <w:r w:rsidRPr="00536122">
          <w:rPr>
            <w:rStyle w:val="Hyperlink"/>
            <w:szCs w:val="18"/>
            <w:lang w:val="fr-CH"/>
          </w:rPr>
          <w:tab/>
        </w:r>
        <w:r w:rsidRPr="00536122">
          <w:rPr>
            <w:rStyle w:val="Hyperlink"/>
            <w:szCs w:val="18"/>
            <w:lang w:val="fr-CH"/>
          </w:rPr>
          <w:tab/>
          <w:t>convoquee-jeudi-21-mars-a-9h-au-tribunal-de-grande-instance-de-mukaza/</w:t>
        </w:r>
      </w:hyperlink>
      <w:r w:rsidRPr="006B7237">
        <w:rPr>
          <w:szCs w:val="18"/>
          <w:lang w:val="fr-CH"/>
        </w:rPr>
        <w:t>.</w:t>
      </w:r>
    </w:p>
  </w:footnote>
  <w:footnote w:id="378">
    <w:p w14:paraId="7E432B80" w14:textId="19C086BD" w:rsidR="00B831ED" w:rsidRPr="00D71E9D" w:rsidRDefault="00B831ED" w:rsidP="00385F44">
      <w:pPr>
        <w:pStyle w:val="FootnoteText"/>
        <w:spacing w:line="240" w:lineRule="auto"/>
        <w:ind w:left="0" w:right="562" w:hanging="1138"/>
        <w:rPr>
          <w:szCs w:val="18"/>
        </w:rPr>
      </w:pPr>
      <w:r w:rsidRPr="006B7237">
        <w:rPr>
          <w:szCs w:val="18"/>
          <w:lang w:val="fr-CH"/>
        </w:rPr>
        <w:tab/>
      </w:r>
      <w:r>
        <w:rPr>
          <w:szCs w:val="18"/>
          <w:lang w:val="fr-CH"/>
        </w:rPr>
        <w:tab/>
      </w:r>
      <w:r w:rsidRPr="006B7237">
        <w:rPr>
          <w:rStyle w:val="FootnoteReference"/>
          <w:szCs w:val="18"/>
        </w:rPr>
        <w:footnoteRef/>
      </w:r>
      <w:r w:rsidRPr="006B7237">
        <w:rPr>
          <w:szCs w:val="18"/>
          <w:lang w:val="fr-CH"/>
        </w:rPr>
        <w:tab/>
        <w:t xml:space="preserve">QI-278. </w:t>
      </w:r>
      <w:r w:rsidRPr="00D71E9D">
        <w:rPr>
          <w:szCs w:val="18"/>
        </w:rPr>
        <w:t xml:space="preserve">See also: UBJ, </w:t>
      </w:r>
      <w:r w:rsidR="00D71E9D" w:rsidRPr="00D71E9D">
        <w:rPr>
          <w:i/>
          <w:szCs w:val="18"/>
        </w:rPr>
        <w:t>First Quaterly 2018 Report</w:t>
      </w:r>
      <w:r w:rsidRPr="00D71E9D">
        <w:rPr>
          <w:szCs w:val="18"/>
        </w:rPr>
        <w:t xml:space="preserve">, 31 </w:t>
      </w:r>
      <w:r w:rsidR="00D71E9D" w:rsidRPr="00D71E9D">
        <w:rPr>
          <w:szCs w:val="18"/>
        </w:rPr>
        <w:t>March</w:t>
      </w:r>
      <w:r w:rsidRPr="00D71E9D">
        <w:rPr>
          <w:szCs w:val="18"/>
        </w:rPr>
        <w:t xml:space="preserve"> 2018.</w:t>
      </w:r>
    </w:p>
  </w:footnote>
  <w:footnote w:id="379">
    <w:p w14:paraId="71E8C30F" w14:textId="77777777" w:rsidR="00B831ED" w:rsidRPr="0042142E" w:rsidRDefault="00B831ED" w:rsidP="006B05D6">
      <w:pPr>
        <w:pStyle w:val="FootnoteText"/>
        <w:spacing w:line="240" w:lineRule="auto"/>
        <w:ind w:left="0" w:right="567" w:firstLine="0"/>
        <w:rPr>
          <w:szCs w:val="18"/>
        </w:rPr>
      </w:pPr>
      <w:r w:rsidRPr="00D71E9D">
        <w:rPr>
          <w:szCs w:val="18"/>
        </w:rPr>
        <w:tab/>
      </w:r>
      <w:r w:rsidRPr="0042142E">
        <w:rPr>
          <w:rStyle w:val="FootnoteReference"/>
          <w:szCs w:val="18"/>
        </w:rPr>
        <w:footnoteRef/>
      </w:r>
      <w:r w:rsidRPr="0042142E">
        <w:rPr>
          <w:szCs w:val="18"/>
        </w:rPr>
        <w:tab/>
        <w:t xml:space="preserve">See: </w:t>
      </w:r>
      <w:hyperlink r:id="rId25" w:history="1">
        <w:r w:rsidRPr="0042142E">
          <w:rPr>
            <w:rStyle w:val="Hyperlink"/>
            <w:szCs w:val="18"/>
          </w:rPr>
          <w:t>http://www.presidence.gov.bi/wp-content/uploads/2018/04/cqu%C3%A9-sur-</w:t>
        </w:r>
        <w:r w:rsidRPr="0042142E">
          <w:rPr>
            <w:rStyle w:val="Hyperlink"/>
            <w:szCs w:val="18"/>
          </w:rPr>
          <w:br/>
        </w:r>
        <w:r w:rsidRPr="0042142E">
          <w:rPr>
            <w:rStyle w:val="Hyperlink"/>
            <w:szCs w:val="18"/>
          </w:rPr>
          <w:tab/>
        </w:r>
        <w:r w:rsidRPr="0042142E">
          <w:rPr>
            <w:rStyle w:val="Hyperlink"/>
            <w:szCs w:val="18"/>
          </w:rPr>
          <w:tab/>
          <w:t>d%C3%A9viance-BBC-30-avril-2018.pdf</w:t>
        </w:r>
      </w:hyperlink>
      <w:r w:rsidRPr="0042142E">
        <w:rPr>
          <w:szCs w:val="18"/>
        </w:rPr>
        <w:t xml:space="preserve">. </w:t>
      </w:r>
    </w:p>
  </w:footnote>
  <w:footnote w:id="380">
    <w:p w14:paraId="09901681"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Pr>
          <w:szCs w:val="18"/>
        </w:rPr>
        <w:tab/>
        <w:t xml:space="preserve">UBJ, </w:t>
      </w:r>
      <w:r w:rsidRPr="00D71E9D">
        <w:rPr>
          <w:i/>
          <w:szCs w:val="18"/>
        </w:rPr>
        <w:t>Fourth Quarterly 2017 Report</w:t>
      </w:r>
      <w:r w:rsidRPr="0042142E">
        <w:rPr>
          <w:szCs w:val="18"/>
        </w:rPr>
        <w:t>, 31 December 2017.</w:t>
      </w:r>
    </w:p>
  </w:footnote>
  <w:footnote w:id="381">
    <w:p w14:paraId="77BC16AC" w14:textId="77777777" w:rsidR="00B831ED" w:rsidRPr="00851EFA" w:rsidRDefault="00B831ED" w:rsidP="006B05D6">
      <w:pPr>
        <w:pStyle w:val="FootnoteText"/>
        <w:spacing w:line="240" w:lineRule="auto"/>
        <w:ind w:left="0" w:right="567" w:firstLine="0"/>
        <w:rPr>
          <w:szCs w:val="18"/>
          <w:lang w:val="fr-FR"/>
        </w:rPr>
      </w:pPr>
      <w:r w:rsidRPr="0042142E">
        <w:rPr>
          <w:szCs w:val="18"/>
        </w:rPr>
        <w:tab/>
      </w:r>
      <w:r w:rsidRPr="0042142E">
        <w:rPr>
          <w:rStyle w:val="FootnoteReference"/>
          <w:szCs w:val="18"/>
        </w:rPr>
        <w:footnoteRef/>
      </w:r>
      <w:r w:rsidRPr="00851EFA">
        <w:rPr>
          <w:szCs w:val="18"/>
          <w:lang w:val="fr-FR"/>
        </w:rPr>
        <w:tab/>
        <w:t>XI-058, XI-069.</w:t>
      </w:r>
    </w:p>
  </w:footnote>
  <w:footnote w:id="382">
    <w:p w14:paraId="05BEAD17" w14:textId="105DC6F6" w:rsidR="00B831ED" w:rsidRPr="0042142E" w:rsidRDefault="00B831ED" w:rsidP="006B05D6">
      <w:pPr>
        <w:pStyle w:val="FootnoteText"/>
        <w:spacing w:line="240" w:lineRule="auto"/>
        <w:ind w:left="0" w:right="567" w:firstLine="0"/>
        <w:rPr>
          <w:szCs w:val="18"/>
        </w:rPr>
      </w:pPr>
      <w:r w:rsidRPr="00851EFA">
        <w:rPr>
          <w:szCs w:val="18"/>
          <w:lang w:val="fr-FR"/>
        </w:rPr>
        <w:tab/>
      </w:r>
      <w:r w:rsidRPr="0042142E">
        <w:rPr>
          <w:rStyle w:val="FootnoteReference"/>
          <w:szCs w:val="18"/>
        </w:rPr>
        <w:footnoteRef/>
      </w:r>
      <w:r w:rsidRPr="00851EFA">
        <w:rPr>
          <w:szCs w:val="18"/>
          <w:lang w:val="fr-FR"/>
        </w:rPr>
        <w:tab/>
        <w:t xml:space="preserve">QI-214, TI-119, JI-021. </w:t>
      </w:r>
      <w:r>
        <w:rPr>
          <w:szCs w:val="18"/>
        </w:rPr>
        <w:t>See also</w:t>
      </w:r>
      <w:r w:rsidRPr="0042142E">
        <w:rPr>
          <w:szCs w:val="18"/>
        </w:rPr>
        <w:t xml:space="preserve">: UBJ, </w:t>
      </w:r>
      <w:r w:rsidRPr="00D71E9D">
        <w:rPr>
          <w:i/>
          <w:szCs w:val="18"/>
        </w:rPr>
        <w:t xml:space="preserve">First Quarterly 2018 </w:t>
      </w:r>
      <w:r w:rsidR="00D71E9D">
        <w:rPr>
          <w:i/>
          <w:szCs w:val="18"/>
        </w:rPr>
        <w:t>R</w:t>
      </w:r>
      <w:r w:rsidRPr="00D71E9D">
        <w:rPr>
          <w:i/>
          <w:szCs w:val="18"/>
        </w:rPr>
        <w:t>eport</w:t>
      </w:r>
      <w:r w:rsidRPr="0042142E">
        <w:rPr>
          <w:szCs w:val="18"/>
        </w:rPr>
        <w:t>, 31 March 2018.</w:t>
      </w:r>
    </w:p>
  </w:footnote>
  <w:footnote w:id="383">
    <w:p w14:paraId="7F02EE58" w14:textId="2930C1CC" w:rsidR="00B831ED" w:rsidRPr="0042142E" w:rsidRDefault="00B831ED" w:rsidP="006B05D6">
      <w:pPr>
        <w:pStyle w:val="FootnoteText"/>
        <w:spacing w:line="240" w:lineRule="auto"/>
        <w:ind w:left="0" w:right="567" w:firstLine="0"/>
      </w:pPr>
      <w:r w:rsidRPr="0042142E">
        <w:tab/>
      </w:r>
      <w:r w:rsidRPr="0042142E">
        <w:rPr>
          <w:rStyle w:val="FootnoteReference"/>
        </w:rPr>
        <w:footnoteRef/>
      </w:r>
      <w:r w:rsidRPr="0042142E">
        <w:tab/>
        <w:t xml:space="preserve">JI-055. See also: </w:t>
      </w:r>
      <w:hyperlink r:id="rId26" w:history="1">
        <w:r w:rsidRPr="00536122">
          <w:rPr>
            <w:rStyle w:val="Hyperlink"/>
          </w:rPr>
          <w:t>http://www.iwacu-burundi.org/ngagara-trois-journalistes-maltraites-par-des-</w:t>
        </w:r>
        <w:r w:rsidRPr="00536122">
          <w:rPr>
            <w:rStyle w:val="Hyperlink"/>
          </w:rPr>
          <w:tab/>
        </w:r>
        <w:r w:rsidRPr="00536122">
          <w:rPr>
            <w:rStyle w:val="Hyperlink"/>
          </w:rPr>
          <w:tab/>
        </w:r>
        <w:r w:rsidRPr="00536122">
          <w:rPr>
            <w:rStyle w:val="Hyperlink"/>
          </w:rPr>
          <w:tab/>
          <w:t>policiers-pendant-lexercice-de-travail/</w:t>
        </w:r>
      </w:hyperlink>
      <w:r w:rsidRPr="0042142E">
        <w:t>.</w:t>
      </w:r>
    </w:p>
  </w:footnote>
  <w:footnote w:id="384">
    <w:p w14:paraId="2E7E9F81" w14:textId="77777777" w:rsidR="00B831ED" w:rsidRPr="0042142E" w:rsidRDefault="00B831ED" w:rsidP="006B05D6">
      <w:pPr>
        <w:pStyle w:val="FootnoteText"/>
        <w:spacing w:line="240" w:lineRule="auto"/>
        <w:ind w:right="567"/>
      </w:pPr>
      <w:r w:rsidRPr="0042142E">
        <w:tab/>
      </w:r>
      <w:r w:rsidRPr="0042142E">
        <w:rPr>
          <w:rStyle w:val="FootnoteReference"/>
        </w:rPr>
        <w:footnoteRef/>
      </w:r>
      <w:r w:rsidRPr="0042142E">
        <w:tab/>
      </w:r>
      <w:r>
        <w:tab/>
      </w:r>
      <w:r w:rsidRPr="0042142E">
        <w:t>See: http://www.isanganiro.org/spip.php?article15052.</w:t>
      </w:r>
    </w:p>
  </w:footnote>
  <w:footnote w:id="385">
    <w:p w14:paraId="4AB9E351" w14:textId="77777777" w:rsidR="00B831ED" w:rsidRPr="0042142E" w:rsidRDefault="00B831ED" w:rsidP="006B05D6">
      <w:pPr>
        <w:pStyle w:val="FootnoteText"/>
        <w:spacing w:line="240" w:lineRule="auto"/>
        <w:ind w:right="567"/>
      </w:pPr>
      <w:r w:rsidRPr="0042142E">
        <w:tab/>
      </w:r>
      <w:r w:rsidRPr="0042142E">
        <w:rPr>
          <w:rStyle w:val="FootnoteReference"/>
        </w:rPr>
        <w:footnoteRef/>
      </w:r>
      <w:r w:rsidRPr="0042142E">
        <w:tab/>
      </w:r>
      <w:r>
        <w:tab/>
      </w:r>
      <w:r w:rsidRPr="0042142E">
        <w:t xml:space="preserve">JI-055. </w:t>
      </w:r>
    </w:p>
  </w:footnote>
  <w:footnote w:id="386">
    <w:p w14:paraId="585270E4"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QI-264, TI-149.</w:t>
      </w:r>
    </w:p>
  </w:footnote>
  <w:footnote w:id="387">
    <w:p w14:paraId="6DC1CC31"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Article 20 (1) and (2) </w:t>
      </w:r>
      <w:r>
        <w:rPr>
          <w:szCs w:val="18"/>
        </w:rPr>
        <w:t>of the Pact</w:t>
      </w:r>
      <w:r w:rsidRPr="0042142E">
        <w:rPr>
          <w:szCs w:val="18"/>
        </w:rPr>
        <w:t>.</w:t>
      </w:r>
    </w:p>
  </w:footnote>
  <w:footnote w:id="388">
    <w:p w14:paraId="3EC36D2F"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538 </w:t>
      </w:r>
      <w:r>
        <w:rPr>
          <w:szCs w:val="18"/>
        </w:rPr>
        <w:t>to</w:t>
      </w:r>
      <w:r w:rsidRPr="0042142E">
        <w:rPr>
          <w:szCs w:val="18"/>
        </w:rPr>
        <w:t xml:space="preserve"> 560.</w:t>
      </w:r>
    </w:p>
  </w:footnote>
  <w:footnote w:id="389">
    <w:p w14:paraId="6A4087CD"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Ibid., </w:t>
      </w:r>
      <w:r>
        <w:rPr>
          <w:szCs w:val="18"/>
        </w:rPr>
        <w:t>para.</w:t>
      </w:r>
      <w:r w:rsidRPr="0042142E">
        <w:rPr>
          <w:szCs w:val="18"/>
        </w:rPr>
        <w:t xml:space="preserve"> 543 and 544. </w:t>
      </w:r>
    </w:p>
  </w:footnote>
  <w:footnote w:id="390">
    <w:p w14:paraId="48A6BA9C" w14:textId="77777777" w:rsidR="00B831ED" w:rsidRPr="0042142E" w:rsidRDefault="00B831ED" w:rsidP="005B405D">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 xml:space="preserve">Has since become the </w:t>
      </w:r>
      <w:r w:rsidRPr="006E1A1D">
        <w:rPr>
          <w:i/>
          <w:iCs/>
          <w:szCs w:val="18"/>
        </w:rPr>
        <w:t>Conseil national pour la restauration de l'Accord d'Arusha and la réconciliation au Burundi</w:t>
      </w:r>
      <w:r>
        <w:rPr>
          <w:szCs w:val="18"/>
        </w:rPr>
        <w:t xml:space="preserve"> (</w:t>
      </w:r>
      <w:r w:rsidRPr="00A92E91">
        <w:rPr>
          <w:rStyle w:val="tlid-translation"/>
          <w:color w:val="000000" w:themeColor="text1"/>
        </w:rPr>
        <w:t>National Council for</w:t>
      </w:r>
      <w:r>
        <w:rPr>
          <w:rStyle w:val="tlid-translation"/>
          <w:color w:val="000000" w:themeColor="text1"/>
        </w:rPr>
        <w:t xml:space="preserve"> the</w:t>
      </w:r>
      <w:r w:rsidRPr="00A92E91">
        <w:rPr>
          <w:rStyle w:val="tlid-translation"/>
          <w:color w:val="000000" w:themeColor="text1"/>
        </w:rPr>
        <w:t xml:space="preserve"> </w:t>
      </w:r>
      <w:r>
        <w:rPr>
          <w:rStyle w:val="tlid-translation"/>
          <w:color w:val="000000" w:themeColor="text1"/>
        </w:rPr>
        <w:t>Restoration</w:t>
      </w:r>
      <w:r w:rsidRPr="00A92E91">
        <w:rPr>
          <w:rStyle w:val="tlid-translation"/>
          <w:color w:val="000000" w:themeColor="text1"/>
        </w:rPr>
        <w:t xml:space="preserve"> of the Arusha Agreement and Reconciliation in Burundi</w:t>
      </w:r>
      <w:r>
        <w:rPr>
          <w:rStyle w:val="tlid-translation"/>
          <w:color w:val="000000" w:themeColor="text1"/>
        </w:rPr>
        <w:t>)</w:t>
      </w:r>
      <w:r w:rsidRPr="0042142E">
        <w:rPr>
          <w:szCs w:val="18"/>
        </w:rPr>
        <w:t>.</w:t>
      </w:r>
    </w:p>
  </w:footnote>
  <w:footnote w:id="391">
    <w:p w14:paraId="3F51C52B" w14:textId="77777777" w:rsidR="00B831ED" w:rsidRPr="0042142E" w:rsidRDefault="00B831ED"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27" w:history="1">
        <w:r w:rsidRPr="0042142E">
          <w:rPr>
            <w:rStyle w:val="Hyperlink"/>
            <w:szCs w:val="18"/>
          </w:rPr>
          <w:t>https://twitter.com/minanijeremie/status/981243357572882433</w:t>
        </w:r>
      </w:hyperlink>
      <w:r w:rsidRPr="0042142E">
        <w:rPr>
          <w:szCs w:val="18"/>
        </w:rPr>
        <w:t>.</w:t>
      </w:r>
    </w:p>
  </w:footnote>
  <w:footnote w:id="392">
    <w:p w14:paraId="3F05DBF0" w14:textId="64D30C84" w:rsidR="00B831ED" w:rsidRPr="0042142E" w:rsidRDefault="00B831ED"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28" w:history="1">
        <w:r w:rsidRPr="00536122">
          <w:rPr>
            <w:rStyle w:val="Hyperlink"/>
            <w:szCs w:val="18"/>
          </w:rPr>
          <w:t>https://www.facebook.com/minani4president/photos/ a.594020177407515.1073741829.29661445314757/1175410859268441/?type=3</w:t>
        </w:r>
      </w:hyperlink>
      <w:r w:rsidRPr="0042142E">
        <w:rPr>
          <w:szCs w:val="18"/>
        </w:rPr>
        <w:t>.</w:t>
      </w:r>
    </w:p>
  </w:footnote>
  <w:footnote w:id="393">
    <w:p w14:paraId="5ED34D71" w14:textId="77777777" w:rsidR="00B831ED" w:rsidRPr="0042142E" w:rsidRDefault="00B831ED"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29" w:history="1">
        <w:r w:rsidRPr="0042142E">
          <w:rPr>
            <w:rStyle w:val="Hyperlink"/>
            <w:szCs w:val="18"/>
          </w:rPr>
          <w:t>https://twitter.com/minanijeremie/status/981804215021514752</w:t>
        </w:r>
      </w:hyperlink>
      <w:r w:rsidRPr="0042142E">
        <w:rPr>
          <w:szCs w:val="18"/>
        </w:rPr>
        <w:t>.</w:t>
      </w:r>
    </w:p>
  </w:footnote>
  <w:footnote w:id="394">
    <w:p w14:paraId="6B4EDE49" w14:textId="1C92AA72" w:rsidR="00B831ED" w:rsidRPr="0042142E" w:rsidRDefault="00B831ED"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30" w:history="1">
        <w:r w:rsidRPr="0042142E">
          <w:rPr>
            <w:rStyle w:val="Hyperlink"/>
            <w:szCs w:val="18"/>
          </w:rPr>
          <w:t>https://twitter.com/minanijeremie/status/1019857868617670656</w:t>
        </w:r>
      </w:hyperlink>
      <w:r w:rsidRPr="0042142E">
        <w:rPr>
          <w:szCs w:val="18"/>
        </w:rPr>
        <w:t xml:space="preserve">. Message </w:t>
      </w:r>
      <w:r>
        <w:rPr>
          <w:szCs w:val="18"/>
        </w:rPr>
        <w:t>reposted on Facebook</w:t>
      </w:r>
      <w:r w:rsidRPr="0042142E">
        <w:rPr>
          <w:szCs w:val="18"/>
        </w:rPr>
        <w:t xml:space="preserve">: </w:t>
      </w:r>
      <w:hyperlink r:id="rId31" w:history="1">
        <w:r w:rsidRPr="00536122">
          <w:rPr>
            <w:rStyle w:val="Hyperlink"/>
            <w:szCs w:val="18"/>
          </w:rPr>
          <w:t>https://www.facebook.com/story.php? story_fbid=2018793078145356&amp;id=100000440490723</w:t>
        </w:r>
      </w:hyperlink>
      <w:r w:rsidRPr="0042142E">
        <w:rPr>
          <w:szCs w:val="18"/>
        </w:rPr>
        <w:t>.</w:t>
      </w:r>
    </w:p>
  </w:footnote>
  <w:footnote w:id="395">
    <w:p w14:paraId="4BB2887C" w14:textId="5DFA49D5" w:rsidR="00B831ED" w:rsidRPr="0042142E" w:rsidRDefault="00B831ED"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32" w:history="1">
        <w:r w:rsidRPr="00536122">
          <w:rPr>
            <w:rStyle w:val="Hyperlink"/>
            <w:szCs w:val="18"/>
          </w:rPr>
          <w:t>http://www.jeuneafrique.com/556040/politique/referendum-au-burundi-selon-le-cnared-la-porte-dune-solution-negociee-va-definitivement-se-fermer/</w:t>
        </w:r>
      </w:hyperlink>
      <w:r w:rsidRPr="0042142E">
        <w:rPr>
          <w:szCs w:val="18"/>
        </w:rPr>
        <w:t>.</w:t>
      </w:r>
    </w:p>
  </w:footnote>
  <w:footnote w:id="396">
    <w:p w14:paraId="1B2AE187" w14:textId="77777777" w:rsidR="00B831ED" w:rsidRPr="0042142E" w:rsidRDefault="00B831ED" w:rsidP="005B405D">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ab/>
      </w:r>
      <w:r w:rsidRPr="0042142E">
        <w:rPr>
          <w:szCs w:val="18"/>
        </w:rPr>
        <w:t xml:space="preserve">See: </w:t>
      </w:r>
      <w:hyperlink r:id="rId33" w:history="1">
        <w:r w:rsidRPr="008278C8">
          <w:rPr>
            <w:rStyle w:val="Hyperlink"/>
            <w:szCs w:val="18"/>
          </w:rPr>
          <w:t>http://cnared.info/wordpress/declaration-du-cnared-contre-le-soi-disant-referendumorganise-par-pierre-nkurunziza/</w:t>
        </w:r>
      </w:hyperlink>
      <w:r w:rsidRPr="0042142E">
        <w:rPr>
          <w:szCs w:val="18"/>
        </w:rPr>
        <w:t>.</w:t>
      </w:r>
    </w:p>
  </w:footnote>
  <w:footnote w:id="397">
    <w:p w14:paraId="571AC1C5" w14:textId="461640B4" w:rsidR="00B831ED" w:rsidRPr="0042142E" w:rsidRDefault="00B831ED"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Declaration a</w:t>
      </w:r>
      <w:r w:rsidRPr="0042142E">
        <w:rPr>
          <w:szCs w:val="18"/>
        </w:rPr>
        <w:t xml:space="preserve">vailable at </w:t>
      </w:r>
      <w:hyperlink r:id="rId34" w:history="1">
        <w:r w:rsidRPr="00536122">
          <w:rPr>
            <w:rStyle w:val="Hyperlink"/>
            <w:szCs w:val="18"/>
          </w:rPr>
          <w:t>https://www.acatburundi.org/wp-content/uploads/2018/06/FCB_Appel-a-la-Revolution-pour-le-peuple-burundais.pdf</w:t>
        </w:r>
      </w:hyperlink>
      <w:r w:rsidRPr="0042142E">
        <w:rPr>
          <w:szCs w:val="18"/>
        </w:rPr>
        <w:t>.</w:t>
      </w:r>
    </w:p>
  </w:footnote>
  <w:footnote w:id="398">
    <w:p w14:paraId="38889894" w14:textId="77777777" w:rsidR="00B831ED" w:rsidRPr="0042142E" w:rsidRDefault="00B831ED" w:rsidP="00DE390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A copy of the tweet is reproduced by the NGO Forum pour le Renforcement de la société civile (FORSC), Hate speech: Burundian authorities attack “demons” and “vampires” in October 2017</w:t>
      </w:r>
      <w:r>
        <w:rPr>
          <w:szCs w:val="18"/>
        </w:rPr>
        <w:t xml:space="preserve"> report</w:t>
      </w:r>
      <w:r w:rsidRPr="0042142E">
        <w:rPr>
          <w:szCs w:val="18"/>
        </w:rPr>
        <w:t>.</w:t>
      </w:r>
    </w:p>
  </w:footnote>
  <w:footnote w:id="399">
    <w:p w14:paraId="6B5242D3" w14:textId="77777777" w:rsidR="00B831ED" w:rsidRPr="0042142E" w:rsidRDefault="00B831ED" w:rsidP="00DE390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See supra., section a.</w:t>
      </w:r>
    </w:p>
  </w:footnote>
  <w:footnote w:id="400">
    <w:p w14:paraId="4DDA896B" w14:textId="3307E537" w:rsidR="00B831ED" w:rsidRPr="0042142E" w:rsidRDefault="00B831ED" w:rsidP="00DE390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Available at </w:t>
      </w:r>
      <w:hyperlink r:id="rId35" w:history="1">
        <w:r w:rsidRPr="00536122">
          <w:rPr>
            <w:rStyle w:val="Hyperlink"/>
            <w:szCs w:val="18"/>
          </w:rPr>
          <w:t>https://www.uantwerpen.be/images/uantwerpen/container49546/ files/Burundi/gouv/181117KF.pdf</w:t>
        </w:r>
      </w:hyperlink>
      <w:r w:rsidRPr="0042142E">
        <w:rPr>
          <w:szCs w:val="18"/>
        </w:rPr>
        <w:t>.</w:t>
      </w:r>
    </w:p>
  </w:footnote>
  <w:footnote w:id="401">
    <w:p w14:paraId="53D6B5F2" w14:textId="77777777" w:rsidR="00B831ED" w:rsidRPr="0042142E" w:rsidRDefault="00B831ED" w:rsidP="00DE3904">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t xml:space="preserve">See: </w:t>
      </w:r>
      <w:hyperlink r:id="rId36" w:history="1">
        <w:r w:rsidRPr="00AC1A46">
          <w:rPr>
            <w:rStyle w:val="Hyperlink"/>
            <w:szCs w:val="18"/>
          </w:rPr>
          <w:t>https://www.presidence.gov.bi/2017/12/12/discous-du-chef-de-letat-lors-du-lancement-de-la-campagne-pour-le-referendum-constitutionnel/</w:t>
        </w:r>
      </w:hyperlink>
      <w:r w:rsidRPr="0042142E">
        <w:rPr>
          <w:szCs w:val="18"/>
        </w:rPr>
        <w:t xml:space="preserve"> [</w:t>
      </w:r>
      <w:r>
        <w:rPr>
          <w:szCs w:val="18"/>
        </w:rPr>
        <w:t>K</w:t>
      </w:r>
      <w:r w:rsidRPr="0042142E">
        <w:rPr>
          <w:szCs w:val="18"/>
        </w:rPr>
        <w:t xml:space="preserve">irundi </w:t>
      </w:r>
      <w:r>
        <w:rPr>
          <w:szCs w:val="18"/>
        </w:rPr>
        <w:t>to French and English</w:t>
      </w:r>
      <w:r w:rsidRPr="003E5B02">
        <w:rPr>
          <w:szCs w:val="18"/>
        </w:rPr>
        <w:t xml:space="preserve"> </w:t>
      </w:r>
      <w:r>
        <w:rPr>
          <w:szCs w:val="18"/>
        </w:rPr>
        <w:t>translation</w:t>
      </w:r>
      <w:r w:rsidRPr="0042142E">
        <w:rPr>
          <w:szCs w:val="18"/>
        </w:rPr>
        <w:t xml:space="preserve"> </w:t>
      </w:r>
      <w:r>
        <w:rPr>
          <w:szCs w:val="18"/>
        </w:rPr>
        <w:t xml:space="preserve">by the </w:t>
      </w:r>
      <w:r w:rsidRPr="0042142E">
        <w:rPr>
          <w:szCs w:val="18"/>
        </w:rPr>
        <w:t>Commission].</w:t>
      </w:r>
    </w:p>
  </w:footnote>
  <w:footnote w:id="402">
    <w:p w14:paraId="6F0EEA37" w14:textId="77777777" w:rsidR="00B831ED" w:rsidRPr="0042142E" w:rsidRDefault="00B831ED" w:rsidP="00DE3904">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t xml:space="preserve">See: </w:t>
      </w:r>
      <w:hyperlink r:id="rId37" w:history="1">
        <w:r w:rsidRPr="0042142E">
          <w:rPr>
            <w:rStyle w:val="Hyperlink"/>
            <w:szCs w:val="18"/>
          </w:rPr>
          <w:t>https://www.youtube.com/watch?v=C3Xab7MsUYQ</w:t>
        </w:r>
      </w:hyperlink>
      <w:r w:rsidRPr="0042142E">
        <w:rPr>
          <w:szCs w:val="18"/>
        </w:rPr>
        <w:t xml:space="preserve"> [</w:t>
      </w:r>
      <w:r>
        <w:rPr>
          <w:szCs w:val="18"/>
        </w:rPr>
        <w:t>K</w:t>
      </w:r>
      <w:r w:rsidRPr="0042142E">
        <w:rPr>
          <w:szCs w:val="18"/>
        </w:rPr>
        <w:t xml:space="preserve">irundi </w:t>
      </w:r>
      <w:r>
        <w:rPr>
          <w:szCs w:val="18"/>
        </w:rPr>
        <w:t>to French</w:t>
      </w:r>
      <w:r w:rsidRPr="003E5B02">
        <w:rPr>
          <w:szCs w:val="18"/>
        </w:rPr>
        <w:t xml:space="preserve"> </w:t>
      </w:r>
      <w:r>
        <w:rPr>
          <w:szCs w:val="18"/>
        </w:rPr>
        <w:t>and English</w:t>
      </w:r>
      <w:r w:rsidRPr="003E5B02">
        <w:rPr>
          <w:szCs w:val="18"/>
        </w:rPr>
        <w:t xml:space="preserve"> </w:t>
      </w:r>
      <w:r>
        <w:rPr>
          <w:szCs w:val="18"/>
        </w:rPr>
        <w:t>translation</w:t>
      </w:r>
      <w:r w:rsidRPr="0042142E">
        <w:rPr>
          <w:szCs w:val="18"/>
        </w:rPr>
        <w:t xml:space="preserve"> </w:t>
      </w:r>
      <w:r>
        <w:rPr>
          <w:szCs w:val="18"/>
        </w:rPr>
        <w:t>by the</w:t>
      </w:r>
      <w:r w:rsidRPr="0042142E">
        <w:rPr>
          <w:szCs w:val="18"/>
        </w:rPr>
        <w:t xml:space="preserve"> Commission].</w:t>
      </w:r>
    </w:p>
  </w:footnote>
  <w:footnote w:id="403">
    <w:p w14:paraId="2A3C3000" w14:textId="77777777" w:rsidR="00B831ED" w:rsidRPr="0042142E" w:rsidRDefault="00B831ED" w:rsidP="006B05D6">
      <w:pPr>
        <w:pStyle w:val="FootnoteText"/>
        <w:spacing w:line="240" w:lineRule="auto"/>
        <w:ind w:left="0" w:right="562" w:firstLine="0"/>
        <w:rPr>
          <w:szCs w:val="18"/>
        </w:rPr>
      </w:pPr>
      <w:r w:rsidRPr="0042142E">
        <w:rPr>
          <w:szCs w:val="18"/>
        </w:rPr>
        <w:tab/>
      </w:r>
      <w:r w:rsidRPr="0042142E">
        <w:rPr>
          <w:rStyle w:val="FootnoteReference"/>
          <w:szCs w:val="18"/>
        </w:rPr>
        <w:footnoteRef/>
      </w:r>
      <w:r w:rsidRPr="0042142E">
        <w:rPr>
          <w:szCs w:val="18"/>
        </w:rPr>
        <w:tab/>
        <w:t xml:space="preserve">See: </w:t>
      </w:r>
      <w:hyperlink r:id="rId38" w:history="1">
        <w:r w:rsidRPr="0042142E">
          <w:rPr>
            <w:rStyle w:val="Hyperlink"/>
            <w:szCs w:val="18"/>
          </w:rPr>
          <w:t>https://soundcloud.com/user-524723262/denise-nkurunzira</w:t>
        </w:r>
      </w:hyperlink>
      <w:r w:rsidRPr="0042142E">
        <w:rPr>
          <w:szCs w:val="18"/>
        </w:rPr>
        <w:t xml:space="preserve"> [</w:t>
      </w:r>
      <w:r>
        <w:rPr>
          <w:szCs w:val="18"/>
        </w:rPr>
        <w:t xml:space="preserve">translated by the </w:t>
      </w:r>
      <w:r w:rsidRPr="0042142E">
        <w:rPr>
          <w:szCs w:val="18"/>
        </w:rPr>
        <w:t>Commission].</w:t>
      </w:r>
    </w:p>
  </w:footnote>
  <w:footnote w:id="404">
    <w:p w14:paraId="620A38C1"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Ligue ITEKA, </w:t>
      </w:r>
      <w:r w:rsidRPr="009A5841">
        <w:rPr>
          <w:i/>
          <w:szCs w:val="18"/>
        </w:rPr>
        <w:t>Quarterly Report</w:t>
      </w:r>
      <w:r>
        <w:rPr>
          <w:szCs w:val="18"/>
        </w:rPr>
        <w:t>, October-December</w:t>
      </w:r>
      <w:r w:rsidRPr="0042142E">
        <w:rPr>
          <w:szCs w:val="18"/>
        </w:rPr>
        <w:t xml:space="preserve"> 2017.</w:t>
      </w:r>
    </w:p>
  </w:footnote>
  <w:footnote w:id="405">
    <w:p w14:paraId="3D302C44" w14:textId="6897AB17" w:rsidR="00B831ED" w:rsidRPr="0042142E" w:rsidRDefault="00B831ED" w:rsidP="006B05D6">
      <w:pPr>
        <w:pStyle w:val="FootnoteText"/>
        <w:spacing w:line="240" w:lineRule="auto"/>
        <w:ind w:left="0" w:right="567" w:firstLine="0"/>
        <w:rPr>
          <w:szCs w:val="18"/>
        </w:rPr>
      </w:pPr>
      <w:r>
        <w:rPr>
          <w:szCs w:val="18"/>
        </w:rPr>
        <w:tab/>
      </w:r>
      <w:r w:rsidRPr="0042142E">
        <w:rPr>
          <w:rStyle w:val="FootnoteReference"/>
          <w:szCs w:val="18"/>
        </w:rPr>
        <w:footnoteRef/>
      </w:r>
      <w:r w:rsidRPr="0042142E">
        <w:rPr>
          <w:szCs w:val="18"/>
        </w:rPr>
        <w:tab/>
        <w:t xml:space="preserve">See: </w:t>
      </w:r>
      <w:hyperlink r:id="rId39" w:history="1">
        <w:r w:rsidRPr="00536122">
          <w:rPr>
            <w:rStyle w:val="Hyperlink"/>
            <w:szCs w:val="18"/>
          </w:rPr>
          <w:t>https://www.voaafrique.com/a/referendum-constitutionnel-burundi-42-opposants-arretes-</w:t>
        </w:r>
        <w:r w:rsidRPr="00536122">
          <w:rPr>
            <w:rStyle w:val="Hyperlink"/>
            <w:szCs w:val="18"/>
          </w:rPr>
          <w:tab/>
        </w:r>
        <w:r w:rsidRPr="00536122">
          <w:rPr>
            <w:rStyle w:val="Hyperlink"/>
            <w:szCs w:val="18"/>
          </w:rPr>
          <w:tab/>
        </w:r>
        <w:r w:rsidRPr="00536122">
          <w:rPr>
            <w:rStyle w:val="Hyperlink"/>
            <w:szCs w:val="18"/>
          </w:rPr>
          <w:tab/>
          <w:t>decembre/4213698.html</w:t>
        </w:r>
      </w:hyperlink>
      <w:r w:rsidRPr="0042142E">
        <w:rPr>
          <w:szCs w:val="18"/>
        </w:rPr>
        <w:t>.</w:t>
      </w:r>
    </w:p>
  </w:footnote>
  <w:footnote w:id="406">
    <w:p w14:paraId="7C1EF29C" w14:textId="2AD14564" w:rsidR="00B831ED" w:rsidRPr="00351539" w:rsidRDefault="00B831ED" w:rsidP="006B05D6">
      <w:pPr>
        <w:pStyle w:val="FootnoteText"/>
        <w:spacing w:line="240" w:lineRule="auto"/>
        <w:ind w:left="0" w:right="567" w:firstLine="0"/>
        <w:rPr>
          <w:szCs w:val="18"/>
          <w:lang w:val="fr-FR"/>
        </w:rPr>
      </w:pPr>
      <w:r w:rsidRPr="0042142E">
        <w:rPr>
          <w:szCs w:val="18"/>
        </w:rPr>
        <w:tab/>
      </w:r>
      <w:r w:rsidRPr="0042142E">
        <w:rPr>
          <w:rStyle w:val="FootnoteReference"/>
          <w:szCs w:val="18"/>
        </w:rPr>
        <w:footnoteRef/>
      </w:r>
      <w:r w:rsidRPr="0042142E">
        <w:rPr>
          <w:szCs w:val="18"/>
        </w:rPr>
        <w:tab/>
        <w:t xml:space="preserve">See: </w:t>
      </w:r>
      <w:hyperlink r:id="rId40" w:history="1">
        <w:r w:rsidRPr="0042142E">
          <w:rPr>
            <w:rStyle w:val="Hyperlink"/>
            <w:szCs w:val="18"/>
          </w:rPr>
          <w:t>https://www.youtube.com/watch?v=kk9nzXGSkz4&amp;feature=youtu.be</w:t>
        </w:r>
      </w:hyperlink>
      <w:r w:rsidRPr="0042142E">
        <w:rPr>
          <w:szCs w:val="18"/>
        </w:rPr>
        <w:t xml:space="preserve">. </w:t>
      </w:r>
      <w:r w:rsidRPr="00351539">
        <w:rPr>
          <w:szCs w:val="18"/>
          <w:lang w:val="fr-FR"/>
        </w:rPr>
        <w:t xml:space="preserve">Vidéo également </w:t>
      </w:r>
      <w:r w:rsidRPr="00351539">
        <w:rPr>
          <w:szCs w:val="18"/>
          <w:lang w:val="fr-FR"/>
        </w:rPr>
        <w:tab/>
      </w:r>
      <w:r w:rsidRPr="00351539">
        <w:rPr>
          <w:szCs w:val="18"/>
          <w:lang w:val="fr-FR"/>
        </w:rPr>
        <w:tab/>
      </w:r>
      <w:r>
        <w:rPr>
          <w:szCs w:val="18"/>
          <w:lang w:val="fr-FR"/>
        </w:rPr>
        <w:tab/>
      </w:r>
      <w:r w:rsidRPr="00351539">
        <w:rPr>
          <w:szCs w:val="18"/>
          <w:lang w:val="fr-FR"/>
        </w:rPr>
        <w:t xml:space="preserve">disponible sur: </w:t>
      </w:r>
      <w:hyperlink r:id="rId41" w:history="1">
        <w:r w:rsidRPr="00536122">
          <w:rPr>
            <w:rStyle w:val="Hyperlink"/>
            <w:szCs w:val="18"/>
            <w:lang w:val="fr-FR"/>
          </w:rPr>
          <w:t>http://observers.france24.com/fr/20180504-burundi-membres-cnddfdd-haine-</w:t>
        </w:r>
        <w:r w:rsidRPr="00536122">
          <w:rPr>
            <w:rStyle w:val="Hyperlink"/>
            <w:szCs w:val="18"/>
            <w:lang w:val="fr-FR"/>
          </w:rPr>
          <w:tab/>
        </w:r>
        <w:r w:rsidRPr="00536122">
          <w:rPr>
            <w:rStyle w:val="Hyperlink"/>
            <w:szCs w:val="18"/>
            <w:lang w:val="fr-FR"/>
          </w:rPr>
          <w:tab/>
        </w:r>
        <w:r w:rsidRPr="00536122">
          <w:rPr>
            <w:rStyle w:val="Hyperlink"/>
            <w:szCs w:val="18"/>
            <w:lang w:val="fr-FR"/>
          </w:rPr>
          <w:tab/>
          <w:t>referendum-vote-pierre-nkurunziza</w:t>
        </w:r>
      </w:hyperlink>
      <w:r w:rsidRPr="00351539">
        <w:rPr>
          <w:szCs w:val="18"/>
          <w:lang w:val="fr-FR"/>
        </w:rPr>
        <w:t>.</w:t>
      </w:r>
    </w:p>
  </w:footnote>
  <w:footnote w:id="407">
    <w:p w14:paraId="4A4E3691" w14:textId="77777777" w:rsidR="00B831ED" w:rsidRPr="0042142E" w:rsidRDefault="00B831ED" w:rsidP="006B05D6">
      <w:pPr>
        <w:pStyle w:val="FootnoteText"/>
        <w:spacing w:line="240" w:lineRule="auto"/>
        <w:ind w:left="0" w:right="567" w:firstLine="0"/>
        <w:rPr>
          <w:szCs w:val="18"/>
        </w:rPr>
      </w:pPr>
      <w:r w:rsidRPr="00351539">
        <w:rPr>
          <w:szCs w:val="18"/>
          <w:lang w:val="fr-FR"/>
        </w:rPr>
        <w:tab/>
      </w:r>
      <w:r w:rsidRPr="0042142E">
        <w:rPr>
          <w:rStyle w:val="FootnoteReference"/>
          <w:szCs w:val="18"/>
        </w:rPr>
        <w:footnoteRef/>
      </w:r>
      <w:r w:rsidRPr="0042142E">
        <w:rPr>
          <w:szCs w:val="18"/>
        </w:rPr>
        <w:tab/>
        <w:t xml:space="preserve">See: </w:t>
      </w:r>
      <w:hyperlink r:id="rId42" w:history="1">
        <w:r w:rsidRPr="0042142E">
          <w:rPr>
            <w:rStyle w:val="Hyperlink"/>
            <w:szCs w:val="18"/>
          </w:rPr>
          <w:t>https://www.youtube.com/watch?v=M1p55gMHCtQ&amp;feature=youtu.be</w:t>
        </w:r>
      </w:hyperlink>
      <w:r w:rsidRPr="0042142E">
        <w:rPr>
          <w:szCs w:val="18"/>
        </w:rPr>
        <w:t>.</w:t>
      </w:r>
    </w:p>
  </w:footnote>
  <w:footnote w:id="408">
    <w:p w14:paraId="35904818"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3" w:history="1">
        <w:r w:rsidRPr="0042142E">
          <w:rPr>
            <w:rStyle w:val="Hyperlink"/>
            <w:szCs w:val="18"/>
          </w:rPr>
          <w:t>https://twitter.com/JustineDuby/status/963355607045754885</w:t>
        </w:r>
      </w:hyperlink>
      <w:r w:rsidRPr="0042142E">
        <w:rPr>
          <w:szCs w:val="18"/>
        </w:rPr>
        <w:t>.</w:t>
      </w:r>
    </w:p>
  </w:footnote>
  <w:footnote w:id="409">
    <w:p w14:paraId="7B2A9E60"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4" w:history="1">
        <w:r w:rsidRPr="0042142E">
          <w:rPr>
            <w:rStyle w:val="Hyperlink"/>
            <w:szCs w:val="18"/>
          </w:rPr>
          <w:t>http://www.rtnb.bi/fr/art.php?idapi=2/3/41</w:t>
        </w:r>
      </w:hyperlink>
      <w:r w:rsidRPr="0042142E">
        <w:rPr>
          <w:szCs w:val="18"/>
        </w:rPr>
        <w:t>.</w:t>
      </w:r>
    </w:p>
  </w:footnote>
  <w:footnote w:id="410">
    <w:p w14:paraId="2D0ACB07"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5" w:history="1">
        <w:r w:rsidRPr="0042142E">
          <w:rPr>
            <w:rStyle w:val="Hyperlink"/>
            <w:szCs w:val="18"/>
          </w:rPr>
          <w:t>https://www.youtube.com/watch?v=f25Cxe6HsHg</w:t>
        </w:r>
      </w:hyperlink>
      <w:r w:rsidRPr="0042142E">
        <w:rPr>
          <w:szCs w:val="18"/>
        </w:rPr>
        <w:t>.</w:t>
      </w:r>
    </w:p>
  </w:footnote>
  <w:footnote w:id="411">
    <w:p w14:paraId="121B92A7"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6" w:history="1">
        <w:r w:rsidRPr="0042142E">
          <w:rPr>
            <w:rStyle w:val="Hyperlink"/>
            <w:szCs w:val="18"/>
          </w:rPr>
          <w:t>https://mobile.twitter.com/i/web/status/990506266027053056</w:t>
        </w:r>
      </w:hyperlink>
      <w:r w:rsidRPr="0042142E">
        <w:rPr>
          <w:szCs w:val="18"/>
        </w:rPr>
        <w:t>.</w:t>
      </w:r>
    </w:p>
  </w:footnote>
  <w:footnote w:id="412">
    <w:p w14:paraId="46D5D29B"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See part III.D.3 (a) (i) of this report.</w:t>
      </w:r>
    </w:p>
  </w:footnote>
  <w:footnote w:id="413">
    <w:p w14:paraId="13FD5828" w14:textId="2D45C48A" w:rsidR="00B831ED" w:rsidRPr="0042142E" w:rsidRDefault="00B831ED" w:rsidP="00883744">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ab/>
        <w:t>SOS Media Burundi, M</w:t>
      </w:r>
      <w:r w:rsidRPr="009A5841">
        <w:rPr>
          <w:i/>
          <w:szCs w:val="18"/>
        </w:rPr>
        <w:t>uyinga : “Castrate enemies”, according to CNDD-FDD responsible during a rally</w:t>
      </w:r>
      <w:r w:rsidRPr="0042142E">
        <w:rPr>
          <w:szCs w:val="18"/>
        </w:rPr>
        <w:t xml:space="preserve">, 21 </w:t>
      </w:r>
      <w:r>
        <w:rPr>
          <w:szCs w:val="18"/>
        </w:rPr>
        <w:t>April</w:t>
      </w:r>
      <w:r w:rsidRPr="0042142E">
        <w:rPr>
          <w:szCs w:val="18"/>
        </w:rPr>
        <w:t xml:space="preserve"> 2018.</w:t>
      </w:r>
    </w:p>
  </w:footnote>
  <w:footnote w:id="414">
    <w:p w14:paraId="792BB3D2" w14:textId="5F9D8441" w:rsidR="00B831ED" w:rsidRPr="0042142E" w:rsidRDefault="00B831ED" w:rsidP="00883744">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ab/>
      </w:r>
      <w:r w:rsidRPr="0042142E">
        <w:rPr>
          <w:szCs w:val="18"/>
        </w:rPr>
        <w:t xml:space="preserve">See: </w:t>
      </w:r>
      <w:hyperlink r:id="rId47" w:history="1">
        <w:r w:rsidRPr="0042142E">
          <w:rPr>
            <w:rStyle w:val="Hyperlink"/>
            <w:szCs w:val="18"/>
          </w:rPr>
          <w:t>https://www.youtube.com/watch?v=v1WMyijJzJs&amp;feature=youtu.be</w:t>
        </w:r>
      </w:hyperlink>
      <w:r w:rsidRPr="0042142E">
        <w:rPr>
          <w:rStyle w:val="Hyperlink"/>
          <w:szCs w:val="18"/>
        </w:rPr>
        <w:t xml:space="preserve"> [</w:t>
      </w:r>
      <w:r>
        <w:rPr>
          <w:rStyle w:val="Hyperlink"/>
          <w:szCs w:val="18"/>
        </w:rPr>
        <w:t xml:space="preserve">translated by the </w:t>
      </w:r>
      <w:r w:rsidRPr="0042142E">
        <w:rPr>
          <w:rStyle w:val="Hyperlink"/>
          <w:szCs w:val="18"/>
        </w:rPr>
        <w:t>Commission].</w:t>
      </w:r>
    </w:p>
  </w:footnote>
  <w:footnote w:id="415">
    <w:p w14:paraId="1C9E6F76"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UBJ, </w:t>
      </w:r>
      <w:r w:rsidRPr="009A5841">
        <w:rPr>
          <w:i/>
          <w:szCs w:val="18"/>
        </w:rPr>
        <w:t>Monitoring Report on Hate Speech</w:t>
      </w:r>
      <w:r w:rsidRPr="0042142E">
        <w:rPr>
          <w:szCs w:val="18"/>
        </w:rPr>
        <w:t xml:space="preserve">, 31 </w:t>
      </w:r>
      <w:r>
        <w:rPr>
          <w:szCs w:val="18"/>
        </w:rPr>
        <w:t>May</w:t>
      </w:r>
      <w:r w:rsidRPr="0042142E">
        <w:rPr>
          <w:szCs w:val="18"/>
        </w:rPr>
        <w:t xml:space="preserve"> 2018.</w:t>
      </w:r>
    </w:p>
  </w:footnote>
  <w:footnote w:id="416">
    <w:p w14:paraId="0526B233"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Pr>
          <w:szCs w:val="18"/>
        </w:rPr>
        <w:tab/>
        <w:t xml:space="preserve">See: </w:t>
      </w:r>
      <w:hyperlink r:id="rId48" w:history="1">
        <w:r w:rsidRPr="0042142E">
          <w:rPr>
            <w:rStyle w:val="Hyperlink"/>
            <w:szCs w:val="18"/>
          </w:rPr>
          <w:t>https://www.facebook.com/sosmediasburundi/photos/</w:t>
        </w:r>
        <w:r w:rsidRPr="0042142E">
          <w:rPr>
            <w:rStyle w:val="Hyperlink"/>
            <w:szCs w:val="18"/>
          </w:rPr>
          <w:br/>
        </w:r>
        <w:r w:rsidRPr="0042142E">
          <w:rPr>
            <w:rStyle w:val="Hyperlink"/>
            <w:szCs w:val="18"/>
          </w:rPr>
          <w:tab/>
        </w:r>
        <w:r w:rsidRPr="0042142E">
          <w:rPr>
            <w:rStyle w:val="Hyperlink"/>
            <w:szCs w:val="18"/>
          </w:rPr>
          <w:tab/>
          <w:t>a.914236618638378.1073741828.912887052106668/1824175427644488/?type=3</w:t>
        </w:r>
      </w:hyperlink>
      <w:r w:rsidRPr="0042142E">
        <w:rPr>
          <w:szCs w:val="18"/>
        </w:rPr>
        <w:t>.</w:t>
      </w:r>
    </w:p>
  </w:footnote>
  <w:footnote w:id="417">
    <w:p w14:paraId="388F0813"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9" w:history="1">
        <w:r w:rsidRPr="0042142E">
          <w:rPr>
            <w:rStyle w:val="Hyperlink"/>
            <w:szCs w:val="18"/>
          </w:rPr>
          <w:t>http://observers.france24.com/fr/20180504-burundi-membres-cnddfdd-haine-referendum-</w:t>
        </w:r>
        <w:r w:rsidRPr="0042142E">
          <w:rPr>
            <w:rStyle w:val="Hyperlink"/>
            <w:szCs w:val="18"/>
          </w:rPr>
          <w:tab/>
        </w:r>
        <w:r w:rsidRPr="0042142E">
          <w:rPr>
            <w:rStyle w:val="Hyperlink"/>
            <w:szCs w:val="18"/>
          </w:rPr>
          <w:tab/>
          <w:t>vote-pierre-nkurunziza</w:t>
        </w:r>
      </w:hyperlink>
      <w:r w:rsidRPr="0042142E">
        <w:rPr>
          <w:szCs w:val="18"/>
        </w:rPr>
        <w:t xml:space="preserve"> [</w:t>
      </w:r>
      <w:r>
        <w:rPr>
          <w:rStyle w:val="Hyperlink"/>
          <w:szCs w:val="18"/>
        </w:rPr>
        <w:t>translated by the</w:t>
      </w:r>
      <w:r w:rsidRPr="0042142E">
        <w:rPr>
          <w:szCs w:val="18"/>
        </w:rPr>
        <w:t xml:space="preserve"> Commission].</w:t>
      </w:r>
    </w:p>
  </w:footnote>
  <w:footnote w:id="418">
    <w:p w14:paraId="6235878F"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551 </w:t>
      </w:r>
      <w:r>
        <w:rPr>
          <w:szCs w:val="18"/>
        </w:rPr>
        <w:t>to</w:t>
      </w:r>
      <w:r w:rsidRPr="0042142E">
        <w:rPr>
          <w:szCs w:val="18"/>
        </w:rPr>
        <w:t xml:space="preserve"> 553.</w:t>
      </w:r>
    </w:p>
  </w:footnote>
  <w:footnote w:id="419">
    <w:p w14:paraId="3A9E5DCE"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UBJ, </w:t>
      </w:r>
      <w:r w:rsidRPr="00F9561A">
        <w:rPr>
          <w:i/>
          <w:szCs w:val="18"/>
        </w:rPr>
        <w:t>Monitoring Report on Hate Speech</w:t>
      </w:r>
      <w:r w:rsidRPr="0042142E">
        <w:rPr>
          <w:szCs w:val="18"/>
        </w:rPr>
        <w:t xml:space="preserve">, 31 </w:t>
      </w:r>
      <w:r>
        <w:rPr>
          <w:szCs w:val="18"/>
        </w:rPr>
        <w:t>May</w:t>
      </w:r>
      <w:r w:rsidRPr="0042142E">
        <w:rPr>
          <w:szCs w:val="18"/>
        </w:rPr>
        <w:t xml:space="preserve"> 2018.</w:t>
      </w:r>
    </w:p>
  </w:footnote>
  <w:footnote w:id="420">
    <w:p w14:paraId="68816E0B"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0" w:history="1">
        <w:r w:rsidRPr="0042142E">
          <w:rPr>
            <w:rStyle w:val="Hyperlink"/>
            <w:szCs w:val="18"/>
          </w:rPr>
          <w:t>https://www.youtube.com/watch?v=nLtF6uhkLCs</w:t>
        </w:r>
      </w:hyperlink>
      <w:r w:rsidRPr="0042142E">
        <w:rPr>
          <w:szCs w:val="18"/>
        </w:rPr>
        <w:t>.</w:t>
      </w:r>
    </w:p>
  </w:footnote>
  <w:footnote w:id="421">
    <w:p w14:paraId="48677D67" w14:textId="77777777" w:rsidR="00B831ED" w:rsidRPr="00851EFA" w:rsidRDefault="00B831ED" w:rsidP="00C451D2">
      <w:pPr>
        <w:pStyle w:val="FootnoteText"/>
        <w:spacing w:line="240" w:lineRule="auto"/>
        <w:ind w:left="1138" w:right="562" w:hanging="1138"/>
        <w:rPr>
          <w:szCs w:val="18"/>
          <w:lang w:val="fr-FR"/>
        </w:rPr>
      </w:pPr>
      <w:r>
        <w:rPr>
          <w:szCs w:val="18"/>
        </w:rPr>
        <w:tab/>
      </w:r>
      <w:r w:rsidRPr="0042142E">
        <w:rPr>
          <w:rStyle w:val="FootnoteReference"/>
          <w:szCs w:val="18"/>
        </w:rPr>
        <w:footnoteRef/>
      </w:r>
      <w:r w:rsidRPr="00851EFA">
        <w:rPr>
          <w:szCs w:val="18"/>
          <w:lang w:val="fr-FR"/>
        </w:rPr>
        <w:tab/>
      </w:r>
      <w:r w:rsidRPr="00851EFA">
        <w:rPr>
          <w:i/>
          <w:szCs w:val="18"/>
          <w:lang w:val="fr-FR"/>
        </w:rPr>
        <w:t>Forum pour le Renforcement de la société civile</w:t>
      </w:r>
      <w:r w:rsidRPr="00851EFA">
        <w:rPr>
          <w:szCs w:val="18"/>
          <w:lang w:val="fr-FR"/>
        </w:rPr>
        <w:t xml:space="preserve"> (FORSC), Hate Speech: Burundian authorities attack “demons’ and “vampires”, October 2017.</w:t>
      </w:r>
    </w:p>
  </w:footnote>
  <w:footnote w:id="422">
    <w:p w14:paraId="4542B75A" w14:textId="77777777" w:rsidR="00B831ED" w:rsidRPr="0042142E" w:rsidRDefault="00B831ED" w:rsidP="006B05D6">
      <w:pPr>
        <w:pStyle w:val="FootnoteText"/>
        <w:spacing w:line="240" w:lineRule="auto"/>
        <w:ind w:left="0" w:right="567" w:firstLine="0"/>
        <w:rPr>
          <w:szCs w:val="18"/>
        </w:rPr>
      </w:pPr>
      <w:r w:rsidRPr="00851EFA">
        <w:rPr>
          <w:szCs w:val="18"/>
          <w:lang w:val="fr-FR"/>
        </w:rPr>
        <w:tab/>
      </w:r>
      <w:r w:rsidRPr="0042142E">
        <w:rPr>
          <w:rStyle w:val="FootnoteReference"/>
          <w:szCs w:val="18"/>
        </w:rPr>
        <w:footnoteRef/>
      </w:r>
      <w:r w:rsidRPr="0042142E">
        <w:rPr>
          <w:szCs w:val="18"/>
        </w:rPr>
        <w:tab/>
        <w:t xml:space="preserve">Atrocities Watch Africa, </w:t>
      </w:r>
      <w:r w:rsidRPr="00F9561A">
        <w:rPr>
          <w:i/>
          <w:szCs w:val="18"/>
        </w:rPr>
        <w:t>Burundi Watch Update</w:t>
      </w:r>
      <w:r w:rsidRPr="0042142E">
        <w:rPr>
          <w:szCs w:val="18"/>
        </w:rPr>
        <w:t xml:space="preserve">, </w:t>
      </w:r>
      <w:r>
        <w:rPr>
          <w:szCs w:val="18"/>
        </w:rPr>
        <w:t>March</w:t>
      </w:r>
      <w:r w:rsidRPr="0042142E">
        <w:rPr>
          <w:szCs w:val="18"/>
        </w:rPr>
        <w:t xml:space="preserve"> 2018.</w:t>
      </w:r>
    </w:p>
  </w:footnote>
  <w:footnote w:id="423">
    <w:p w14:paraId="2B80D6DB"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561 </w:t>
      </w:r>
      <w:r>
        <w:rPr>
          <w:szCs w:val="18"/>
        </w:rPr>
        <w:t>to</w:t>
      </w:r>
      <w:r w:rsidRPr="0042142E">
        <w:rPr>
          <w:szCs w:val="18"/>
        </w:rPr>
        <w:t xml:space="preserve"> 589.</w:t>
      </w:r>
    </w:p>
  </w:footnote>
  <w:footnote w:id="424">
    <w:p w14:paraId="08BF5D43" w14:textId="77777777" w:rsidR="00B831ED" w:rsidRPr="0042142E" w:rsidRDefault="00B831ED" w:rsidP="00C451D2">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 xml:space="preserve">Law </w:t>
      </w:r>
      <w:r w:rsidRPr="0042142E">
        <w:rPr>
          <w:szCs w:val="18"/>
        </w:rPr>
        <w:t xml:space="preserve">n° 1/02 </w:t>
      </w:r>
      <w:r>
        <w:rPr>
          <w:szCs w:val="18"/>
        </w:rPr>
        <w:t>of</w:t>
      </w:r>
      <w:r w:rsidRPr="0042142E">
        <w:rPr>
          <w:szCs w:val="18"/>
        </w:rPr>
        <w:t xml:space="preserve"> 27 </w:t>
      </w:r>
      <w:r>
        <w:rPr>
          <w:szCs w:val="18"/>
        </w:rPr>
        <w:t>January</w:t>
      </w:r>
      <w:r w:rsidRPr="0042142E">
        <w:rPr>
          <w:szCs w:val="18"/>
        </w:rPr>
        <w:t xml:space="preserve"> 2017</w:t>
      </w:r>
      <w:r>
        <w:rPr>
          <w:szCs w:val="18"/>
        </w:rPr>
        <w:t xml:space="preserve"> </w:t>
      </w:r>
      <w:r w:rsidRPr="006D30D9">
        <w:rPr>
          <w:szCs w:val="18"/>
        </w:rPr>
        <w:t>on</w:t>
      </w:r>
      <w:r>
        <w:rPr>
          <w:szCs w:val="18"/>
        </w:rPr>
        <w:t xml:space="preserve"> the </w:t>
      </w:r>
      <w:r w:rsidRPr="005D1037">
        <w:rPr>
          <w:szCs w:val="18"/>
        </w:rPr>
        <w:t>organic framework</w:t>
      </w:r>
      <w:r>
        <w:rPr>
          <w:szCs w:val="18"/>
        </w:rPr>
        <w:t xml:space="preserve"> of</w:t>
      </w:r>
      <w:r w:rsidRPr="006D30D9">
        <w:rPr>
          <w:szCs w:val="18"/>
        </w:rPr>
        <w:t xml:space="preserve"> national non-profit associations </w:t>
      </w:r>
      <w:r w:rsidRPr="0042142E">
        <w:rPr>
          <w:szCs w:val="18"/>
        </w:rPr>
        <w:t>and</w:t>
      </w:r>
      <w:r>
        <w:rPr>
          <w:szCs w:val="18"/>
        </w:rPr>
        <w:t xml:space="preserve"> law n° 1/01 of 23 January </w:t>
      </w:r>
      <w:r w:rsidRPr="0042142E">
        <w:rPr>
          <w:szCs w:val="18"/>
        </w:rPr>
        <w:t xml:space="preserve">2017 </w:t>
      </w:r>
      <w:r>
        <w:rPr>
          <w:szCs w:val="18"/>
        </w:rPr>
        <w:t>on general cooperation framework between the Republic of Burundi and FNGOs</w:t>
      </w:r>
      <w:r w:rsidRPr="0042142E">
        <w:rPr>
          <w:szCs w:val="18"/>
        </w:rPr>
        <w:t>.</w:t>
      </w:r>
    </w:p>
  </w:footnote>
  <w:footnote w:id="425">
    <w:p w14:paraId="306994AE" w14:textId="77777777" w:rsidR="00B831ED" w:rsidRPr="0042142E" w:rsidRDefault="00B831ED" w:rsidP="00C451D2">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For an analysis of the content of these laws</w:t>
      </w:r>
      <w:r w:rsidRPr="0042142E">
        <w:rPr>
          <w:szCs w:val="18"/>
        </w:rPr>
        <w:t xml:space="preserve">, </w:t>
      </w:r>
      <w:r>
        <w:rPr>
          <w:szCs w:val="18"/>
        </w:rPr>
        <w:t xml:space="preserve">please see the Commission’s previous report </w:t>
      </w:r>
      <w:r w:rsidRPr="0042142E">
        <w:rPr>
          <w:szCs w:val="18"/>
        </w:rPr>
        <w:t xml:space="preserve">A/HRC/36/CRP.1, para. 565 </w:t>
      </w:r>
      <w:r>
        <w:rPr>
          <w:szCs w:val="18"/>
        </w:rPr>
        <w:t>de</w:t>
      </w:r>
      <w:r w:rsidRPr="0042142E">
        <w:rPr>
          <w:szCs w:val="18"/>
        </w:rPr>
        <w:t xml:space="preserve"> 570.</w:t>
      </w:r>
    </w:p>
  </w:footnote>
  <w:footnote w:id="426">
    <w:p w14:paraId="5D7999AC"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QI-219.</w:t>
      </w:r>
    </w:p>
  </w:footnote>
  <w:footnote w:id="427">
    <w:p w14:paraId="1D0939BF"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TI-118.</w:t>
      </w:r>
    </w:p>
  </w:footnote>
  <w:footnote w:id="428">
    <w:p w14:paraId="05F91B33"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r>
      <w:r>
        <w:rPr>
          <w:szCs w:val="18"/>
        </w:rPr>
        <w:t>Humanitarian Response Plan</w:t>
      </w:r>
      <w:r w:rsidRPr="0042142E">
        <w:rPr>
          <w:szCs w:val="18"/>
        </w:rPr>
        <w:t xml:space="preserve">, </w:t>
      </w:r>
      <w:r>
        <w:rPr>
          <w:szCs w:val="18"/>
        </w:rPr>
        <w:t>January-December</w:t>
      </w:r>
      <w:r w:rsidRPr="0042142E">
        <w:rPr>
          <w:szCs w:val="18"/>
        </w:rPr>
        <w:t xml:space="preserve"> 2018, p. 14.</w:t>
      </w:r>
    </w:p>
  </w:footnote>
  <w:footnote w:id="429">
    <w:p w14:paraId="40951997"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JI-018, QI-217, XI-069.</w:t>
      </w:r>
    </w:p>
  </w:footnote>
  <w:footnote w:id="430">
    <w:p w14:paraId="33039A30" w14:textId="29FBDEBD"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1" w:history="1">
        <w:r w:rsidRPr="0042142E">
          <w:rPr>
            <w:rStyle w:val="Hyperlink"/>
            <w:szCs w:val="18"/>
          </w:rPr>
          <w:t>https://www.frontlinedefenders.org/fr/case/nestor-nibitanga-detained-incommunicado</w:t>
        </w:r>
      </w:hyperlink>
      <w:r>
        <w:rPr>
          <w:szCs w:val="18"/>
        </w:rPr>
        <w:t>,</w:t>
      </w:r>
      <w:r>
        <w:rPr>
          <w:szCs w:val="18"/>
        </w:rPr>
        <w:tab/>
      </w:r>
      <w:r>
        <w:rPr>
          <w:szCs w:val="18"/>
        </w:rPr>
        <w:tab/>
      </w:r>
      <w:r>
        <w:rPr>
          <w:szCs w:val="18"/>
        </w:rPr>
        <w:tab/>
      </w:r>
      <w:hyperlink r:id="rId52" w:history="1">
        <w:r w:rsidRPr="00536122">
          <w:rPr>
            <w:rStyle w:val="Hyperlink"/>
            <w:szCs w:val="18"/>
          </w:rPr>
          <w:t>https://www.fidh.org/fr/themes/defenseurs-des-droits-humains/burundi-detention-arbitraire-de-m-</w:t>
        </w:r>
        <w:r w:rsidRPr="00536122">
          <w:rPr>
            <w:rStyle w:val="Hyperlink"/>
            <w:szCs w:val="18"/>
          </w:rPr>
          <w:tab/>
        </w:r>
        <w:r w:rsidRPr="00536122">
          <w:rPr>
            <w:rStyle w:val="Hyperlink"/>
            <w:szCs w:val="18"/>
          </w:rPr>
          <w:tab/>
          <w:t>nestor-nibitanga-ex-representant-de</w:t>
        </w:r>
      </w:hyperlink>
      <w:r w:rsidRPr="0042142E">
        <w:rPr>
          <w:szCs w:val="18"/>
        </w:rPr>
        <w:t xml:space="preserve">, </w:t>
      </w:r>
      <w:hyperlink r:id="rId53" w:history="1">
        <w:r w:rsidRPr="0042142E">
          <w:rPr>
            <w:rStyle w:val="Hyperlink"/>
            <w:szCs w:val="18"/>
          </w:rPr>
          <w:t>https://www.amnesty.org/error.html?aspxerrorpath=</w:t>
        </w:r>
        <w:r w:rsidRPr="0042142E">
          <w:rPr>
            <w:rStyle w:val="Hyperlink"/>
            <w:szCs w:val="18"/>
          </w:rPr>
          <w:br/>
        </w:r>
        <w:r w:rsidRPr="0042142E">
          <w:rPr>
            <w:rStyle w:val="Hyperlink"/>
            <w:szCs w:val="18"/>
          </w:rPr>
          <w:tab/>
        </w:r>
        <w:r w:rsidRPr="0042142E">
          <w:rPr>
            <w:rStyle w:val="Hyperlink"/>
            <w:szCs w:val="18"/>
          </w:rPr>
          <w:tab/>
          <w:t>/fr/documents/document/</w:t>
        </w:r>
      </w:hyperlink>
      <w:r w:rsidRPr="0042142E">
        <w:rPr>
          <w:szCs w:val="18"/>
        </w:rPr>
        <w:t xml:space="preserve">, </w:t>
      </w:r>
      <w:hyperlink r:id="rId54" w:history="1">
        <w:r w:rsidRPr="0042142E">
          <w:rPr>
            <w:rStyle w:val="Hyperlink"/>
            <w:szCs w:val="18"/>
          </w:rPr>
          <w:t>https://www.hrw.org/fr/news/2017/12/13/burundi-un-defenseur-des-</w:t>
        </w:r>
        <w:r w:rsidRPr="0042142E">
          <w:rPr>
            <w:rStyle w:val="Hyperlink"/>
            <w:szCs w:val="18"/>
          </w:rPr>
          <w:tab/>
        </w:r>
        <w:r w:rsidRPr="0042142E">
          <w:rPr>
            <w:rStyle w:val="Hyperlink"/>
            <w:szCs w:val="18"/>
          </w:rPr>
          <w:tab/>
          <w:t>droits-humains-emprisonne</w:t>
        </w:r>
      </w:hyperlink>
      <w:r w:rsidRPr="0042142E">
        <w:rPr>
          <w:szCs w:val="18"/>
        </w:rPr>
        <w:t>.</w:t>
      </w:r>
    </w:p>
  </w:footnote>
  <w:footnote w:id="431">
    <w:p w14:paraId="2C3EDF3B"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JI-018.</w:t>
      </w:r>
    </w:p>
  </w:footnote>
  <w:footnote w:id="432">
    <w:p w14:paraId="0306B254"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JI-018.</w:t>
      </w:r>
    </w:p>
  </w:footnote>
  <w:footnote w:id="433">
    <w:p w14:paraId="32F3F677"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JI-018. </w:t>
      </w:r>
    </w:p>
  </w:footnote>
  <w:footnote w:id="434">
    <w:p w14:paraId="544304AE"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5" w:history="1">
        <w:r w:rsidRPr="0042142E">
          <w:rPr>
            <w:rStyle w:val="Hyperlink"/>
            <w:szCs w:val="18"/>
          </w:rPr>
          <w:t>http://www.iwacu-burundi.org/cinq-ans-de-prison-ferme-pour-nestor-nibitanga/</w:t>
        </w:r>
      </w:hyperlink>
      <w:r w:rsidRPr="0042142E">
        <w:rPr>
          <w:szCs w:val="18"/>
        </w:rPr>
        <w:t>.</w:t>
      </w:r>
    </w:p>
  </w:footnote>
  <w:footnote w:id="435">
    <w:p w14:paraId="2A1762B3"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576.</w:t>
      </w:r>
    </w:p>
  </w:footnote>
  <w:footnote w:id="436">
    <w:p w14:paraId="5E323E8C"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6" w:history="1">
        <w:r w:rsidRPr="0042142E">
          <w:rPr>
            <w:rStyle w:val="Hyperlink"/>
            <w:szCs w:val="18"/>
          </w:rPr>
          <w:t>https://www.frontlinedefenders.org/fr/action/take-action-aloys-habimana</w:t>
        </w:r>
      </w:hyperlink>
      <w:r w:rsidRPr="0042142E">
        <w:rPr>
          <w:szCs w:val="18"/>
        </w:rPr>
        <w:t xml:space="preserve">, </w:t>
      </w:r>
      <w:r w:rsidRPr="0042142E">
        <w:rPr>
          <w:szCs w:val="18"/>
        </w:rPr>
        <w:br/>
      </w:r>
      <w:r w:rsidRPr="0042142E">
        <w:rPr>
          <w:szCs w:val="18"/>
        </w:rPr>
        <w:tab/>
      </w:r>
      <w:r w:rsidRPr="0042142E">
        <w:rPr>
          <w:szCs w:val="18"/>
        </w:rPr>
        <w:tab/>
      </w:r>
      <w:hyperlink r:id="rId57" w:history="1">
        <w:r w:rsidRPr="0042142E">
          <w:rPr>
            <w:rStyle w:val="Hyperlink"/>
            <w:szCs w:val="18"/>
          </w:rPr>
          <w:t>https://www.jfjustice.net/en/commentary/burundi-must-release-rights-advocate-aloys-habimana</w:t>
        </w:r>
      </w:hyperlink>
      <w:r w:rsidRPr="0042142E">
        <w:rPr>
          <w:szCs w:val="18"/>
        </w:rPr>
        <w:t>,</w:t>
      </w:r>
    </w:p>
  </w:footnote>
  <w:footnote w:id="437">
    <w:p w14:paraId="489672AD"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8" w:history="1">
        <w:r w:rsidRPr="0042142E">
          <w:rPr>
            <w:rStyle w:val="Hyperlink"/>
            <w:szCs w:val="18"/>
          </w:rPr>
          <w:t>http://nyamile.com/2018/02/18/human-rights-organizations-call-for-immediate-release-of-</w:t>
        </w:r>
        <w:r w:rsidRPr="0042142E">
          <w:rPr>
            <w:rStyle w:val="Hyperlink"/>
            <w:szCs w:val="18"/>
          </w:rPr>
          <w:tab/>
        </w:r>
        <w:r w:rsidRPr="0042142E">
          <w:rPr>
            <w:rStyle w:val="Hyperlink"/>
            <w:szCs w:val="18"/>
          </w:rPr>
          <w:tab/>
          <w:t>aloys-habimana-in-burundian-custody/</w:t>
        </w:r>
      </w:hyperlink>
      <w:r w:rsidRPr="0042142E">
        <w:rPr>
          <w:szCs w:val="18"/>
        </w:rPr>
        <w:t xml:space="preserve">. </w:t>
      </w:r>
    </w:p>
  </w:footnote>
  <w:footnote w:id="438">
    <w:p w14:paraId="4EBA2D50" w14:textId="5E22FE39" w:rsidR="00B831ED" w:rsidRPr="0042142E" w:rsidRDefault="00B831ED" w:rsidP="00270343">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 xml:space="preserve">On </w:t>
      </w:r>
      <w:r w:rsidRPr="0042142E">
        <w:rPr>
          <w:szCs w:val="18"/>
        </w:rPr>
        <w:t xml:space="preserve">30 </w:t>
      </w:r>
      <w:r>
        <w:rPr>
          <w:szCs w:val="18"/>
        </w:rPr>
        <w:t>March</w:t>
      </w:r>
      <w:r w:rsidRPr="0042142E">
        <w:rPr>
          <w:szCs w:val="18"/>
        </w:rPr>
        <w:t xml:space="preserve"> 2018, SOS </w:t>
      </w:r>
      <w:r>
        <w:rPr>
          <w:szCs w:val="18"/>
        </w:rPr>
        <w:t>Media</w:t>
      </w:r>
      <w:r w:rsidRPr="0042142E">
        <w:rPr>
          <w:szCs w:val="18"/>
        </w:rPr>
        <w:t xml:space="preserve"> Burundi </w:t>
      </w:r>
      <w:r>
        <w:rPr>
          <w:szCs w:val="18"/>
        </w:rPr>
        <w:t>reported</w:t>
      </w:r>
      <w:r w:rsidRPr="0042142E">
        <w:rPr>
          <w:szCs w:val="18"/>
        </w:rPr>
        <w:t>:</w:t>
      </w:r>
      <w:r>
        <w:rPr>
          <w:szCs w:val="18"/>
        </w:rPr>
        <w:t xml:space="preserve"> “The head of </w:t>
      </w:r>
      <w:r w:rsidR="009A5841">
        <w:rPr>
          <w:szCs w:val="18"/>
        </w:rPr>
        <w:t xml:space="preserve">the </w:t>
      </w:r>
      <w:r>
        <w:rPr>
          <w:szCs w:val="18"/>
        </w:rPr>
        <w:t>SNR Gitega branch gave an appointment to the RANAC President in a café located near the SNE office, not far from Regina Mundi Cathedral (in Bujumbura city center) in order to return his mobile phones that had been confiscated during an arrest five days before, accord to relatives. Once on site</w:t>
      </w:r>
      <w:r w:rsidRPr="0042142E">
        <w:rPr>
          <w:szCs w:val="18"/>
        </w:rPr>
        <w:t>, M</w:t>
      </w:r>
      <w:r>
        <w:rPr>
          <w:szCs w:val="18"/>
        </w:rPr>
        <w:t>r</w:t>
      </w:r>
      <w:r w:rsidRPr="0042142E">
        <w:rPr>
          <w:szCs w:val="18"/>
        </w:rPr>
        <w:t>. Baricako</w:t>
      </w:r>
      <w:r>
        <w:rPr>
          <w:szCs w:val="18"/>
        </w:rPr>
        <w:t xml:space="preserve"> was taken to the SNR office where he was once again interrogated</w:t>
      </w:r>
      <w:r w:rsidRPr="0042142E">
        <w:rPr>
          <w:szCs w:val="18"/>
        </w:rPr>
        <w:t xml:space="preserve"> </w:t>
      </w:r>
      <w:r>
        <w:rPr>
          <w:szCs w:val="18"/>
        </w:rPr>
        <w:t xml:space="preserve">(until 14h30) before he was released. His phones are </w:t>
      </w:r>
      <w:r w:rsidRPr="006617E0">
        <w:rPr>
          <w:szCs w:val="18"/>
        </w:rPr>
        <w:t>still under forfeiture</w:t>
      </w:r>
      <w:r>
        <w:rPr>
          <w:szCs w:val="18"/>
        </w:rPr>
        <w:t xml:space="preserve">, according to relatives.” </w:t>
      </w:r>
      <w:r w:rsidRPr="0042142E">
        <w:rPr>
          <w:szCs w:val="18"/>
        </w:rPr>
        <w:t xml:space="preserve">(See: </w:t>
      </w:r>
      <w:hyperlink r:id="rId59" w:history="1">
        <w:r w:rsidRPr="0042142E">
          <w:rPr>
            <w:rStyle w:val="Hyperlink"/>
            <w:szCs w:val="18"/>
          </w:rPr>
          <w:t>https://m.facebook.com/story.php?story_fbid=1778970312165000&amp;id=912887052106668</w:t>
        </w:r>
      </w:hyperlink>
      <w:r>
        <w:rPr>
          <w:szCs w:val="18"/>
        </w:rPr>
        <w:t xml:space="preserve">, </w:t>
      </w:r>
      <w:hyperlink r:id="rId60" w:history="1">
        <w:r w:rsidRPr="0042142E">
          <w:rPr>
            <w:rStyle w:val="Hyperlink"/>
            <w:szCs w:val="18"/>
          </w:rPr>
          <w:t>https://www.facebook.com/sosmediasburundi/posts/1782388051823226</w:t>
        </w:r>
      </w:hyperlink>
      <w:r w:rsidRPr="0042142E">
        <w:rPr>
          <w:szCs w:val="18"/>
        </w:rPr>
        <w:t>).</w:t>
      </w:r>
    </w:p>
  </w:footnote>
  <w:footnote w:id="439">
    <w:p w14:paraId="5769476E"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582. </w:t>
      </w:r>
    </w:p>
  </w:footnote>
  <w:footnote w:id="440">
    <w:p w14:paraId="7CE619FA"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See part III.D.3 (a) (ii) of this report.</w:t>
      </w:r>
    </w:p>
  </w:footnote>
  <w:footnote w:id="441">
    <w:p w14:paraId="227F95EA" w14:textId="77777777" w:rsidR="00B831ED" w:rsidRPr="0042142E" w:rsidRDefault="00B831ED" w:rsidP="006B05D6">
      <w:pPr>
        <w:pStyle w:val="FootnoteText"/>
        <w:spacing w:line="240" w:lineRule="auto"/>
        <w:ind w:right="567"/>
        <w:rPr>
          <w:szCs w:val="18"/>
        </w:rPr>
      </w:pPr>
      <w:r w:rsidRPr="0042142E">
        <w:rPr>
          <w:szCs w:val="18"/>
        </w:rPr>
        <w:tab/>
      </w:r>
      <w:r w:rsidRPr="0042142E">
        <w:rPr>
          <w:rStyle w:val="FootnoteReference"/>
          <w:szCs w:val="18"/>
        </w:rPr>
        <w:footnoteRef/>
      </w:r>
      <w:r w:rsidRPr="0042142E">
        <w:rPr>
          <w:szCs w:val="18"/>
        </w:rPr>
        <w:tab/>
      </w:r>
      <w:r>
        <w:rPr>
          <w:szCs w:val="18"/>
        </w:rPr>
        <w:tab/>
      </w:r>
      <w:r w:rsidRPr="0042142E">
        <w:rPr>
          <w:szCs w:val="18"/>
        </w:rPr>
        <w:t xml:space="preserve">See: </w:t>
      </w:r>
      <w:hyperlink r:id="rId61" w:history="1">
        <w:r w:rsidRPr="0042142E">
          <w:rPr>
            <w:rStyle w:val="Hyperlink"/>
          </w:rPr>
          <w:t>http://www.rfi.fr/afrique/20180310-burundi-justice-trois-militants-jugement-condamnation-</w:t>
        </w:r>
      </w:hyperlink>
      <w:r>
        <w:rPr>
          <w:rStyle w:val="Hyperlink"/>
        </w:rPr>
        <w:tab/>
      </w:r>
      <w:r w:rsidRPr="0042142E">
        <w:t>dix-ans-prison-absence-avocat.</w:t>
      </w:r>
      <w:r w:rsidRPr="0042142E">
        <w:rPr>
          <w:szCs w:val="18"/>
        </w:rPr>
        <w:tab/>
      </w:r>
    </w:p>
  </w:footnote>
  <w:footnote w:id="442">
    <w:p w14:paraId="13A702DC" w14:textId="77777777" w:rsidR="00B831ED" w:rsidRPr="0042142E" w:rsidRDefault="00B831ED" w:rsidP="00C451D2">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 xml:space="preserve"> </w:t>
      </w:r>
      <w:r>
        <w:rPr>
          <w:szCs w:val="18"/>
        </w:rPr>
        <w:tab/>
      </w:r>
      <w:r w:rsidRPr="0042142E">
        <w:rPr>
          <w:szCs w:val="18"/>
        </w:rPr>
        <w:t xml:space="preserve">See: </w:t>
      </w:r>
      <w:hyperlink r:id="rId62" w:history="1">
        <w:r w:rsidRPr="009534D0">
          <w:rPr>
            <w:rStyle w:val="Hyperlink"/>
            <w:szCs w:val="18"/>
          </w:rPr>
          <w:t>http://www.rfi.fr/afrique/20180428-burundi-lourde-condamnation-germain-rukuki-fidh-florent-geel</w:t>
        </w:r>
      </w:hyperlink>
      <w:r w:rsidRPr="0042142E">
        <w:rPr>
          <w:szCs w:val="18"/>
        </w:rPr>
        <w:t xml:space="preserve">, and </w:t>
      </w:r>
      <w:hyperlink r:id="rId63" w:history="1">
        <w:r w:rsidRPr="009534D0">
          <w:rPr>
            <w:rStyle w:val="Hyperlink"/>
            <w:szCs w:val="18"/>
          </w:rPr>
          <w:t>https://www.voaafrique.com/a/prison-a-vie-requise-contre-un-activiste-au-burundi/4335246.html</w:t>
        </w:r>
      </w:hyperlink>
      <w:r w:rsidRPr="0042142E">
        <w:rPr>
          <w:szCs w:val="18"/>
        </w:rPr>
        <w:t>.</w:t>
      </w:r>
    </w:p>
  </w:footnote>
  <w:footnote w:id="443">
    <w:p w14:paraId="09256507" w14:textId="77777777" w:rsidR="00B831ED" w:rsidRPr="000A0E2D"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0A0E2D">
        <w:rPr>
          <w:szCs w:val="18"/>
        </w:rPr>
        <w:tab/>
        <w:t>A/HRC/36/CPR.1, para. 586 to 589.</w:t>
      </w:r>
    </w:p>
  </w:footnote>
  <w:footnote w:id="444">
    <w:p w14:paraId="7AA16C5F" w14:textId="77777777" w:rsidR="00B831ED" w:rsidRPr="00351DE0" w:rsidRDefault="00B831ED" w:rsidP="006B05D6">
      <w:pPr>
        <w:pStyle w:val="FootnoteText"/>
        <w:spacing w:line="240" w:lineRule="auto"/>
        <w:ind w:left="0" w:right="567" w:firstLine="0"/>
        <w:rPr>
          <w:szCs w:val="18"/>
        </w:rPr>
      </w:pPr>
      <w:r w:rsidRPr="000A0E2D">
        <w:rPr>
          <w:szCs w:val="18"/>
        </w:rPr>
        <w:tab/>
      </w:r>
      <w:r w:rsidRPr="006B7237">
        <w:rPr>
          <w:rStyle w:val="FootnoteReference"/>
          <w:szCs w:val="18"/>
        </w:rPr>
        <w:footnoteRef/>
      </w:r>
      <w:r w:rsidRPr="00351DE0">
        <w:rPr>
          <w:szCs w:val="18"/>
        </w:rPr>
        <w:tab/>
        <w:t>JI-042, QI-228, QI-235, QI-236, QI-237, QI-255, QI-258, YI-026, YI-031, YI-036.</w:t>
      </w:r>
    </w:p>
  </w:footnote>
  <w:footnote w:id="445">
    <w:p w14:paraId="1DC76682" w14:textId="77777777" w:rsidR="00B831ED" w:rsidRPr="00351DE0" w:rsidRDefault="00B831ED" w:rsidP="006B05D6">
      <w:pPr>
        <w:pStyle w:val="FootnoteText"/>
        <w:spacing w:line="240" w:lineRule="auto"/>
        <w:ind w:left="0" w:right="567" w:firstLine="0"/>
        <w:rPr>
          <w:szCs w:val="18"/>
        </w:rPr>
      </w:pPr>
      <w:r w:rsidRPr="00351DE0">
        <w:rPr>
          <w:szCs w:val="18"/>
        </w:rPr>
        <w:tab/>
      </w:r>
      <w:r w:rsidRPr="0042142E">
        <w:rPr>
          <w:rStyle w:val="FootnoteReference"/>
          <w:szCs w:val="18"/>
        </w:rPr>
        <w:footnoteRef/>
      </w:r>
      <w:r w:rsidRPr="00351DE0">
        <w:rPr>
          <w:szCs w:val="18"/>
        </w:rPr>
        <w:tab/>
        <w:t>QI-236, YI-031, QI-235.</w:t>
      </w:r>
    </w:p>
  </w:footnote>
  <w:footnote w:id="446">
    <w:p w14:paraId="05B45595" w14:textId="77777777" w:rsidR="00B831ED" w:rsidRPr="00351DE0" w:rsidRDefault="00B831ED" w:rsidP="006B05D6">
      <w:pPr>
        <w:pStyle w:val="FootnoteText"/>
        <w:spacing w:line="240" w:lineRule="auto"/>
        <w:ind w:left="0" w:right="567" w:firstLine="0"/>
        <w:rPr>
          <w:szCs w:val="18"/>
        </w:rPr>
      </w:pPr>
      <w:r w:rsidRPr="00351DE0">
        <w:rPr>
          <w:szCs w:val="18"/>
        </w:rPr>
        <w:tab/>
      </w:r>
      <w:r w:rsidRPr="0042142E">
        <w:rPr>
          <w:rStyle w:val="FootnoteReference"/>
          <w:szCs w:val="18"/>
        </w:rPr>
        <w:footnoteRef/>
      </w:r>
      <w:r w:rsidRPr="00351DE0">
        <w:rPr>
          <w:szCs w:val="18"/>
        </w:rPr>
        <w:tab/>
        <w:t>JI-042, QI-228, QI-235, QI-236, QI-237.</w:t>
      </w:r>
    </w:p>
  </w:footnote>
  <w:footnote w:id="447">
    <w:p w14:paraId="7243EC20" w14:textId="77777777" w:rsidR="00B831ED" w:rsidRPr="006B7237" w:rsidRDefault="00B831ED" w:rsidP="006B05D6">
      <w:pPr>
        <w:pStyle w:val="FootnoteText"/>
        <w:spacing w:line="240" w:lineRule="auto"/>
        <w:ind w:left="0" w:right="567" w:firstLine="0"/>
        <w:rPr>
          <w:szCs w:val="18"/>
        </w:rPr>
      </w:pPr>
      <w:r w:rsidRPr="00351DE0">
        <w:rPr>
          <w:szCs w:val="18"/>
        </w:rPr>
        <w:tab/>
      </w:r>
      <w:r w:rsidRPr="006B7237">
        <w:rPr>
          <w:rStyle w:val="FootnoteReference"/>
          <w:szCs w:val="18"/>
        </w:rPr>
        <w:footnoteRef/>
      </w:r>
      <w:r w:rsidRPr="006B7237">
        <w:rPr>
          <w:szCs w:val="18"/>
        </w:rPr>
        <w:tab/>
        <w:t>JI-032, YI-036.</w:t>
      </w:r>
    </w:p>
  </w:footnote>
  <w:footnote w:id="448">
    <w:p w14:paraId="32C66DE7" w14:textId="77777777" w:rsidR="00B831ED" w:rsidRPr="006B7237" w:rsidRDefault="00B831ED" w:rsidP="006B05D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JI-032.</w:t>
      </w:r>
    </w:p>
  </w:footnote>
  <w:footnote w:id="449">
    <w:p w14:paraId="01730E83"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YI-029.</w:t>
      </w:r>
    </w:p>
  </w:footnote>
  <w:footnote w:id="450">
    <w:p w14:paraId="36007807"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YI-036. </w:t>
      </w:r>
    </w:p>
  </w:footnote>
  <w:footnote w:id="451">
    <w:p w14:paraId="4B09867A"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JI-042, QI-235.</w:t>
      </w:r>
    </w:p>
  </w:footnote>
  <w:footnote w:id="452">
    <w:p w14:paraId="4778C4C5"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YI-031, QI-255.</w:t>
      </w:r>
    </w:p>
  </w:footnote>
  <w:footnote w:id="453">
    <w:p w14:paraId="7F219A38"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QI-235, YI-026, YI-029, YI-034, YI-036.</w:t>
      </w:r>
    </w:p>
  </w:footnote>
  <w:footnote w:id="454">
    <w:p w14:paraId="472662AF"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JI-042, QI-228, QI-235, QI-243, QI-255, QI-258, YI-026, YI-029, YI-034.</w:t>
      </w:r>
    </w:p>
  </w:footnote>
  <w:footnote w:id="455">
    <w:p w14:paraId="26A4B5A8"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YI-026.</w:t>
      </w:r>
    </w:p>
  </w:footnote>
  <w:footnote w:id="456">
    <w:p w14:paraId="17D9BEF5"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QI-235, QI-243, YI-026.</w:t>
      </w:r>
    </w:p>
  </w:footnote>
  <w:footnote w:id="457">
    <w:p w14:paraId="177F7713"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A/HRC/36/CPR.1, </w:t>
      </w:r>
      <w:r>
        <w:rPr>
          <w:szCs w:val="18"/>
        </w:rPr>
        <w:t>para.</w:t>
      </w:r>
      <w:r w:rsidRPr="0042142E">
        <w:rPr>
          <w:szCs w:val="18"/>
        </w:rPr>
        <w:t xml:space="preserve"> 593 </w:t>
      </w:r>
      <w:r>
        <w:rPr>
          <w:szCs w:val="18"/>
        </w:rPr>
        <w:t>to</w:t>
      </w:r>
      <w:r w:rsidRPr="0042142E">
        <w:rPr>
          <w:szCs w:val="18"/>
        </w:rPr>
        <w:t xml:space="preserve"> 595.</w:t>
      </w:r>
    </w:p>
  </w:footnote>
  <w:footnote w:id="458">
    <w:p w14:paraId="1007E4FA" w14:textId="77777777" w:rsidR="00B831ED" w:rsidRPr="0042142E" w:rsidRDefault="00B831ED"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TI-112, TI-132, JI-043, JI-045, YI-042.</w:t>
      </w:r>
    </w:p>
  </w:footnote>
  <w:footnote w:id="459">
    <w:p w14:paraId="19E812D4" w14:textId="77777777" w:rsidR="00B831ED" w:rsidRPr="006E1A1D" w:rsidRDefault="00B831ED" w:rsidP="006B05D6">
      <w:pPr>
        <w:pStyle w:val="FootnoteText"/>
        <w:spacing w:line="240" w:lineRule="auto"/>
        <w:ind w:left="0" w:right="567" w:firstLine="0"/>
        <w:rPr>
          <w:szCs w:val="18"/>
          <w:lang w:val="fr-FR"/>
        </w:rPr>
      </w:pPr>
      <w:r w:rsidRPr="0042142E">
        <w:rPr>
          <w:szCs w:val="18"/>
        </w:rPr>
        <w:tab/>
      </w:r>
      <w:r w:rsidRPr="0042142E">
        <w:rPr>
          <w:rStyle w:val="FootnoteReference"/>
          <w:szCs w:val="18"/>
        </w:rPr>
        <w:footnoteRef/>
      </w:r>
      <w:r w:rsidRPr="006E1A1D">
        <w:rPr>
          <w:szCs w:val="18"/>
          <w:lang w:val="fr-FR"/>
        </w:rPr>
        <w:tab/>
        <w:t>QI-192, XI-066.</w:t>
      </w:r>
    </w:p>
  </w:footnote>
  <w:footnote w:id="460">
    <w:p w14:paraId="772717D8" w14:textId="77777777" w:rsidR="00B831ED" w:rsidRPr="006E1A1D" w:rsidRDefault="00B831ED" w:rsidP="006B05D6">
      <w:pPr>
        <w:pStyle w:val="FootnoteText"/>
        <w:spacing w:line="240" w:lineRule="auto"/>
        <w:ind w:left="0" w:right="567" w:firstLine="0"/>
        <w:rPr>
          <w:szCs w:val="18"/>
          <w:lang w:val="fr-FR"/>
        </w:rPr>
      </w:pPr>
      <w:r w:rsidRPr="006E1A1D">
        <w:rPr>
          <w:szCs w:val="18"/>
          <w:lang w:val="fr-FR"/>
        </w:rPr>
        <w:tab/>
      </w:r>
      <w:r w:rsidRPr="0042142E">
        <w:rPr>
          <w:rStyle w:val="FootnoteReference"/>
          <w:szCs w:val="18"/>
        </w:rPr>
        <w:footnoteRef/>
      </w:r>
      <w:r w:rsidRPr="006E1A1D">
        <w:rPr>
          <w:szCs w:val="18"/>
          <w:lang w:val="fr-FR"/>
        </w:rPr>
        <w:tab/>
        <w:t>QI-192.</w:t>
      </w:r>
    </w:p>
  </w:footnote>
  <w:footnote w:id="461">
    <w:p w14:paraId="31CAA897" w14:textId="77777777" w:rsidR="00B831ED" w:rsidRPr="006E1A1D" w:rsidRDefault="00B831ED" w:rsidP="006B05D6">
      <w:pPr>
        <w:pStyle w:val="FootnoteText"/>
        <w:spacing w:line="240" w:lineRule="auto"/>
        <w:ind w:left="0" w:right="567" w:firstLine="0"/>
        <w:rPr>
          <w:szCs w:val="18"/>
          <w:lang w:val="fr-FR"/>
        </w:rPr>
      </w:pPr>
      <w:r w:rsidRPr="006E1A1D">
        <w:rPr>
          <w:szCs w:val="18"/>
          <w:lang w:val="fr-FR"/>
        </w:rPr>
        <w:tab/>
      </w:r>
      <w:r w:rsidRPr="0042142E">
        <w:rPr>
          <w:rStyle w:val="FootnoteReference"/>
          <w:szCs w:val="18"/>
        </w:rPr>
        <w:footnoteRef/>
      </w:r>
      <w:r w:rsidRPr="006E1A1D">
        <w:rPr>
          <w:szCs w:val="18"/>
          <w:lang w:val="fr-FR"/>
        </w:rPr>
        <w:tab/>
        <w:t>QI-230, YI-042.</w:t>
      </w:r>
    </w:p>
  </w:footnote>
  <w:footnote w:id="462">
    <w:p w14:paraId="46B26AB8" w14:textId="77777777" w:rsidR="00B831ED" w:rsidRPr="006E1A1D" w:rsidRDefault="00B831ED" w:rsidP="006B05D6">
      <w:pPr>
        <w:pStyle w:val="FootnoteText"/>
        <w:spacing w:line="240" w:lineRule="auto"/>
        <w:ind w:left="0" w:right="567" w:firstLine="0"/>
        <w:rPr>
          <w:szCs w:val="18"/>
          <w:lang w:val="fr-FR"/>
        </w:rPr>
      </w:pPr>
      <w:r w:rsidRPr="006E1A1D">
        <w:rPr>
          <w:szCs w:val="18"/>
          <w:lang w:val="fr-FR"/>
        </w:rPr>
        <w:tab/>
      </w:r>
      <w:r w:rsidRPr="0042142E">
        <w:rPr>
          <w:rStyle w:val="FootnoteReference"/>
          <w:szCs w:val="18"/>
        </w:rPr>
        <w:footnoteRef/>
      </w:r>
      <w:r w:rsidRPr="006E1A1D">
        <w:rPr>
          <w:szCs w:val="18"/>
          <w:lang w:val="fr-FR"/>
        </w:rPr>
        <w:tab/>
        <w:t>JI-045.</w:t>
      </w:r>
    </w:p>
  </w:footnote>
  <w:footnote w:id="463">
    <w:p w14:paraId="45B4E1B8" w14:textId="77777777" w:rsidR="00B831ED" w:rsidRPr="006E1A1D" w:rsidRDefault="00B831ED" w:rsidP="006B05D6">
      <w:pPr>
        <w:pStyle w:val="FootnoteText"/>
        <w:spacing w:line="240" w:lineRule="auto"/>
        <w:ind w:left="0" w:right="0" w:firstLine="0"/>
        <w:rPr>
          <w:szCs w:val="18"/>
          <w:lang w:val="fr-FR"/>
        </w:rPr>
      </w:pPr>
      <w:r w:rsidRPr="006E1A1D">
        <w:rPr>
          <w:szCs w:val="18"/>
          <w:lang w:val="fr-FR"/>
        </w:rPr>
        <w:tab/>
      </w:r>
      <w:r w:rsidRPr="0042142E">
        <w:rPr>
          <w:rStyle w:val="FootnoteReference"/>
          <w:szCs w:val="18"/>
        </w:rPr>
        <w:footnoteRef/>
      </w:r>
      <w:r w:rsidRPr="006E1A1D">
        <w:rPr>
          <w:szCs w:val="18"/>
          <w:lang w:val="fr-FR"/>
        </w:rPr>
        <w:tab/>
        <w:t>QI-230.</w:t>
      </w:r>
    </w:p>
  </w:footnote>
  <w:footnote w:id="464">
    <w:p w14:paraId="4744379F" w14:textId="77777777" w:rsidR="00B831ED" w:rsidRPr="006E1A1D" w:rsidRDefault="00B831ED" w:rsidP="006B05D6">
      <w:pPr>
        <w:pStyle w:val="FootnoteText"/>
        <w:spacing w:line="240" w:lineRule="auto"/>
        <w:ind w:left="0" w:right="0" w:firstLine="0"/>
        <w:rPr>
          <w:szCs w:val="18"/>
          <w:lang w:val="fr-FR"/>
        </w:rPr>
      </w:pPr>
      <w:r w:rsidRPr="006E1A1D">
        <w:rPr>
          <w:szCs w:val="18"/>
          <w:lang w:val="fr-FR"/>
        </w:rPr>
        <w:tab/>
      </w:r>
      <w:r w:rsidRPr="0042142E">
        <w:rPr>
          <w:rStyle w:val="FootnoteReference"/>
          <w:szCs w:val="18"/>
        </w:rPr>
        <w:footnoteRef/>
      </w:r>
      <w:r w:rsidRPr="006E1A1D">
        <w:rPr>
          <w:szCs w:val="18"/>
          <w:lang w:val="fr-FR"/>
        </w:rPr>
        <w:tab/>
        <w:t>QI-261, TI-112.</w:t>
      </w:r>
    </w:p>
  </w:footnote>
  <w:footnote w:id="465">
    <w:p w14:paraId="1F169832" w14:textId="77777777" w:rsidR="00B831ED" w:rsidRPr="006E1A1D" w:rsidRDefault="00B831ED" w:rsidP="006B05D6">
      <w:pPr>
        <w:pStyle w:val="FootnoteText"/>
        <w:spacing w:line="240" w:lineRule="auto"/>
        <w:ind w:left="0" w:right="0" w:firstLine="0"/>
        <w:rPr>
          <w:szCs w:val="18"/>
          <w:lang w:val="fr-FR"/>
        </w:rPr>
      </w:pPr>
      <w:r w:rsidRPr="006E1A1D">
        <w:rPr>
          <w:szCs w:val="18"/>
          <w:lang w:val="fr-FR"/>
        </w:rPr>
        <w:tab/>
      </w:r>
      <w:r w:rsidRPr="0042142E">
        <w:rPr>
          <w:rStyle w:val="FootnoteReference"/>
          <w:szCs w:val="18"/>
        </w:rPr>
        <w:footnoteRef/>
      </w:r>
      <w:r w:rsidRPr="006E1A1D">
        <w:rPr>
          <w:szCs w:val="18"/>
          <w:lang w:val="fr-FR"/>
        </w:rPr>
        <w:tab/>
        <w:t>JI-037, XI-081, YI-002.</w:t>
      </w:r>
    </w:p>
  </w:footnote>
  <w:footnote w:id="466">
    <w:p w14:paraId="40D969F1" w14:textId="77777777" w:rsidR="00B831ED" w:rsidRPr="00351DE0" w:rsidRDefault="00B831ED" w:rsidP="006B05D6">
      <w:pPr>
        <w:pStyle w:val="FootnoteText"/>
        <w:spacing w:line="240" w:lineRule="auto"/>
        <w:ind w:left="0" w:right="0" w:firstLine="0"/>
        <w:rPr>
          <w:szCs w:val="18"/>
        </w:rPr>
      </w:pPr>
      <w:r w:rsidRPr="006E1A1D">
        <w:rPr>
          <w:szCs w:val="18"/>
          <w:lang w:val="fr-FR"/>
        </w:rPr>
        <w:tab/>
      </w:r>
      <w:r w:rsidRPr="0042142E">
        <w:rPr>
          <w:rStyle w:val="FootnoteReference"/>
          <w:szCs w:val="18"/>
        </w:rPr>
        <w:footnoteRef/>
      </w:r>
      <w:r w:rsidRPr="00351DE0">
        <w:rPr>
          <w:szCs w:val="18"/>
        </w:rPr>
        <w:tab/>
        <w:t>JI-037.</w:t>
      </w:r>
    </w:p>
  </w:footnote>
  <w:footnote w:id="467">
    <w:p w14:paraId="6FC209BB" w14:textId="77777777" w:rsidR="00B831ED" w:rsidRPr="000A0E2D" w:rsidRDefault="00B831ED" w:rsidP="006B05D6">
      <w:pPr>
        <w:pStyle w:val="FootnoteText"/>
        <w:spacing w:line="240" w:lineRule="auto"/>
        <w:ind w:left="0" w:right="0" w:firstLine="0"/>
        <w:rPr>
          <w:szCs w:val="18"/>
        </w:rPr>
      </w:pPr>
      <w:r w:rsidRPr="00351DE0">
        <w:rPr>
          <w:szCs w:val="18"/>
        </w:rPr>
        <w:tab/>
      </w:r>
      <w:r w:rsidRPr="0042142E">
        <w:rPr>
          <w:rStyle w:val="FootnoteReference"/>
          <w:szCs w:val="18"/>
        </w:rPr>
        <w:footnoteRef/>
      </w:r>
      <w:r w:rsidRPr="000A0E2D">
        <w:rPr>
          <w:szCs w:val="18"/>
        </w:rPr>
        <w:tab/>
        <w:t>A/HRC/36/CRP.1, para. 596 to 613.</w:t>
      </w:r>
    </w:p>
  </w:footnote>
  <w:footnote w:id="468">
    <w:p w14:paraId="01FC3A35" w14:textId="77777777" w:rsidR="00B831ED" w:rsidRPr="0042142E" w:rsidRDefault="00B831ED" w:rsidP="006B05D6">
      <w:pPr>
        <w:pStyle w:val="FootnoteText"/>
        <w:spacing w:line="240" w:lineRule="auto"/>
        <w:ind w:left="0" w:right="0" w:firstLine="0"/>
        <w:rPr>
          <w:szCs w:val="18"/>
        </w:rPr>
      </w:pPr>
      <w:r w:rsidRPr="000A0E2D">
        <w:rPr>
          <w:szCs w:val="18"/>
        </w:rPr>
        <w:tab/>
      </w:r>
      <w:r w:rsidRPr="0042142E">
        <w:rPr>
          <w:rStyle w:val="FootnoteReference"/>
          <w:szCs w:val="18"/>
        </w:rPr>
        <w:footnoteRef/>
      </w:r>
      <w:r w:rsidRPr="0042142E">
        <w:rPr>
          <w:szCs w:val="18"/>
        </w:rPr>
        <w:tab/>
        <w:t>TI-110, TI-120, TI-125, TI-129, JI-014, JI-039, ZI-029.</w:t>
      </w:r>
    </w:p>
  </w:footnote>
  <w:footnote w:id="469">
    <w:p w14:paraId="4451ACB0"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TI-110, TI-120, TI-125, JI-014, JI-039, ZI-029.</w:t>
      </w:r>
    </w:p>
  </w:footnote>
  <w:footnote w:id="470">
    <w:p w14:paraId="0C5AC6F1"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TI-097, TI-125, JI-014, JI-039, ZI-029.</w:t>
      </w:r>
    </w:p>
  </w:footnote>
  <w:footnote w:id="471">
    <w:p w14:paraId="118EBE5B"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JI-039.</w:t>
      </w:r>
    </w:p>
  </w:footnote>
  <w:footnote w:id="472">
    <w:p w14:paraId="2C296261"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QI-176, YI-020, TI-103, XI-102, JI-039.</w:t>
      </w:r>
    </w:p>
  </w:footnote>
  <w:footnote w:id="473">
    <w:p w14:paraId="4AAFFB5B"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QI-176.</w:t>
      </w:r>
    </w:p>
  </w:footnote>
  <w:footnote w:id="474">
    <w:p w14:paraId="5C4A9CE9"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ZI-013, JI-001, JI-010, JI-041, YI-009, XI-064, XI-066,</w:t>
      </w:r>
    </w:p>
  </w:footnote>
  <w:footnote w:id="475">
    <w:p w14:paraId="35728218"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XI-066.</w:t>
      </w:r>
    </w:p>
  </w:footnote>
  <w:footnote w:id="476">
    <w:p w14:paraId="04F59855"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QI-220, YI-001, YI-009, JI-001, JI-010, JI-030, JI-037, JI-041, XI-063, ZI-013.</w:t>
      </w:r>
    </w:p>
  </w:footnote>
  <w:footnote w:id="477">
    <w:p w14:paraId="5CE19E8A"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 xml:space="preserve">QI-220. </w:t>
      </w:r>
    </w:p>
  </w:footnote>
  <w:footnote w:id="478">
    <w:p w14:paraId="568BEDAC"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ZI-013.</w:t>
      </w:r>
    </w:p>
  </w:footnote>
  <w:footnote w:id="479">
    <w:p w14:paraId="5129BBA5"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YI-001, JI-037, XI-063.</w:t>
      </w:r>
    </w:p>
  </w:footnote>
  <w:footnote w:id="480">
    <w:p w14:paraId="491092D1" w14:textId="77777777" w:rsidR="00B831ED" w:rsidRPr="0042142E" w:rsidRDefault="00B831ED"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YI-001.</w:t>
      </w:r>
    </w:p>
  </w:footnote>
  <w:footnote w:id="481">
    <w:p w14:paraId="1BDD28A8"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ZI-013, JI-010, YI-009.</w:t>
      </w:r>
    </w:p>
  </w:footnote>
  <w:footnote w:id="482">
    <w:p w14:paraId="0E6D688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YI-009.</w:t>
      </w:r>
    </w:p>
  </w:footnote>
  <w:footnote w:id="483">
    <w:p w14:paraId="164F14E7"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QI-189, QI-197, QI-219, QI-220, YM-001.</w:t>
      </w:r>
    </w:p>
  </w:footnote>
  <w:footnote w:id="484">
    <w:p w14:paraId="72E194F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QI-189, QI-197, QI-219, QI-220, YM-001.</w:t>
      </w:r>
    </w:p>
  </w:footnote>
  <w:footnote w:id="485">
    <w:p w14:paraId="531BD62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QI-189.</w:t>
      </w:r>
    </w:p>
  </w:footnote>
  <w:footnote w:id="486">
    <w:p w14:paraId="6DF2EED4"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TI-105, TI-109, TI-144, YI-021, YI-049, JI-010, XI-104. </w:t>
      </w:r>
    </w:p>
  </w:footnote>
  <w:footnote w:id="487">
    <w:p w14:paraId="1BC12D5C"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JI-010, TI-109.</w:t>
      </w:r>
    </w:p>
  </w:footnote>
  <w:footnote w:id="488">
    <w:p w14:paraId="5CF5DD17"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TI-105.</w:t>
      </w:r>
    </w:p>
  </w:footnote>
  <w:footnote w:id="489">
    <w:p w14:paraId="5F2F9DCF"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YI-009, YI-017, YI-021, XI-081, XI-104, QI-237, TI-070, TI-071.</w:t>
      </w:r>
    </w:p>
  </w:footnote>
  <w:footnote w:id="490">
    <w:p w14:paraId="40C601F7"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QI-237.</w:t>
      </w:r>
    </w:p>
  </w:footnote>
  <w:footnote w:id="491">
    <w:p w14:paraId="07462C90"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 xml:space="preserve">See also </w:t>
      </w:r>
      <w:r w:rsidRPr="0042142E">
        <w:rPr>
          <w:szCs w:val="18"/>
        </w:rPr>
        <w:t>Inte</w:t>
      </w:r>
      <w:r>
        <w:rPr>
          <w:szCs w:val="18"/>
        </w:rPr>
        <w:t xml:space="preserve">rnational Crisis Group, </w:t>
      </w:r>
      <w:r w:rsidRPr="006311AC">
        <w:rPr>
          <w:i/>
          <w:szCs w:val="18"/>
        </w:rPr>
        <w:t>Burundi: A Deepening Corruption Crisis</w:t>
      </w:r>
      <w:r w:rsidRPr="0042142E">
        <w:rPr>
          <w:szCs w:val="18"/>
        </w:rPr>
        <w:t xml:space="preserve">, </w:t>
      </w:r>
      <w:r w:rsidRPr="0042142E">
        <w:rPr>
          <w:szCs w:val="18"/>
        </w:rPr>
        <w:br/>
        <w:t xml:space="preserve">21 </w:t>
      </w:r>
      <w:r>
        <w:rPr>
          <w:szCs w:val="18"/>
        </w:rPr>
        <w:t xml:space="preserve">March 2012, p. 4: “In addition to the financial and in-kind </w:t>
      </w:r>
      <w:r w:rsidRPr="0042142E">
        <w:rPr>
          <w:szCs w:val="18"/>
        </w:rPr>
        <w:t xml:space="preserve">contributions </w:t>
      </w:r>
      <w:r>
        <w:rPr>
          <w:szCs w:val="18"/>
        </w:rPr>
        <w:t>it received, the rebels also taxed stores and businesses in their area of influence”. See also</w:t>
      </w:r>
      <w:r w:rsidRPr="0042142E">
        <w:rPr>
          <w:szCs w:val="18"/>
        </w:rPr>
        <w:t>: TI-158.</w:t>
      </w:r>
    </w:p>
  </w:footnote>
  <w:footnote w:id="492">
    <w:p w14:paraId="2A283CE6"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JI-003, JI-009, JI-024, TI-089, TI-097, TI-100, TI-110, TI-112, TI-113, YI-007, YI-012.</w:t>
      </w:r>
    </w:p>
  </w:footnote>
  <w:footnote w:id="493">
    <w:p w14:paraId="64B4F9F3"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TI-110, TI-112, TI-113.</w:t>
      </w:r>
    </w:p>
  </w:footnote>
  <w:footnote w:id="494">
    <w:p w14:paraId="0DE5DA8A"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JI-003, TI-129, YI-012. </w:t>
      </w:r>
    </w:p>
  </w:footnote>
  <w:footnote w:id="495">
    <w:p w14:paraId="45FD8BE4"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JI-005, TI-089, TI-112, TI-113, XI-063, YI-008.</w:t>
      </w:r>
    </w:p>
  </w:footnote>
  <w:footnote w:id="496">
    <w:p w14:paraId="2AEC86AA" w14:textId="77777777" w:rsidR="00B831ED" w:rsidRPr="00851EFA" w:rsidRDefault="00B831ED" w:rsidP="006B05D6">
      <w:pPr>
        <w:pStyle w:val="FootnoteText"/>
        <w:spacing w:line="240" w:lineRule="auto"/>
        <w:ind w:left="1138" w:right="562" w:hanging="1138"/>
        <w:rPr>
          <w:szCs w:val="18"/>
          <w:lang w:val="fr-FR"/>
        </w:rPr>
      </w:pPr>
      <w:r w:rsidRPr="0042142E">
        <w:rPr>
          <w:szCs w:val="18"/>
        </w:rPr>
        <w:tab/>
      </w:r>
      <w:r w:rsidRPr="0042142E">
        <w:rPr>
          <w:rStyle w:val="FootnoteReference"/>
          <w:szCs w:val="18"/>
        </w:rPr>
        <w:footnoteRef/>
      </w:r>
      <w:r w:rsidRPr="00851EFA">
        <w:rPr>
          <w:szCs w:val="18"/>
          <w:lang w:val="fr-FR"/>
        </w:rPr>
        <w:tab/>
        <w:t xml:space="preserve">See for example: Agence Bujumbura News, Pierre Nkurunziza : « Les travaux communautaires ont sauvé le Burundi », 13 February 2017 (in : </w:t>
      </w:r>
      <w:hyperlink r:id="rId64" w:history="1">
        <w:r w:rsidRPr="00653F58">
          <w:rPr>
            <w:rStyle w:val="Hyperlink"/>
            <w:szCs w:val="18"/>
            <w:lang w:val="fr-FR"/>
          </w:rPr>
          <w:t>https://bujumburanewsblog.wordpress.com/2017/02/13/</w:t>
        </w:r>
        <w:r w:rsidRPr="00653F58">
          <w:rPr>
            <w:rStyle w:val="Hyperlink"/>
            <w:szCs w:val="18"/>
            <w:lang w:val="fr-FR"/>
          </w:rPr>
          <w:br/>
          <w:t>pierre-nkurunziza-les-travaux-communautaires-ont-sauve-le-burundi/</w:t>
        </w:r>
      </w:hyperlink>
      <w:r w:rsidRPr="00851EFA">
        <w:rPr>
          <w:szCs w:val="18"/>
          <w:lang w:val="fr-FR"/>
        </w:rPr>
        <w:t>).</w:t>
      </w:r>
    </w:p>
  </w:footnote>
  <w:footnote w:id="497">
    <w:p w14:paraId="4EF7039F" w14:textId="77777777" w:rsidR="00B831ED" w:rsidRPr="0042142E" w:rsidRDefault="00B831ED" w:rsidP="006B05D6">
      <w:pPr>
        <w:pStyle w:val="FootnoteText"/>
        <w:spacing w:line="240" w:lineRule="auto"/>
        <w:ind w:left="1138" w:right="562" w:hanging="1138"/>
        <w:rPr>
          <w:szCs w:val="18"/>
        </w:rPr>
      </w:pPr>
      <w:r w:rsidRPr="00851EFA">
        <w:rPr>
          <w:szCs w:val="18"/>
          <w:lang w:val="fr-FR"/>
        </w:rPr>
        <w:tab/>
      </w:r>
      <w:r w:rsidRPr="0042142E">
        <w:rPr>
          <w:rStyle w:val="FootnoteReference"/>
          <w:szCs w:val="18"/>
        </w:rPr>
        <w:footnoteRef/>
      </w:r>
      <w:r w:rsidRPr="0042142E">
        <w:rPr>
          <w:szCs w:val="18"/>
        </w:rPr>
        <w:tab/>
        <w:t xml:space="preserve">RV-07. </w:t>
      </w:r>
    </w:p>
  </w:footnote>
  <w:footnote w:id="498">
    <w:p w14:paraId="7552B8C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JI-021, XI-063, ZI-004. </w:t>
      </w:r>
    </w:p>
  </w:footnote>
  <w:footnote w:id="499">
    <w:p w14:paraId="1A0243A9" w14:textId="77777777" w:rsidR="00B831ED" w:rsidRPr="0042142E" w:rsidRDefault="00B831ED" w:rsidP="000A1F78">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JI-005.</w:t>
      </w:r>
    </w:p>
  </w:footnote>
  <w:footnote w:id="500">
    <w:p w14:paraId="30674110" w14:textId="77777777" w:rsidR="00B831ED" w:rsidRPr="00351DE0" w:rsidRDefault="00B831ED" w:rsidP="006B05D6">
      <w:pPr>
        <w:pStyle w:val="FootnoteText"/>
        <w:spacing w:line="240" w:lineRule="auto"/>
        <w:ind w:left="1138" w:right="562" w:hanging="1138"/>
        <w:rPr>
          <w:szCs w:val="18"/>
        </w:rPr>
      </w:pPr>
      <w:r w:rsidRPr="0042142E">
        <w:rPr>
          <w:szCs w:val="18"/>
        </w:rPr>
        <w:tab/>
      </w:r>
      <w:r w:rsidRPr="00351DE0">
        <w:rPr>
          <w:rStyle w:val="FootnoteReference"/>
          <w:szCs w:val="18"/>
        </w:rPr>
        <w:footnoteRef/>
      </w:r>
      <w:r w:rsidRPr="00351DE0">
        <w:rPr>
          <w:szCs w:val="18"/>
        </w:rPr>
        <w:tab/>
        <w:t xml:space="preserve">JI-005, JI-021, TI-112, TI-113, TI-156, XI-063, YI-008, ZI-004. </w:t>
      </w:r>
    </w:p>
  </w:footnote>
  <w:footnote w:id="501">
    <w:p w14:paraId="0437E293" w14:textId="481FD8AC" w:rsidR="00B831ED" w:rsidRPr="00351DE0" w:rsidRDefault="00B831ED" w:rsidP="006B05D6">
      <w:pPr>
        <w:pStyle w:val="FootnoteText"/>
        <w:spacing w:line="240" w:lineRule="auto"/>
        <w:ind w:left="1138" w:right="562" w:hanging="1138"/>
        <w:rPr>
          <w:szCs w:val="18"/>
        </w:rPr>
      </w:pPr>
      <w:r w:rsidRPr="00351DE0">
        <w:rPr>
          <w:szCs w:val="18"/>
        </w:rPr>
        <w:tab/>
      </w:r>
      <w:r w:rsidRPr="00351DE0">
        <w:rPr>
          <w:rStyle w:val="FootnoteReference"/>
          <w:szCs w:val="18"/>
        </w:rPr>
        <w:footnoteRef/>
      </w:r>
      <w:r w:rsidRPr="00D80DB0">
        <w:rPr>
          <w:szCs w:val="18"/>
        </w:rPr>
        <w:tab/>
        <w:t xml:space="preserve">Article 159 (para. </w:t>
      </w:r>
      <w:r w:rsidRPr="00351DE0">
        <w:rPr>
          <w:szCs w:val="18"/>
        </w:rPr>
        <w:t>5) of the Constitution and article 3 of the organic law n° 1/35 of 4 December 2008 on public finances.</w:t>
      </w:r>
    </w:p>
  </w:footnote>
  <w:footnote w:id="502">
    <w:p w14:paraId="6EFBE59F" w14:textId="77777777" w:rsidR="00B831ED" w:rsidRPr="0042142E" w:rsidRDefault="00B831ED" w:rsidP="006B05D6">
      <w:pPr>
        <w:pStyle w:val="FootnoteText"/>
        <w:spacing w:line="240" w:lineRule="auto"/>
        <w:ind w:left="1138" w:right="562" w:hanging="1138"/>
        <w:rPr>
          <w:szCs w:val="18"/>
        </w:rPr>
      </w:pPr>
      <w:r w:rsidRPr="00351DE0">
        <w:rPr>
          <w:szCs w:val="18"/>
        </w:rPr>
        <w:tab/>
      </w:r>
      <w:r w:rsidRPr="0042142E">
        <w:rPr>
          <w:rStyle w:val="FootnoteReference"/>
          <w:szCs w:val="18"/>
        </w:rPr>
        <w:footnoteRef/>
      </w:r>
      <w:r w:rsidRPr="0042142E">
        <w:rPr>
          <w:szCs w:val="18"/>
        </w:rPr>
        <w:tab/>
      </w:r>
      <w:r>
        <w:rPr>
          <w:szCs w:val="18"/>
        </w:rPr>
        <w:t>I</w:t>
      </w:r>
      <w:r>
        <w:rPr>
          <w:rStyle w:val="tlid-translation"/>
          <w:lang w:val="en"/>
        </w:rPr>
        <w:t>n public law, it is common for tax to be characterized through three criteria: monetarily, the regularity with which it is collected and its binding force.</w:t>
      </w:r>
    </w:p>
  </w:footnote>
  <w:footnote w:id="503">
    <w:p w14:paraId="50A5008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rStyle w:val="tlid-translation"/>
          <w:lang w:val="en"/>
        </w:rPr>
        <w:t xml:space="preserve">Testimonies collected by the Commission cover the provinces of </w:t>
      </w:r>
      <w:r w:rsidRPr="0042142E">
        <w:rPr>
          <w:szCs w:val="18"/>
        </w:rPr>
        <w:t>Bujumbura Mairie, Bubanza, Bururi, Cankuzo, Cibitoke, Gitega, Kayanza, Karuzi, Kirundo, Makamba, Muyinga, Mwaro, Ngozi, Rumonge, Rutana and Ruyigi.</w:t>
      </w:r>
    </w:p>
  </w:footnote>
  <w:footnote w:id="504">
    <w:p w14:paraId="6511412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JI-003.</w:t>
      </w:r>
    </w:p>
  </w:footnote>
  <w:footnote w:id="505">
    <w:p w14:paraId="61FCA13F"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XI-073, YI-007. </w:t>
      </w:r>
    </w:p>
  </w:footnote>
  <w:footnote w:id="506">
    <w:p w14:paraId="33C2DD4E"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JI-003, JI-005, JI-015, TI-129.</w:t>
      </w:r>
    </w:p>
  </w:footnote>
  <w:footnote w:id="507">
    <w:p w14:paraId="55B0D6FF"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JI-015. </w:t>
      </w:r>
    </w:p>
  </w:footnote>
  <w:footnote w:id="508">
    <w:p w14:paraId="7C34D06C" w14:textId="77777777" w:rsidR="00B831ED" w:rsidRPr="0042142E" w:rsidRDefault="00B831ED" w:rsidP="006B05D6">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t>JI-003, MI-026, QI-050, QI-088, QI-102, QI-106, QI-107, QI-108, TI-100, TI-112, TI-116, YI-009,</w:t>
      </w:r>
      <w:r>
        <w:rPr>
          <w:szCs w:val="18"/>
        </w:rPr>
        <w:t xml:space="preserve"> </w:t>
      </w:r>
      <w:r w:rsidRPr="0042142E">
        <w:rPr>
          <w:szCs w:val="18"/>
        </w:rPr>
        <w:t>YI-010, YI-012, YI-031, YI-042.</w:t>
      </w:r>
    </w:p>
  </w:footnote>
  <w:footnote w:id="509">
    <w:p w14:paraId="112CACA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PI-024. </w:t>
      </w:r>
    </w:p>
  </w:footnote>
  <w:footnote w:id="510">
    <w:p w14:paraId="79E77DD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JI-003, QI-102, TI-112, YI-010.</w:t>
      </w:r>
    </w:p>
  </w:footnote>
  <w:footnote w:id="511">
    <w:p w14:paraId="40D2B941"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JI-005, JI-021, TI-089.</w:t>
      </w:r>
    </w:p>
  </w:footnote>
  <w:footnote w:id="512">
    <w:p w14:paraId="6F19D60A"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JI-003, TI-100, TI-129.</w:t>
      </w:r>
    </w:p>
  </w:footnote>
  <w:footnote w:id="513">
    <w:p w14:paraId="4D353F42"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JI-005, JI-015, JI-021, JI-024, JI-034, MI-026, QI-088, TI-089, TI-116, YI-007, YI-009, YI-012.</w:t>
      </w:r>
    </w:p>
  </w:footnote>
  <w:footnote w:id="514">
    <w:p w14:paraId="0EC8AA1C"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JI-005, JI-015, JI-021, JI-034, YI-009.</w:t>
      </w:r>
    </w:p>
  </w:footnote>
  <w:footnote w:id="515">
    <w:p w14:paraId="4332B390" w14:textId="77777777" w:rsidR="00B831ED" w:rsidRPr="0042142E" w:rsidRDefault="00B831ED"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TI-116, YI-008.</w:t>
      </w:r>
    </w:p>
  </w:footnote>
  <w:footnote w:id="516">
    <w:p w14:paraId="0B1F686B"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See: </w:t>
      </w:r>
      <w:hyperlink r:id="rId65" w:history="1">
        <w:r w:rsidRPr="00AB725B">
          <w:rPr>
            <w:rStyle w:val="Hyperlink"/>
            <w:szCs w:val="18"/>
          </w:rPr>
          <w:t>http://burundi.gov.bi/spip.php?article3082</w:t>
        </w:r>
      </w:hyperlink>
      <w:r w:rsidRPr="00AB725B">
        <w:rPr>
          <w:szCs w:val="18"/>
        </w:rPr>
        <w:t xml:space="preserve">. </w:t>
      </w:r>
    </w:p>
  </w:footnote>
  <w:footnote w:id="517">
    <w:p w14:paraId="4EF580D3"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r>
      <w:r w:rsidRPr="00AB725B">
        <w:rPr>
          <w:rStyle w:val="tlid-translation"/>
        </w:rPr>
        <w:t>Contrary to allegations by the Chairman of the Independent National Electoral Commission on 8 March 2018</w:t>
      </w:r>
      <w:r w:rsidRPr="00AB725B">
        <w:rPr>
          <w:szCs w:val="18"/>
        </w:rPr>
        <w:t>, this contribution may not have been u</w:t>
      </w:r>
      <w:r w:rsidRPr="00AB725B">
        <w:rPr>
          <w:rStyle w:val="tlid-translation"/>
        </w:rPr>
        <w:t xml:space="preserve">sed for financing the referendum </w:t>
      </w:r>
      <w:r w:rsidRPr="00AB725B">
        <w:rPr>
          <w:szCs w:val="18"/>
        </w:rPr>
        <w:t>(</w:t>
      </w:r>
      <w:hyperlink r:id="rId66" w:history="1">
        <w:r w:rsidRPr="00AB725B">
          <w:rPr>
            <w:rStyle w:val="Hyperlink"/>
            <w:szCs w:val="18"/>
          </w:rPr>
          <w:t>http://www.bujumbura.be/</w:t>
        </w:r>
      </w:hyperlink>
      <w:r w:rsidRPr="00AB725B">
        <w:rPr>
          <w:szCs w:val="18"/>
        </w:rPr>
        <w:t>).</w:t>
      </w:r>
    </w:p>
  </w:footnote>
  <w:footnote w:id="518">
    <w:p w14:paraId="3B5C0215"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RV-05.</w:t>
      </w:r>
    </w:p>
  </w:footnote>
  <w:footnote w:id="519">
    <w:p w14:paraId="53C8BAE4"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Burundi’s National Court of Auditors, Comments on the general State budget, </w:t>
      </w:r>
      <w:r>
        <w:rPr>
          <w:szCs w:val="18"/>
        </w:rPr>
        <w:t xml:space="preserve">FY </w:t>
      </w:r>
      <w:r w:rsidRPr="00AB725B">
        <w:rPr>
          <w:szCs w:val="18"/>
        </w:rPr>
        <w:t>2017, p. 2.</w:t>
      </w:r>
    </w:p>
  </w:footnote>
  <w:footnote w:id="520">
    <w:p w14:paraId="56B69FCF"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Law n° 1/28 of 31 December 2017 on the adoption of Burundi’s general budget for F</w:t>
      </w:r>
      <w:r>
        <w:rPr>
          <w:szCs w:val="18"/>
        </w:rPr>
        <w:t>Y</w:t>
      </w:r>
      <w:r w:rsidRPr="00AB725B">
        <w:rPr>
          <w:szCs w:val="18"/>
        </w:rPr>
        <w:t xml:space="preserve"> 2018.</w:t>
      </w:r>
    </w:p>
  </w:footnote>
  <w:footnote w:id="521">
    <w:p w14:paraId="371DA004"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Law n° 1/013 of 30 June 2018 on the adoption of Burund</w:t>
      </w:r>
      <w:r>
        <w:rPr>
          <w:szCs w:val="18"/>
        </w:rPr>
        <w:t>i’s general budget for FY</w:t>
      </w:r>
      <w:r w:rsidRPr="00AB725B">
        <w:rPr>
          <w:szCs w:val="18"/>
        </w:rPr>
        <w:t xml:space="preserve"> 2018/2019.</w:t>
      </w:r>
    </w:p>
  </w:footnote>
  <w:footnote w:id="522">
    <w:p w14:paraId="06908ECD" w14:textId="77777777" w:rsidR="00B831ED" w:rsidRPr="00AB725B" w:rsidRDefault="00B831ED"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See: </w:t>
      </w:r>
      <w:hyperlink r:id="rId67" w:history="1">
        <w:r w:rsidRPr="00AB725B">
          <w:rPr>
            <w:rStyle w:val="Hyperlink"/>
            <w:szCs w:val="18"/>
          </w:rPr>
          <w:t>http://burundi.gov.bi/spip.php?article3082</w:t>
        </w:r>
      </w:hyperlink>
      <w:r w:rsidRPr="00AB725B">
        <w:rPr>
          <w:szCs w:val="18"/>
        </w:rPr>
        <w:t>.</w:t>
      </w:r>
    </w:p>
  </w:footnote>
  <w:footnote w:id="523">
    <w:p w14:paraId="72C2FDAD" w14:textId="77777777" w:rsidR="00B831ED" w:rsidRPr="00AB725B" w:rsidRDefault="00B831ED"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JI-018, JI-021, YI-002.</w:t>
      </w:r>
    </w:p>
  </w:footnote>
  <w:footnote w:id="524">
    <w:p w14:paraId="3D8AC052" w14:textId="77777777" w:rsidR="00B831ED" w:rsidRPr="00AB725B" w:rsidRDefault="00B831ED"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“As far as civil servants are concerned, […] their monthly contribution will be decided according</w:t>
      </w:r>
      <w:r>
        <w:rPr>
          <w:szCs w:val="18"/>
        </w:rPr>
        <w:t xml:space="preserve"> </w:t>
      </w:r>
      <w:r w:rsidRPr="00AB725B">
        <w:rPr>
          <w:szCs w:val="18"/>
        </w:rPr>
        <w:t xml:space="preserve">to their salaries. A contribution of 500 </w:t>
      </w:r>
      <w:r>
        <w:rPr>
          <w:szCs w:val="18"/>
        </w:rPr>
        <w:t>Burundian francs</w:t>
      </w:r>
      <w:r w:rsidRPr="00AB725B">
        <w:rPr>
          <w:szCs w:val="18"/>
        </w:rPr>
        <w:t xml:space="preserve"> is set for those who earn up to 50</w:t>
      </w:r>
      <w:r>
        <w:rPr>
          <w:szCs w:val="18"/>
        </w:rPr>
        <w:t>,</w:t>
      </w:r>
      <w:r w:rsidRPr="00AB725B">
        <w:rPr>
          <w:szCs w:val="18"/>
        </w:rPr>
        <w:t>000</w:t>
      </w:r>
      <w:r>
        <w:rPr>
          <w:szCs w:val="18"/>
        </w:rPr>
        <w:t xml:space="preserve"> Burundian francs</w:t>
      </w:r>
      <w:r w:rsidRPr="00AB725B">
        <w:rPr>
          <w:szCs w:val="18"/>
        </w:rPr>
        <w:t xml:space="preserve"> in salary, for anyone earning between 50</w:t>
      </w:r>
      <w:r>
        <w:rPr>
          <w:szCs w:val="18"/>
        </w:rPr>
        <w:t>,</w:t>
      </w:r>
      <w:r w:rsidRPr="00AB725B">
        <w:rPr>
          <w:szCs w:val="18"/>
        </w:rPr>
        <w:t>001 and 100</w:t>
      </w:r>
      <w:r>
        <w:rPr>
          <w:szCs w:val="18"/>
        </w:rPr>
        <w:t>,</w:t>
      </w:r>
      <w:r w:rsidRPr="00AB725B">
        <w:rPr>
          <w:szCs w:val="18"/>
        </w:rPr>
        <w:t xml:space="preserve">000 </w:t>
      </w:r>
      <w:r>
        <w:rPr>
          <w:szCs w:val="18"/>
        </w:rPr>
        <w:t>Burundian francs</w:t>
      </w:r>
      <w:r w:rsidRPr="00AB725B">
        <w:rPr>
          <w:szCs w:val="18"/>
        </w:rPr>
        <w:t>,</w:t>
      </w:r>
      <w:r>
        <w:rPr>
          <w:szCs w:val="18"/>
        </w:rPr>
        <w:t xml:space="preserve"> </w:t>
      </w:r>
      <w:r w:rsidRPr="00AB725B">
        <w:rPr>
          <w:szCs w:val="18"/>
        </w:rPr>
        <w:t xml:space="preserve">the contribution is 1,000 </w:t>
      </w:r>
      <w:r>
        <w:rPr>
          <w:szCs w:val="18"/>
        </w:rPr>
        <w:t>Burundian francs</w:t>
      </w:r>
      <w:r w:rsidRPr="00AB725B">
        <w:rPr>
          <w:szCs w:val="18"/>
        </w:rPr>
        <w:t>. The contribution is 2</w:t>
      </w:r>
      <w:r>
        <w:rPr>
          <w:szCs w:val="18"/>
        </w:rPr>
        <w:t>,</w:t>
      </w:r>
      <w:r w:rsidRPr="00AB725B">
        <w:rPr>
          <w:szCs w:val="18"/>
        </w:rPr>
        <w:t xml:space="preserve">000 </w:t>
      </w:r>
      <w:r>
        <w:rPr>
          <w:szCs w:val="18"/>
        </w:rPr>
        <w:t>Burundian francs</w:t>
      </w:r>
      <w:r w:rsidRPr="00AB725B">
        <w:rPr>
          <w:szCs w:val="18"/>
        </w:rPr>
        <w:t xml:space="preserve"> for</w:t>
      </w:r>
      <w:r>
        <w:rPr>
          <w:szCs w:val="18"/>
        </w:rPr>
        <w:t xml:space="preserve"> e</w:t>
      </w:r>
      <w:r w:rsidRPr="00AB725B">
        <w:rPr>
          <w:szCs w:val="18"/>
        </w:rPr>
        <w:t>arnings between 100</w:t>
      </w:r>
      <w:r>
        <w:rPr>
          <w:szCs w:val="18"/>
        </w:rPr>
        <w:t>,</w:t>
      </w:r>
      <w:r w:rsidRPr="00AB725B">
        <w:rPr>
          <w:szCs w:val="18"/>
        </w:rPr>
        <w:t>001 and 200</w:t>
      </w:r>
      <w:r>
        <w:rPr>
          <w:szCs w:val="18"/>
        </w:rPr>
        <w:t>,</w:t>
      </w:r>
      <w:r w:rsidRPr="00AB725B">
        <w:rPr>
          <w:szCs w:val="18"/>
        </w:rPr>
        <w:t xml:space="preserve">000 </w:t>
      </w:r>
      <w:r>
        <w:rPr>
          <w:szCs w:val="18"/>
        </w:rPr>
        <w:t>Burundian francs</w:t>
      </w:r>
      <w:r w:rsidRPr="00AB725B">
        <w:rPr>
          <w:szCs w:val="18"/>
        </w:rPr>
        <w:t>. From 200</w:t>
      </w:r>
      <w:r>
        <w:rPr>
          <w:szCs w:val="18"/>
        </w:rPr>
        <w:t>,</w:t>
      </w:r>
      <w:r w:rsidRPr="00AB725B">
        <w:rPr>
          <w:szCs w:val="18"/>
        </w:rPr>
        <w:t>001 to 500</w:t>
      </w:r>
      <w:r>
        <w:rPr>
          <w:szCs w:val="18"/>
        </w:rPr>
        <w:t>,</w:t>
      </w:r>
      <w:r w:rsidRPr="00AB725B">
        <w:rPr>
          <w:szCs w:val="18"/>
        </w:rPr>
        <w:t xml:space="preserve">000 </w:t>
      </w:r>
      <w:r>
        <w:rPr>
          <w:szCs w:val="18"/>
        </w:rPr>
        <w:t>Burundian francs</w:t>
      </w:r>
      <w:r w:rsidRPr="00AB725B">
        <w:rPr>
          <w:szCs w:val="18"/>
        </w:rPr>
        <w:t>, the contribution is 5</w:t>
      </w:r>
      <w:r>
        <w:rPr>
          <w:szCs w:val="18"/>
        </w:rPr>
        <w:t>,</w:t>
      </w:r>
      <w:r w:rsidRPr="00AB725B">
        <w:rPr>
          <w:szCs w:val="18"/>
        </w:rPr>
        <w:t xml:space="preserve">000 </w:t>
      </w:r>
      <w:r>
        <w:rPr>
          <w:szCs w:val="18"/>
        </w:rPr>
        <w:t>Burundian francs</w:t>
      </w:r>
      <w:r w:rsidRPr="00AB725B">
        <w:rPr>
          <w:szCs w:val="18"/>
        </w:rPr>
        <w:t>. Between 500</w:t>
      </w:r>
      <w:r>
        <w:rPr>
          <w:szCs w:val="18"/>
        </w:rPr>
        <w:t>,</w:t>
      </w:r>
      <w:r w:rsidRPr="00AB725B">
        <w:rPr>
          <w:szCs w:val="18"/>
        </w:rPr>
        <w:t>001 and 1</w:t>
      </w:r>
      <w:r>
        <w:rPr>
          <w:szCs w:val="18"/>
        </w:rPr>
        <w:t>,</w:t>
      </w:r>
      <w:r w:rsidRPr="00AB725B">
        <w:rPr>
          <w:szCs w:val="18"/>
        </w:rPr>
        <w:t>000</w:t>
      </w:r>
      <w:r>
        <w:rPr>
          <w:szCs w:val="18"/>
        </w:rPr>
        <w:t>,</w:t>
      </w:r>
      <w:r w:rsidRPr="00AB725B">
        <w:rPr>
          <w:szCs w:val="18"/>
        </w:rPr>
        <w:t xml:space="preserve">000 </w:t>
      </w:r>
      <w:r>
        <w:rPr>
          <w:szCs w:val="18"/>
        </w:rPr>
        <w:t>Burundian francs</w:t>
      </w:r>
      <w:r w:rsidRPr="00AB725B">
        <w:rPr>
          <w:szCs w:val="18"/>
        </w:rPr>
        <w:t xml:space="preserve"> the contribution is 30</w:t>
      </w:r>
      <w:r>
        <w:rPr>
          <w:szCs w:val="18"/>
        </w:rPr>
        <w:t>,</w:t>
      </w:r>
      <w:r w:rsidRPr="00AB725B">
        <w:rPr>
          <w:szCs w:val="18"/>
        </w:rPr>
        <w:t xml:space="preserve">000 </w:t>
      </w:r>
      <w:r>
        <w:rPr>
          <w:szCs w:val="18"/>
        </w:rPr>
        <w:t>Burundian francs</w:t>
      </w:r>
      <w:r w:rsidRPr="00AB725B">
        <w:rPr>
          <w:szCs w:val="18"/>
        </w:rPr>
        <w:t>. The yearly contribution for those earning over</w:t>
      </w:r>
      <w:r>
        <w:rPr>
          <w:szCs w:val="18"/>
        </w:rPr>
        <w:t xml:space="preserve"> </w:t>
      </w:r>
      <w:r w:rsidRPr="00AB725B">
        <w:rPr>
          <w:szCs w:val="18"/>
        </w:rPr>
        <w:t xml:space="preserve">one million </w:t>
      </w:r>
      <w:r>
        <w:rPr>
          <w:szCs w:val="18"/>
        </w:rPr>
        <w:t>Burundian francs</w:t>
      </w:r>
      <w:r w:rsidRPr="00AB725B">
        <w:rPr>
          <w:szCs w:val="18"/>
        </w:rPr>
        <w:t xml:space="preserve"> will be the equivalent of a monthly</w:t>
      </w:r>
      <w:r>
        <w:rPr>
          <w:szCs w:val="18"/>
        </w:rPr>
        <w:t xml:space="preserve"> </w:t>
      </w:r>
      <w:r w:rsidRPr="00AB725B">
        <w:rPr>
          <w:szCs w:val="18"/>
        </w:rPr>
        <w:t>salary»  (</w:t>
      </w:r>
      <w:hyperlink r:id="rId68" w:history="1">
        <w:r w:rsidRPr="00653F58">
          <w:rPr>
            <w:rStyle w:val="Hyperlink"/>
            <w:szCs w:val="18"/>
          </w:rPr>
          <w:t>http://burundi.gov.bi/spip.php?article3082</w:t>
        </w:r>
      </w:hyperlink>
      <w:r w:rsidRPr="00AB725B">
        <w:rPr>
          <w:szCs w:val="18"/>
        </w:rPr>
        <w:t>).</w:t>
      </w:r>
    </w:p>
  </w:footnote>
  <w:footnote w:id="525">
    <w:p w14:paraId="0F00E7FA" w14:textId="77777777" w:rsidR="00B831ED" w:rsidRPr="00AB725B" w:rsidRDefault="00B831ED"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JI-018.</w:t>
      </w:r>
    </w:p>
  </w:footnote>
  <w:footnote w:id="526">
    <w:p w14:paraId="30D021A9" w14:textId="77777777" w:rsidR="00B831ED" w:rsidRPr="00AB725B" w:rsidRDefault="00B831ED" w:rsidP="006B05D6">
      <w:pPr>
        <w:pStyle w:val="FootnoteText"/>
        <w:ind w:left="1138" w:right="562" w:hanging="1138"/>
        <w:jc w:val="both"/>
        <w:rPr>
          <w:i/>
          <w:szCs w:val="18"/>
        </w:rPr>
      </w:pPr>
      <w:r w:rsidRPr="00AB725B">
        <w:rPr>
          <w:szCs w:val="18"/>
        </w:rPr>
        <w:tab/>
      </w:r>
      <w:r w:rsidRPr="00AB725B">
        <w:rPr>
          <w:rStyle w:val="FootnoteReference"/>
          <w:szCs w:val="18"/>
        </w:rPr>
        <w:footnoteRef/>
      </w:r>
      <w:r>
        <w:rPr>
          <w:szCs w:val="18"/>
        </w:rPr>
        <w:tab/>
      </w:r>
      <w:r w:rsidRPr="00AB725B">
        <w:rPr>
          <w:szCs w:val="18"/>
        </w:rPr>
        <w:t>Article 8 (</w:t>
      </w:r>
      <w:r>
        <w:rPr>
          <w:szCs w:val="18"/>
        </w:rPr>
        <w:t>para.</w:t>
      </w:r>
      <w:r w:rsidRPr="00AB725B">
        <w:rPr>
          <w:szCs w:val="18"/>
        </w:rPr>
        <w:t xml:space="preserve"> 1) of </w:t>
      </w:r>
      <w:r>
        <w:rPr>
          <w:szCs w:val="18"/>
        </w:rPr>
        <w:t>ILO</w:t>
      </w:r>
      <w:r w:rsidRPr="00AB725B">
        <w:rPr>
          <w:szCs w:val="18"/>
        </w:rPr>
        <w:t xml:space="preserve"> Convention n° 95. </w:t>
      </w:r>
      <w:r w:rsidRPr="00AB725B">
        <w:rPr>
          <w:color w:val="212121"/>
          <w:szCs w:val="18"/>
        </w:rPr>
        <w:t xml:space="preserve">Noteworthy however is that Burundi has not ratified this Convention. The experts’ committee for the application of conventions and recommendations insisted on the </w:t>
      </w:r>
      <w:r>
        <w:rPr>
          <w:color w:val="212121"/>
          <w:szCs w:val="18"/>
        </w:rPr>
        <w:t>legality</w:t>
      </w:r>
      <w:r w:rsidRPr="00AB725B">
        <w:rPr>
          <w:color w:val="212121"/>
          <w:szCs w:val="18"/>
        </w:rPr>
        <w:t xml:space="preserve"> and the predictability of </w:t>
      </w:r>
      <w:r>
        <w:rPr>
          <w:color w:val="212121"/>
          <w:szCs w:val="18"/>
        </w:rPr>
        <w:t xml:space="preserve">wage </w:t>
      </w:r>
      <w:r w:rsidRPr="00AB725B">
        <w:rPr>
          <w:color w:val="212121"/>
          <w:szCs w:val="18"/>
        </w:rPr>
        <w:t xml:space="preserve">deductions </w:t>
      </w:r>
      <w:r>
        <w:rPr>
          <w:color w:val="212121"/>
          <w:szCs w:val="18"/>
        </w:rPr>
        <w:t>as being</w:t>
      </w:r>
      <w:r w:rsidRPr="00AB725B">
        <w:rPr>
          <w:color w:val="212121"/>
          <w:szCs w:val="18"/>
        </w:rPr>
        <w:t xml:space="preserve"> </w:t>
      </w:r>
      <w:r>
        <w:rPr>
          <w:color w:val="212121"/>
          <w:szCs w:val="18"/>
        </w:rPr>
        <w:t>crucial</w:t>
      </w:r>
      <w:r w:rsidRPr="00AB725B">
        <w:rPr>
          <w:color w:val="212121"/>
          <w:szCs w:val="18"/>
        </w:rPr>
        <w:t xml:space="preserve"> elements (</w:t>
      </w:r>
      <w:r>
        <w:rPr>
          <w:szCs w:val="18"/>
        </w:rPr>
        <w:t>ILO</w:t>
      </w:r>
      <w:r w:rsidRPr="00AB725B">
        <w:rPr>
          <w:szCs w:val="18"/>
        </w:rPr>
        <w:t>, Protection of wages, Standards and safeguards relating to the payment of labour remuneration, General Survey of the reports concerning the Protection of Wages Convention (n° 95) and the Protection of Wages Recommendation (n° 85), 1949, Report of the Committee of Experts on the Application of Conventions and Recommendations (articles 19, 22 and 35 of the Constitution), 91st session, 2003, p. 121).</w:t>
      </w:r>
    </w:p>
  </w:footnote>
  <w:footnote w:id="527">
    <w:p w14:paraId="3BA820F1" w14:textId="77777777" w:rsidR="00B831ED" w:rsidRPr="00AB725B" w:rsidRDefault="00B831ED" w:rsidP="006B05D6">
      <w:pPr>
        <w:pStyle w:val="FootnoteText"/>
        <w:ind w:left="1138" w:right="562" w:hanging="1138"/>
        <w:rPr>
          <w:szCs w:val="18"/>
        </w:rPr>
      </w:pPr>
      <w:r w:rsidRPr="00AB725B">
        <w:rPr>
          <w:szCs w:val="18"/>
        </w:rPr>
        <w:tab/>
      </w:r>
      <w:r w:rsidRPr="00AB725B">
        <w:rPr>
          <w:rStyle w:val="FootnoteReference"/>
          <w:szCs w:val="18"/>
        </w:rPr>
        <w:footnoteRef/>
      </w:r>
      <w:r w:rsidRPr="00AB725B">
        <w:rPr>
          <w:szCs w:val="18"/>
        </w:rPr>
        <w:tab/>
        <w:t xml:space="preserve">The Commission received a copy of this letter. The CNIDH president also called for the opening of a dialogue between civil servants’ unions and the government (See: </w:t>
      </w:r>
      <w:hyperlink r:id="rId69" w:history="1">
        <w:r w:rsidRPr="00AB725B">
          <w:rPr>
            <w:rStyle w:val="Hyperlink"/>
            <w:szCs w:val="18"/>
          </w:rPr>
          <w:t>https://www.youtube.com/watch?v=08BDiQG15k8</w:t>
        </w:r>
      </w:hyperlink>
      <w:r w:rsidRPr="00AB725B">
        <w:rPr>
          <w:szCs w:val="18"/>
        </w:rPr>
        <w:t>).</w:t>
      </w:r>
    </w:p>
  </w:footnote>
  <w:footnote w:id="528">
    <w:p w14:paraId="3C04A181" w14:textId="078CF8C0" w:rsidR="00B831ED" w:rsidRPr="00AB725B" w:rsidRDefault="00B831ED" w:rsidP="006B05D6">
      <w:pPr>
        <w:pStyle w:val="FootnoteText"/>
        <w:ind w:right="567"/>
        <w:rPr>
          <w:szCs w:val="18"/>
        </w:rPr>
      </w:pPr>
      <w:r w:rsidRPr="00AB725B">
        <w:rPr>
          <w:szCs w:val="18"/>
        </w:rPr>
        <w:tab/>
      </w:r>
      <w:r w:rsidRPr="00AB725B">
        <w:rPr>
          <w:rStyle w:val="FootnoteReference"/>
          <w:szCs w:val="18"/>
        </w:rPr>
        <w:footnoteRef/>
      </w:r>
      <w:r w:rsidRPr="00AB725B">
        <w:rPr>
          <w:szCs w:val="18"/>
        </w:rPr>
        <w:tab/>
        <w:t xml:space="preserve">See: </w:t>
      </w:r>
      <w:hyperlink r:id="rId70" w:history="1">
        <w:r w:rsidRPr="00AB725B">
          <w:rPr>
            <w:rStyle w:val="Hyperlink"/>
            <w:szCs w:val="18"/>
          </w:rPr>
          <w:t>https://www.voaafrique.com/a/reunion-sur-la-prochaine-taxe-des-focntionnaires-pour-les-elections-de-2020/4224828.html</w:t>
        </w:r>
      </w:hyperlink>
      <w:r w:rsidRPr="00AB725B">
        <w:rPr>
          <w:szCs w:val="18"/>
        </w:rPr>
        <w:t xml:space="preserve">. </w:t>
      </w:r>
      <w:r w:rsidR="00691A23">
        <w:rPr>
          <w:rStyle w:val="tlid-translation"/>
        </w:rPr>
        <w:t>In addition, o</w:t>
      </w:r>
      <w:r w:rsidRPr="00AB725B">
        <w:rPr>
          <w:rStyle w:val="tlid-translation"/>
        </w:rPr>
        <w:t>rdinance n° 530/540/1772 provides that “social dialogue will be organized in order to explain the process” for collecting contributions. To the knowledge of the Commission, no further meetings with the public service unions have taken place after</w:t>
      </w:r>
      <w:r w:rsidRPr="00AB725B">
        <w:t xml:space="preserve"> </w:t>
      </w:r>
      <w:r w:rsidRPr="00AB725B">
        <w:rPr>
          <w:rStyle w:val="tlid-translation"/>
        </w:rPr>
        <w:t>January 2018</w:t>
      </w:r>
      <w:r w:rsidRPr="00AB725B">
        <w:rPr>
          <w:szCs w:val="18"/>
        </w:rPr>
        <w:t>.</w:t>
      </w:r>
    </w:p>
  </w:footnote>
  <w:footnote w:id="529">
    <w:p w14:paraId="18B4B78B" w14:textId="77777777" w:rsidR="00B831ED" w:rsidRPr="00AB725B" w:rsidRDefault="00B831ED" w:rsidP="006B05D6">
      <w:pPr>
        <w:pStyle w:val="FootnoteText"/>
        <w:ind w:right="567"/>
        <w:rPr>
          <w:szCs w:val="18"/>
        </w:rPr>
      </w:pPr>
      <w:r w:rsidRPr="00AB725B">
        <w:rPr>
          <w:szCs w:val="18"/>
        </w:rPr>
        <w:tab/>
      </w:r>
      <w:r w:rsidRPr="00AB725B">
        <w:rPr>
          <w:rStyle w:val="FootnoteReference"/>
          <w:szCs w:val="18"/>
        </w:rPr>
        <w:footnoteRef/>
      </w:r>
      <w:r w:rsidRPr="00AB725B">
        <w:rPr>
          <w:szCs w:val="18"/>
        </w:rPr>
        <w:tab/>
        <w:t xml:space="preserve">See: </w:t>
      </w:r>
      <w:hyperlink r:id="rId71" w:history="1">
        <w:r w:rsidRPr="00AB725B">
          <w:rPr>
            <w:rStyle w:val="Hyperlink"/>
            <w:szCs w:val="18"/>
          </w:rPr>
          <w:t>http://www.iwacu-burundi.org/argent-ou-lettre/</w:t>
        </w:r>
      </w:hyperlink>
      <w:r w:rsidRPr="00AB725B">
        <w:rPr>
          <w:szCs w:val="18"/>
        </w:rPr>
        <w:t>.</w:t>
      </w:r>
    </w:p>
  </w:footnote>
  <w:footnote w:id="530">
    <w:p w14:paraId="67F215A0" w14:textId="77777777" w:rsidR="00B831ED" w:rsidRPr="00AB725B" w:rsidRDefault="00B831ED" w:rsidP="006B05D6">
      <w:pPr>
        <w:pStyle w:val="FootnoteText"/>
        <w:ind w:right="567"/>
        <w:rPr>
          <w:szCs w:val="18"/>
        </w:rPr>
      </w:pPr>
      <w:r w:rsidRPr="00AB725B">
        <w:rPr>
          <w:szCs w:val="18"/>
        </w:rPr>
        <w:tab/>
      </w:r>
      <w:r w:rsidRPr="00AB725B">
        <w:rPr>
          <w:rStyle w:val="FootnoteReference"/>
          <w:szCs w:val="18"/>
        </w:rPr>
        <w:footnoteRef/>
      </w:r>
      <w:r w:rsidRPr="00AB725B">
        <w:rPr>
          <w:szCs w:val="18"/>
        </w:rPr>
        <w:tab/>
      </w:r>
      <w:r w:rsidRPr="00AB725B">
        <w:rPr>
          <w:i/>
          <w:szCs w:val="18"/>
        </w:rPr>
        <w:t>La faute aux procédures administratives</w:t>
      </w:r>
      <w:r w:rsidRPr="00AB725B">
        <w:rPr>
          <w:szCs w:val="18"/>
        </w:rPr>
        <w:t xml:space="preserve"> (In English: The fault lies within administrative procedures), Iwacu, 16 February 2018 (in: </w:t>
      </w:r>
      <w:hyperlink r:id="rId72" w:history="1">
        <w:r w:rsidRPr="00AB725B">
          <w:rPr>
            <w:rStyle w:val="Hyperlink"/>
            <w:szCs w:val="18"/>
          </w:rPr>
          <w:t>http://www.iwacu-burundi.org/la-faute-aux-procedures-administratives/</w:t>
        </w:r>
      </w:hyperlink>
      <w:r w:rsidRPr="00AB725B">
        <w:rPr>
          <w:szCs w:val="18"/>
        </w:rPr>
        <w:t>).</w:t>
      </w:r>
    </w:p>
  </w:footnote>
  <w:footnote w:id="531">
    <w:p w14:paraId="4D349BED" w14:textId="77777777" w:rsidR="00B831ED" w:rsidRPr="00AB725B" w:rsidRDefault="00B831ED" w:rsidP="006B05D6">
      <w:pPr>
        <w:pStyle w:val="FootnoteText"/>
      </w:pPr>
      <w:r w:rsidRPr="00AB725B">
        <w:tab/>
      </w:r>
      <w:r w:rsidRPr="00AB725B">
        <w:rPr>
          <w:rStyle w:val="FootnoteReference"/>
        </w:rPr>
        <w:footnoteRef/>
      </w:r>
      <w:r w:rsidRPr="00AB725B">
        <w:tab/>
        <w:t>JI-018, TI-120, TI-156, XI-055, ZI-004.</w:t>
      </w:r>
    </w:p>
  </w:footnote>
  <w:footnote w:id="532">
    <w:p w14:paraId="764EB626" w14:textId="6CF7C70D" w:rsidR="00B831ED" w:rsidRPr="00AB725B" w:rsidRDefault="00B831ED" w:rsidP="006B05D6">
      <w:pPr>
        <w:pStyle w:val="FootnoteText"/>
      </w:pPr>
      <w:r w:rsidRPr="00AB725B">
        <w:tab/>
      </w:r>
      <w:r w:rsidRPr="00AB725B">
        <w:rPr>
          <w:rStyle w:val="FootnoteReference"/>
        </w:rPr>
        <w:footnoteRef/>
      </w:r>
      <w:r w:rsidRPr="00AB725B">
        <w:tab/>
        <w:t>- #Burundi Via their minister, the staff of the Ministry of Justice et Civil Protection have deposited 39 millions [22</w:t>
      </w:r>
      <w:r>
        <w:t>,</w:t>
      </w:r>
      <w:r w:rsidRPr="00AB725B">
        <w:t>274</w:t>
      </w:r>
      <w:r>
        <w:t xml:space="preserve"> US dollars</w:t>
      </w:r>
      <w:r w:rsidRPr="00AB725B">
        <w:t xml:space="preserve">] with the Banque de la République du Burundi (BRB) in contributions to the 2020 elections (in: </w:t>
      </w:r>
      <w:hyperlink r:id="rId73" w:history="1">
        <w:r w:rsidRPr="00AB725B">
          <w:rPr>
            <w:rStyle w:val="Hyperlink"/>
          </w:rPr>
          <w:t>https://twitter.com/LeRenouveauBdi/</w:t>
        </w:r>
        <w:r w:rsidRPr="00AB725B">
          <w:rPr>
            <w:rStyle w:val="Hyperlink"/>
          </w:rPr>
          <w:br/>
          <w:t>status/994119314281287680</w:t>
        </w:r>
      </w:hyperlink>
      <w:r w:rsidRPr="00AB725B">
        <w:t>);</w:t>
      </w:r>
    </w:p>
    <w:p w14:paraId="44AED4F4" w14:textId="77777777" w:rsidR="00B831ED" w:rsidRPr="00AB725B" w:rsidRDefault="00B831ED" w:rsidP="006B05D6">
      <w:pPr>
        <w:pStyle w:val="FootnoteText"/>
      </w:pPr>
      <w:r w:rsidRPr="00AB725B">
        <w:tab/>
      </w:r>
      <w:r w:rsidRPr="00AB725B">
        <w:tab/>
        <w:t xml:space="preserve">- </w:t>
      </w:r>
      <w:r w:rsidRPr="00AB725B">
        <w:rPr>
          <w:rStyle w:val="tlid-translation"/>
        </w:rPr>
        <w:t>The Ministry of Foreign Affairs has just contributed almost 70 million FBU [39,977 US dollars] for the elections</w:t>
      </w:r>
      <w:r w:rsidRPr="00AB725B">
        <w:t xml:space="preserve"> (in: </w:t>
      </w:r>
      <w:hyperlink r:id="rId74" w:history="1">
        <w:r w:rsidRPr="00AB725B">
          <w:rPr>
            <w:rStyle w:val="Hyperlink"/>
          </w:rPr>
          <w:t>http://www.bujumbura.be/</w:t>
        </w:r>
      </w:hyperlink>
      <w:r w:rsidRPr="00AB725B">
        <w:t>) ;</w:t>
      </w:r>
    </w:p>
    <w:p w14:paraId="022C65F1" w14:textId="58506ABB" w:rsidR="00B831ED" w:rsidRPr="00AB725B" w:rsidRDefault="00B831ED" w:rsidP="006B05D6">
      <w:pPr>
        <w:pStyle w:val="FootnoteText"/>
      </w:pPr>
      <w:r w:rsidRPr="00AB725B">
        <w:tab/>
      </w:r>
      <w:r w:rsidRPr="00AB725B">
        <w:tab/>
        <w:t xml:space="preserve">- </w:t>
      </w:r>
      <w:r w:rsidRPr="00AB725B">
        <w:rPr>
          <w:rStyle w:val="tlid-translation"/>
        </w:rPr>
        <w:t xml:space="preserve">The Senate of Burundi and the Ministry of the Environment deposit their contributions towards the 2020 elections with the BRB in </w:t>
      </w:r>
      <w:r w:rsidRPr="00AB725B">
        <w:t xml:space="preserve">(in: </w:t>
      </w:r>
      <w:hyperlink r:id="rId75" w:history="1">
        <w:r w:rsidRPr="00AB725B">
          <w:rPr>
            <w:rStyle w:val="Hyperlink"/>
          </w:rPr>
          <w:t>http://www.rtnb.bi/fr/art.php?idapi=2/2/151</w:t>
        </w:r>
      </w:hyperlink>
      <w:r w:rsidRPr="00AB725B">
        <w:t xml:space="preserve">). Contributions from </w:t>
      </w:r>
      <w:r w:rsidRPr="00AB725B">
        <w:rPr>
          <w:rStyle w:val="tlid-translation"/>
        </w:rPr>
        <w:t xml:space="preserve">the Ministry of the Environment amount to 28 million </w:t>
      </w:r>
      <w:r>
        <w:rPr>
          <w:rStyle w:val="tlid-translation"/>
        </w:rPr>
        <w:t>Burundian francs</w:t>
      </w:r>
      <w:r>
        <w:t xml:space="preserve"> (15,991 US dollars)</w:t>
      </w:r>
      <w:r w:rsidRPr="00AB725B">
        <w:t>;</w:t>
      </w:r>
    </w:p>
    <w:p w14:paraId="7C4F8518" w14:textId="7C8787F1" w:rsidR="00B831ED" w:rsidRPr="00AB725B" w:rsidRDefault="00B831ED" w:rsidP="006B05D6">
      <w:pPr>
        <w:pStyle w:val="FootnoteText"/>
      </w:pPr>
      <w:r w:rsidRPr="00AB725B">
        <w:tab/>
      </w:r>
      <w:r w:rsidRPr="00AB725B">
        <w:tab/>
        <w:t xml:space="preserve">- Two ministries deposit </w:t>
      </w:r>
      <w:r w:rsidRPr="00AB725B">
        <w:rPr>
          <w:rStyle w:val="tlid-translation"/>
        </w:rPr>
        <w:t>their contributions towards the 2020 elections with the BRB</w:t>
      </w:r>
      <w:r w:rsidRPr="00AB725B">
        <w:t xml:space="preserve"> (in: </w:t>
      </w:r>
      <w:hyperlink r:id="rId76" w:history="1">
        <w:r w:rsidRPr="00AB725B">
          <w:rPr>
            <w:rStyle w:val="Hyperlink"/>
          </w:rPr>
          <w:t>http://www.rtnb.bi/fr/art.php?idapi=2/2/24</w:t>
        </w:r>
      </w:hyperlink>
      <w:r w:rsidRPr="00AB725B">
        <w:t xml:space="preserve">). </w:t>
      </w:r>
      <w:r w:rsidRPr="00AB725B">
        <w:rPr>
          <w:rStyle w:val="tlid-translation"/>
        </w:rPr>
        <w:t>This is a contribution of up to</w:t>
      </w:r>
      <w:r w:rsidRPr="00AB725B">
        <w:t xml:space="preserve"> 132</w:t>
      </w:r>
      <w:r>
        <w:t>,</w:t>
      </w:r>
      <w:r w:rsidRPr="00AB725B">
        <w:t>306</w:t>
      </w:r>
      <w:r>
        <w:t>,</w:t>
      </w:r>
      <w:r w:rsidRPr="00AB725B">
        <w:t xml:space="preserve">670 </w:t>
      </w:r>
      <w:r>
        <w:t>Burundian francs</w:t>
      </w:r>
      <w:r w:rsidRPr="00AB725B">
        <w:t xml:space="preserve"> (75</w:t>
      </w:r>
      <w:r>
        <w:t>,</w:t>
      </w:r>
      <w:r w:rsidRPr="00AB725B">
        <w:t>561</w:t>
      </w:r>
      <w:r>
        <w:t xml:space="preserve"> US dollars</w:t>
      </w:r>
      <w:r w:rsidRPr="00AB725B">
        <w:t xml:space="preserve">) </w:t>
      </w:r>
      <w:r w:rsidRPr="00AB725B">
        <w:rPr>
          <w:rStyle w:val="tlid-translation"/>
        </w:rPr>
        <w:t xml:space="preserve">by the ministry in charge of education </w:t>
      </w:r>
      <w:r w:rsidRPr="00AB725B">
        <w:t>and that of the ministry of agriculture, which amounts for up to 31</w:t>
      </w:r>
      <w:r>
        <w:t>,</w:t>
      </w:r>
      <w:r w:rsidRPr="00AB725B">
        <w:t>962</w:t>
      </w:r>
      <w:r>
        <w:t>,</w:t>
      </w:r>
      <w:r w:rsidRPr="00AB725B">
        <w:t xml:space="preserve">630 </w:t>
      </w:r>
      <w:r>
        <w:t>Burundian francs</w:t>
      </w:r>
      <w:r w:rsidRPr="00AB725B">
        <w:t xml:space="preserve"> (18</w:t>
      </w:r>
      <w:r>
        <w:t>,</w:t>
      </w:r>
      <w:r w:rsidRPr="00AB725B">
        <w:t>254</w:t>
      </w:r>
      <w:r>
        <w:t xml:space="preserve"> US dolalrs</w:t>
      </w:r>
      <w:r w:rsidRPr="00AB725B">
        <w:t>)</w:t>
      </w:r>
      <w:r>
        <w:t xml:space="preserve">. </w:t>
      </w:r>
    </w:p>
    <w:p w14:paraId="11B1F2EB" w14:textId="18F720D6" w:rsidR="00B831ED" w:rsidRPr="00AB725B" w:rsidRDefault="00B831ED" w:rsidP="006B05D6">
      <w:pPr>
        <w:pStyle w:val="FootnoteText"/>
      </w:pPr>
      <w:r w:rsidRPr="00AB725B">
        <w:tab/>
      </w:r>
      <w:r w:rsidRPr="00AB725B">
        <w:tab/>
        <w:t xml:space="preserve">- </w:t>
      </w:r>
      <w:r w:rsidRPr="00AB725B">
        <w:rPr>
          <w:rStyle w:val="tlid-translation"/>
        </w:rPr>
        <w:t>The Ministry of Transport contributes to the 2020 elections</w:t>
      </w:r>
      <w:r w:rsidRPr="00AB725B">
        <w:t xml:space="preserve"> (in: </w:t>
      </w:r>
      <w:hyperlink r:id="rId77" w:history="1">
        <w:r w:rsidRPr="00AB725B">
          <w:rPr>
            <w:rStyle w:val="Hyperlink"/>
          </w:rPr>
          <w:t>http://www.rtnb.bi/fr/art.php?idapi=2/1/216</w:t>
        </w:r>
      </w:hyperlink>
      <w:r w:rsidRPr="00AB725B">
        <w:t xml:space="preserve">). The contribution amounts to 20 millions </w:t>
      </w:r>
      <w:r>
        <w:t>Burundian francs</w:t>
      </w:r>
      <w:r w:rsidRPr="00AB725B">
        <w:t xml:space="preserve"> (11</w:t>
      </w:r>
      <w:r>
        <w:t>,</w:t>
      </w:r>
      <w:r w:rsidRPr="00AB725B">
        <w:t>422</w:t>
      </w:r>
      <w:r>
        <w:t xml:space="preserve"> US dollars</w:t>
      </w:r>
      <w:r w:rsidRPr="00AB725B">
        <w:t>).</w:t>
      </w:r>
    </w:p>
  </w:footnote>
  <w:footnote w:id="533">
    <w:p w14:paraId="72C0DBE3" w14:textId="77777777" w:rsidR="00B831ED" w:rsidRPr="00AB725B" w:rsidRDefault="00B831ED" w:rsidP="006B05D6">
      <w:pPr>
        <w:pStyle w:val="FootnoteText"/>
      </w:pPr>
      <w:r w:rsidRPr="00AB725B">
        <w:tab/>
      </w:r>
      <w:r w:rsidRPr="00AB725B">
        <w:rPr>
          <w:rStyle w:val="FootnoteReference"/>
        </w:rPr>
        <w:footnoteRef/>
      </w:r>
      <w:r w:rsidRPr="00AB725B">
        <w:tab/>
        <w:t xml:space="preserve">JI-018. </w:t>
      </w:r>
    </w:p>
  </w:footnote>
  <w:footnote w:id="534">
    <w:p w14:paraId="6BC08E58" w14:textId="77777777" w:rsidR="00B831ED" w:rsidRPr="00AB725B" w:rsidRDefault="00B831ED" w:rsidP="006B05D6">
      <w:pPr>
        <w:pStyle w:val="FootnoteText"/>
      </w:pPr>
      <w:r w:rsidRPr="00AB725B">
        <w:tab/>
      </w:r>
      <w:r w:rsidRPr="00AB725B">
        <w:rPr>
          <w:rStyle w:val="FootnoteReference"/>
        </w:rPr>
        <w:footnoteRef/>
      </w:r>
      <w:r w:rsidRPr="00AB725B">
        <w:tab/>
        <w:t>XI-055.</w:t>
      </w:r>
    </w:p>
  </w:footnote>
  <w:footnote w:id="535">
    <w:p w14:paraId="5521C1F9" w14:textId="2A96ADDE" w:rsidR="00B831ED" w:rsidRPr="00AB725B" w:rsidRDefault="00B831ED" w:rsidP="006B05D6">
      <w:pPr>
        <w:pStyle w:val="FootnoteText"/>
      </w:pPr>
      <w:r w:rsidRPr="00AB725B">
        <w:tab/>
      </w:r>
      <w:r w:rsidRPr="00AB725B">
        <w:rPr>
          <w:rStyle w:val="FootnoteReference"/>
        </w:rPr>
        <w:footnoteRef/>
      </w:r>
      <w:r w:rsidRPr="00AB725B">
        <w:tab/>
        <w:t xml:space="preserve">“Burundi Deposit with BRB, by Burundi’s Ombudsman, Edouard Nduwimana, of 9 million 900 thousands </w:t>
      </w:r>
      <w:r>
        <w:t>Burundian francs</w:t>
      </w:r>
      <w:r w:rsidRPr="00AB725B">
        <w:t xml:space="preserve"> [5</w:t>
      </w:r>
      <w:r>
        <w:t>,</w:t>
      </w:r>
      <w:r w:rsidRPr="00AB725B">
        <w:t>654</w:t>
      </w:r>
      <w:r>
        <w:t xml:space="preserve"> US dollars</w:t>
      </w:r>
      <w:r w:rsidRPr="00AB725B">
        <w:t>] in contributions to the 2020 general elections by the staff of the Ombudsman’s office”</w:t>
      </w:r>
      <w:r>
        <w:t xml:space="preserve"> </w:t>
      </w:r>
      <w:r w:rsidRPr="00AB725B">
        <w:t>(</w:t>
      </w:r>
      <w:hyperlink r:id="rId78" w:history="1">
        <w:r w:rsidRPr="00AB725B">
          <w:rPr>
            <w:rStyle w:val="Hyperlink"/>
          </w:rPr>
          <w:t>https://twitter.com/LeRenouveauBdi/status/991008408538140672</w:t>
        </w:r>
      </w:hyperlink>
      <w:r w:rsidRPr="00AB725B">
        <w:t xml:space="preserve">). </w:t>
      </w:r>
    </w:p>
  </w:footnote>
  <w:footnote w:id="536">
    <w:p w14:paraId="0B1B5EFA" w14:textId="4B780DFD" w:rsidR="00B831ED" w:rsidRPr="00AB725B" w:rsidRDefault="00B831ED" w:rsidP="006B05D6">
      <w:pPr>
        <w:pStyle w:val="FootnoteText"/>
      </w:pPr>
      <w:r w:rsidRPr="00AB725B">
        <w:tab/>
      </w:r>
      <w:r w:rsidRPr="00AB725B">
        <w:rPr>
          <w:rStyle w:val="FootnoteReference"/>
        </w:rPr>
        <w:footnoteRef/>
      </w:r>
      <w:r w:rsidRPr="00AB725B">
        <w:tab/>
        <w:t xml:space="preserve">Contribution to the 2020 elections by the National Assembly (in: </w:t>
      </w:r>
      <w:hyperlink r:id="rId79" w:history="1">
        <w:r w:rsidRPr="00AB725B">
          <w:rPr>
            <w:rStyle w:val="Hyperlink"/>
          </w:rPr>
          <w:t>http://www.bujumbura.be/</w:t>
        </w:r>
      </w:hyperlink>
      <w:r w:rsidRPr="00AB725B">
        <w:t xml:space="preserve">). The sum amounts to 130 million </w:t>
      </w:r>
      <w:r>
        <w:t>Burundian francs</w:t>
      </w:r>
      <w:r w:rsidRPr="00AB725B">
        <w:t xml:space="preserve"> (74</w:t>
      </w:r>
      <w:r>
        <w:t>,</w:t>
      </w:r>
      <w:r w:rsidRPr="00AB725B">
        <w:t>243</w:t>
      </w:r>
      <w:r>
        <w:t xml:space="preserve"> US dollars</w:t>
      </w:r>
      <w:r w:rsidRPr="00AB725B">
        <w:t xml:space="preserve">). </w:t>
      </w:r>
    </w:p>
  </w:footnote>
  <w:footnote w:id="537">
    <w:p w14:paraId="3417576A" w14:textId="004953B2" w:rsidR="00B831ED" w:rsidRPr="00AB725B" w:rsidRDefault="00B831ED" w:rsidP="006B05D6">
      <w:pPr>
        <w:pStyle w:val="FootnoteText"/>
      </w:pPr>
      <w:r w:rsidRPr="00AB725B">
        <w:tab/>
      </w:r>
      <w:r w:rsidRPr="00AB725B">
        <w:rPr>
          <w:rStyle w:val="FootnoteReference"/>
        </w:rPr>
        <w:footnoteRef/>
      </w:r>
      <w:r w:rsidRPr="00AB725B">
        <w:tab/>
        <w:t xml:space="preserve">Burundi’s senate and its </w:t>
      </w:r>
      <w:r w:rsidRPr="00AB725B">
        <w:rPr>
          <w:rStyle w:val="tlid-translation"/>
        </w:rPr>
        <w:t>Ministry of the Environment deposit their contributions to the 2020 election with the</w:t>
      </w:r>
      <w:r w:rsidRPr="00AB725B">
        <w:t xml:space="preserve"> BRB (in: </w:t>
      </w:r>
      <w:hyperlink r:id="rId80" w:history="1">
        <w:r w:rsidRPr="00AB725B">
          <w:rPr>
            <w:rStyle w:val="Hyperlink"/>
          </w:rPr>
          <w:t>http://www.rtnb.bi/fr/art.php?idapi=2/2/151</w:t>
        </w:r>
      </w:hyperlink>
      <w:r w:rsidRPr="00AB725B">
        <w:t xml:space="preserve">). The total amount is of 50 million </w:t>
      </w:r>
      <w:r>
        <w:t>Burundian francs</w:t>
      </w:r>
      <w:r w:rsidRPr="00AB725B">
        <w:t xml:space="preserve"> as far as the Senate is concerned (28</w:t>
      </w:r>
      <w:r>
        <w:t>,</w:t>
      </w:r>
      <w:r w:rsidRPr="00AB725B">
        <w:t>555</w:t>
      </w:r>
      <w:r>
        <w:t xml:space="preserve"> US dollars</w:t>
      </w:r>
      <w:r w:rsidRPr="00AB725B">
        <w:t>).</w:t>
      </w:r>
    </w:p>
  </w:footnote>
  <w:footnote w:id="538">
    <w:p w14:paraId="7E8158FE" w14:textId="1E0730DC" w:rsidR="00B831ED" w:rsidRPr="00AB725B" w:rsidRDefault="00B831ED" w:rsidP="006B05D6">
      <w:pPr>
        <w:pStyle w:val="FootnoteText"/>
        <w:ind w:right="567"/>
      </w:pPr>
      <w:r w:rsidRPr="00AB725B">
        <w:rPr>
          <w:vertAlign w:val="superscript"/>
        </w:rPr>
        <w:tab/>
      </w:r>
      <w:r w:rsidRPr="00AB725B">
        <w:rPr>
          <w:rStyle w:val="FootnoteReference"/>
        </w:rPr>
        <w:footnoteRef/>
      </w:r>
      <w:r w:rsidRPr="00AB725B">
        <w:rPr>
          <w:vertAlign w:val="superscript"/>
        </w:rPr>
        <w:tab/>
      </w:r>
      <w:r w:rsidRPr="00AB725B">
        <w:t>Staff at the offices of both vice presidents of Burundi’s republic deposit with the BRB the sum of 22</w:t>
      </w:r>
      <w:r>
        <w:t>,</w:t>
      </w:r>
      <w:r w:rsidRPr="00AB725B">
        <w:t>280</w:t>
      </w:r>
      <w:r>
        <w:t>,</w:t>
      </w:r>
      <w:r w:rsidRPr="00AB725B">
        <w:t xml:space="preserve">000 </w:t>
      </w:r>
      <w:r>
        <w:t>Burundian francs</w:t>
      </w:r>
      <w:r w:rsidRPr="00AB725B">
        <w:t xml:space="preserve"> </w:t>
      </w:r>
      <w:r>
        <w:t>(</w:t>
      </w:r>
      <w:r w:rsidRPr="00AB725B">
        <w:t>12</w:t>
      </w:r>
      <w:r>
        <w:t>,</w:t>
      </w:r>
      <w:r w:rsidRPr="00AB725B">
        <w:t>591</w:t>
      </w:r>
      <w:r>
        <w:t xml:space="preserve"> US dollars)</w:t>
      </w:r>
      <w:r w:rsidRPr="00AB725B">
        <w:t xml:space="preserve">. (In: </w:t>
      </w:r>
      <w:hyperlink r:id="rId81" w:history="1">
        <w:r w:rsidRPr="00AB725B">
          <w:rPr>
            <w:rStyle w:val="Hyperlink"/>
          </w:rPr>
          <w:t>http://www.rtnb.bi/fr/art.php?idapi=2/5/110</w:t>
        </w:r>
      </w:hyperlink>
      <w:r w:rsidRPr="00AB725B">
        <w:t>).</w:t>
      </w:r>
    </w:p>
  </w:footnote>
  <w:footnote w:id="539">
    <w:p w14:paraId="43400029" w14:textId="45115191" w:rsidR="00B831ED" w:rsidRPr="00AB725B" w:rsidRDefault="00B831ED" w:rsidP="006B05D6">
      <w:pPr>
        <w:pStyle w:val="FootnoteText"/>
        <w:ind w:right="567"/>
      </w:pPr>
      <w:r w:rsidRPr="00AB725B">
        <w:tab/>
      </w:r>
      <w:r w:rsidRPr="00AB725B">
        <w:rPr>
          <w:rStyle w:val="FootnoteReference"/>
        </w:rPr>
        <w:footnoteRef/>
      </w:r>
      <w:r w:rsidRPr="00AB725B">
        <w:tab/>
      </w:r>
      <w:r w:rsidRPr="00AB725B">
        <w:rPr>
          <w:rStyle w:val="tlid-translation"/>
        </w:rPr>
        <w:t>Ntare Rugamba University contributes up to</w:t>
      </w:r>
      <w:r w:rsidRPr="00AB725B">
        <w:t xml:space="preserve"> 4 million </w:t>
      </w:r>
      <w:r>
        <w:t>Burundian francs (</w:t>
      </w:r>
      <w:r w:rsidRPr="00AB725B">
        <w:t>2</w:t>
      </w:r>
      <w:r>
        <w:t>,</w:t>
      </w:r>
      <w:r w:rsidRPr="00AB725B">
        <w:t>284</w:t>
      </w:r>
      <w:r>
        <w:t xml:space="preserve"> US dollars</w:t>
      </w:r>
      <w:r w:rsidRPr="00AB725B">
        <w:t xml:space="preserve">) towards </w:t>
      </w:r>
      <w:r w:rsidRPr="00AB725B">
        <w:rPr>
          <w:rStyle w:val="tlid-translation"/>
        </w:rPr>
        <w:t>the 2020 elections</w:t>
      </w:r>
      <w:r w:rsidRPr="00AB725B">
        <w:t xml:space="preserve"> (in: </w:t>
      </w:r>
      <w:hyperlink r:id="rId82" w:history="1">
        <w:r w:rsidRPr="00AB725B">
          <w:rPr>
            <w:rStyle w:val="Hyperlink"/>
          </w:rPr>
          <w:t>http://www.rtnb.bi/fr/art.php?idapi=2/3/150</w:t>
        </w:r>
      </w:hyperlink>
      <w:r w:rsidRPr="00AB725B">
        <w:t>).</w:t>
      </w:r>
    </w:p>
  </w:footnote>
  <w:footnote w:id="540">
    <w:p w14:paraId="0952F05A" w14:textId="1970D177" w:rsidR="00B831ED" w:rsidRPr="00AB725B" w:rsidRDefault="00B831ED" w:rsidP="006B05D6">
      <w:pPr>
        <w:pStyle w:val="FootnoteText"/>
        <w:ind w:right="567"/>
      </w:pPr>
      <w:r w:rsidRPr="00AB725B">
        <w:tab/>
      </w:r>
      <w:r w:rsidRPr="00AB725B">
        <w:rPr>
          <w:rStyle w:val="FootnoteReference"/>
        </w:rPr>
        <w:footnoteRef/>
      </w:r>
      <w:r w:rsidRPr="00AB725B">
        <w:tab/>
      </w:r>
      <w:r w:rsidRPr="00AB725B">
        <w:rPr>
          <w:rStyle w:val="tlid-translation"/>
        </w:rPr>
        <w:t>Self-financing of the 2020 elections in Burundi: his excellence Pierre Nkurunziza deposits his contribution</w:t>
      </w:r>
      <w:r w:rsidRPr="00AB725B">
        <w:t xml:space="preserve"> (</w:t>
      </w:r>
      <w:r>
        <w:t xml:space="preserve">in </w:t>
      </w:r>
      <w:hyperlink r:id="rId83" w:history="1">
        <w:r w:rsidRPr="00D91307">
          <w:rPr>
            <w:rStyle w:val="Hyperlink"/>
          </w:rPr>
          <w:t>https://presidence.gov.bi/2017/08/08/autofinancement-des-elections-de-2020-au-burundi-son-excellence-pierre-nkurunziza-depose-sa-contribution/</w:t>
        </w:r>
      </w:hyperlink>
      <w:r>
        <w:t>)</w:t>
      </w:r>
      <w:r w:rsidRPr="00AB725B">
        <w:t xml:space="preserve">; The President of the Republic gives his contribution to the 2020 elections for the second time (in: </w:t>
      </w:r>
      <w:hyperlink r:id="rId84" w:history="1">
        <w:r w:rsidRPr="00AB725B">
          <w:rPr>
            <w:rStyle w:val="Hyperlink"/>
            <w:szCs w:val="18"/>
          </w:rPr>
          <w:t>http://www.rtnb.bi/fr/art.php?idapi=2/2/225</w:t>
        </w:r>
      </w:hyperlink>
      <w:r w:rsidRPr="00AB725B">
        <w:t>).</w:t>
      </w:r>
    </w:p>
  </w:footnote>
  <w:footnote w:id="541">
    <w:p w14:paraId="4DDB5CCC"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The family of the 2</w:t>
      </w:r>
      <w:r w:rsidRPr="00AB725B">
        <w:rPr>
          <w:szCs w:val="18"/>
          <w:vertAlign w:val="superscript"/>
        </w:rPr>
        <w:t>nd</w:t>
      </w:r>
      <w:r w:rsidRPr="00AB725B">
        <w:rPr>
          <w:szCs w:val="18"/>
        </w:rPr>
        <w:t xml:space="preserve"> Vice-President of the National Assembly contributes towards the 2020 elections (in: </w:t>
      </w:r>
      <w:hyperlink r:id="rId85" w:history="1">
        <w:r w:rsidRPr="00AB725B">
          <w:rPr>
            <w:rStyle w:val="Hyperlink"/>
            <w:szCs w:val="18"/>
          </w:rPr>
          <w:t>http://www.rtnb.bi/fr/art.php?idapi=2/2/213</w:t>
        </w:r>
      </w:hyperlink>
      <w:r w:rsidRPr="00AB725B">
        <w:rPr>
          <w:szCs w:val="18"/>
        </w:rPr>
        <w:t>).</w:t>
      </w:r>
    </w:p>
  </w:footnote>
  <w:footnote w:id="542">
    <w:p w14:paraId="7383EF79"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2020 Elections: The President at the National Assembly makes deposits of his contribution with the BRB (in: </w:t>
      </w:r>
      <w:hyperlink r:id="rId86" w:history="1">
        <w:r w:rsidRPr="00AB725B">
          <w:rPr>
            <w:rStyle w:val="Hyperlink"/>
            <w:szCs w:val="18"/>
          </w:rPr>
          <w:t>http://www.rtnb.bi/fr/art.php?idapi=2/1/151</w:t>
        </w:r>
      </w:hyperlink>
      <w:r w:rsidRPr="00AB725B">
        <w:rPr>
          <w:szCs w:val="18"/>
        </w:rPr>
        <w:t>).</w:t>
      </w:r>
    </w:p>
  </w:footnote>
  <w:footnote w:id="543">
    <w:p w14:paraId="2786EE58"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RV-05.</w:t>
      </w:r>
    </w:p>
  </w:footnote>
  <w:footnote w:id="544">
    <w:p w14:paraId="7E726355"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JI-003.</w:t>
      </w:r>
    </w:p>
  </w:footnote>
  <w:footnote w:id="545">
    <w:p w14:paraId="0559AB05"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JI-009.</w:t>
      </w:r>
    </w:p>
  </w:footnote>
  <w:footnote w:id="546">
    <w:p w14:paraId="5C028B19"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JI-010, JI-015, XI-066, YI-009.</w:t>
      </w:r>
    </w:p>
  </w:footnote>
  <w:footnote w:id="547">
    <w:p w14:paraId="689F2555"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JI-021, QI-088, YI-013, YI-042.</w:t>
      </w:r>
    </w:p>
  </w:footnote>
  <w:footnote w:id="548">
    <w:p w14:paraId="3C681342"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JI-010, JI-021, QI-050, YI-010, YI-012.</w:t>
      </w:r>
    </w:p>
  </w:footnote>
  <w:footnote w:id="549">
    <w:p w14:paraId="7FB79B99"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TI-120, QI-129, XI-055, YI-007.</w:t>
      </w:r>
    </w:p>
  </w:footnote>
  <w:footnote w:id="550">
    <w:p w14:paraId="41D92781"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r>
      <w:r>
        <w:rPr>
          <w:szCs w:val="18"/>
        </w:rPr>
        <w:t>See below</w:t>
      </w:r>
      <w:r w:rsidRPr="00AB725B">
        <w:rPr>
          <w:szCs w:val="18"/>
        </w:rPr>
        <w:t>, section 5 of this chapter.</w:t>
      </w:r>
    </w:p>
  </w:footnote>
  <w:footnote w:id="551">
    <w:p w14:paraId="42CD617F" w14:textId="77777777" w:rsidR="00B831ED" w:rsidRPr="00916384" w:rsidRDefault="00B831ED" w:rsidP="006B05D6">
      <w:pPr>
        <w:pStyle w:val="FootnoteText"/>
        <w:spacing w:line="240" w:lineRule="auto"/>
        <w:ind w:left="1138" w:right="562" w:hanging="1138"/>
        <w:rPr>
          <w:szCs w:val="18"/>
          <w:lang w:val="fr-FR"/>
        </w:rPr>
      </w:pPr>
      <w:r w:rsidRPr="00AB725B">
        <w:rPr>
          <w:szCs w:val="18"/>
        </w:rPr>
        <w:tab/>
      </w:r>
      <w:r w:rsidRPr="00AB725B">
        <w:rPr>
          <w:rStyle w:val="FootnoteReference"/>
          <w:szCs w:val="18"/>
        </w:rPr>
        <w:footnoteRef/>
      </w:r>
      <w:r w:rsidRPr="00916384">
        <w:rPr>
          <w:szCs w:val="18"/>
          <w:lang w:val="fr-FR"/>
        </w:rPr>
        <w:tab/>
        <w:t>QI-088, QI-106, QI-225, TI-120, XI-073, YI-007.</w:t>
      </w:r>
    </w:p>
  </w:footnote>
  <w:footnote w:id="552">
    <w:p w14:paraId="5C22129C" w14:textId="77777777" w:rsidR="00B831ED" w:rsidRPr="00AB725B" w:rsidRDefault="00B831ED" w:rsidP="006B05D6">
      <w:pPr>
        <w:pStyle w:val="FootnoteText"/>
        <w:spacing w:line="240" w:lineRule="auto"/>
        <w:ind w:left="1138" w:right="562" w:hanging="1138"/>
        <w:rPr>
          <w:szCs w:val="18"/>
        </w:rPr>
      </w:pPr>
      <w:r w:rsidRPr="00916384">
        <w:rPr>
          <w:szCs w:val="18"/>
          <w:lang w:val="fr-FR"/>
        </w:rPr>
        <w:tab/>
      </w:r>
      <w:r w:rsidRPr="00AB725B">
        <w:rPr>
          <w:rStyle w:val="FootnoteReference"/>
          <w:szCs w:val="18"/>
        </w:rPr>
        <w:footnoteRef/>
      </w:r>
      <w:r w:rsidRPr="00AB725B">
        <w:rPr>
          <w:szCs w:val="18"/>
        </w:rPr>
        <w:tab/>
        <w:t xml:space="preserve">See: </w:t>
      </w:r>
      <w:hyperlink r:id="rId87" w:history="1">
        <w:r w:rsidRPr="00AB725B">
          <w:rPr>
            <w:rStyle w:val="Hyperlink"/>
            <w:szCs w:val="18"/>
          </w:rPr>
          <w:t>http://www.rtnb.bi/fr/art.php?idapi=2/4/99</w:t>
        </w:r>
      </w:hyperlink>
      <w:r w:rsidRPr="00AB725B">
        <w:rPr>
          <w:szCs w:val="18"/>
        </w:rPr>
        <w:t>.</w:t>
      </w:r>
    </w:p>
  </w:footnote>
  <w:footnote w:id="553">
    <w:p w14:paraId="2230E3D5"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See part II.B.3 (a) (ii) of this report.</w:t>
      </w:r>
    </w:p>
  </w:footnote>
  <w:footnote w:id="554">
    <w:p w14:paraId="48A13134"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JI-001, JI-014, JI-024, JI-031, JI-034, TI-071, XI-070, XI-089, XI-094, YI-004, YI-025, YI-028, </w:t>
      </w:r>
    </w:p>
    <w:p w14:paraId="6AE97506"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szCs w:val="18"/>
        </w:rPr>
        <w:tab/>
        <w:t>YI-029, YI-033, YI-034, YI-035, YI-041, YI-052.</w:t>
      </w:r>
    </w:p>
  </w:footnote>
  <w:footnote w:id="555">
    <w:p w14:paraId="193B5EEB"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YI-052.</w:t>
      </w:r>
    </w:p>
  </w:footnote>
  <w:footnote w:id="556">
    <w:p w14:paraId="15B51B0A"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JI-034, TI-095, TI-113, XI-070, XI-089, YI-008, YI-025, YI-028, YI-034.</w:t>
      </w:r>
    </w:p>
  </w:footnote>
  <w:footnote w:id="557">
    <w:p w14:paraId="5FDB14EA"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XI-094, YI-029, YI-033, YI-035, YI-041.</w:t>
      </w:r>
    </w:p>
  </w:footnote>
  <w:footnote w:id="558">
    <w:p w14:paraId="72BE3D61"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TI-095, YI-028.</w:t>
      </w:r>
    </w:p>
  </w:footnote>
  <w:footnote w:id="559">
    <w:p w14:paraId="0745B36B"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YI-028.</w:t>
      </w:r>
    </w:p>
  </w:footnote>
  <w:footnote w:id="560">
    <w:p w14:paraId="1800C90B"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YI-035.</w:t>
      </w:r>
    </w:p>
  </w:footnote>
  <w:footnote w:id="561">
    <w:p w14:paraId="712D752C"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JI-014, JI-024, JI-031, YI-004, YI-052.</w:t>
      </w:r>
    </w:p>
  </w:footnote>
  <w:footnote w:id="562">
    <w:p w14:paraId="77F51271"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XI-070, JI-014, YI-035.</w:t>
      </w:r>
    </w:p>
  </w:footnote>
  <w:footnote w:id="563">
    <w:p w14:paraId="0FD163D4"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TI-071, XI-094, YI-033.</w:t>
      </w:r>
    </w:p>
  </w:footnote>
  <w:footnote w:id="564">
    <w:p w14:paraId="6EEF6958"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TI-071, YI-034.</w:t>
      </w:r>
    </w:p>
  </w:footnote>
  <w:footnote w:id="565">
    <w:p w14:paraId="71A9510C"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YI-052.</w:t>
      </w:r>
    </w:p>
  </w:footnote>
  <w:footnote w:id="566">
    <w:p w14:paraId="079731C6" w14:textId="15D3FCCF"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JI-001, XI-094, YI-052. Another woman explained that she could no longer afford fruits or milk and could buy </w:t>
      </w:r>
      <w:r>
        <w:rPr>
          <w:szCs w:val="18"/>
        </w:rPr>
        <w:t xml:space="preserve">only </w:t>
      </w:r>
      <w:r w:rsidRPr="00AB725B">
        <w:rPr>
          <w:szCs w:val="18"/>
        </w:rPr>
        <w:t>rice and beans (JI-031).</w:t>
      </w:r>
    </w:p>
  </w:footnote>
  <w:footnote w:id="567">
    <w:p w14:paraId="4E5D2882"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JI-014, JI-034, JI-042, YI-035.</w:t>
      </w:r>
    </w:p>
  </w:footnote>
  <w:footnote w:id="568">
    <w:p w14:paraId="66E7EA2D"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JI-034.</w:t>
      </w:r>
    </w:p>
  </w:footnote>
  <w:footnote w:id="569">
    <w:p w14:paraId="6A0FB037" w14:textId="77777777" w:rsidR="00B831ED" w:rsidRPr="00AB725B" w:rsidRDefault="00B831ED"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r>
      <w:r>
        <w:rPr>
          <w:szCs w:val="18"/>
        </w:rPr>
        <w:t>See below</w:t>
      </w:r>
      <w:r w:rsidRPr="00AB725B">
        <w:rPr>
          <w:szCs w:val="18"/>
        </w:rPr>
        <w:t>, section 4 in this chapter.</w:t>
      </w:r>
    </w:p>
  </w:footnote>
  <w:footnote w:id="570">
    <w:p w14:paraId="76E80F16" w14:textId="77777777" w:rsidR="00B831ED" w:rsidRPr="00AB725B" w:rsidRDefault="00B831ED" w:rsidP="006B05D6">
      <w:pPr>
        <w:pStyle w:val="FootnoteText"/>
        <w:ind w:left="1138" w:right="562" w:hanging="1138"/>
        <w:jc w:val="both"/>
      </w:pPr>
      <w:r w:rsidRPr="00AB725B">
        <w:tab/>
      </w:r>
      <w:r w:rsidRPr="00AB725B">
        <w:rPr>
          <w:rStyle w:val="FootnoteReference"/>
          <w:szCs w:val="18"/>
        </w:rPr>
        <w:footnoteRef/>
      </w:r>
      <w:r w:rsidRPr="00AB725B">
        <w:tab/>
        <w:t>YI-004, JI-014.</w:t>
      </w:r>
    </w:p>
  </w:footnote>
  <w:footnote w:id="571">
    <w:p w14:paraId="3F97A86B" w14:textId="77777777" w:rsidR="00B831ED" w:rsidRPr="00AB725B" w:rsidRDefault="00B831ED" w:rsidP="006B05D6">
      <w:pPr>
        <w:pStyle w:val="FootnoteText"/>
        <w:ind w:left="1138" w:right="562" w:hanging="1138"/>
      </w:pPr>
      <w:r w:rsidRPr="00AB725B">
        <w:tab/>
      </w:r>
      <w:r w:rsidRPr="00AB725B">
        <w:rPr>
          <w:rStyle w:val="FootnoteReference"/>
          <w:szCs w:val="18"/>
        </w:rPr>
        <w:footnoteRef/>
      </w:r>
      <w:r w:rsidRPr="00AB725B">
        <w:tab/>
        <w:t>JI-024, JI-042.</w:t>
      </w:r>
    </w:p>
  </w:footnote>
  <w:footnote w:id="572">
    <w:p w14:paraId="3824DA3A" w14:textId="77777777" w:rsidR="00B831ED" w:rsidRPr="00AB725B" w:rsidRDefault="00B831ED" w:rsidP="006B05D6">
      <w:pPr>
        <w:pStyle w:val="FootnoteText"/>
        <w:ind w:left="1138" w:right="562" w:hanging="1138"/>
        <w:jc w:val="both"/>
      </w:pPr>
      <w:r w:rsidRPr="00AB725B">
        <w:tab/>
      </w:r>
      <w:r w:rsidRPr="00AB725B">
        <w:rPr>
          <w:rStyle w:val="FootnoteReference"/>
          <w:szCs w:val="18"/>
        </w:rPr>
        <w:footnoteRef/>
      </w:r>
      <w:r w:rsidRPr="00AB725B">
        <w:tab/>
        <w:t>YI-034.</w:t>
      </w:r>
    </w:p>
  </w:footnote>
  <w:footnote w:id="573">
    <w:p w14:paraId="78D4B63D" w14:textId="77777777" w:rsidR="00B831ED" w:rsidRPr="00AB725B" w:rsidRDefault="00B831ED" w:rsidP="006B05D6">
      <w:pPr>
        <w:pStyle w:val="FootnoteText"/>
        <w:ind w:left="1138" w:right="562" w:hanging="1138"/>
        <w:jc w:val="both"/>
      </w:pPr>
      <w:r w:rsidRPr="00AB725B">
        <w:tab/>
      </w:r>
      <w:r w:rsidRPr="00AB725B">
        <w:rPr>
          <w:rStyle w:val="FootnoteReference"/>
          <w:szCs w:val="18"/>
        </w:rPr>
        <w:footnoteRef/>
      </w:r>
      <w:r w:rsidRPr="00AB725B">
        <w:tab/>
        <w:t>YI-035.</w:t>
      </w:r>
    </w:p>
  </w:footnote>
  <w:footnote w:id="574">
    <w:p w14:paraId="136033D4" w14:textId="77777777" w:rsidR="00B831ED" w:rsidRPr="00AB725B" w:rsidRDefault="00B831ED"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YI-004, YI-021, XI-094.</w:t>
      </w:r>
    </w:p>
  </w:footnote>
  <w:footnote w:id="575">
    <w:p w14:paraId="6CB1149E" w14:textId="77777777" w:rsidR="00B831ED" w:rsidRPr="00AB725B" w:rsidRDefault="00B831ED" w:rsidP="006B05D6">
      <w:pPr>
        <w:pStyle w:val="FootnoteText"/>
      </w:pPr>
      <w:r w:rsidRPr="00AB725B">
        <w:tab/>
      </w:r>
      <w:r w:rsidRPr="00AB725B">
        <w:rPr>
          <w:rStyle w:val="FootnoteReference"/>
          <w:szCs w:val="18"/>
        </w:rPr>
        <w:footnoteRef/>
      </w:r>
      <w:r w:rsidRPr="00AB725B">
        <w:tab/>
        <w:t>YI-004, YI-010.</w:t>
      </w:r>
    </w:p>
  </w:footnote>
  <w:footnote w:id="576">
    <w:p w14:paraId="6070F1F9" w14:textId="77777777" w:rsidR="00B831ED" w:rsidRPr="00AB725B" w:rsidRDefault="00B831ED" w:rsidP="006B05D6">
      <w:pPr>
        <w:pStyle w:val="FootnoteText"/>
      </w:pPr>
      <w:r w:rsidRPr="00AB725B">
        <w:tab/>
      </w:r>
      <w:r w:rsidRPr="00AB725B">
        <w:rPr>
          <w:rStyle w:val="FootnoteReference"/>
          <w:szCs w:val="18"/>
        </w:rPr>
        <w:footnoteRef/>
      </w:r>
      <w:r w:rsidRPr="00AB725B">
        <w:tab/>
        <w:t>JI-034, YI-047.</w:t>
      </w:r>
    </w:p>
  </w:footnote>
  <w:footnote w:id="577">
    <w:p w14:paraId="67FFD1F8" w14:textId="77777777" w:rsidR="00B831ED" w:rsidRPr="00AB725B" w:rsidRDefault="00B831ED" w:rsidP="006B05D6">
      <w:pPr>
        <w:pStyle w:val="FootnoteText"/>
      </w:pPr>
      <w:r w:rsidRPr="00AB725B">
        <w:tab/>
      </w:r>
      <w:r w:rsidRPr="00AB725B">
        <w:rPr>
          <w:rStyle w:val="FootnoteReference"/>
          <w:szCs w:val="18"/>
        </w:rPr>
        <w:footnoteRef/>
      </w:r>
      <w:r w:rsidRPr="00AB725B">
        <w:tab/>
        <w:t>JI-031, YI-008, YI-036.</w:t>
      </w:r>
    </w:p>
  </w:footnote>
  <w:footnote w:id="578">
    <w:p w14:paraId="5C27023D" w14:textId="77777777" w:rsidR="00B831ED" w:rsidRPr="00AB725B" w:rsidRDefault="00B831ED" w:rsidP="006B05D6">
      <w:pPr>
        <w:pStyle w:val="FootnoteText"/>
      </w:pPr>
      <w:r w:rsidRPr="00AB725B">
        <w:tab/>
      </w:r>
      <w:r w:rsidRPr="00AB725B">
        <w:rPr>
          <w:rStyle w:val="FootnoteReference"/>
          <w:szCs w:val="18"/>
        </w:rPr>
        <w:footnoteRef/>
      </w:r>
      <w:r w:rsidRPr="00AB725B">
        <w:tab/>
        <w:t>YI-033, YI-052.</w:t>
      </w:r>
    </w:p>
  </w:footnote>
  <w:footnote w:id="579">
    <w:p w14:paraId="5F8DD49F" w14:textId="77777777" w:rsidR="00B831ED" w:rsidRPr="00AB725B" w:rsidRDefault="00B831ED" w:rsidP="006B05D6">
      <w:pPr>
        <w:pStyle w:val="FootnoteText"/>
      </w:pPr>
      <w:r w:rsidRPr="00AB725B">
        <w:tab/>
      </w:r>
      <w:r w:rsidRPr="00AB725B">
        <w:rPr>
          <w:rStyle w:val="FootnoteReference"/>
          <w:szCs w:val="18"/>
        </w:rPr>
        <w:footnoteRef/>
      </w:r>
      <w:r w:rsidRPr="00AB725B">
        <w:tab/>
        <w:t>JI-034.</w:t>
      </w:r>
    </w:p>
  </w:footnote>
  <w:footnote w:id="580">
    <w:p w14:paraId="5F22B845" w14:textId="77777777" w:rsidR="00B831ED" w:rsidRPr="00AB725B" w:rsidRDefault="00B831ED" w:rsidP="006B05D6">
      <w:pPr>
        <w:pStyle w:val="FootnoteText"/>
      </w:pPr>
      <w:r w:rsidRPr="00AB725B">
        <w:tab/>
      </w:r>
      <w:r w:rsidRPr="00AB725B">
        <w:rPr>
          <w:rStyle w:val="FootnoteReference"/>
          <w:szCs w:val="18"/>
        </w:rPr>
        <w:footnoteRef/>
      </w:r>
      <w:r w:rsidRPr="00AB725B">
        <w:tab/>
        <w:t>YI-036.</w:t>
      </w:r>
    </w:p>
  </w:footnote>
  <w:footnote w:id="581">
    <w:p w14:paraId="5204071B" w14:textId="77777777" w:rsidR="00B831ED" w:rsidRPr="00AB725B" w:rsidRDefault="00B831ED" w:rsidP="006B05D6">
      <w:pPr>
        <w:pStyle w:val="FootnoteText"/>
      </w:pPr>
      <w:r w:rsidRPr="00AB725B">
        <w:tab/>
      </w:r>
      <w:r w:rsidRPr="00AB725B">
        <w:rPr>
          <w:rStyle w:val="FootnoteReference"/>
          <w:szCs w:val="18"/>
        </w:rPr>
        <w:footnoteRef/>
      </w:r>
      <w:r w:rsidRPr="00AB725B">
        <w:tab/>
        <w:t>YI-033.</w:t>
      </w:r>
    </w:p>
  </w:footnote>
  <w:footnote w:id="582">
    <w:p w14:paraId="7F91810E"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r>
      <w:r w:rsidRPr="00AB725B">
        <w:rPr>
          <w:szCs w:val="18"/>
        </w:rPr>
        <w:t>See parts III.C.5 and III.D of this report.</w:t>
      </w:r>
    </w:p>
  </w:footnote>
  <w:footnote w:id="583">
    <w:p w14:paraId="0C10E5A8"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t xml:space="preserve">For cases of corruption prior to 2015, </w:t>
      </w:r>
      <w:r w:rsidRPr="00AB725B">
        <w:rPr>
          <w:szCs w:val="18"/>
        </w:rPr>
        <w:t xml:space="preserve">see part II.B.3 (Vs) (ii) of this report. </w:t>
      </w:r>
    </w:p>
  </w:footnote>
  <w:footnote w:id="584">
    <w:p w14:paraId="7F472356"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r>
      <w:r w:rsidRPr="00AB725B">
        <w:rPr>
          <w:szCs w:val="18"/>
        </w:rPr>
        <w:t>See supra, section 1 (b) in this chapter.</w:t>
      </w:r>
    </w:p>
  </w:footnote>
  <w:footnote w:id="585">
    <w:p w14:paraId="67239B1E"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r>
      <w:r w:rsidRPr="00AB725B">
        <w:rPr>
          <w:szCs w:val="18"/>
        </w:rPr>
        <w:t xml:space="preserve">See supra, in subsection (a). </w:t>
      </w:r>
    </w:p>
  </w:footnote>
  <w:footnote w:id="586">
    <w:p w14:paraId="5C02B7EC" w14:textId="77777777" w:rsidR="00B831ED" w:rsidRPr="00AB725B" w:rsidRDefault="00B831ED" w:rsidP="006B05D6">
      <w:pPr>
        <w:pStyle w:val="FootnoteText"/>
        <w:ind w:left="1138" w:right="562" w:hanging="1138"/>
        <w:jc w:val="both"/>
      </w:pPr>
      <w:r w:rsidRPr="00AB725B">
        <w:tab/>
      </w:r>
      <w:r w:rsidRPr="00AB725B">
        <w:rPr>
          <w:rStyle w:val="FootnoteReference"/>
          <w:szCs w:val="18"/>
        </w:rPr>
        <w:footnoteRef/>
      </w:r>
      <w:r w:rsidRPr="00AB725B">
        <w:tab/>
        <w:t xml:space="preserve">Iwacu, </w:t>
      </w:r>
      <w:r w:rsidRPr="00AB725B">
        <w:rPr>
          <w:i/>
        </w:rPr>
        <w:t>Secteur minier: un bilan contesté</w:t>
      </w:r>
      <w:r w:rsidRPr="00AB725B">
        <w:t xml:space="preserve"> (In English: The mining sector: contested results), 2 February 2018 (in: </w:t>
      </w:r>
      <w:hyperlink r:id="rId88" w:history="1">
        <w:r w:rsidRPr="00AB725B">
          <w:rPr>
            <w:rStyle w:val="Hyperlink"/>
            <w:szCs w:val="18"/>
          </w:rPr>
          <w:t>http://www.iwacu-burundi.org/secteur-minier-un-bilan-conteste/</w:t>
        </w:r>
      </w:hyperlink>
      <w:r w:rsidRPr="00AB725B">
        <w:t>).</w:t>
      </w:r>
    </w:p>
  </w:footnote>
  <w:footnote w:id="587">
    <w:p w14:paraId="6F56B365" w14:textId="77777777" w:rsidR="00B831ED" w:rsidRPr="00AB725B" w:rsidRDefault="00B831ED"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 xml:space="preserve">Iwacu, </w:t>
      </w:r>
      <w:r w:rsidRPr="00AB725B">
        <w:rPr>
          <w:i/>
          <w:szCs w:val="18"/>
        </w:rPr>
        <w:t>Plus de 6 milliards de francs burundais de recettes minières</w:t>
      </w:r>
      <w:r w:rsidRPr="00AB725B">
        <w:rPr>
          <w:szCs w:val="18"/>
        </w:rPr>
        <w:t xml:space="preserve"> (In English: Over six billiards </w:t>
      </w:r>
      <w:r>
        <w:rPr>
          <w:szCs w:val="18"/>
        </w:rPr>
        <w:t>Burundian francs</w:t>
      </w:r>
      <w:r w:rsidRPr="00AB725B">
        <w:rPr>
          <w:szCs w:val="18"/>
        </w:rPr>
        <w:t xml:space="preserve"> of revenues from the mining sector), 14 March 2018 </w:t>
      </w:r>
      <w:r w:rsidRPr="00AB725B">
        <w:t xml:space="preserve"> </w:t>
      </w:r>
      <w:r w:rsidRPr="00AB725B">
        <w:rPr>
          <w:szCs w:val="18"/>
        </w:rPr>
        <w:t xml:space="preserve">(in: </w:t>
      </w:r>
      <w:hyperlink r:id="rId89" w:history="1">
        <w:r w:rsidRPr="00AB725B">
          <w:rPr>
            <w:rStyle w:val="Hyperlink"/>
            <w:szCs w:val="18"/>
          </w:rPr>
          <w:t>http://www.iwacu-burundi.org/plus-de-6-milliards-de-fbu-de-recettes-minieres/</w:t>
        </w:r>
      </w:hyperlink>
      <w:r w:rsidRPr="00AB725B">
        <w:rPr>
          <w:szCs w:val="18"/>
        </w:rPr>
        <w:t>).</w:t>
      </w:r>
    </w:p>
  </w:footnote>
  <w:footnote w:id="588">
    <w:p w14:paraId="6C2D21A6" w14:textId="079D1DA0" w:rsidR="00B831ED" w:rsidRPr="00AB725B" w:rsidRDefault="00B831ED" w:rsidP="002D44B9">
      <w:pPr>
        <w:pStyle w:val="FootnoteText"/>
        <w:ind w:left="1138" w:right="562" w:hanging="1138"/>
        <w:jc w:val="both"/>
      </w:pPr>
      <w:r w:rsidRPr="00AB725B">
        <w:tab/>
      </w:r>
      <w:r w:rsidRPr="00AB725B">
        <w:rPr>
          <w:rStyle w:val="FootnoteReference"/>
          <w:szCs w:val="18"/>
        </w:rPr>
        <w:footnoteRef/>
      </w:r>
      <w:r w:rsidRPr="00916384">
        <w:rPr>
          <w:lang w:val="fr-FR"/>
        </w:rPr>
        <w:tab/>
        <w:t xml:space="preserve">Table 7 titled : « </w:t>
      </w:r>
      <w:r w:rsidRPr="00916384">
        <w:rPr>
          <w:i/>
          <w:lang w:val="fr-FR"/>
        </w:rPr>
        <w:t>Évolution des réalisations des produits exceptionnels de 2013 au 30 septembre 2017 et les prévisions de 2018</w:t>
      </w:r>
      <w:r w:rsidRPr="00916384">
        <w:rPr>
          <w:lang w:val="fr-FR"/>
        </w:rPr>
        <w:t xml:space="preserve"> ». </w:t>
      </w:r>
      <w:r w:rsidRPr="00AB725B">
        <w:rPr>
          <w:szCs w:val="18"/>
        </w:rPr>
        <w:t xml:space="preserve">(In English: </w:t>
      </w:r>
      <w:r w:rsidRPr="00AB725B">
        <w:t xml:space="preserve">“The evolution of achievements under Exceptional Products from 2013 to 30 September 2017 and provisions for 2018”.) </w:t>
      </w:r>
      <w:r w:rsidRPr="00916384">
        <w:rPr>
          <w:szCs w:val="18"/>
          <w:lang w:val="fr-FR"/>
        </w:rPr>
        <w:t>National Court of Auditors</w:t>
      </w:r>
      <w:r w:rsidRPr="00916384">
        <w:rPr>
          <w:lang w:val="fr-FR"/>
        </w:rPr>
        <w:t xml:space="preserve">, </w:t>
      </w:r>
      <w:r w:rsidRPr="00916384">
        <w:rPr>
          <w:i/>
          <w:lang w:val="fr-FR"/>
        </w:rPr>
        <w:t>Commentaires sur le projet de loi de budget général de l’état, exercice 2018, Rapport approuvé en audience des Chambres Réunies du 28 novembre 2017, p. 19</w:t>
      </w:r>
      <w:r w:rsidRPr="00916384">
        <w:rPr>
          <w:szCs w:val="18"/>
          <w:lang w:val="fr-FR"/>
        </w:rPr>
        <w:t xml:space="preserve">. </w:t>
      </w:r>
      <w:r w:rsidRPr="00AB725B">
        <w:rPr>
          <w:szCs w:val="18"/>
        </w:rPr>
        <w:t>In English: Comments on the State’s general budget for FY 2018, report approved at the Chambers meeting hearing on 28 November 2017, p. 19.</w:t>
      </w:r>
      <w:r w:rsidRPr="00AB725B">
        <w:t xml:space="preserve"> (In: </w:t>
      </w:r>
      <w:hyperlink r:id="rId90" w:history="1">
        <w:r w:rsidRPr="00AB725B">
          <w:rPr>
            <w:rStyle w:val="Hyperlink"/>
            <w:szCs w:val="18"/>
          </w:rPr>
          <w:t>http://www.courdescomptes.bi/assets/images/</w:t>
        </w:r>
        <w:r w:rsidRPr="00AB725B">
          <w:rPr>
            <w:rStyle w:val="Hyperlink"/>
            <w:szCs w:val="18"/>
          </w:rPr>
          <w:br/>
          <w:t>commentairesbudget2018.pdf</w:t>
        </w:r>
      </w:hyperlink>
      <w:r w:rsidRPr="00AB725B">
        <w:t>).</w:t>
      </w:r>
    </w:p>
  </w:footnote>
  <w:footnote w:id="589">
    <w:p w14:paraId="1A70D62B" w14:textId="77777777" w:rsidR="00B831ED" w:rsidRPr="00AB725B" w:rsidRDefault="00B831ED"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 xml:space="preserve">Iwacu, </w:t>
      </w:r>
      <w:r w:rsidRPr="00AB725B">
        <w:rPr>
          <w:i/>
          <w:szCs w:val="18"/>
        </w:rPr>
        <w:t>Secteur minier: un bilan contesté</w:t>
      </w:r>
      <w:r w:rsidRPr="00AB725B">
        <w:rPr>
          <w:szCs w:val="18"/>
        </w:rPr>
        <w:t xml:space="preserve"> (In English: Mining sector: contested results), 20 February 2018 (in: </w:t>
      </w:r>
      <w:hyperlink r:id="rId91" w:history="1">
        <w:r w:rsidRPr="00AB725B">
          <w:rPr>
            <w:rStyle w:val="Hyperlink"/>
            <w:szCs w:val="18"/>
          </w:rPr>
          <w:t>http://www.iwacu-burundi.org/secteur-minier-un-bilan-conteste/</w:t>
        </w:r>
      </w:hyperlink>
      <w:r w:rsidRPr="00AB725B">
        <w:rPr>
          <w:szCs w:val="18"/>
        </w:rPr>
        <w:t>).</w:t>
      </w:r>
    </w:p>
  </w:footnote>
  <w:footnote w:id="590">
    <w:p w14:paraId="75D4E2A5" w14:textId="77777777" w:rsidR="00B831ED" w:rsidRPr="00AB725B" w:rsidRDefault="00B831ED"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 xml:space="preserve">Law n° 1/013 of </w:t>
      </w:r>
      <w:r w:rsidRPr="00AB725B">
        <w:t xml:space="preserve">30 </w:t>
      </w:r>
      <w:r w:rsidRPr="00AB725B">
        <w:rPr>
          <w:szCs w:val="18"/>
        </w:rPr>
        <w:t xml:space="preserve">June 2018 on the adoption of the general budget of the Republic of Burundi for </w:t>
      </w:r>
      <w:r>
        <w:rPr>
          <w:szCs w:val="18"/>
        </w:rPr>
        <w:t>FY</w:t>
      </w:r>
      <w:r w:rsidRPr="00AB725B">
        <w:rPr>
          <w:szCs w:val="18"/>
        </w:rPr>
        <w:t xml:space="preserve"> 2018/2019 provides for a total amount of 44 651 095 000 </w:t>
      </w:r>
      <w:r>
        <w:rPr>
          <w:szCs w:val="18"/>
        </w:rPr>
        <w:t>Burundian francs</w:t>
      </w:r>
      <w:r w:rsidRPr="00AB725B">
        <w:rPr>
          <w:szCs w:val="18"/>
        </w:rPr>
        <w:t xml:space="preserve"> (USD 25 014 619) for “exceptional income products”.</w:t>
      </w:r>
    </w:p>
  </w:footnote>
  <w:footnote w:id="591">
    <w:p w14:paraId="0307C889" w14:textId="77777777" w:rsidR="00B831ED" w:rsidRPr="00AB725B" w:rsidRDefault="00B831ED"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See supra, section 2 (b) in this chapter.</w:t>
      </w:r>
    </w:p>
  </w:footnote>
  <w:footnote w:id="592">
    <w:p w14:paraId="5CA4D528" w14:textId="77777777" w:rsidR="00B831ED" w:rsidRPr="00916384" w:rsidRDefault="00B831ED" w:rsidP="006B05D6">
      <w:pPr>
        <w:pStyle w:val="FootnoteText"/>
        <w:ind w:left="1138" w:right="562" w:hanging="1138"/>
        <w:jc w:val="both"/>
        <w:rPr>
          <w:szCs w:val="18"/>
          <w:lang w:val="fr-FR"/>
        </w:rPr>
      </w:pPr>
      <w:r w:rsidRPr="00AB725B">
        <w:tab/>
      </w:r>
      <w:r w:rsidRPr="00AB725B">
        <w:rPr>
          <w:rStyle w:val="FootnoteReference"/>
          <w:szCs w:val="18"/>
        </w:rPr>
        <w:footnoteRef/>
      </w:r>
      <w:r w:rsidRPr="00916384">
        <w:rPr>
          <w:lang w:val="fr-FR"/>
        </w:rPr>
        <w:tab/>
      </w:r>
      <w:r w:rsidRPr="00916384">
        <w:rPr>
          <w:i/>
          <w:szCs w:val="18"/>
          <w:lang w:val="fr-FR"/>
        </w:rPr>
        <w:t>Cour des comptes de la République du Burundi,</w:t>
      </w:r>
      <w:r w:rsidRPr="00916384">
        <w:rPr>
          <w:szCs w:val="18"/>
          <w:lang w:val="fr-FR"/>
        </w:rPr>
        <w:t xml:space="preserve"> </w:t>
      </w:r>
      <w:r w:rsidRPr="00916384">
        <w:rPr>
          <w:i/>
          <w:szCs w:val="18"/>
          <w:lang w:val="fr-FR"/>
        </w:rPr>
        <w:t xml:space="preserve">Commentaires sur la loi de budget général de l’État, exercice 2018, rapport approuvé en audience des Chambres réunies le 28 novembre 2017 </w:t>
      </w:r>
      <w:r w:rsidRPr="00916384">
        <w:rPr>
          <w:szCs w:val="18"/>
          <w:lang w:val="fr-FR"/>
        </w:rPr>
        <w:t>(In English: Burundi’s National Court of Auditors, Comments on the State’s general budget for FY 2018, report approved at the Chambers meeting hearing on 28 November 2017).</w:t>
      </w:r>
    </w:p>
  </w:footnote>
  <w:footnote w:id="593">
    <w:p w14:paraId="3A9251E0" w14:textId="77777777" w:rsidR="00B831ED" w:rsidRPr="00AB725B" w:rsidRDefault="00B831ED" w:rsidP="006B05D6">
      <w:pPr>
        <w:pStyle w:val="FootnoteText"/>
        <w:ind w:left="1138" w:right="562" w:hanging="1138"/>
        <w:jc w:val="both"/>
        <w:rPr>
          <w:szCs w:val="18"/>
        </w:rPr>
      </w:pPr>
      <w:r w:rsidRPr="00916384">
        <w:rPr>
          <w:lang w:val="fr-FR"/>
        </w:rPr>
        <w:tab/>
      </w:r>
      <w:r w:rsidRPr="00AB725B">
        <w:rPr>
          <w:rStyle w:val="FootnoteReference"/>
          <w:szCs w:val="18"/>
        </w:rPr>
        <w:footnoteRef/>
      </w:r>
      <w:r w:rsidRPr="00AB725B">
        <w:tab/>
      </w:r>
      <w:r w:rsidRPr="00AB725B">
        <w:rPr>
          <w:szCs w:val="18"/>
        </w:rPr>
        <w:t>See part II.B.3 (Vs) (ii) of this report.</w:t>
      </w:r>
    </w:p>
  </w:footnote>
  <w:footnote w:id="594">
    <w:p w14:paraId="1A5BCFE6" w14:textId="77777777" w:rsidR="00B831ED" w:rsidRPr="00AB725B" w:rsidRDefault="00B831ED" w:rsidP="006B05D6">
      <w:pPr>
        <w:pStyle w:val="FootnoteText"/>
        <w:ind w:left="1138" w:right="562" w:hanging="1138"/>
        <w:rPr>
          <w:szCs w:val="18"/>
        </w:rPr>
      </w:pPr>
      <w:r w:rsidRPr="00AB725B">
        <w:tab/>
      </w:r>
      <w:r w:rsidRPr="00AB725B">
        <w:rPr>
          <w:rStyle w:val="FootnoteReference"/>
          <w:szCs w:val="18"/>
        </w:rPr>
        <w:footnoteRef/>
      </w:r>
      <w:r w:rsidRPr="00AB725B">
        <w:tab/>
      </w:r>
      <w:r w:rsidRPr="00AB725B">
        <w:rPr>
          <w:szCs w:val="18"/>
        </w:rPr>
        <w:t xml:space="preserve">See part la section 1 in this chapter. </w:t>
      </w:r>
    </w:p>
  </w:footnote>
  <w:footnote w:id="595">
    <w:p w14:paraId="4F437602" w14:textId="77777777" w:rsidR="00B831ED" w:rsidRPr="00AB725B" w:rsidRDefault="00B831ED" w:rsidP="006B05D6">
      <w:pPr>
        <w:pStyle w:val="FootnoteText"/>
        <w:ind w:left="1138" w:right="562" w:hanging="1138"/>
        <w:rPr>
          <w:szCs w:val="18"/>
        </w:rPr>
      </w:pPr>
      <w:r w:rsidRPr="00AB725B">
        <w:tab/>
      </w:r>
      <w:r w:rsidRPr="00AB725B">
        <w:rPr>
          <w:rStyle w:val="FootnoteReference"/>
          <w:szCs w:val="18"/>
        </w:rPr>
        <w:footnoteRef/>
      </w:r>
      <w:r w:rsidRPr="00AB725B">
        <w:tab/>
      </w:r>
      <w:r w:rsidRPr="00AB725B">
        <w:rPr>
          <w:szCs w:val="18"/>
        </w:rPr>
        <w:t xml:space="preserve">Press Release n° 029/OLUCOME/11/2017 on uncontrolled licence grants for the exploration and exploitation of mining resources in Burundi to foreign companies with no subsequent increase in revenues from the sector in the State’s general budget; 15 November 2017 (in: </w:t>
      </w:r>
      <w:hyperlink r:id="rId92" w:history="1">
        <w:r w:rsidRPr="00AB725B">
          <w:rPr>
            <w:rStyle w:val="Hyperlink"/>
            <w:szCs w:val="18"/>
          </w:rPr>
          <w:t>http://olucome.bi/IMG/pdf/-102.pd</w:t>
        </w:r>
      </w:hyperlink>
      <w:r w:rsidRPr="00AB725B">
        <w:rPr>
          <w:rStyle w:val="Hyperlink"/>
          <w:szCs w:val="18"/>
        </w:rPr>
        <w:t>f</w:t>
      </w:r>
      <w:r w:rsidRPr="00AB725B">
        <w:rPr>
          <w:szCs w:val="18"/>
        </w:rPr>
        <w:t xml:space="preserve">). The organisation provided as examples Rainbow Rare Earth, African Mining Metallurgical (AMMG), Flemish Investment Burundi, </w:t>
      </w:r>
      <w:r w:rsidRPr="00D603CE">
        <w:rPr>
          <w:szCs w:val="18"/>
        </w:rPr>
        <w:t>Minergy</w:t>
      </w:r>
      <w:r w:rsidRPr="00AB725B">
        <w:rPr>
          <w:szCs w:val="18"/>
        </w:rPr>
        <w:t xml:space="preserve"> Resources Ltd. and Surestream Petroleum.</w:t>
      </w:r>
    </w:p>
  </w:footnote>
  <w:footnote w:id="596">
    <w:p w14:paraId="6A130131" w14:textId="77777777" w:rsidR="00B831ED" w:rsidRPr="00AB725B" w:rsidRDefault="00B831ED" w:rsidP="006B05D6">
      <w:pPr>
        <w:pStyle w:val="FootnoteText"/>
        <w:ind w:left="1138" w:right="562" w:hanging="1138"/>
        <w:rPr>
          <w:szCs w:val="18"/>
        </w:rPr>
      </w:pPr>
      <w:r w:rsidRPr="00AB725B">
        <w:tab/>
      </w:r>
      <w:r w:rsidRPr="00AB725B">
        <w:rPr>
          <w:rStyle w:val="FootnoteReference"/>
          <w:szCs w:val="18"/>
        </w:rPr>
        <w:footnoteRef/>
      </w:r>
      <w:r w:rsidRPr="00AB725B">
        <w:rPr>
          <w:i/>
        </w:rPr>
        <w:tab/>
      </w:r>
      <w:r w:rsidRPr="00AB725B">
        <w:rPr>
          <w:i/>
          <w:szCs w:val="18"/>
        </w:rPr>
        <w:t>RFI, Sida: le Burundi sanctionné par le Fonds mondial contre le Sida,</w:t>
      </w:r>
      <w:r w:rsidRPr="00AB725B">
        <w:rPr>
          <w:szCs w:val="18"/>
        </w:rPr>
        <w:t xml:space="preserve"> RFI, AIDS: Burundi sanctioned by the Global Fun</w:t>
      </w:r>
      <w:r>
        <w:rPr>
          <w:szCs w:val="18"/>
        </w:rPr>
        <w:t>d to Fight AIDS, 16/10/2017 (In</w:t>
      </w:r>
      <w:r w:rsidRPr="00AB725B">
        <w:rPr>
          <w:szCs w:val="18"/>
        </w:rPr>
        <w:t xml:space="preserve">: </w:t>
      </w:r>
      <w:hyperlink r:id="rId93" w:history="1">
        <w:r w:rsidRPr="00AB725B">
          <w:rPr>
            <w:rStyle w:val="Hyperlink"/>
            <w:szCs w:val="18"/>
          </w:rPr>
          <w:t>http://www.rfi.fr/afrique/20171016-sida-burundi-autorites-perdent-gestion-fonds-mondial-sida?ref=tw_i</w:t>
        </w:r>
      </w:hyperlink>
      <w:r w:rsidRPr="00AB725B">
        <w:rPr>
          <w:rStyle w:val="Hyperlink"/>
          <w:szCs w:val="18"/>
        </w:rPr>
        <w:t xml:space="preserve">). </w:t>
      </w:r>
    </w:p>
  </w:footnote>
  <w:footnote w:id="597">
    <w:p w14:paraId="7621A62A" w14:textId="77777777" w:rsidR="00B831ED" w:rsidRPr="00AB725B" w:rsidRDefault="00B831ED" w:rsidP="006B05D6">
      <w:pPr>
        <w:pStyle w:val="FootnoteText"/>
        <w:ind w:left="1138" w:right="562" w:hanging="1138"/>
      </w:pPr>
      <w:r w:rsidRPr="00AB725B">
        <w:tab/>
      </w:r>
      <w:r w:rsidRPr="00AB725B">
        <w:rPr>
          <w:rStyle w:val="FootnoteReference"/>
          <w:szCs w:val="18"/>
        </w:rPr>
        <w:footnoteRef/>
      </w:r>
      <w:r w:rsidRPr="00AB725B">
        <w:tab/>
      </w:r>
      <w:r w:rsidRPr="00AB725B">
        <w:rPr>
          <w:rStyle w:val="tlid-translation"/>
        </w:rPr>
        <w:t>Letter from the Global Fund to Fight AIDS, Tuberculosis and Malaria to Dr. Josiane Nijimbere, Minister of Public Health and the Fight against AIDS, dated 12 October 2017 and entitled “Current situation and 2018-2020 implementation agreements”.</w:t>
      </w:r>
    </w:p>
  </w:footnote>
  <w:footnote w:id="598">
    <w:p w14:paraId="03F092A5" w14:textId="77777777" w:rsidR="00B831ED" w:rsidRPr="00AB725B" w:rsidRDefault="00B831ED" w:rsidP="006B05D6">
      <w:pPr>
        <w:pStyle w:val="FootnoteText"/>
        <w:ind w:left="1138" w:right="562" w:hanging="1138"/>
        <w:rPr>
          <w:szCs w:val="18"/>
        </w:rPr>
      </w:pPr>
      <w:r w:rsidRPr="00AB725B">
        <w:tab/>
      </w:r>
      <w:r w:rsidRPr="00AB725B">
        <w:rPr>
          <w:rStyle w:val="FootnoteReference"/>
          <w:szCs w:val="18"/>
        </w:rPr>
        <w:footnoteRef/>
      </w:r>
      <w:r w:rsidRPr="00AB725B">
        <w:tab/>
      </w:r>
      <w:r w:rsidRPr="00AB725B">
        <w:rPr>
          <w:szCs w:val="18"/>
        </w:rPr>
        <w:t xml:space="preserve">See: </w:t>
      </w:r>
      <w:hyperlink r:id="rId94" w:history="1">
        <w:r w:rsidRPr="00AB725B">
          <w:rPr>
            <w:rStyle w:val="Hyperlink"/>
            <w:szCs w:val="18"/>
          </w:rPr>
          <w:t>http://www.aidspan.org/fr/page/subventions-du-fonds-mondial-par-pays</w:t>
        </w:r>
      </w:hyperlink>
      <w:r w:rsidRPr="00AB725B">
        <w:rPr>
          <w:rStyle w:val="Hyperlink"/>
          <w:szCs w:val="18"/>
        </w:rPr>
        <w:t xml:space="preserve">. </w:t>
      </w:r>
    </w:p>
  </w:footnote>
  <w:footnote w:id="599">
    <w:p w14:paraId="3F36814F" w14:textId="77777777" w:rsidR="00B831ED" w:rsidRPr="00AB725B" w:rsidRDefault="00B831ED" w:rsidP="006B05D6">
      <w:pPr>
        <w:pStyle w:val="FootnoteText"/>
        <w:ind w:left="1138" w:right="562" w:hanging="1138"/>
        <w:rPr>
          <w:color w:val="FF6600"/>
        </w:rPr>
      </w:pPr>
      <w:r w:rsidRPr="00AB725B">
        <w:rPr>
          <w:szCs w:val="18"/>
        </w:rPr>
        <w:tab/>
      </w:r>
      <w:r w:rsidRPr="00AB725B">
        <w:rPr>
          <w:rStyle w:val="FootnoteReference"/>
          <w:szCs w:val="18"/>
        </w:rPr>
        <w:footnoteRef/>
      </w:r>
      <w:r w:rsidRPr="00AB725B">
        <w:rPr>
          <w:szCs w:val="18"/>
        </w:rPr>
        <w:tab/>
      </w:r>
      <w:r w:rsidRPr="00AB725B">
        <w:rPr>
          <w:rStyle w:val="tlid-translation"/>
        </w:rPr>
        <w:t xml:space="preserve">Decree n ° 100/192 of 13 November 2009 on the </w:t>
      </w:r>
      <w:r>
        <w:rPr>
          <w:rStyle w:val="tlid-translation"/>
        </w:rPr>
        <w:t>temporary</w:t>
      </w:r>
      <w:r w:rsidRPr="00AB725B">
        <w:rPr>
          <w:rStyle w:val="tlid-translation"/>
        </w:rPr>
        <w:t xml:space="preserve"> declaration as public utility of the area intended for the construction of the Office of the President. </w:t>
      </w:r>
    </w:p>
  </w:footnote>
  <w:footnote w:id="600">
    <w:p w14:paraId="290B8479" w14:textId="77777777" w:rsidR="00B831ED" w:rsidRPr="00572CAD" w:rsidRDefault="00B831ED" w:rsidP="006B05D6">
      <w:pPr>
        <w:pStyle w:val="FootnoteText"/>
        <w:ind w:left="1138" w:right="562" w:hanging="1138"/>
        <w:rPr>
          <w:szCs w:val="18"/>
        </w:rPr>
      </w:pPr>
      <w:r w:rsidRPr="00AB725B">
        <w:rPr>
          <w:szCs w:val="18"/>
        </w:rPr>
        <w:tab/>
      </w:r>
      <w:r w:rsidRPr="00AB725B">
        <w:rPr>
          <w:rStyle w:val="FootnoteReference"/>
          <w:szCs w:val="18"/>
        </w:rPr>
        <w:footnoteRef/>
      </w:r>
      <w:r w:rsidRPr="00572CAD">
        <w:rPr>
          <w:szCs w:val="18"/>
        </w:rPr>
        <w:tab/>
      </w:r>
      <w:r w:rsidRPr="00572CAD">
        <w:rPr>
          <w:rStyle w:val="tlid-translation"/>
        </w:rPr>
        <w:t xml:space="preserve">Decree </w:t>
      </w:r>
      <w:r w:rsidRPr="00572CAD">
        <w:rPr>
          <w:szCs w:val="18"/>
        </w:rPr>
        <w:t xml:space="preserve">n° 100/128 of 23 June 2016 on the review of order n°100/192 of 13 November 2009 on the interim declaration of public utility for the zone set to house </w:t>
      </w:r>
      <w:r>
        <w:rPr>
          <w:szCs w:val="18"/>
        </w:rPr>
        <w:t>the infrastructure for the services of the office of the Presidency of the Republic</w:t>
      </w:r>
      <w:r w:rsidRPr="00572CAD">
        <w:rPr>
          <w:szCs w:val="18"/>
        </w:rPr>
        <w:t>.</w:t>
      </w:r>
    </w:p>
  </w:footnote>
  <w:footnote w:id="601">
    <w:p w14:paraId="39E5E874" w14:textId="77777777" w:rsidR="00B831ED" w:rsidRPr="00572CAD" w:rsidRDefault="00B831ED" w:rsidP="006B05D6">
      <w:pPr>
        <w:pStyle w:val="FootnoteText"/>
        <w:ind w:left="1138" w:right="562" w:hanging="1138"/>
        <w:rPr>
          <w:szCs w:val="18"/>
        </w:rPr>
      </w:pPr>
      <w:r w:rsidRPr="00572CAD">
        <w:rPr>
          <w:szCs w:val="18"/>
        </w:rPr>
        <w:tab/>
      </w:r>
      <w:r w:rsidRPr="00AB725B">
        <w:rPr>
          <w:rStyle w:val="FootnoteReference"/>
          <w:szCs w:val="18"/>
        </w:rPr>
        <w:footnoteRef/>
      </w:r>
      <w:r w:rsidRPr="00572CAD">
        <w:rPr>
          <w:szCs w:val="18"/>
        </w:rPr>
        <w:tab/>
        <w:t xml:space="preserve">Government of Burundi, clearing of the housing site for the presidential palace in Gasenyi, 20 march 2017 (in: </w:t>
      </w:r>
      <w:hyperlink r:id="rId95" w:history="1">
        <w:r w:rsidRPr="00572CAD">
          <w:rPr>
            <w:rStyle w:val="Hyperlink"/>
            <w:szCs w:val="18"/>
          </w:rPr>
          <w:t>http://www.burundi.gov.bi/spip.php?article2122</w:t>
        </w:r>
      </w:hyperlink>
      <w:r w:rsidRPr="00572CAD">
        <w:rPr>
          <w:szCs w:val="18"/>
        </w:rPr>
        <w:t xml:space="preserve">); Agence Bujumbura News, </w:t>
      </w:r>
      <w:r w:rsidRPr="00572CAD">
        <w:rPr>
          <w:i/>
          <w:szCs w:val="18"/>
        </w:rPr>
        <w:t>Gasenyi : Le bras de fer entre le gouvernement et les occupants de parcelles autour du palais présidentiel se durcit</w:t>
      </w:r>
      <w:r w:rsidRPr="00572CAD">
        <w:rPr>
          <w:szCs w:val="18"/>
        </w:rPr>
        <w:t xml:space="preserve">, 23 March 2017, (in: </w:t>
      </w:r>
      <w:hyperlink r:id="rId96" w:history="1">
        <w:r w:rsidRPr="00572CAD">
          <w:rPr>
            <w:rStyle w:val="Hyperlink"/>
            <w:szCs w:val="18"/>
          </w:rPr>
          <w:t>https://bujumburanewsblog.wordpress.com/2017/03/23/gasenyi-le-bras-de-fer-entre-le-gouvernement-and-les-occupants-de-parcelles-autour-du-palais-presidentiel-se-durcit/</w:t>
        </w:r>
      </w:hyperlink>
      <w:r w:rsidRPr="00572CAD">
        <w:rPr>
          <w:szCs w:val="18"/>
        </w:rPr>
        <w:t xml:space="preserve">) ; Deutsche Welle, </w:t>
      </w:r>
      <w:r w:rsidRPr="00572CAD">
        <w:rPr>
          <w:i/>
          <w:szCs w:val="18"/>
        </w:rPr>
        <w:t>Le palais présidentiel burundais créé des remous</w:t>
      </w:r>
      <w:r w:rsidRPr="00572CAD">
        <w:rPr>
          <w:szCs w:val="18"/>
        </w:rPr>
        <w:t xml:space="preserve">, 28 March 2017 (in : </w:t>
      </w:r>
      <w:hyperlink r:id="rId97" w:history="1">
        <w:r w:rsidRPr="00572CAD">
          <w:rPr>
            <w:rStyle w:val="Hyperlink"/>
            <w:szCs w:val="18"/>
          </w:rPr>
          <w:t>https://www.dw.com/fr/le-palais-pr%C3%A9sidentiel-burundais-cr%C3%A9%C3%A9-des-remous/a-38155853</w:t>
        </w:r>
      </w:hyperlink>
      <w:r w:rsidRPr="00572CAD">
        <w:rPr>
          <w:szCs w:val="18"/>
        </w:rPr>
        <w:t>).</w:t>
      </w:r>
    </w:p>
  </w:footnote>
  <w:footnote w:id="602">
    <w:p w14:paraId="44138375" w14:textId="77777777" w:rsidR="00B831ED" w:rsidRPr="00AB725B" w:rsidRDefault="00B831ED" w:rsidP="006B05D6">
      <w:pPr>
        <w:pStyle w:val="FootnoteText"/>
        <w:ind w:left="1138" w:right="562" w:hanging="1138"/>
        <w:rPr>
          <w:szCs w:val="18"/>
        </w:rPr>
      </w:pPr>
      <w:r w:rsidRPr="00572CAD">
        <w:rPr>
          <w:szCs w:val="18"/>
        </w:rPr>
        <w:tab/>
      </w:r>
      <w:r w:rsidRPr="00AB725B">
        <w:rPr>
          <w:rStyle w:val="FootnoteReference"/>
          <w:szCs w:val="18"/>
        </w:rPr>
        <w:footnoteRef/>
      </w:r>
      <w:r w:rsidRPr="00916384">
        <w:rPr>
          <w:szCs w:val="18"/>
          <w:lang w:val="fr-FR"/>
        </w:rPr>
        <w:tab/>
        <w:t xml:space="preserve">Iwacu, </w:t>
      </w:r>
      <w:r w:rsidRPr="00916384">
        <w:rPr>
          <w:i/>
          <w:szCs w:val="18"/>
          <w:lang w:val="fr-FR"/>
        </w:rPr>
        <w:t>Gasenyi I: ils regardent leurs maisons se faire détruire pour un palais</w:t>
      </w:r>
      <w:r w:rsidRPr="00916384">
        <w:rPr>
          <w:szCs w:val="18"/>
          <w:lang w:val="fr-FR"/>
        </w:rPr>
        <w:t xml:space="preserve">, 12 April 2017. </w:t>
      </w:r>
      <w:r w:rsidRPr="00AB725B">
        <w:rPr>
          <w:szCs w:val="18"/>
        </w:rPr>
        <w:t xml:space="preserve">In English: Gasenyi I: they watch their homes being destroyed for the sake of a palace (in: </w:t>
      </w:r>
      <w:hyperlink r:id="rId98" w:history="1">
        <w:r w:rsidRPr="00AB725B">
          <w:rPr>
            <w:rStyle w:val="Hyperlink"/>
            <w:szCs w:val="18"/>
          </w:rPr>
          <w:t>http://www.iwacu-burundi.org/gasenyi-i-ils-regardent-leurs-maisons-se-faire-detruire-pour-un-palais/</w:t>
        </w:r>
      </w:hyperlink>
      <w:r w:rsidRPr="00AB725B">
        <w:rPr>
          <w:szCs w:val="18"/>
        </w:rPr>
        <w:t xml:space="preserve">); French.china.org.cn, </w:t>
      </w:r>
      <w:r w:rsidRPr="00AB725B">
        <w:rPr>
          <w:i/>
          <w:szCs w:val="18"/>
        </w:rPr>
        <w:t>Démarrage de la démolition des habitations illégales au périmètre du palais présidentiel</w:t>
      </w:r>
      <w:r w:rsidRPr="00AB725B">
        <w:rPr>
          <w:szCs w:val="18"/>
        </w:rPr>
        <w:t xml:space="preserve">, (In English: </w:t>
      </w:r>
      <w:r w:rsidRPr="00AB725B">
        <w:rPr>
          <w:rStyle w:val="tlid-translation"/>
        </w:rPr>
        <w:t xml:space="preserve">Start of the demolition of illegal homes on the presidential palace perimeter) </w:t>
      </w:r>
      <w:r w:rsidRPr="00AB725B">
        <w:rPr>
          <w:szCs w:val="18"/>
        </w:rPr>
        <w:t xml:space="preserve">12 April 2017 (in: </w:t>
      </w:r>
      <w:hyperlink r:id="rId99" w:history="1">
        <w:r w:rsidRPr="00AB725B">
          <w:rPr>
            <w:rStyle w:val="Hyperlink"/>
            <w:szCs w:val="18"/>
          </w:rPr>
          <w:t>http://french.china.org.cn/foreign/txt/2017-04/12/content_40609746.htm</w:t>
        </w:r>
      </w:hyperlink>
      <w:r w:rsidRPr="00AB725B">
        <w:rPr>
          <w:szCs w:val="18"/>
        </w:rPr>
        <w:t>)</w:t>
      </w:r>
    </w:p>
  </w:footnote>
  <w:footnote w:id="603">
    <w:p w14:paraId="3BA6E6C3" w14:textId="77777777" w:rsidR="00B831ED" w:rsidRPr="00916384" w:rsidRDefault="00B831ED" w:rsidP="006B05D6">
      <w:pPr>
        <w:pStyle w:val="FootnoteText"/>
        <w:ind w:right="567"/>
        <w:rPr>
          <w:szCs w:val="18"/>
          <w:lang w:val="fr-FR"/>
        </w:rPr>
      </w:pPr>
      <w:r w:rsidRPr="00AB725B">
        <w:rPr>
          <w:szCs w:val="18"/>
        </w:rPr>
        <w:tab/>
      </w:r>
      <w:r w:rsidRPr="00AB725B">
        <w:rPr>
          <w:rStyle w:val="FootnoteReference"/>
          <w:szCs w:val="18"/>
        </w:rPr>
        <w:footnoteRef/>
      </w:r>
      <w:r w:rsidRPr="00916384">
        <w:rPr>
          <w:szCs w:val="18"/>
          <w:lang w:val="fr-FR"/>
        </w:rPr>
        <w:tab/>
        <w:t xml:space="preserve">Iwacu, </w:t>
      </w:r>
      <w:r w:rsidRPr="00916384">
        <w:rPr>
          <w:i/>
          <w:szCs w:val="18"/>
          <w:lang w:val="fr-FR"/>
        </w:rPr>
        <w:t>Des huttes sur le site du palais présidentiel</w:t>
      </w:r>
      <w:r w:rsidRPr="00916384">
        <w:rPr>
          <w:szCs w:val="18"/>
          <w:lang w:val="fr-FR"/>
        </w:rPr>
        <w:t xml:space="preserve">, 29 May 2017. In English: Huts on the site of a palace (in: </w:t>
      </w:r>
      <w:hyperlink r:id="rId100" w:history="1">
        <w:r w:rsidRPr="00916384">
          <w:rPr>
            <w:rStyle w:val="Hyperlink"/>
            <w:szCs w:val="18"/>
            <w:lang w:val="fr-FR"/>
          </w:rPr>
          <w:t>http://www.iwacu-burundi.org/des-huttes-sur-le-site-du-palais-presidentiel/</w:t>
        </w:r>
      </w:hyperlink>
      <w:r w:rsidRPr="00916384">
        <w:rPr>
          <w:szCs w:val="18"/>
          <w:lang w:val="fr-FR"/>
        </w:rPr>
        <w:t xml:space="preserve">); Iwacu, </w:t>
      </w:r>
      <w:r w:rsidRPr="00916384">
        <w:rPr>
          <w:i/>
          <w:szCs w:val="18"/>
          <w:lang w:val="fr-FR"/>
        </w:rPr>
        <w:t>Site du Palais présidentiel : les familles expropriées reviennent</w:t>
      </w:r>
      <w:r w:rsidRPr="00916384">
        <w:rPr>
          <w:szCs w:val="18"/>
          <w:lang w:val="fr-FR"/>
        </w:rPr>
        <w:t xml:space="preserve">, 30 March 2017 (in : </w:t>
      </w:r>
      <w:hyperlink r:id="rId101" w:history="1">
        <w:r w:rsidRPr="00916384">
          <w:rPr>
            <w:rStyle w:val="Hyperlink"/>
            <w:szCs w:val="18"/>
            <w:lang w:val="fr-FR"/>
          </w:rPr>
          <w:t>http://www.iwacu-burundi.org/site-du-palais-presidentiel-les-familles-expropriees-reviennent/</w:t>
        </w:r>
      </w:hyperlink>
      <w:r w:rsidRPr="00916384">
        <w:rPr>
          <w:szCs w:val="18"/>
          <w:lang w:val="fr-FR"/>
        </w:rPr>
        <w:t xml:space="preserve">). </w:t>
      </w:r>
    </w:p>
  </w:footnote>
  <w:footnote w:id="604">
    <w:p w14:paraId="0CEF96B8" w14:textId="77777777" w:rsidR="00B831ED" w:rsidRPr="00AB725B" w:rsidRDefault="00B831ED" w:rsidP="006B05D6">
      <w:pPr>
        <w:pStyle w:val="FootnoteText"/>
        <w:ind w:right="567"/>
        <w:rPr>
          <w:szCs w:val="18"/>
        </w:rPr>
      </w:pPr>
      <w:r w:rsidRPr="00916384">
        <w:rPr>
          <w:szCs w:val="18"/>
          <w:lang w:val="fr-FR"/>
        </w:rPr>
        <w:tab/>
      </w:r>
      <w:r w:rsidRPr="00AB725B">
        <w:rPr>
          <w:rStyle w:val="FootnoteReference"/>
          <w:szCs w:val="18"/>
        </w:rPr>
        <w:footnoteRef/>
      </w:r>
      <w:r w:rsidRPr="00916384">
        <w:rPr>
          <w:szCs w:val="18"/>
          <w:lang w:val="fr-FR"/>
        </w:rPr>
        <w:tab/>
        <w:t xml:space="preserve">Iwacu, </w:t>
      </w:r>
      <w:r w:rsidRPr="00916384">
        <w:rPr>
          <w:i/>
          <w:szCs w:val="18"/>
          <w:lang w:val="fr-FR"/>
        </w:rPr>
        <w:t>Gasenyi I : les habitants dénoncent une «spoliation»,</w:t>
      </w:r>
      <w:r w:rsidRPr="00916384">
        <w:rPr>
          <w:szCs w:val="18"/>
          <w:lang w:val="fr-FR"/>
        </w:rPr>
        <w:t xml:space="preserve"> Gasenyi I: Residents report “spoliation”. </w:t>
      </w:r>
      <w:r w:rsidRPr="00AB725B">
        <w:rPr>
          <w:szCs w:val="18"/>
        </w:rPr>
        <w:t>14 April 2017. Gasenyi (</w:t>
      </w:r>
      <w:r>
        <w:rPr>
          <w:szCs w:val="18"/>
        </w:rPr>
        <w:t>I</w:t>
      </w:r>
      <w:r w:rsidRPr="00AB725B">
        <w:rPr>
          <w:szCs w:val="18"/>
        </w:rPr>
        <w:t xml:space="preserve">n: </w:t>
      </w:r>
      <w:hyperlink r:id="rId102" w:history="1">
        <w:r w:rsidRPr="00AB725B">
          <w:rPr>
            <w:rStyle w:val="Hyperlink"/>
            <w:szCs w:val="18"/>
          </w:rPr>
          <w:t>http://www.iwacu-burundi.org/gasenyi-i-les-habitants-denoncent-une-spoliation/</w:t>
        </w:r>
      </w:hyperlink>
      <w:r w:rsidRPr="00AB725B">
        <w:rPr>
          <w:szCs w:val="18"/>
        </w:rPr>
        <w:t xml:space="preserve">). </w:t>
      </w:r>
    </w:p>
  </w:footnote>
  <w:footnote w:id="605">
    <w:p w14:paraId="5E75B615" w14:textId="77777777" w:rsidR="00B831ED" w:rsidRPr="00AB725B" w:rsidRDefault="00B831ED" w:rsidP="006B6741">
      <w:pPr>
        <w:pStyle w:val="FootnoteText"/>
        <w:ind w:left="1138" w:right="562" w:hanging="1138"/>
        <w:rPr>
          <w:szCs w:val="18"/>
        </w:rPr>
      </w:pPr>
      <w:r w:rsidRPr="00AB725B">
        <w:rPr>
          <w:szCs w:val="18"/>
        </w:rPr>
        <w:tab/>
      </w:r>
      <w:r w:rsidRPr="00AB725B">
        <w:rPr>
          <w:rStyle w:val="FootnoteReference"/>
          <w:szCs w:val="18"/>
        </w:rPr>
        <w:footnoteRef/>
      </w:r>
      <w:r w:rsidRPr="00916384">
        <w:rPr>
          <w:szCs w:val="18"/>
          <w:lang w:val="fr-FR"/>
        </w:rPr>
        <w:tab/>
        <w:t xml:space="preserve">Deutshe Welle, </w:t>
      </w:r>
      <w:r w:rsidRPr="00916384">
        <w:rPr>
          <w:i/>
          <w:szCs w:val="18"/>
          <w:lang w:val="fr-FR"/>
        </w:rPr>
        <w:t>Construction d'un nouveau palais présidentiel, des Burundais expropriés attendent toujours</w:t>
      </w:r>
      <w:r w:rsidRPr="00916384">
        <w:rPr>
          <w:szCs w:val="18"/>
          <w:lang w:val="fr-FR"/>
        </w:rPr>
        <w:t xml:space="preserve">, 23/10/2017. </w:t>
      </w:r>
      <w:r w:rsidRPr="00AB725B">
        <w:rPr>
          <w:szCs w:val="18"/>
        </w:rPr>
        <w:t xml:space="preserve">In English: Building of a new presidential palace, expropriated Burundians still waiting (in: </w:t>
      </w:r>
      <w:hyperlink r:id="rId103" w:history="1">
        <w:r w:rsidRPr="00AB725B">
          <w:rPr>
            <w:rStyle w:val="Hyperlink"/>
            <w:szCs w:val="18"/>
          </w:rPr>
          <w:t>https://www.dw.com/fr/construction-dun-nouveau-palais-pr%C3%A9sidentiel-des-burundais-expropri%C3%A9s-attendent-toujours/a-41072323</w:t>
        </w:r>
      </w:hyperlink>
      <w:r w:rsidRPr="00AB725B">
        <w:rPr>
          <w:szCs w:val="18"/>
        </w:rPr>
        <w:t xml:space="preserve">). </w:t>
      </w:r>
    </w:p>
  </w:footnote>
  <w:footnote w:id="606">
    <w:p w14:paraId="64D72808" w14:textId="77777777" w:rsidR="00B831ED" w:rsidRPr="00AB725B" w:rsidRDefault="00B831ED" w:rsidP="006B05D6">
      <w:pPr>
        <w:pStyle w:val="FootnoteText"/>
        <w:ind w:right="567"/>
        <w:rPr>
          <w:szCs w:val="18"/>
        </w:rPr>
      </w:pPr>
      <w:r w:rsidRPr="00AB725B">
        <w:rPr>
          <w:szCs w:val="18"/>
        </w:rPr>
        <w:tab/>
      </w:r>
      <w:r w:rsidRPr="00AB725B">
        <w:rPr>
          <w:rStyle w:val="FootnoteReference"/>
          <w:szCs w:val="18"/>
        </w:rPr>
        <w:footnoteRef/>
      </w:r>
      <w:r w:rsidRPr="00916384">
        <w:rPr>
          <w:szCs w:val="18"/>
          <w:lang w:val="fr-FR"/>
        </w:rPr>
        <w:tab/>
        <w:t xml:space="preserve">Iwacu, Les expulsés de Gasenyi attendent toujours l’acquisition des nouvelles parcelles. </w:t>
      </w:r>
      <w:r w:rsidRPr="00AB725B">
        <w:rPr>
          <w:szCs w:val="18"/>
        </w:rPr>
        <w:t xml:space="preserve">1 March 2018. In English: Those evicted in Gasenyi still waiting for the acquisition of new plots (in: </w:t>
      </w:r>
      <w:hyperlink r:id="rId104" w:history="1">
        <w:r w:rsidRPr="00AB725B">
          <w:rPr>
            <w:rStyle w:val="Hyperlink"/>
            <w:szCs w:val="18"/>
          </w:rPr>
          <w:t>https://www.youtube.com/watch?v=FqoPJ-uUNcE</w:t>
        </w:r>
      </w:hyperlink>
      <w:r w:rsidRPr="00AB725B">
        <w:rPr>
          <w:rStyle w:val="Hyperlink"/>
          <w:szCs w:val="18"/>
        </w:rPr>
        <w:t>).</w:t>
      </w:r>
    </w:p>
  </w:footnote>
  <w:footnote w:id="607">
    <w:p w14:paraId="2D27A408" w14:textId="77777777" w:rsidR="00B831ED" w:rsidRPr="00AB725B" w:rsidRDefault="00B831ED" w:rsidP="006B05D6">
      <w:pPr>
        <w:pStyle w:val="FootnoteText"/>
        <w:ind w:right="567"/>
      </w:pPr>
      <w:r w:rsidRPr="00AB725B">
        <w:tab/>
      </w:r>
      <w:r w:rsidRPr="00AB725B">
        <w:rPr>
          <w:rStyle w:val="FootnoteReference"/>
          <w:szCs w:val="18"/>
        </w:rPr>
        <w:footnoteRef/>
      </w:r>
      <w:r w:rsidRPr="00AB725B">
        <w:tab/>
        <w:t xml:space="preserve">This seemed like practice before 2015 already. </w:t>
      </w:r>
      <w:r w:rsidRPr="00916384">
        <w:rPr>
          <w:lang w:val="fr-FR"/>
        </w:rPr>
        <w:t xml:space="preserve">See for example, Iwacu, </w:t>
      </w:r>
      <w:r w:rsidRPr="00916384">
        <w:rPr>
          <w:i/>
          <w:lang w:val="fr-FR"/>
        </w:rPr>
        <w:t>A Cibitoke, le CNDD-FDD implante sa permanence dans un espace domanial</w:t>
      </w:r>
      <w:r w:rsidRPr="00916384">
        <w:rPr>
          <w:lang w:val="fr-FR"/>
        </w:rPr>
        <w:t xml:space="preserve">. </w:t>
      </w:r>
      <w:r w:rsidRPr="00AB725B">
        <w:t>In English:</w:t>
      </w:r>
      <w:r w:rsidRPr="00AB725B">
        <w:rPr>
          <w:i/>
        </w:rPr>
        <w:t xml:space="preserve"> </w:t>
      </w:r>
      <w:r w:rsidRPr="00AB725B">
        <w:t xml:space="preserve">In Cibitoke, the CNDD-FDD establishes its permanence in a state-owned space, 1 October 2014 (in: </w:t>
      </w:r>
      <w:hyperlink r:id="rId105" w:history="1">
        <w:r w:rsidRPr="00AB725B">
          <w:rPr>
            <w:rStyle w:val="Hyperlink"/>
            <w:szCs w:val="18"/>
          </w:rPr>
          <w:t>http://www.iwacu-burundi.org/a-cibitoke-le-cndd-fdd-implante-sa-permanence-dans-un-espace-domanial/</w:t>
        </w:r>
      </w:hyperlink>
      <w:r w:rsidRPr="00AB725B">
        <w:t xml:space="preserve">) </w:t>
      </w:r>
    </w:p>
  </w:footnote>
  <w:footnote w:id="608">
    <w:p w14:paraId="64CC9AAD" w14:textId="172994BF" w:rsidR="00B831ED" w:rsidRPr="00AB725B" w:rsidRDefault="00B831ED" w:rsidP="006B05D6">
      <w:pPr>
        <w:pStyle w:val="FootnoteText"/>
        <w:ind w:right="567"/>
        <w:rPr>
          <w:szCs w:val="18"/>
        </w:rPr>
      </w:pPr>
      <w:r w:rsidRPr="00AB725B">
        <w:tab/>
      </w:r>
      <w:r w:rsidRPr="00AB725B">
        <w:rPr>
          <w:rStyle w:val="FootnoteReference"/>
          <w:szCs w:val="18"/>
        </w:rPr>
        <w:footnoteRef/>
      </w:r>
      <w:r w:rsidRPr="00916384">
        <w:rPr>
          <w:lang w:val="fr-FR"/>
        </w:rPr>
        <w:tab/>
      </w:r>
      <w:r w:rsidRPr="00916384">
        <w:rPr>
          <w:szCs w:val="18"/>
          <w:lang w:val="fr-FR"/>
        </w:rPr>
        <w:t xml:space="preserve">Iwacu, </w:t>
      </w:r>
      <w:r w:rsidRPr="00916384">
        <w:rPr>
          <w:i/>
          <w:szCs w:val="18"/>
          <w:lang w:val="fr-FR"/>
        </w:rPr>
        <w:t>Cibitoke : grogne suite aux contributions obligatoires</w:t>
      </w:r>
      <w:r w:rsidRPr="00916384">
        <w:rPr>
          <w:szCs w:val="18"/>
          <w:lang w:val="fr-FR"/>
        </w:rPr>
        <w:t xml:space="preserve">. </w:t>
      </w:r>
      <w:r w:rsidRPr="00AB725B">
        <w:rPr>
          <w:szCs w:val="18"/>
        </w:rPr>
        <w:t xml:space="preserve">(In English: Cibitoke: compulsory contributions cause grumbling), 2 March 2017 (in: </w:t>
      </w:r>
      <w:hyperlink r:id="rId106" w:history="1">
        <w:r w:rsidRPr="00AB725B">
          <w:rPr>
            <w:rStyle w:val="Hyperlink"/>
            <w:szCs w:val="18"/>
          </w:rPr>
          <w:t>http://www.iwacu-burundi.org/cibitoke-grogne-suite-aux-contributions-obligatoires/</w:t>
        </w:r>
      </w:hyperlink>
      <w:r w:rsidRPr="00AB725B">
        <w:rPr>
          <w:szCs w:val="18"/>
        </w:rPr>
        <w:t xml:space="preserve">); RFI, </w:t>
      </w:r>
      <w:r w:rsidRPr="00AB725B">
        <w:rPr>
          <w:i/>
          <w:szCs w:val="18"/>
        </w:rPr>
        <w:t>le CNDD-FDD exige des habitants de Citiboke le paiement d'une taxe</w:t>
      </w:r>
      <w:r w:rsidRPr="00AB725B">
        <w:rPr>
          <w:szCs w:val="18"/>
        </w:rPr>
        <w:t xml:space="preserve"> (In English: the CNDD requires a tax to be paid by Cibitoke residents), 4 April 2017 (in: </w:t>
      </w:r>
      <w:hyperlink r:id="rId107" w:history="1">
        <w:r w:rsidRPr="00AB725B">
          <w:rPr>
            <w:rStyle w:val="Hyperlink"/>
            <w:szCs w:val="18"/>
          </w:rPr>
          <w:t>http://www.rfi.fr/afrique/20170404-burundi-cndd-fdd-exige-habitants-citiboke-taxe-permanence-racket</w:t>
        </w:r>
      </w:hyperlink>
      <w:r w:rsidRPr="00AB725B">
        <w:rPr>
          <w:szCs w:val="18"/>
        </w:rPr>
        <w:t>)</w:t>
      </w:r>
    </w:p>
  </w:footnote>
  <w:footnote w:id="609">
    <w:p w14:paraId="1856BB89"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r>
      <w:r w:rsidRPr="00AB725B">
        <w:rPr>
          <w:szCs w:val="18"/>
        </w:rPr>
        <w:t xml:space="preserve">VOA, </w:t>
      </w:r>
      <w:r w:rsidRPr="00AB725B">
        <w:rPr>
          <w:i/>
          <w:szCs w:val="18"/>
        </w:rPr>
        <w:t xml:space="preserve">Polémique autour des monuments </w:t>
      </w:r>
      <w:r>
        <w:rPr>
          <w:i/>
          <w:szCs w:val="18"/>
        </w:rPr>
        <w:t>to</w:t>
      </w:r>
      <w:r w:rsidRPr="00AB725B">
        <w:rPr>
          <w:i/>
          <w:szCs w:val="18"/>
        </w:rPr>
        <w:t xml:space="preserve"> la gloire du parti au pouvoir au Burundi</w:t>
      </w:r>
      <w:r w:rsidRPr="00AB725B">
        <w:rPr>
          <w:szCs w:val="18"/>
        </w:rPr>
        <w:t xml:space="preserve"> (In English: </w:t>
      </w:r>
      <w:r w:rsidRPr="00AB725B">
        <w:rPr>
          <w:rStyle w:val="tlid-translation"/>
        </w:rPr>
        <w:t>Controversy around monuments glorifying the ruling party in Burundi)</w:t>
      </w:r>
      <w:r w:rsidRPr="00AB725B">
        <w:rPr>
          <w:szCs w:val="18"/>
        </w:rPr>
        <w:t xml:space="preserve">, 13 June 2017 (in: </w:t>
      </w:r>
      <w:hyperlink r:id="rId108" w:history="1">
        <w:r w:rsidRPr="00AB725B">
          <w:rPr>
            <w:rStyle w:val="Hyperlink"/>
            <w:szCs w:val="18"/>
          </w:rPr>
          <w:t>https://www.voaafrique.com/a/erection-des-monuments-aux-insignes-du-parti-au-pouvoir-dans-plusieurs-villes-burundaises/3898481.html</w:t>
        </w:r>
      </w:hyperlink>
      <w:r w:rsidRPr="00AB725B">
        <w:rPr>
          <w:szCs w:val="18"/>
        </w:rPr>
        <w:t>)</w:t>
      </w:r>
    </w:p>
  </w:footnote>
  <w:footnote w:id="610">
    <w:p w14:paraId="526544B2" w14:textId="77777777" w:rsidR="00B831ED" w:rsidRPr="00AB725B" w:rsidRDefault="00B831ED" w:rsidP="006B05D6">
      <w:pPr>
        <w:pStyle w:val="FootnoteText"/>
        <w:ind w:right="567"/>
      </w:pPr>
      <w:r w:rsidRPr="00AB725B">
        <w:tab/>
      </w:r>
      <w:r w:rsidRPr="00AB725B">
        <w:rPr>
          <w:rStyle w:val="FootnoteReference"/>
          <w:szCs w:val="18"/>
        </w:rPr>
        <w:footnoteRef/>
      </w:r>
      <w:r w:rsidRPr="00AB725B">
        <w:tab/>
        <w:t xml:space="preserve">Decree n° 100/080 of 19 July 2018 on the allocation of land located in Gitega town centre to the CNDD-FDD party for the building of a centre for worship, conferences and other large events. </w:t>
      </w:r>
      <w:r w:rsidRPr="00AB725B">
        <w:rPr>
          <w:rStyle w:val="Hyperlink"/>
          <w:szCs w:val="18"/>
        </w:rPr>
        <w:t xml:space="preserve">See also: </w:t>
      </w:r>
      <w:r w:rsidRPr="00AB725B">
        <w:rPr>
          <w:szCs w:val="18"/>
        </w:rPr>
        <w:t xml:space="preserve">Iwacu, </w:t>
      </w:r>
      <w:r w:rsidRPr="00AB725B">
        <w:rPr>
          <w:i/>
          <w:szCs w:val="18"/>
        </w:rPr>
        <w:t>Polémiques autour de l’attribution d’une parcelle</w:t>
      </w:r>
      <w:r w:rsidRPr="00AB725B">
        <w:rPr>
          <w:szCs w:val="18"/>
        </w:rPr>
        <w:t xml:space="preserve"> or Controversy around the allocation of one piece of land, 24/07/2018 (in: </w:t>
      </w:r>
      <w:hyperlink r:id="rId109" w:history="1">
        <w:r w:rsidRPr="00AB725B">
          <w:rPr>
            <w:rStyle w:val="Hyperlink"/>
            <w:szCs w:val="18"/>
          </w:rPr>
          <w:t>http://www.iwacu-burundi.org/polemiques-autour-de-lattribution-dune-parcelle/</w:t>
        </w:r>
      </w:hyperlink>
      <w:r w:rsidRPr="00AB725B">
        <w:rPr>
          <w:rStyle w:val="Hyperlink"/>
          <w:szCs w:val="18"/>
        </w:rPr>
        <w:t>).</w:t>
      </w:r>
    </w:p>
  </w:footnote>
  <w:footnote w:id="611">
    <w:p w14:paraId="120936E9" w14:textId="77777777" w:rsidR="00B831ED" w:rsidRPr="00916384" w:rsidRDefault="00B831ED" w:rsidP="006B05D6">
      <w:pPr>
        <w:pStyle w:val="FootnoteText"/>
        <w:ind w:right="567"/>
        <w:rPr>
          <w:lang w:val="fr-FR"/>
        </w:rPr>
      </w:pPr>
      <w:r w:rsidRPr="00AB725B">
        <w:tab/>
      </w:r>
      <w:r w:rsidRPr="00AB725B">
        <w:rPr>
          <w:rStyle w:val="FootnoteReference"/>
          <w:szCs w:val="18"/>
        </w:rPr>
        <w:footnoteRef/>
      </w:r>
      <w:r w:rsidRPr="00916384">
        <w:rPr>
          <w:lang w:val="fr-FR"/>
        </w:rPr>
        <w:tab/>
        <w:t xml:space="preserve">OLUCOME, Press Release n° 005/OLUCOME/05/2018 </w:t>
      </w:r>
      <w:r w:rsidRPr="00916384">
        <w:rPr>
          <w:i/>
          <w:lang w:val="fr-FR"/>
        </w:rPr>
        <w:t>Sur l'utilisation illégale des véhicules and des fonds de l'État lors de la campagne référendaire de la constitution au Burundi</w:t>
      </w:r>
      <w:r w:rsidRPr="00916384">
        <w:rPr>
          <w:lang w:val="fr-FR"/>
        </w:rPr>
        <w:t xml:space="preserve"> or On the usage of illegal vehicles and of State funds during Burundi’s constitution referendum campaign, 4 </w:t>
      </w:r>
    </w:p>
    <w:p w14:paraId="068C3EBF" w14:textId="77777777" w:rsidR="00B831ED" w:rsidRPr="00AB725B" w:rsidRDefault="00B831ED" w:rsidP="006B05D6">
      <w:pPr>
        <w:pStyle w:val="FootnoteText"/>
        <w:ind w:right="567"/>
      </w:pPr>
      <w:r w:rsidRPr="00916384">
        <w:rPr>
          <w:lang w:val="fr-FR"/>
        </w:rPr>
        <w:tab/>
      </w:r>
      <w:r w:rsidRPr="00916384">
        <w:rPr>
          <w:lang w:val="fr-FR"/>
        </w:rPr>
        <w:tab/>
      </w:r>
      <w:r w:rsidRPr="00AB725B">
        <w:t xml:space="preserve">May 2018 (in: </w:t>
      </w:r>
      <w:hyperlink r:id="rId110" w:history="1">
        <w:r w:rsidRPr="00AB725B">
          <w:rPr>
            <w:rStyle w:val="Hyperlink"/>
            <w:szCs w:val="18"/>
          </w:rPr>
          <w:t>http://olucome.bi/IMG/pdf/-125.pdf</w:t>
        </w:r>
      </w:hyperlink>
      <w:r w:rsidRPr="00AB725B">
        <w:t xml:space="preserve">). </w:t>
      </w:r>
    </w:p>
  </w:footnote>
  <w:footnote w:id="612">
    <w:p w14:paraId="4D4FDE68"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r>
      <w:r w:rsidRPr="00AB725B">
        <w:rPr>
          <w:szCs w:val="18"/>
        </w:rPr>
        <w:t xml:space="preserve">See part III.C.1 (a) (ii) of this report. </w:t>
      </w:r>
    </w:p>
  </w:footnote>
  <w:footnote w:id="613">
    <w:p w14:paraId="19DCE931" w14:textId="77777777" w:rsidR="00B831ED" w:rsidRPr="00AB725B" w:rsidRDefault="00B831ED" w:rsidP="00EA71BC">
      <w:pPr>
        <w:pStyle w:val="FootnoteText"/>
        <w:ind w:right="567"/>
      </w:pPr>
      <w:r w:rsidRPr="00AB725B">
        <w:tab/>
      </w:r>
      <w:r w:rsidRPr="00AB725B">
        <w:rPr>
          <w:rStyle w:val="FootnoteReference"/>
          <w:szCs w:val="18"/>
        </w:rPr>
        <w:footnoteRef/>
      </w:r>
      <w:r w:rsidRPr="00AB725B">
        <w:tab/>
        <w:t>JI-015, TI-114, YI-022, YI-016.</w:t>
      </w:r>
    </w:p>
  </w:footnote>
  <w:footnote w:id="614">
    <w:p w14:paraId="7ADE974D" w14:textId="77777777" w:rsidR="00B831ED" w:rsidRPr="00AB725B" w:rsidRDefault="00B831ED" w:rsidP="006B05D6">
      <w:pPr>
        <w:pStyle w:val="FootnoteText"/>
        <w:ind w:right="567"/>
        <w:rPr>
          <w:szCs w:val="18"/>
        </w:rPr>
      </w:pPr>
      <w:r w:rsidRPr="00AB725B">
        <w:tab/>
      </w:r>
      <w:r w:rsidRPr="00AB725B">
        <w:rPr>
          <w:rStyle w:val="FootnoteReference"/>
          <w:szCs w:val="18"/>
        </w:rPr>
        <w:footnoteRef/>
      </w:r>
      <w:r w:rsidRPr="00AB725B">
        <w:tab/>
      </w:r>
      <w:r w:rsidRPr="00AB725B">
        <w:rPr>
          <w:szCs w:val="18"/>
        </w:rPr>
        <w:t>YI-022.</w:t>
      </w:r>
    </w:p>
  </w:footnote>
  <w:footnote w:id="615">
    <w:p w14:paraId="485F4EEC" w14:textId="77777777" w:rsidR="00B831ED" w:rsidRPr="00AB725B" w:rsidRDefault="00B831ED" w:rsidP="006B05D6">
      <w:pPr>
        <w:pStyle w:val="FootnoteText"/>
        <w:ind w:left="1138" w:right="562" w:hanging="1138"/>
      </w:pPr>
      <w:r w:rsidRPr="00AB725B">
        <w:tab/>
      </w:r>
      <w:r w:rsidRPr="00AB725B">
        <w:rPr>
          <w:rStyle w:val="FootnoteReference"/>
          <w:szCs w:val="18"/>
        </w:rPr>
        <w:footnoteRef/>
      </w:r>
      <w:r w:rsidRPr="00AB725B">
        <w:tab/>
        <w:t>YI-016.</w:t>
      </w:r>
    </w:p>
  </w:footnote>
  <w:footnote w:id="616">
    <w:p w14:paraId="0B638795" w14:textId="77777777" w:rsidR="00B831ED" w:rsidRPr="00AB725B" w:rsidRDefault="00B831ED" w:rsidP="006B05D6">
      <w:pPr>
        <w:pStyle w:val="FootnoteText"/>
        <w:ind w:left="1138" w:right="562" w:hanging="1138"/>
        <w:jc w:val="both"/>
      </w:pPr>
      <w:r w:rsidRPr="00AB725B">
        <w:tab/>
      </w:r>
      <w:r w:rsidRPr="00AB725B">
        <w:rPr>
          <w:rStyle w:val="FootnoteReference"/>
          <w:szCs w:val="18"/>
        </w:rPr>
        <w:footnoteRef/>
      </w:r>
      <w:r w:rsidRPr="00AB725B">
        <w:tab/>
        <w:t>JI-015</w:t>
      </w:r>
    </w:p>
  </w:footnote>
  <w:footnote w:id="617">
    <w:p w14:paraId="04551C6D" w14:textId="77777777" w:rsidR="00B831ED" w:rsidRPr="00351DE0"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Pr>
          <w:szCs w:val="18"/>
        </w:rPr>
        <w:t xml:space="preserve"> </w:t>
      </w:r>
      <w:r>
        <w:rPr>
          <w:szCs w:val="18"/>
        </w:rPr>
        <w:tab/>
      </w:r>
      <w:r w:rsidRPr="008B24A0">
        <w:rPr>
          <w:szCs w:val="18"/>
        </w:rPr>
        <w:t xml:space="preserve">A/HRC/36/CRP.1, para. </w:t>
      </w:r>
      <w:r w:rsidRPr="00351DE0">
        <w:rPr>
          <w:szCs w:val="18"/>
        </w:rPr>
        <w:t>671 to 691.</w:t>
      </w:r>
    </w:p>
  </w:footnote>
  <w:footnote w:id="618">
    <w:p w14:paraId="5030250A" w14:textId="77777777" w:rsidR="00B831ED" w:rsidRPr="00AB725B" w:rsidRDefault="00B831ED" w:rsidP="006B05D6">
      <w:pPr>
        <w:pStyle w:val="FootnoteText"/>
        <w:spacing w:line="240" w:lineRule="auto"/>
        <w:ind w:left="1138" w:right="562" w:hanging="1138"/>
        <w:jc w:val="both"/>
        <w:rPr>
          <w:szCs w:val="18"/>
        </w:rPr>
      </w:pPr>
      <w:r w:rsidRPr="000E7AC0">
        <w:rPr>
          <w:szCs w:val="18"/>
        </w:rPr>
        <w:tab/>
      </w:r>
      <w:r w:rsidRPr="000E7AC0">
        <w:rPr>
          <w:rStyle w:val="FootnoteReference"/>
          <w:szCs w:val="18"/>
        </w:rPr>
        <w:footnoteRef/>
      </w:r>
      <w:r w:rsidRPr="00AB725B">
        <w:rPr>
          <w:szCs w:val="18"/>
        </w:rPr>
        <w:tab/>
        <w:t>Article 25 (</w:t>
      </w:r>
      <w:r>
        <w:rPr>
          <w:szCs w:val="18"/>
        </w:rPr>
        <w:t>para.</w:t>
      </w:r>
      <w:r w:rsidRPr="00AB725B">
        <w:rPr>
          <w:szCs w:val="18"/>
        </w:rPr>
        <w:t xml:space="preserve"> 3) of the Rome Statute of the International Criminal Court.</w:t>
      </w:r>
    </w:p>
  </w:footnote>
  <w:footnote w:id="619">
    <w:p w14:paraId="6209C740" w14:textId="77777777" w:rsidR="00B831ED" w:rsidRPr="00AB725B" w:rsidRDefault="00B831ED" w:rsidP="006B05D6">
      <w:pPr>
        <w:pStyle w:val="FootnoteText"/>
        <w:spacing w:line="240" w:lineRule="auto"/>
        <w:ind w:left="0" w:right="562" w:hanging="1138"/>
        <w:jc w:val="both"/>
        <w:rPr>
          <w:szCs w:val="18"/>
        </w:rPr>
      </w:pPr>
      <w:r w:rsidRPr="00AB725B">
        <w:rPr>
          <w:szCs w:val="18"/>
        </w:rPr>
        <w:tab/>
      </w:r>
      <w:r>
        <w:rPr>
          <w:szCs w:val="18"/>
        </w:rPr>
        <w:tab/>
      </w:r>
      <w:r w:rsidRPr="00AB725B">
        <w:rPr>
          <w:rStyle w:val="FootnoteReference"/>
          <w:szCs w:val="18"/>
        </w:rPr>
        <w:footnoteRef/>
      </w:r>
      <w:r>
        <w:rPr>
          <w:szCs w:val="18"/>
        </w:rPr>
        <w:tab/>
      </w:r>
      <w:r w:rsidRPr="00AB725B">
        <w:rPr>
          <w:szCs w:val="18"/>
        </w:rPr>
        <w:t xml:space="preserve">A/HRC/36/CRP.1, </w:t>
      </w:r>
      <w:r>
        <w:rPr>
          <w:szCs w:val="18"/>
        </w:rPr>
        <w:t>para.</w:t>
      </w:r>
      <w:r w:rsidRPr="00AB725B">
        <w:rPr>
          <w:szCs w:val="18"/>
        </w:rPr>
        <w:t xml:space="preserve"> 699 to 702.</w:t>
      </w:r>
    </w:p>
  </w:footnote>
  <w:footnote w:id="620">
    <w:p w14:paraId="2C2DBB31"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TI-122. </w:t>
      </w:r>
      <w:r>
        <w:rPr>
          <w:szCs w:val="18"/>
        </w:rPr>
        <w:t>See also</w:t>
      </w:r>
      <w:r w:rsidRPr="00AB725B">
        <w:rPr>
          <w:szCs w:val="18"/>
        </w:rPr>
        <w:t xml:space="preserve"> part I.D.1 of this report.</w:t>
      </w:r>
    </w:p>
  </w:footnote>
  <w:footnote w:id="621">
    <w:p w14:paraId="71731194"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See part III.C.5 (a) (iii) of this report.</w:t>
      </w:r>
    </w:p>
  </w:footnote>
  <w:footnote w:id="622">
    <w:p w14:paraId="66763F3E"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The International Criminal Court, </w:t>
      </w:r>
      <w:r w:rsidRPr="00AB725B">
        <w:rPr>
          <w:i/>
          <w:szCs w:val="18"/>
        </w:rPr>
        <w:t>Elements of crimes</w:t>
      </w:r>
      <w:r w:rsidRPr="00160C20">
        <w:rPr>
          <w:szCs w:val="18"/>
        </w:rPr>
        <w:t>, p. 5.</w:t>
      </w:r>
    </w:p>
  </w:footnote>
  <w:footnote w:id="623">
    <w:p w14:paraId="61651DB0"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Article 7 (</w:t>
      </w:r>
      <w:r>
        <w:rPr>
          <w:szCs w:val="18"/>
        </w:rPr>
        <w:t>para.</w:t>
      </w:r>
      <w:r w:rsidRPr="00AB725B">
        <w:rPr>
          <w:szCs w:val="18"/>
        </w:rPr>
        <w:t xml:space="preserve"> 2 a) of the Rome Statute.</w:t>
      </w:r>
    </w:p>
  </w:footnote>
  <w:footnote w:id="624">
    <w:p w14:paraId="7F30E5EA" w14:textId="77777777" w:rsidR="00B831ED" w:rsidRPr="00AB725B" w:rsidRDefault="00B831ED"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Article 7 (</w:t>
      </w:r>
      <w:r>
        <w:rPr>
          <w:szCs w:val="18"/>
        </w:rPr>
        <w:t>para.</w:t>
      </w:r>
      <w:r w:rsidRPr="00AB725B">
        <w:rPr>
          <w:szCs w:val="18"/>
        </w:rPr>
        <w:t xml:space="preserve"> 1) of the Rome Statute.</w:t>
      </w:r>
    </w:p>
  </w:footnote>
  <w:footnote w:id="625">
    <w:p w14:paraId="11F14150" w14:textId="77777777" w:rsidR="00B831ED" w:rsidRPr="00AB725B" w:rsidRDefault="00B831ED" w:rsidP="00DE0634">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International Criminal Tribunal for Rwanda, </w:t>
      </w:r>
      <w:r w:rsidRPr="00AB725B">
        <w:rPr>
          <w:i/>
          <w:szCs w:val="18"/>
        </w:rPr>
        <w:t>Kayishema and Ruzindana</w:t>
      </w:r>
      <w:r w:rsidRPr="00AB725B">
        <w:rPr>
          <w:szCs w:val="18"/>
        </w:rPr>
        <w:t>, judgement, 21 May 1999.</w:t>
      </w:r>
    </w:p>
  </w:footnote>
  <w:footnote w:id="626">
    <w:p w14:paraId="6F6364EA" w14:textId="77777777" w:rsidR="00B831ED" w:rsidRPr="00AB725B" w:rsidRDefault="00B831ED" w:rsidP="00DE0634">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International Criminal Court, </w:t>
      </w:r>
      <w:r w:rsidRPr="00AB725B">
        <w:rPr>
          <w:i/>
          <w:szCs w:val="18"/>
        </w:rPr>
        <w:t>The Prosecut</w:t>
      </w:r>
      <w:r>
        <w:rPr>
          <w:i/>
          <w:szCs w:val="18"/>
        </w:rPr>
        <w:t>o</w:t>
      </w:r>
      <w:r w:rsidRPr="00AB725B">
        <w:rPr>
          <w:i/>
          <w:szCs w:val="18"/>
        </w:rPr>
        <w:t>r against Germain Katanga and Mathieu Ngudjolo Chui</w:t>
      </w:r>
      <w:r w:rsidRPr="00AB725B">
        <w:rPr>
          <w:szCs w:val="18"/>
        </w:rPr>
        <w:t>, 30 September 2008, decision.</w:t>
      </w:r>
    </w:p>
  </w:footnote>
  <w:footnote w:id="627">
    <w:p w14:paraId="53235074" w14:textId="4BA111E1" w:rsidR="00B831ED" w:rsidRPr="00351DE0" w:rsidRDefault="00B831ED" w:rsidP="00DE0634">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351DE0">
        <w:rPr>
          <w:szCs w:val="18"/>
        </w:rPr>
        <w:tab/>
        <w:t>Article 7 (para. 2 a) of Rome Statute.</w:t>
      </w:r>
    </w:p>
  </w:footnote>
  <w:footnote w:id="628">
    <w:p w14:paraId="0CD25E44" w14:textId="77777777" w:rsidR="00B831ED" w:rsidRPr="00AB725B" w:rsidRDefault="00B831ED" w:rsidP="00DE0634">
      <w:pPr>
        <w:pStyle w:val="FootnoteText"/>
        <w:spacing w:line="240" w:lineRule="auto"/>
        <w:ind w:left="1138" w:right="562" w:hanging="1138"/>
        <w:rPr>
          <w:szCs w:val="18"/>
        </w:rPr>
      </w:pPr>
      <w:r w:rsidRPr="00351DE0">
        <w:rPr>
          <w:szCs w:val="18"/>
        </w:rPr>
        <w:tab/>
      </w:r>
      <w:r w:rsidRPr="00AB725B">
        <w:rPr>
          <w:rStyle w:val="FootnoteReference"/>
          <w:szCs w:val="18"/>
        </w:rPr>
        <w:footnoteRef/>
      </w:r>
      <w:r w:rsidRPr="000A0E2D">
        <w:rPr>
          <w:szCs w:val="18"/>
        </w:rPr>
        <w:tab/>
        <w:t xml:space="preserve">International Criminal Tribunal for the Former Yugoslavia, </w:t>
      </w:r>
      <w:r w:rsidRPr="000A0E2D">
        <w:rPr>
          <w:i/>
          <w:szCs w:val="18"/>
        </w:rPr>
        <w:t>The Prosecutor Vs. Dusko Tadic (alias « Dule »)</w:t>
      </w:r>
      <w:r w:rsidRPr="000A0E2D">
        <w:rPr>
          <w:szCs w:val="18"/>
        </w:rPr>
        <w:t xml:space="preserve">, judgment, 7 May 1997. See also decisions made by the </w:t>
      </w:r>
      <w:bookmarkStart w:id="10" w:name="_Hlk39090836"/>
      <w:r w:rsidRPr="000A0E2D">
        <w:rPr>
          <w:szCs w:val="18"/>
        </w:rPr>
        <w:t xml:space="preserve">preliminary chamber </w:t>
      </w:r>
      <w:bookmarkEnd w:id="10"/>
      <w:r w:rsidRPr="000A0E2D">
        <w:rPr>
          <w:szCs w:val="18"/>
        </w:rPr>
        <w:t xml:space="preserve">I of the International Criminal Court in </w:t>
      </w:r>
      <w:r w:rsidRPr="000A0E2D">
        <w:rPr>
          <w:i/>
          <w:szCs w:val="18"/>
        </w:rPr>
        <w:t xml:space="preserve">the Prosecutor Vs. Germain Katenga </w:t>
      </w:r>
      <w:r w:rsidRPr="000A0E2D">
        <w:rPr>
          <w:szCs w:val="18"/>
        </w:rPr>
        <w:t>case</w:t>
      </w:r>
      <w:r w:rsidRPr="000A0E2D">
        <w:rPr>
          <w:i/>
          <w:szCs w:val="18"/>
        </w:rPr>
        <w:t xml:space="preserve"> and Mathieu Ngudjolo Chui</w:t>
      </w:r>
      <w:r w:rsidRPr="000A0E2D">
        <w:rPr>
          <w:szCs w:val="18"/>
        </w:rPr>
        <w:t xml:space="preserve"> and the preliminary chamber II in the case </w:t>
      </w:r>
      <w:r w:rsidRPr="000A0E2D">
        <w:rPr>
          <w:i/>
          <w:szCs w:val="18"/>
        </w:rPr>
        <w:t>The Prosecutor Vs. Jean-Pierre Bemba</w:t>
      </w:r>
      <w:r w:rsidRPr="000A0E2D">
        <w:rPr>
          <w:szCs w:val="18"/>
        </w:rPr>
        <w:t>.</w:t>
      </w:r>
    </w:p>
  </w:footnote>
  <w:footnote w:id="629">
    <w:p w14:paraId="7D770E4C" w14:textId="52CC322A" w:rsidR="00B831ED" w:rsidRPr="00AB725B" w:rsidRDefault="00B831ED" w:rsidP="00546EDB">
      <w:pPr>
        <w:pStyle w:val="FootnoteText"/>
        <w:spacing w:line="240" w:lineRule="auto"/>
        <w:ind w:left="0" w:right="562" w:hanging="1138"/>
        <w:rPr>
          <w:szCs w:val="18"/>
        </w:rPr>
      </w:pPr>
      <w:r w:rsidRPr="00AB725B">
        <w:rPr>
          <w:szCs w:val="18"/>
        </w:rPr>
        <w:tab/>
      </w:r>
      <w:r>
        <w:rPr>
          <w:szCs w:val="18"/>
        </w:rPr>
        <w:tab/>
      </w:r>
      <w:r w:rsidRPr="00AB725B">
        <w:rPr>
          <w:rStyle w:val="FootnoteReference"/>
          <w:szCs w:val="18"/>
        </w:rPr>
        <w:footnoteRef/>
      </w:r>
      <w:r w:rsidRPr="00AB725B">
        <w:rPr>
          <w:szCs w:val="18"/>
        </w:rPr>
        <w:tab/>
        <w:t>Ibid.</w:t>
      </w:r>
    </w:p>
  </w:footnote>
  <w:footnote w:id="630">
    <w:p w14:paraId="5B6C7145" w14:textId="7EAD462D" w:rsidR="00B831ED" w:rsidRPr="00AB725B" w:rsidRDefault="00B831ED" w:rsidP="00546EDB">
      <w:pPr>
        <w:pStyle w:val="FootnoteText"/>
        <w:spacing w:line="240" w:lineRule="auto"/>
        <w:ind w:left="0" w:right="562" w:hanging="1138"/>
        <w:rPr>
          <w:szCs w:val="18"/>
        </w:rPr>
      </w:pPr>
      <w:r w:rsidRPr="00AB725B">
        <w:rPr>
          <w:szCs w:val="18"/>
        </w:rPr>
        <w:tab/>
      </w:r>
      <w:r>
        <w:rPr>
          <w:szCs w:val="18"/>
        </w:rPr>
        <w:tab/>
      </w:r>
      <w:r w:rsidRPr="00AB725B">
        <w:rPr>
          <w:rStyle w:val="FootnoteReference"/>
          <w:szCs w:val="18"/>
        </w:rPr>
        <w:footnoteRef/>
      </w:r>
      <w:r w:rsidRPr="00AB725B">
        <w:rPr>
          <w:szCs w:val="18"/>
        </w:rPr>
        <w:tab/>
        <w:t>See part III.C.5 (a) (iii) of this report.</w:t>
      </w:r>
    </w:p>
  </w:footnote>
  <w:footnote w:id="631">
    <w:p w14:paraId="6A42410D" w14:textId="586A3324" w:rsidR="00B831ED" w:rsidRPr="00AB725B" w:rsidRDefault="00B831ED" w:rsidP="00546EDB">
      <w:pPr>
        <w:pStyle w:val="FootnoteText"/>
        <w:spacing w:line="240" w:lineRule="auto"/>
        <w:ind w:left="0" w:right="562" w:hanging="1138"/>
        <w:rPr>
          <w:szCs w:val="18"/>
        </w:rPr>
      </w:pPr>
      <w:r w:rsidRPr="00AB725B">
        <w:rPr>
          <w:szCs w:val="18"/>
        </w:rPr>
        <w:tab/>
      </w:r>
      <w:r>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682 to 691.  </w:t>
      </w:r>
    </w:p>
  </w:footnote>
  <w:footnote w:id="632">
    <w:p w14:paraId="0AC67986"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International Criminal Court, </w:t>
      </w:r>
      <w:r w:rsidRPr="00AB725B">
        <w:rPr>
          <w:i/>
          <w:szCs w:val="18"/>
        </w:rPr>
        <w:t>Elements of crimes</w:t>
      </w:r>
      <w:r w:rsidRPr="00AB725B">
        <w:rPr>
          <w:szCs w:val="18"/>
        </w:rPr>
        <w:t>, p. 12.</w:t>
      </w:r>
    </w:p>
  </w:footnote>
  <w:footnote w:id="633">
    <w:p w14:paraId="7B30CF6F" w14:textId="77777777" w:rsidR="00B831ED" w:rsidRPr="00AB725B" w:rsidRDefault="00B831ED" w:rsidP="008B68A5">
      <w:pPr>
        <w:pStyle w:val="FootnoteText"/>
        <w:spacing w:line="240" w:lineRule="auto"/>
        <w:ind w:left="0" w:right="562" w:firstLine="0"/>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688 to 691. </w:t>
      </w:r>
    </w:p>
  </w:footnote>
  <w:footnote w:id="634">
    <w:p w14:paraId="1A92D9A6" w14:textId="77777777" w:rsidR="00B831ED" w:rsidRPr="00AB725B" w:rsidRDefault="00B831ED" w:rsidP="00546EDB">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703 to 711. As mentioned earlier in this report, only crimes under international criminal law engage personal responsibility. Violations of human rights engage the state responsibility, in as far as it can be demonstrated that State’s agents or individuals or group of individuals acting under the orders of the State committed one or several incriminating acts.</w:t>
      </w:r>
    </w:p>
  </w:footnote>
  <w:footnote w:id="635">
    <w:p w14:paraId="0EB486C1"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705 to 711.</w:t>
      </w:r>
    </w:p>
  </w:footnote>
  <w:footnote w:id="636">
    <w:p w14:paraId="3EA25E99"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Article 28 (</w:t>
      </w:r>
      <w:r>
        <w:rPr>
          <w:szCs w:val="18"/>
        </w:rPr>
        <w:t>para.</w:t>
      </w:r>
      <w:r w:rsidRPr="00AB725B">
        <w:rPr>
          <w:szCs w:val="18"/>
        </w:rPr>
        <w:t xml:space="preserve"> 1 and 2) of the Rome Statute. </w:t>
      </w:r>
    </w:p>
  </w:footnote>
  <w:footnote w:id="637">
    <w:p w14:paraId="7613EE2B"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158 </w:t>
      </w:r>
      <w:r>
        <w:rPr>
          <w:szCs w:val="18"/>
        </w:rPr>
        <w:t>to</w:t>
      </w:r>
      <w:r w:rsidRPr="00AB725B">
        <w:rPr>
          <w:szCs w:val="18"/>
        </w:rPr>
        <w:t xml:space="preserve"> 183 and 706, 707, 708 and 710.</w:t>
      </w:r>
    </w:p>
  </w:footnote>
  <w:footnote w:id="638">
    <w:p w14:paraId="75A4D89C"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PI-275, QI-279, TI-122, TI-134, XI-114, ZI-036. </w:t>
      </w:r>
    </w:p>
  </w:footnote>
  <w:footnote w:id="639">
    <w:p w14:paraId="5016D594"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QI-275, TI-122, TI-156, TI-161. </w:t>
      </w:r>
      <w:r>
        <w:rPr>
          <w:szCs w:val="18"/>
        </w:rPr>
        <w:t>See also</w:t>
      </w:r>
      <w:r w:rsidRPr="00AB725B">
        <w:rPr>
          <w:szCs w:val="18"/>
        </w:rPr>
        <w:t xml:space="preserve">: A/HRC/36/CRP.1, </w:t>
      </w:r>
      <w:r>
        <w:rPr>
          <w:szCs w:val="18"/>
        </w:rPr>
        <w:t>para.</w:t>
      </w:r>
      <w:r w:rsidRPr="00AB725B">
        <w:rPr>
          <w:szCs w:val="18"/>
        </w:rPr>
        <w:t xml:space="preserve"> 709.</w:t>
      </w:r>
    </w:p>
  </w:footnote>
  <w:footnote w:id="640">
    <w:p w14:paraId="170C60D1"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See part III.B.1 (a) (ii) of this report.</w:t>
      </w:r>
    </w:p>
  </w:footnote>
  <w:footnote w:id="641">
    <w:p w14:paraId="50EAE16E"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For further details, see: A/HRC/36/CRP.1, </w:t>
      </w:r>
      <w:r>
        <w:rPr>
          <w:szCs w:val="18"/>
        </w:rPr>
        <w:t>para.</w:t>
      </w:r>
      <w:r w:rsidRPr="00AB725B">
        <w:rPr>
          <w:szCs w:val="18"/>
        </w:rPr>
        <w:t xml:space="preserve"> 182, 183 and 710.</w:t>
      </w:r>
    </w:p>
  </w:footnote>
  <w:footnote w:id="642">
    <w:p w14:paraId="5DD718F1"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TI-070, QI-261, XI-081, XI-054.</w:t>
      </w:r>
    </w:p>
  </w:footnote>
  <w:footnote w:id="643">
    <w:p w14:paraId="1FE4C98B"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QI-217, QI-275, QI-277, TI-070, TI-122, TI-161, ZI-011.</w:t>
      </w:r>
    </w:p>
  </w:footnote>
  <w:footnote w:id="644">
    <w:p w14:paraId="271493DE"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QI-217, QI-275, QI-277. </w:t>
      </w:r>
    </w:p>
  </w:footnote>
  <w:footnote w:id="645">
    <w:p w14:paraId="5B79723B" w14:textId="77777777" w:rsidR="00B831ED" w:rsidRPr="00AB725B" w:rsidRDefault="00B831ED"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JI-030, TI-064-TI-070, TI-072, TI-122, TI-124, TI-161, XI-079, ZI-011.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B232" w14:textId="1D54267A" w:rsidR="00B831ED" w:rsidRPr="00EA0114" w:rsidRDefault="00B831ED">
    <w:pPr>
      <w:pStyle w:val="Header"/>
    </w:pPr>
    <w:r>
      <w:fldChar w:fldCharType="begin"/>
    </w:r>
    <w:r>
      <w:instrText xml:space="preserve">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B71B8" w14:textId="1218CE67" w:rsidR="00B831ED" w:rsidRPr="00EA0114" w:rsidRDefault="00B831ED" w:rsidP="00EA0114">
    <w:pPr>
      <w:pStyle w:val="Header"/>
      <w:jc w:val="right"/>
    </w:pPr>
    <w:r>
      <w:fldChar w:fldCharType="begin"/>
    </w:r>
    <w:r>
      <w:instrText xml:space="preserve">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27C"/>
    <w:multiLevelType w:val="hybridMultilevel"/>
    <w:tmpl w:val="7EAE3DC6"/>
    <w:lvl w:ilvl="0" w:tplc="2696D4CE">
      <w:start w:val="1"/>
      <w:numFmt w:val="lowerLetter"/>
      <w:lvlText w:val="%1)"/>
      <w:lvlJc w:val="left"/>
      <w:pPr>
        <w:ind w:left="2061" w:hanging="360"/>
      </w:pPr>
      <w:rPr>
        <w:rFonts w:ascii="Times New Roman" w:eastAsiaTheme="minorHAnsi"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15:restartNumberingAfterBreak="0">
    <w:nsid w:val="005744B3"/>
    <w:multiLevelType w:val="hybridMultilevel"/>
    <w:tmpl w:val="E230C6EE"/>
    <w:lvl w:ilvl="0" w:tplc="B9CEB130">
      <w:start w:val="1"/>
      <w:numFmt w:val="none"/>
      <w:lvlText w:val="(i)"/>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 w15:restartNumberingAfterBreak="0">
    <w:nsid w:val="00FE2FBF"/>
    <w:multiLevelType w:val="hybridMultilevel"/>
    <w:tmpl w:val="259EABA8"/>
    <w:lvl w:ilvl="0" w:tplc="4DDC822A">
      <w:start w:val="1"/>
      <w:numFmt w:val="lowerLetter"/>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876DB8"/>
    <w:multiLevelType w:val="hybridMultilevel"/>
    <w:tmpl w:val="174C195A"/>
    <w:lvl w:ilvl="0" w:tplc="41C473E0">
      <w:start w:val="2"/>
      <w:numFmt w:val="lowerRoman"/>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 w15:restartNumberingAfterBreak="0">
    <w:nsid w:val="0A980D9E"/>
    <w:multiLevelType w:val="hybridMultilevel"/>
    <w:tmpl w:val="0C8803F4"/>
    <w:lvl w:ilvl="0" w:tplc="E0A83F84">
      <w:start w:val="5"/>
      <w:numFmt w:val="upperLetter"/>
      <w:lvlText w:val="%1."/>
      <w:lvlJc w:val="left"/>
      <w:pPr>
        <w:ind w:left="1211" w:hanging="360"/>
      </w:pPr>
      <w:rPr>
        <w:rFonts w:hint="default"/>
      </w:rPr>
    </w:lvl>
    <w:lvl w:ilvl="1" w:tplc="08090019" w:tentative="1">
      <w:start w:val="1"/>
      <w:numFmt w:val="lowerLetter"/>
      <w:lvlText w:val="%2."/>
      <w:lvlJc w:val="left"/>
      <w:pPr>
        <w:ind w:left="1211" w:hanging="360"/>
      </w:pPr>
    </w:lvl>
    <w:lvl w:ilvl="2" w:tplc="0809001B" w:tentative="1">
      <w:start w:val="1"/>
      <w:numFmt w:val="lowerRoman"/>
      <w:lvlText w:val="%3."/>
      <w:lvlJc w:val="right"/>
      <w:pPr>
        <w:ind w:left="1931" w:hanging="180"/>
      </w:pPr>
    </w:lvl>
    <w:lvl w:ilvl="3" w:tplc="0809000F" w:tentative="1">
      <w:start w:val="1"/>
      <w:numFmt w:val="decimal"/>
      <w:lvlText w:val="%4."/>
      <w:lvlJc w:val="left"/>
      <w:pPr>
        <w:ind w:left="2651" w:hanging="360"/>
      </w:pPr>
    </w:lvl>
    <w:lvl w:ilvl="4" w:tplc="08090019" w:tentative="1">
      <w:start w:val="1"/>
      <w:numFmt w:val="lowerLetter"/>
      <w:lvlText w:val="%5."/>
      <w:lvlJc w:val="left"/>
      <w:pPr>
        <w:ind w:left="3371" w:hanging="360"/>
      </w:pPr>
    </w:lvl>
    <w:lvl w:ilvl="5" w:tplc="0809001B" w:tentative="1">
      <w:start w:val="1"/>
      <w:numFmt w:val="lowerRoman"/>
      <w:lvlText w:val="%6."/>
      <w:lvlJc w:val="right"/>
      <w:pPr>
        <w:ind w:left="4091" w:hanging="180"/>
      </w:pPr>
    </w:lvl>
    <w:lvl w:ilvl="6" w:tplc="0809000F" w:tentative="1">
      <w:start w:val="1"/>
      <w:numFmt w:val="decimal"/>
      <w:lvlText w:val="%7."/>
      <w:lvlJc w:val="left"/>
      <w:pPr>
        <w:ind w:left="4811" w:hanging="360"/>
      </w:pPr>
    </w:lvl>
    <w:lvl w:ilvl="7" w:tplc="08090019" w:tentative="1">
      <w:start w:val="1"/>
      <w:numFmt w:val="lowerLetter"/>
      <w:lvlText w:val="%8."/>
      <w:lvlJc w:val="left"/>
      <w:pPr>
        <w:ind w:left="5531" w:hanging="360"/>
      </w:pPr>
    </w:lvl>
    <w:lvl w:ilvl="8" w:tplc="0809001B" w:tentative="1">
      <w:start w:val="1"/>
      <w:numFmt w:val="lowerRoman"/>
      <w:lvlText w:val="%9."/>
      <w:lvlJc w:val="right"/>
      <w:pPr>
        <w:ind w:left="6251" w:hanging="180"/>
      </w:pPr>
    </w:lvl>
  </w:abstractNum>
  <w:abstractNum w:abstractNumId="5" w15:restartNumberingAfterBreak="0">
    <w:nsid w:val="0BBB2908"/>
    <w:multiLevelType w:val="hybridMultilevel"/>
    <w:tmpl w:val="F244D506"/>
    <w:lvl w:ilvl="0" w:tplc="CABC2464">
      <w:start w:val="1"/>
      <w:numFmt w:val="lowerRoman"/>
      <w:lvlText w:val="%1)"/>
      <w:lvlJc w:val="left"/>
      <w:pPr>
        <w:ind w:left="3620" w:hanging="360"/>
      </w:pPr>
      <w:rPr>
        <w:rFonts w:ascii="Times New Roman" w:eastAsiaTheme="minorHAnsi" w:hAnsi="Times New Roman" w:cs="Times New Roman"/>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DA15BF"/>
    <w:multiLevelType w:val="hybridMultilevel"/>
    <w:tmpl w:val="E42C2740"/>
    <w:lvl w:ilvl="0" w:tplc="F7BA2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A55CE5"/>
    <w:multiLevelType w:val="hybridMultilevel"/>
    <w:tmpl w:val="4BDCC736"/>
    <w:lvl w:ilvl="0" w:tplc="D5547922">
      <w:start w:val="4"/>
      <w:numFmt w:val="lowerLetter"/>
      <w:lvlText w:val="(%1)"/>
      <w:lvlJc w:val="left"/>
      <w:pPr>
        <w:ind w:left="927" w:hanging="360"/>
      </w:pPr>
      <w:rPr>
        <w:rFonts w:hint="default"/>
        <w:i w:val="0"/>
        <w:i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A6B8A"/>
    <w:multiLevelType w:val="hybridMultilevel"/>
    <w:tmpl w:val="BCBC11E4"/>
    <w:lvl w:ilvl="0" w:tplc="BDC83694">
      <w:start w:val="1"/>
      <w:numFmt w:val="lowerRoman"/>
      <w:lvlText w:val="%1)"/>
      <w:lvlJc w:val="left"/>
      <w:pPr>
        <w:ind w:left="3479" w:hanging="360"/>
      </w:pPr>
      <w:rPr>
        <w:rFonts w:ascii="Times New Roman" w:eastAsia="Times New Roman" w:hAnsi="Times New Roman" w:cs="Times New Roman"/>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10" w15:restartNumberingAfterBreak="0">
    <w:nsid w:val="18A948DA"/>
    <w:multiLevelType w:val="hybridMultilevel"/>
    <w:tmpl w:val="F68ACDB8"/>
    <w:lvl w:ilvl="0" w:tplc="99F275B0">
      <w:start w:val="8"/>
      <w:numFmt w:val="lowerLetter"/>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9699D"/>
    <w:multiLevelType w:val="hybridMultilevel"/>
    <w:tmpl w:val="D71614F4"/>
    <w:lvl w:ilvl="0" w:tplc="4DDC822A">
      <w:start w:val="1"/>
      <w:numFmt w:val="lowerLetter"/>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2" w15:restartNumberingAfterBreak="0">
    <w:nsid w:val="1ED92283"/>
    <w:multiLevelType w:val="hybridMultilevel"/>
    <w:tmpl w:val="6A6C0762"/>
    <w:lvl w:ilvl="0" w:tplc="C180F810">
      <w:start w:val="2"/>
      <w:numFmt w:val="lowerLetter"/>
      <w:lvlText w:val="(%1)"/>
      <w:lvlJc w:val="left"/>
      <w:pPr>
        <w:ind w:left="1211"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F5A1E"/>
    <w:multiLevelType w:val="hybridMultilevel"/>
    <w:tmpl w:val="839673A8"/>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14" w15:restartNumberingAfterBreak="0">
    <w:nsid w:val="20E239A2"/>
    <w:multiLevelType w:val="hybridMultilevel"/>
    <w:tmpl w:val="D71614F4"/>
    <w:lvl w:ilvl="0" w:tplc="4DDC822A">
      <w:start w:val="1"/>
      <w:numFmt w:val="lowerLetter"/>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5" w15:restartNumberingAfterBreak="0">
    <w:nsid w:val="231C332A"/>
    <w:multiLevelType w:val="hybridMultilevel"/>
    <w:tmpl w:val="53381006"/>
    <w:lvl w:ilvl="0" w:tplc="1396B7A4">
      <w:start w:val="1"/>
      <w:numFmt w:val="lowerRoman"/>
      <w:lvlText w:val="%1)"/>
      <w:lvlJc w:val="left"/>
      <w:pPr>
        <w:ind w:left="3249" w:hanging="360"/>
      </w:pPr>
      <w:rPr>
        <w:rFonts w:ascii="Times New Roman" w:eastAsiaTheme="minorHAnsi" w:hAnsi="Times New Roman" w:cs="Times New Roman"/>
      </w:rPr>
    </w:lvl>
    <w:lvl w:ilvl="1" w:tplc="08090003">
      <w:start w:val="1"/>
      <w:numFmt w:val="bullet"/>
      <w:lvlText w:val="o"/>
      <w:lvlJc w:val="left"/>
      <w:pPr>
        <w:ind w:left="3969" w:hanging="360"/>
      </w:pPr>
      <w:rPr>
        <w:rFonts w:ascii="Courier New" w:hAnsi="Courier New" w:cs="Courier New" w:hint="default"/>
      </w:rPr>
    </w:lvl>
    <w:lvl w:ilvl="2" w:tplc="08090005" w:tentative="1">
      <w:start w:val="1"/>
      <w:numFmt w:val="bullet"/>
      <w:lvlText w:val=""/>
      <w:lvlJc w:val="left"/>
      <w:pPr>
        <w:ind w:left="4689" w:hanging="360"/>
      </w:pPr>
      <w:rPr>
        <w:rFonts w:ascii="Wingdings" w:hAnsi="Wingdings" w:hint="default"/>
      </w:rPr>
    </w:lvl>
    <w:lvl w:ilvl="3" w:tplc="08090001" w:tentative="1">
      <w:start w:val="1"/>
      <w:numFmt w:val="bullet"/>
      <w:lvlText w:val=""/>
      <w:lvlJc w:val="left"/>
      <w:pPr>
        <w:ind w:left="5409" w:hanging="360"/>
      </w:pPr>
      <w:rPr>
        <w:rFonts w:ascii="Symbol" w:hAnsi="Symbol" w:hint="default"/>
      </w:rPr>
    </w:lvl>
    <w:lvl w:ilvl="4" w:tplc="08090003" w:tentative="1">
      <w:start w:val="1"/>
      <w:numFmt w:val="bullet"/>
      <w:lvlText w:val="o"/>
      <w:lvlJc w:val="left"/>
      <w:pPr>
        <w:ind w:left="6129" w:hanging="360"/>
      </w:pPr>
      <w:rPr>
        <w:rFonts w:ascii="Courier New" w:hAnsi="Courier New" w:cs="Courier New" w:hint="default"/>
      </w:rPr>
    </w:lvl>
    <w:lvl w:ilvl="5" w:tplc="08090005" w:tentative="1">
      <w:start w:val="1"/>
      <w:numFmt w:val="bullet"/>
      <w:lvlText w:val=""/>
      <w:lvlJc w:val="left"/>
      <w:pPr>
        <w:ind w:left="6849" w:hanging="360"/>
      </w:pPr>
      <w:rPr>
        <w:rFonts w:ascii="Wingdings" w:hAnsi="Wingdings" w:hint="default"/>
      </w:rPr>
    </w:lvl>
    <w:lvl w:ilvl="6" w:tplc="08090001" w:tentative="1">
      <w:start w:val="1"/>
      <w:numFmt w:val="bullet"/>
      <w:lvlText w:val=""/>
      <w:lvlJc w:val="left"/>
      <w:pPr>
        <w:ind w:left="7569" w:hanging="360"/>
      </w:pPr>
      <w:rPr>
        <w:rFonts w:ascii="Symbol" w:hAnsi="Symbol" w:hint="default"/>
      </w:rPr>
    </w:lvl>
    <w:lvl w:ilvl="7" w:tplc="08090003" w:tentative="1">
      <w:start w:val="1"/>
      <w:numFmt w:val="bullet"/>
      <w:lvlText w:val="o"/>
      <w:lvlJc w:val="left"/>
      <w:pPr>
        <w:ind w:left="8289" w:hanging="360"/>
      </w:pPr>
      <w:rPr>
        <w:rFonts w:ascii="Courier New" w:hAnsi="Courier New" w:cs="Courier New" w:hint="default"/>
      </w:rPr>
    </w:lvl>
    <w:lvl w:ilvl="8" w:tplc="08090005" w:tentative="1">
      <w:start w:val="1"/>
      <w:numFmt w:val="bullet"/>
      <w:lvlText w:val=""/>
      <w:lvlJc w:val="left"/>
      <w:pPr>
        <w:ind w:left="9009" w:hanging="360"/>
      </w:pPr>
      <w:rPr>
        <w:rFonts w:ascii="Wingdings" w:hAnsi="Wingdings" w:hint="default"/>
      </w:rPr>
    </w:lvl>
  </w:abstractNum>
  <w:abstractNum w:abstractNumId="16" w15:restartNumberingAfterBreak="0">
    <w:nsid w:val="2492264F"/>
    <w:multiLevelType w:val="hybridMultilevel"/>
    <w:tmpl w:val="7046AA6E"/>
    <w:lvl w:ilvl="0" w:tplc="E6086B5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345AC3"/>
    <w:multiLevelType w:val="hybridMultilevel"/>
    <w:tmpl w:val="55AAF176"/>
    <w:lvl w:ilvl="0" w:tplc="9B1E4F30">
      <w:start w:val="1"/>
      <w:numFmt w:val="lowerRoman"/>
      <w:lvlText w:val="(%1)"/>
      <w:lvlJc w:val="left"/>
      <w:pPr>
        <w:ind w:left="704"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70D34"/>
    <w:multiLevelType w:val="hybridMultilevel"/>
    <w:tmpl w:val="F9AAAA8E"/>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19" w15:restartNumberingAfterBreak="0">
    <w:nsid w:val="2F080EE2"/>
    <w:multiLevelType w:val="hybridMultilevel"/>
    <w:tmpl w:val="5786496A"/>
    <w:lvl w:ilvl="0" w:tplc="B3AAFBEE">
      <w:start w:val="2"/>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A205CA"/>
    <w:multiLevelType w:val="hybridMultilevel"/>
    <w:tmpl w:val="69007DEE"/>
    <w:lvl w:ilvl="0" w:tplc="B6BA70A8">
      <w:start w:val="1"/>
      <w:numFmt w:val="lowerLetter"/>
      <w:lvlText w:val="%1."/>
      <w:lvlJc w:val="left"/>
      <w:pPr>
        <w:ind w:left="1160" w:hanging="44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CD7733"/>
    <w:multiLevelType w:val="hybridMultilevel"/>
    <w:tmpl w:val="BBCAB56A"/>
    <w:lvl w:ilvl="0" w:tplc="F7BA2D5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394143AB"/>
    <w:multiLevelType w:val="hybridMultilevel"/>
    <w:tmpl w:val="3BDA8B3A"/>
    <w:lvl w:ilvl="0" w:tplc="91D4DDAA">
      <w:start w:val="1"/>
      <w:numFmt w:val="lowerRoman"/>
      <w:lvlText w:val="%1."/>
      <w:lvlJc w:val="left"/>
      <w:pPr>
        <w:ind w:left="1648" w:hanging="720"/>
      </w:pPr>
      <w:rPr>
        <w:rFonts w:hint="default"/>
        <w:color w:val="000000" w:themeColor="text1"/>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3" w15:restartNumberingAfterBreak="0">
    <w:nsid w:val="408B437D"/>
    <w:multiLevelType w:val="hybridMultilevel"/>
    <w:tmpl w:val="7D5258FC"/>
    <w:lvl w:ilvl="0" w:tplc="41C473E0">
      <w:start w:val="2"/>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82D50"/>
    <w:multiLevelType w:val="hybridMultilevel"/>
    <w:tmpl w:val="A65A3350"/>
    <w:lvl w:ilvl="0" w:tplc="08146632">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276F7"/>
    <w:multiLevelType w:val="hybridMultilevel"/>
    <w:tmpl w:val="57FE4640"/>
    <w:lvl w:ilvl="0" w:tplc="A9247980">
      <w:start w:val="6"/>
      <w:numFmt w:val="decimal"/>
      <w:lvlText w:val="%1."/>
      <w:lvlJc w:val="left"/>
      <w:pPr>
        <w:ind w:left="185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26" w15:restartNumberingAfterBreak="0">
    <w:nsid w:val="42C6563F"/>
    <w:multiLevelType w:val="hybridMultilevel"/>
    <w:tmpl w:val="B36E38CA"/>
    <w:lvl w:ilvl="0" w:tplc="FD147E9E">
      <w:start w:val="1"/>
      <w:numFmt w:val="lowerRoman"/>
      <w:lvlText w:val="%1)"/>
      <w:lvlJc w:val="left"/>
      <w:pPr>
        <w:ind w:left="3479" w:hanging="360"/>
      </w:pPr>
      <w:rPr>
        <w:rFonts w:ascii="Times New Roman" w:eastAsiaTheme="minorHAnsi" w:hAnsi="Times New Roman" w:cs="Times New Roman"/>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27" w15:restartNumberingAfterBreak="0">
    <w:nsid w:val="4A310419"/>
    <w:multiLevelType w:val="hybridMultilevel"/>
    <w:tmpl w:val="99ACD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AEC59AE">
      <w:start w:val="1"/>
      <w:numFmt w:val="lowerLetter"/>
      <w:lvlText w:val="%3)"/>
      <w:lvlJc w:val="left"/>
      <w:pPr>
        <w:ind w:left="2160" w:hanging="180"/>
      </w:pPr>
      <w:rPr>
        <w:rFonts w:ascii="Times New Roman" w:eastAsiaTheme="minorHAnsi" w:hAnsi="Times New Roman" w:cs="Times New Roman"/>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46B00"/>
    <w:multiLevelType w:val="hybridMultilevel"/>
    <w:tmpl w:val="6A9204FE"/>
    <w:lvl w:ilvl="0" w:tplc="D0AAC030">
      <w:start w:val="6"/>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526402DE"/>
    <w:multiLevelType w:val="hybridMultilevel"/>
    <w:tmpl w:val="174C195A"/>
    <w:lvl w:ilvl="0" w:tplc="41C473E0">
      <w:start w:val="2"/>
      <w:numFmt w:val="lowerRoman"/>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0" w15:restartNumberingAfterBreak="0">
    <w:nsid w:val="527A6335"/>
    <w:multiLevelType w:val="hybridMultilevel"/>
    <w:tmpl w:val="8DDCD97C"/>
    <w:lvl w:ilvl="0" w:tplc="E6086B58">
      <w:start w:val="1"/>
      <w:numFmt w:val="lowerLetter"/>
      <w:lvlText w:val="(%1)"/>
      <w:lvlJc w:val="left"/>
      <w:pPr>
        <w:ind w:left="927" w:hanging="360"/>
      </w:pPr>
      <w:rPr>
        <w:rFonts w:hint="default"/>
        <w:color w:val="000000" w:themeColor="text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53EC448D"/>
    <w:multiLevelType w:val="hybridMultilevel"/>
    <w:tmpl w:val="02BC2898"/>
    <w:lvl w:ilvl="0" w:tplc="C8CE21E6">
      <w:start w:val="7"/>
      <w:numFmt w:val="lowerLetter"/>
      <w:lvlText w:val="%1)"/>
      <w:lvlJc w:val="left"/>
      <w:pPr>
        <w:ind w:left="1854" w:hanging="360"/>
      </w:pPr>
      <w:rPr>
        <w:rFonts w:hint="default"/>
        <w:b w:val="0"/>
      </w:rPr>
    </w:lvl>
    <w:lvl w:ilvl="1" w:tplc="04090019" w:tentative="1">
      <w:start w:val="1"/>
      <w:numFmt w:val="lowerLetter"/>
      <w:lvlText w:val="%2."/>
      <w:lvlJc w:val="left"/>
      <w:pPr>
        <w:ind w:left="954" w:hanging="360"/>
      </w:pPr>
    </w:lvl>
    <w:lvl w:ilvl="2" w:tplc="0409001B" w:tentative="1">
      <w:start w:val="1"/>
      <w:numFmt w:val="lowerRoman"/>
      <w:lvlText w:val="%3."/>
      <w:lvlJc w:val="right"/>
      <w:pPr>
        <w:ind w:left="1674" w:hanging="180"/>
      </w:pPr>
    </w:lvl>
    <w:lvl w:ilvl="3" w:tplc="0409000F" w:tentative="1">
      <w:start w:val="1"/>
      <w:numFmt w:val="decimal"/>
      <w:lvlText w:val="%4."/>
      <w:lvlJc w:val="left"/>
      <w:pPr>
        <w:ind w:left="2394" w:hanging="360"/>
      </w:pPr>
    </w:lvl>
    <w:lvl w:ilvl="4" w:tplc="04090019" w:tentative="1">
      <w:start w:val="1"/>
      <w:numFmt w:val="lowerLetter"/>
      <w:lvlText w:val="%5."/>
      <w:lvlJc w:val="left"/>
      <w:pPr>
        <w:ind w:left="3114" w:hanging="360"/>
      </w:pPr>
    </w:lvl>
    <w:lvl w:ilvl="5" w:tplc="0409001B" w:tentative="1">
      <w:start w:val="1"/>
      <w:numFmt w:val="lowerRoman"/>
      <w:lvlText w:val="%6."/>
      <w:lvlJc w:val="right"/>
      <w:pPr>
        <w:ind w:left="3834" w:hanging="180"/>
      </w:pPr>
    </w:lvl>
    <w:lvl w:ilvl="6" w:tplc="0409000F" w:tentative="1">
      <w:start w:val="1"/>
      <w:numFmt w:val="decimal"/>
      <w:lvlText w:val="%7."/>
      <w:lvlJc w:val="left"/>
      <w:pPr>
        <w:ind w:left="4554" w:hanging="360"/>
      </w:pPr>
    </w:lvl>
    <w:lvl w:ilvl="7" w:tplc="04090019" w:tentative="1">
      <w:start w:val="1"/>
      <w:numFmt w:val="lowerLetter"/>
      <w:lvlText w:val="%8."/>
      <w:lvlJc w:val="left"/>
      <w:pPr>
        <w:ind w:left="5274" w:hanging="360"/>
      </w:pPr>
    </w:lvl>
    <w:lvl w:ilvl="8" w:tplc="0409001B" w:tentative="1">
      <w:start w:val="1"/>
      <w:numFmt w:val="lowerRoman"/>
      <w:lvlText w:val="%9."/>
      <w:lvlJc w:val="right"/>
      <w:pPr>
        <w:ind w:left="5994" w:hanging="180"/>
      </w:pPr>
    </w:lvl>
  </w:abstractNum>
  <w:abstractNum w:abstractNumId="32" w15:restartNumberingAfterBreak="0">
    <w:nsid w:val="5D345E56"/>
    <w:multiLevelType w:val="hybridMultilevel"/>
    <w:tmpl w:val="86F618CA"/>
    <w:lvl w:ilvl="0" w:tplc="3D7655FC">
      <w:start w:val="1"/>
      <w:numFmt w:val="lowerLetter"/>
      <w:lvlText w:val="%1)"/>
      <w:lvlJc w:val="left"/>
      <w:pPr>
        <w:ind w:left="1854" w:hanging="360"/>
      </w:pPr>
      <w:rPr>
        <w:rFonts w:ascii="Times New Roman" w:eastAsiaTheme="minorHAnsi" w:hAnsi="Times New Roman" w:cs="Times New Roman"/>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63C53EAE"/>
    <w:multiLevelType w:val="hybridMultilevel"/>
    <w:tmpl w:val="ECD417CE"/>
    <w:lvl w:ilvl="0" w:tplc="635C507A">
      <w:start w:val="382"/>
      <w:numFmt w:val="decimal"/>
      <w:lvlText w:val="%1. "/>
      <w:lvlJc w:val="left"/>
      <w:pPr>
        <w:ind w:left="1440" w:hanging="360"/>
      </w:pPr>
      <w:rPr>
        <w:rFonts w:hint="default"/>
        <w:b w:val="0"/>
        <w:i w:val="0"/>
        <w:color w:val="000000" w:themeColor="text1"/>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6694087C"/>
    <w:multiLevelType w:val="hybridMultilevel"/>
    <w:tmpl w:val="5E1AA31C"/>
    <w:lvl w:ilvl="0" w:tplc="FF4CCA7E">
      <w:start w:val="1"/>
      <w:numFmt w:val="lowerRoman"/>
      <w:lvlText w:val="%1)"/>
      <w:lvlJc w:val="left"/>
      <w:pPr>
        <w:ind w:left="3620" w:hanging="360"/>
      </w:pPr>
      <w:rPr>
        <w:rFonts w:ascii="Times New Roman" w:eastAsia="Times New Roman" w:hAnsi="Times New Roman" w:cs="Times New Roman"/>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35" w15:restartNumberingAfterBreak="0">
    <w:nsid w:val="67446C7E"/>
    <w:multiLevelType w:val="hybridMultilevel"/>
    <w:tmpl w:val="AE906A80"/>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3B02EB"/>
    <w:multiLevelType w:val="hybridMultilevel"/>
    <w:tmpl w:val="3E52419E"/>
    <w:lvl w:ilvl="0" w:tplc="08306064">
      <w:start w:val="493"/>
      <w:numFmt w:val="decimal"/>
      <w:pStyle w:val="SingleTxtG-Withnumbering"/>
      <w:lvlText w:val="%1."/>
      <w:lvlJc w:val="left"/>
      <w:pPr>
        <w:ind w:left="1920" w:hanging="360"/>
      </w:pPr>
      <w:rPr>
        <w:rFonts w:hint="default"/>
        <w:b w:val="0"/>
        <w:i w:val="0"/>
        <w:sz w:val="20"/>
        <w:szCs w:val="20"/>
        <w:vertAlign w:val="baseline"/>
      </w:rPr>
    </w:lvl>
    <w:lvl w:ilvl="1" w:tplc="F4CCD84C">
      <w:start w:val="1"/>
      <w:numFmt w:val="lowerLetter"/>
      <w:lvlText w:val="(%2)"/>
      <w:lvlJc w:val="left"/>
      <w:pPr>
        <w:ind w:left="3149" w:hanging="510"/>
      </w:pPr>
      <w:rPr>
        <w:rFonts w:hint="default"/>
      </w:r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38" w15:restartNumberingAfterBreak="0">
    <w:nsid w:val="6D8B393B"/>
    <w:multiLevelType w:val="hybridMultilevel"/>
    <w:tmpl w:val="A2E236D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15:restartNumberingAfterBreak="0">
    <w:nsid w:val="6E8D7606"/>
    <w:multiLevelType w:val="hybridMultilevel"/>
    <w:tmpl w:val="2620EBFC"/>
    <w:lvl w:ilvl="0" w:tplc="5BBCD87E">
      <w:start w:val="3"/>
      <w:numFmt w:val="lowerLetter"/>
      <w:lvlText w:val="(%1)"/>
      <w:lvlJc w:val="left"/>
      <w:pPr>
        <w:ind w:left="1211" w:hanging="360"/>
      </w:pPr>
      <w:rPr>
        <w:rFonts w:hint="default"/>
        <w:color w:val="000000" w:themeColor="text1"/>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0" w15:restartNumberingAfterBreak="0">
    <w:nsid w:val="6FF151F0"/>
    <w:multiLevelType w:val="hybridMultilevel"/>
    <w:tmpl w:val="5F48A300"/>
    <w:lvl w:ilvl="0" w:tplc="64D2241A">
      <w:start w:val="5"/>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DA5227"/>
    <w:multiLevelType w:val="hybridMultilevel"/>
    <w:tmpl w:val="8FEA7C0E"/>
    <w:lvl w:ilvl="0" w:tplc="9656D33C">
      <w:start w:val="1"/>
      <w:numFmt w:val="lowerLetter"/>
      <w:lvlText w:val="%1)"/>
      <w:lvlJc w:val="left"/>
      <w:pPr>
        <w:ind w:left="1854" w:hanging="360"/>
      </w:pPr>
      <w:rPr>
        <w:rFonts w:hint="default"/>
        <w:b w: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7D51661D"/>
    <w:multiLevelType w:val="hybridMultilevel"/>
    <w:tmpl w:val="5FBC34D8"/>
    <w:lvl w:ilvl="0" w:tplc="04090015">
      <w:start w:val="1"/>
      <w:numFmt w:val="upperLetter"/>
      <w:lvlText w:val="%1."/>
      <w:lvlJc w:val="left"/>
      <w:pPr>
        <w:ind w:left="1341" w:hanging="360"/>
      </w:pPr>
    </w:lvl>
    <w:lvl w:ilvl="1" w:tplc="08090019" w:tentative="1">
      <w:start w:val="1"/>
      <w:numFmt w:val="lowerLetter"/>
      <w:lvlText w:val="%2."/>
      <w:lvlJc w:val="left"/>
      <w:pPr>
        <w:ind w:left="2061" w:hanging="360"/>
      </w:pPr>
    </w:lvl>
    <w:lvl w:ilvl="2" w:tplc="0809001B" w:tentative="1">
      <w:start w:val="1"/>
      <w:numFmt w:val="lowerRoman"/>
      <w:lvlText w:val="%3."/>
      <w:lvlJc w:val="right"/>
      <w:pPr>
        <w:ind w:left="2781" w:hanging="180"/>
      </w:pPr>
    </w:lvl>
    <w:lvl w:ilvl="3" w:tplc="0809000F" w:tentative="1">
      <w:start w:val="1"/>
      <w:numFmt w:val="decimal"/>
      <w:lvlText w:val="%4."/>
      <w:lvlJc w:val="left"/>
      <w:pPr>
        <w:ind w:left="3501" w:hanging="360"/>
      </w:pPr>
    </w:lvl>
    <w:lvl w:ilvl="4" w:tplc="08090019" w:tentative="1">
      <w:start w:val="1"/>
      <w:numFmt w:val="lowerLetter"/>
      <w:lvlText w:val="%5."/>
      <w:lvlJc w:val="left"/>
      <w:pPr>
        <w:ind w:left="4221" w:hanging="360"/>
      </w:pPr>
    </w:lvl>
    <w:lvl w:ilvl="5" w:tplc="0809001B" w:tentative="1">
      <w:start w:val="1"/>
      <w:numFmt w:val="lowerRoman"/>
      <w:lvlText w:val="%6."/>
      <w:lvlJc w:val="right"/>
      <w:pPr>
        <w:ind w:left="4941" w:hanging="180"/>
      </w:pPr>
    </w:lvl>
    <w:lvl w:ilvl="6" w:tplc="0809000F" w:tentative="1">
      <w:start w:val="1"/>
      <w:numFmt w:val="decimal"/>
      <w:lvlText w:val="%7."/>
      <w:lvlJc w:val="left"/>
      <w:pPr>
        <w:ind w:left="5661" w:hanging="360"/>
      </w:pPr>
    </w:lvl>
    <w:lvl w:ilvl="7" w:tplc="08090019" w:tentative="1">
      <w:start w:val="1"/>
      <w:numFmt w:val="lowerLetter"/>
      <w:lvlText w:val="%8."/>
      <w:lvlJc w:val="left"/>
      <w:pPr>
        <w:ind w:left="6381" w:hanging="360"/>
      </w:pPr>
    </w:lvl>
    <w:lvl w:ilvl="8" w:tplc="0809001B" w:tentative="1">
      <w:start w:val="1"/>
      <w:numFmt w:val="lowerRoman"/>
      <w:lvlText w:val="%9."/>
      <w:lvlJc w:val="right"/>
      <w:pPr>
        <w:ind w:left="7101" w:hanging="180"/>
      </w:pPr>
    </w:lvl>
  </w:abstractNum>
  <w:num w:numId="1">
    <w:abstractNumId w:val="36"/>
  </w:num>
  <w:num w:numId="2">
    <w:abstractNumId w:val="6"/>
  </w:num>
  <w:num w:numId="3">
    <w:abstractNumId w:val="37"/>
  </w:num>
  <w:num w:numId="4">
    <w:abstractNumId w:val="38"/>
  </w:num>
  <w:num w:numId="5">
    <w:abstractNumId w:val="15"/>
  </w:num>
  <w:num w:numId="6">
    <w:abstractNumId w:val="9"/>
  </w:num>
  <w:num w:numId="7">
    <w:abstractNumId w:val="26"/>
  </w:num>
  <w:num w:numId="8">
    <w:abstractNumId w:val="34"/>
  </w:num>
  <w:num w:numId="9">
    <w:abstractNumId w:val="5"/>
  </w:num>
  <w:num w:numId="10">
    <w:abstractNumId w:val="41"/>
  </w:num>
  <w:num w:numId="11">
    <w:abstractNumId w:val="27"/>
  </w:num>
  <w:num w:numId="12">
    <w:abstractNumId w:val="10"/>
  </w:num>
  <w:num w:numId="13">
    <w:abstractNumId w:val="32"/>
  </w:num>
  <w:num w:numId="14">
    <w:abstractNumId w:val="31"/>
  </w:num>
  <w:num w:numId="15">
    <w:abstractNumId w:val="0"/>
  </w:num>
  <w:num w:numId="16">
    <w:abstractNumId w:val="21"/>
  </w:num>
  <w:num w:numId="17">
    <w:abstractNumId w:val="13"/>
  </w:num>
  <w:num w:numId="18">
    <w:abstractNumId w:val="35"/>
  </w:num>
  <w:num w:numId="19">
    <w:abstractNumId w:val="18"/>
  </w:num>
  <w:num w:numId="20">
    <w:abstractNumId w:val="16"/>
  </w:num>
  <w:num w:numId="21">
    <w:abstractNumId w:val="1"/>
  </w:num>
  <w:num w:numId="22">
    <w:abstractNumId w:val="23"/>
  </w:num>
  <w:num w:numId="23">
    <w:abstractNumId w:val="2"/>
  </w:num>
  <w:num w:numId="24">
    <w:abstractNumId w:val="22"/>
  </w:num>
  <w:num w:numId="25">
    <w:abstractNumId w:val="20"/>
  </w:num>
  <w:num w:numId="26">
    <w:abstractNumId w:val="24"/>
  </w:num>
  <w:num w:numId="27">
    <w:abstractNumId w:val="33"/>
  </w:num>
  <w:num w:numId="28">
    <w:abstractNumId w:val="40"/>
  </w:num>
  <w:num w:numId="29">
    <w:abstractNumId w:val="30"/>
  </w:num>
  <w:num w:numId="30">
    <w:abstractNumId w:val="3"/>
  </w:num>
  <w:num w:numId="31">
    <w:abstractNumId w:val="11"/>
  </w:num>
  <w:num w:numId="32">
    <w:abstractNumId w:val="14"/>
  </w:num>
  <w:num w:numId="33">
    <w:abstractNumId w:val="29"/>
  </w:num>
  <w:num w:numId="34">
    <w:abstractNumId w:val="17"/>
  </w:num>
  <w:num w:numId="35">
    <w:abstractNumId w:val="7"/>
  </w:num>
  <w:num w:numId="36">
    <w:abstractNumId w:val="25"/>
  </w:num>
  <w:num w:numId="37">
    <w:abstractNumId w:val="28"/>
  </w:num>
  <w:num w:numId="38">
    <w:abstractNumId w:val="39"/>
  </w:num>
  <w:num w:numId="39">
    <w:abstractNumId w:val="42"/>
  </w:num>
  <w:num w:numId="40">
    <w:abstractNumId w:val="4"/>
  </w:num>
  <w:num w:numId="41">
    <w:abstractNumId w:val="8"/>
  </w:num>
  <w:num w:numId="42">
    <w:abstractNumId w:val="19"/>
  </w:num>
  <w:num w:numId="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activeWritingStyle w:appName="MSWord" w:lang="en-GB" w:vendorID="64" w:dllVersion="5" w:nlCheck="1" w:checkStyle="1"/>
  <w:activeWritingStyle w:appName="MSWord" w:lang="fr-CH" w:vendorID="64" w:dllVersion="6" w:nlCheck="1" w:checkStyle="0"/>
  <w:activeWritingStyle w:appName="MSWord" w:lang="en-GB"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BE" w:vendorID="64" w:dllVersion="6" w:nlCheck="1" w:checkStyle="0"/>
  <w:activeWritingStyle w:appName="MSWord" w:lang="en-US" w:vendorID="64" w:dllVersion="6" w:nlCheck="1" w:checkStyle="1"/>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14"/>
    <w:rsid w:val="000001A1"/>
    <w:rsid w:val="000018C7"/>
    <w:rsid w:val="00001ED4"/>
    <w:rsid w:val="00004189"/>
    <w:rsid w:val="000052CF"/>
    <w:rsid w:val="00005553"/>
    <w:rsid w:val="00005A64"/>
    <w:rsid w:val="00005E7C"/>
    <w:rsid w:val="000069AB"/>
    <w:rsid w:val="00007EF2"/>
    <w:rsid w:val="000105E5"/>
    <w:rsid w:val="000110C8"/>
    <w:rsid w:val="00012185"/>
    <w:rsid w:val="0001297B"/>
    <w:rsid w:val="000136E7"/>
    <w:rsid w:val="00015F0F"/>
    <w:rsid w:val="0001660D"/>
    <w:rsid w:val="000167BC"/>
    <w:rsid w:val="00016AC5"/>
    <w:rsid w:val="000178EF"/>
    <w:rsid w:val="000205A3"/>
    <w:rsid w:val="000205D3"/>
    <w:rsid w:val="0002068F"/>
    <w:rsid w:val="00020690"/>
    <w:rsid w:val="00020C56"/>
    <w:rsid w:val="000227DB"/>
    <w:rsid w:val="00022C96"/>
    <w:rsid w:val="000230AC"/>
    <w:rsid w:val="00024151"/>
    <w:rsid w:val="00024890"/>
    <w:rsid w:val="00025492"/>
    <w:rsid w:val="00025771"/>
    <w:rsid w:val="00025F59"/>
    <w:rsid w:val="00026CC7"/>
    <w:rsid w:val="0003055E"/>
    <w:rsid w:val="000306BA"/>
    <w:rsid w:val="00030F6C"/>
    <w:rsid w:val="00031997"/>
    <w:rsid w:val="000331CF"/>
    <w:rsid w:val="00036F85"/>
    <w:rsid w:val="0004021D"/>
    <w:rsid w:val="00040BB8"/>
    <w:rsid w:val="00040BBB"/>
    <w:rsid w:val="000418DF"/>
    <w:rsid w:val="00043502"/>
    <w:rsid w:val="00043D3B"/>
    <w:rsid w:val="000454E6"/>
    <w:rsid w:val="00047512"/>
    <w:rsid w:val="000478F8"/>
    <w:rsid w:val="00050A73"/>
    <w:rsid w:val="00050EF8"/>
    <w:rsid w:val="00050F0E"/>
    <w:rsid w:val="00051810"/>
    <w:rsid w:val="0005486F"/>
    <w:rsid w:val="00054E5F"/>
    <w:rsid w:val="000569BA"/>
    <w:rsid w:val="00057BC0"/>
    <w:rsid w:val="00060239"/>
    <w:rsid w:val="00060B28"/>
    <w:rsid w:val="0006105A"/>
    <w:rsid w:val="00061992"/>
    <w:rsid w:val="00062541"/>
    <w:rsid w:val="00062AC2"/>
    <w:rsid w:val="00063E5B"/>
    <w:rsid w:val="00063FF6"/>
    <w:rsid w:val="000644D9"/>
    <w:rsid w:val="00064D91"/>
    <w:rsid w:val="00065E06"/>
    <w:rsid w:val="00067020"/>
    <w:rsid w:val="00067AA2"/>
    <w:rsid w:val="00070631"/>
    <w:rsid w:val="000707CC"/>
    <w:rsid w:val="00072E20"/>
    <w:rsid w:val="000737F0"/>
    <w:rsid w:val="00074657"/>
    <w:rsid w:val="000746A6"/>
    <w:rsid w:val="0007561E"/>
    <w:rsid w:val="00077DFB"/>
    <w:rsid w:val="00080288"/>
    <w:rsid w:val="00080415"/>
    <w:rsid w:val="00080439"/>
    <w:rsid w:val="0008047D"/>
    <w:rsid w:val="000806D3"/>
    <w:rsid w:val="0008167F"/>
    <w:rsid w:val="00082D1C"/>
    <w:rsid w:val="00084093"/>
    <w:rsid w:val="00084E83"/>
    <w:rsid w:val="00085D5A"/>
    <w:rsid w:val="00087654"/>
    <w:rsid w:val="00090323"/>
    <w:rsid w:val="00090578"/>
    <w:rsid w:val="00090D8A"/>
    <w:rsid w:val="0009129B"/>
    <w:rsid w:val="00092B08"/>
    <w:rsid w:val="0009302B"/>
    <w:rsid w:val="000939B4"/>
    <w:rsid w:val="00094BEE"/>
    <w:rsid w:val="000957A0"/>
    <w:rsid w:val="00097EA6"/>
    <w:rsid w:val="000A11E9"/>
    <w:rsid w:val="000A1F78"/>
    <w:rsid w:val="000A2CAA"/>
    <w:rsid w:val="000A3004"/>
    <w:rsid w:val="000A4B1B"/>
    <w:rsid w:val="000A56F6"/>
    <w:rsid w:val="000A5FCB"/>
    <w:rsid w:val="000A609E"/>
    <w:rsid w:val="000A7C21"/>
    <w:rsid w:val="000B45F0"/>
    <w:rsid w:val="000B48B4"/>
    <w:rsid w:val="000B48E5"/>
    <w:rsid w:val="000B5112"/>
    <w:rsid w:val="000B6F66"/>
    <w:rsid w:val="000C162E"/>
    <w:rsid w:val="000C1E8B"/>
    <w:rsid w:val="000C2925"/>
    <w:rsid w:val="000C372C"/>
    <w:rsid w:val="000C39FE"/>
    <w:rsid w:val="000C4B75"/>
    <w:rsid w:val="000C697A"/>
    <w:rsid w:val="000D0AFB"/>
    <w:rsid w:val="000D25E9"/>
    <w:rsid w:val="000D2A92"/>
    <w:rsid w:val="000D60D4"/>
    <w:rsid w:val="000D6D58"/>
    <w:rsid w:val="000D7B28"/>
    <w:rsid w:val="000E03D2"/>
    <w:rsid w:val="000E12B3"/>
    <w:rsid w:val="000E50BB"/>
    <w:rsid w:val="000F0DB0"/>
    <w:rsid w:val="000F30E5"/>
    <w:rsid w:val="000F41F2"/>
    <w:rsid w:val="000F45FB"/>
    <w:rsid w:val="000F6137"/>
    <w:rsid w:val="000F73DC"/>
    <w:rsid w:val="00101D26"/>
    <w:rsid w:val="001033BF"/>
    <w:rsid w:val="001035AC"/>
    <w:rsid w:val="00103E97"/>
    <w:rsid w:val="001054FA"/>
    <w:rsid w:val="00111D66"/>
    <w:rsid w:val="0011219D"/>
    <w:rsid w:val="001133AE"/>
    <w:rsid w:val="00113CF5"/>
    <w:rsid w:val="00113EC6"/>
    <w:rsid w:val="00113FEE"/>
    <w:rsid w:val="00115C5C"/>
    <w:rsid w:val="001163DE"/>
    <w:rsid w:val="00116D70"/>
    <w:rsid w:val="00120D1C"/>
    <w:rsid w:val="00120D69"/>
    <w:rsid w:val="0012131B"/>
    <w:rsid w:val="00123E73"/>
    <w:rsid w:val="00125D61"/>
    <w:rsid w:val="00127059"/>
    <w:rsid w:val="0012772E"/>
    <w:rsid w:val="001306A5"/>
    <w:rsid w:val="0013183D"/>
    <w:rsid w:val="00132095"/>
    <w:rsid w:val="001321C6"/>
    <w:rsid w:val="00132D06"/>
    <w:rsid w:val="00132EA8"/>
    <w:rsid w:val="00133343"/>
    <w:rsid w:val="00133B7A"/>
    <w:rsid w:val="00133C85"/>
    <w:rsid w:val="00134354"/>
    <w:rsid w:val="00135359"/>
    <w:rsid w:val="00135F96"/>
    <w:rsid w:val="001370FA"/>
    <w:rsid w:val="001378C9"/>
    <w:rsid w:val="00140C51"/>
    <w:rsid w:val="00141B1E"/>
    <w:rsid w:val="00144852"/>
    <w:rsid w:val="00145845"/>
    <w:rsid w:val="00145B10"/>
    <w:rsid w:val="001469E3"/>
    <w:rsid w:val="00150A0F"/>
    <w:rsid w:val="00151648"/>
    <w:rsid w:val="00153B2E"/>
    <w:rsid w:val="00154164"/>
    <w:rsid w:val="00154CC0"/>
    <w:rsid w:val="00155231"/>
    <w:rsid w:val="001569BD"/>
    <w:rsid w:val="00157482"/>
    <w:rsid w:val="00157870"/>
    <w:rsid w:val="00157D14"/>
    <w:rsid w:val="00160540"/>
    <w:rsid w:val="00160BED"/>
    <w:rsid w:val="00161406"/>
    <w:rsid w:val="00161688"/>
    <w:rsid w:val="001626EC"/>
    <w:rsid w:val="001634CC"/>
    <w:rsid w:val="00163619"/>
    <w:rsid w:val="001644FD"/>
    <w:rsid w:val="00164588"/>
    <w:rsid w:val="0016480E"/>
    <w:rsid w:val="00165BD3"/>
    <w:rsid w:val="00165D60"/>
    <w:rsid w:val="00166956"/>
    <w:rsid w:val="00167231"/>
    <w:rsid w:val="001679B0"/>
    <w:rsid w:val="00167F1F"/>
    <w:rsid w:val="0017044A"/>
    <w:rsid w:val="00170BBF"/>
    <w:rsid w:val="00170FDE"/>
    <w:rsid w:val="001718F2"/>
    <w:rsid w:val="00172561"/>
    <w:rsid w:val="00172B99"/>
    <w:rsid w:val="00174BA9"/>
    <w:rsid w:val="001759D3"/>
    <w:rsid w:val="0017709B"/>
    <w:rsid w:val="00177E9D"/>
    <w:rsid w:val="001807D6"/>
    <w:rsid w:val="001808BA"/>
    <w:rsid w:val="00181328"/>
    <w:rsid w:val="00183385"/>
    <w:rsid w:val="00184602"/>
    <w:rsid w:val="0018520C"/>
    <w:rsid w:val="00185610"/>
    <w:rsid w:val="00185EB9"/>
    <w:rsid w:val="00186254"/>
    <w:rsid w:val="00186975"/>
    <w:rsid w:val="001905A1"/>
    <w:rsid w:val="00191AA7"/>
    <w:rsid w:val="00192DF3"/>
    <w:rsid w:val="00192EEB"/>
    <w:rsid w:val="00193B9C"/>
    <w:rsid w:val="00195BC5"/>
    <w:rsid w:val="001A20FB"/>
    <w:rsid w:val="001A2190"/>
    <w:rsid w:val="001A5901"/>
    <w:rsid w:val="001A590B"/>
    <w:rsid w:val="001A71F0"/>
    <w:rsid w:val="001A7C14"/>
    <w:rsid w:val="001B1272"/>
    <w:rsid w:val="001B19E8"/>
    <w:rsid w:val="001B2355"/>
    <w:rsid w:val="001B266A"/>
    <w:rsid w:val="001B3FDD"/>
    <w:rsid w:val="001B5510"/>
    <w:rsid w:val="001B6487"/>
    <w:rsid w:val="001C0577"/>
    <w:rsid w:val="001C0BC8"/>
    <w:rsid w:val="001C115B"/>
    <w:rsid w:val="001C1178"/>
    <w:rsid w:val="001C1460"/>
    <w:rsid w:val="001C14AA"/>
    <w:rsid w:val="001C1D94"/>
    <w:rsid w:val="001C39E5"/>
    <w:rsid w:val="001C52FB"/>
    <w:rsid w:val="001C609A"/>
    <w:rsid w:val="001C6647"/>
    <w:rsid w:val="001D031F"/>
    <w:rsid w:val="001D1BEB"/>
    <w:rsid w:val="001D39F4"/>
    <w:rsid w:val="001D3C3C"/>
    <w:rsid w:val="001D3FA1"/>
    <w:rsid w:val="001D4636"/>
    <w:rsid w:val="001D660A"/>
    <w:rsid w:val="001E0789"/>
    <w:rsid w:val="001E0D69"/>
    <w:rsid w:val="001E1A30"/>
    <w:rsid w:val="001E275C"/>
    <w:rsid w:val="001E28B4"/>
    <w:rsid w:val="001E357B"/>
    <w:rsid w:val="001E384E"/>
    <w:rsid w:val="001E3D94"/>
    <w:rsid w:val="001E3FEB"/>
    <w:rsid w:val="001E4A02"/>
    <w:rsid w:val="001E5054"/>
    <w:rsid w:val="001E51FF"/>
    <w:rsid w:val="001E5593"/>
    <w:rsid w:val="001E599B"/>
    <w:rsid w:val="001E5A09"/>
    <w:rsid w:val="001E5F7D"/>
    <w:rsid w:val="001E65B3"/>
    <w:rsid w:val="001E676C"/>
    <w:rsid w:val="001E6A48"/>
    <w:rsid w:val="001E7414"/>
    <w:rsid w:val="001E7812"/>
    <w:rsid w:val="001E78B5"/>
    <w:rsid w:val="001F185D"/>
    <w:rsid w:val="001F3263"/>
    <w:rsid w:val="001F4489"/>
    <w:rsid w:val="001F79CD"/>
    <w:rsid w:val="002010D1"/>
    <w:rsid w:val="0020135E"/>
    <w:rsid w:val="002015E0"/>
    <w:rsid w:val="00201D95"/>
    <w:rsid w:val="002050E1"/>
    <w:rsid w:val="002057DB"/>
    <w:rsid w:val="0020737D"/>
    <w:rsid w:val="00207A4E"/>
    <w:rsid w:val="00207A8D"/>
    <w:rsid w:val="0021188A"/>
    <w:rsid w:val="002138EF"/>
    <w:rsid w:val="00213979"/>
    <w:rsid w:val="0021482A"/>
    <w:rsid w:val="00214998"/>
    <w:rsid w:val="00220D8F"/>
    <w:rsid w:val="0022291E"/>
    <w:rsid w:val="00222C76"/>
    <w:rsid w:val="00222DD5"/>
    <w:rsid w:val="0022356E"/>
    <w:rsid w:val="0022629A"/>
    <w:rsid w:val="00226952"/>
    <w:rsid w:val="00227A50"/>
    <w:rsid w:val="00231085"/>
    <w:rsid w:val="002310A7"/>
    <w:rsid w:val="0023198A"/>
    <w:rsid w:val="00232018"/>
    <w:rsid w:val="00232354"/>
    <w:rsid w:val="00233B0A"/>
    <w:rsid w:val="00233BBF"/>
    <w:rsid w:val="00234016"/>
    <w:rsid w:val="00235557"/>
    <w:rsid w:val="002358B9"/>
    <w:rsid w:val="00236197"/>
    <w:rsid w:val="00237B48"/>
    <w:rsid w:val="0024088E"/>
    <w:rsid w:val="002414FD"/>
    <w:rsid w:val="00241AD4"/>
    <w:rsid w:val="002422D9"/>
    <w:rsid w:val="00242AB5"/>
    <w:rsid w:val="00242EFF"/>
    <w:rsid w:val="00243727"/>
    <w:rsid w:val="00243EA5"/>
    <w:rsid w:val="0024476A"/>
    <w:rsid w:val="00245348"/>
    <w:rsid w:val="00245C7E"/>
    <w:rsid w:val="0024696B"/>
    <w:rsid w:val="002472C0"/>
    <w:rsid w:val="0025063C"/>
    <w:rsid w:val="00251E70"/>
    <w:rsid w:val="00252E9E"/>
    <w:rsid w:val="00252F0A"/>
    <w:rsid w:val="002540AD"/>
    <w:rsid w:val="00254425"/>
    <w:rsid w:val="002559B3"/>
    <w:rsid w:val="0025706B"/>
    <w:rsid w:val="002574F0"/>
    <w:rsid w:val="00257687"/>
    <w:rsid w:val="00260780"/>
    <w:rsid w:val="00260C61"/>
    <w:rsid w:val="00261961"/>
    <w:rsid w:val="00261A41"/>
    <w:rsid w:val="00262E45"/>
    <w:rsid w:val="00263411"/>
    <w:rsid w:val="002646C1"/>
    <w:rsid w:val="002646F1"/>
    <w:rsid w:val="002651AB"/>
    <w:rsid w:val="002659F1"/>
    <w:rsid w:val="00265E89"/>
    <w:rsid w:val="00266524"/>
    <w:rsid w:val="00266E38"/>
    <w:rsid w:val="002671EC"/>
    <w:rsid w:val="00267602"/>
    <w:rsid w:val="002676F2"/>
    <w:rsid w:val="00270343"/>
    <w:rsid w:val="00272D94"/>
    <w:rsid w:val="0027354E"/>
    <w:rsid w:val="00273873"/>
    <w:rsid w:val="002755DD"/>
    <w:rsid w:val="00276D7A"/>
    <w:rsid w:val="002774B0"/>
    <w:rsid w:val="00280434"/>
    <w:rsid w:val="002808B0"/>
    <w:rsid w:val="002816D6"/>
    <w:rsid w:val="002828B5"/>
    <w:rsid w:val="00284246"/>
    <w:rsid w:val="002851F7"/>
    <w:rsid w:val="0028674E"/>
    <w:rsid w:val="00287171"/>
    <w:rsid w:val="00287E79"/>
    <w:rsid w:val="00291157"/>
    <w:rsid w:val="002919D1"/>
    <w:rsid w:val="00291DFA"/>
    <w:rsid w:val="0029247B"/>
    <w:rsid w:val="002928F9"/>
    <w:rsid w:val="00293045"/>
    <w:rsid w:val="002931D0"/>
    <w:rsid w:val="002935C3"/>
    <w:rsid w:val="002936CE"/>
    <w:rsid w:val="002955FC"/>
    <w:rsid w:val="0029699E"/>
    <w:rsid w:val="002971B7"/>
    <w:rsid w:val="00297EF8"/>
    <w:rsid w:val="002A050B"/>
    <w:rsid w:val="002A064C"/>
    <w:rsid w:val="002A1A08"/>
    <w:rsid w:val="002A1B74"/>
    <w:rsid w:val="002A2B05"/>
    <w:rsid w:val="002A2E3C"/>
    <w:rsid w:val="002A3A6A"/>
    <w:rsid w:val="002A5B40"/>
    <w:rsid w:val="002A5D07"/>
    <w:rsid w:val="002A5D91"/>
    <w:rsid w:val="002A6EB2"/>
    <w:rsid w:val="002A73C8"/>
    <w:rsid w:val="002A7BCC"/>
    <w:rsid w:val="002B029A"/>
    <w:rsid w:val="002B19C5"/>
    <w:rsid w:val="002B44CA"/>
    <w:rsid w:val="002B4CAB"/>
    <w:rsid w:val="002B65B1"/>
    <w:rsid w:val="002B66FF"/>
    <w:rsid w:val="002B78FA"/>
    <w:rsid w:val="002C03E3"/>
    <w:rsid w:val="002C0AE4"/>
    <w:rsid w:val="002C0C7C"/>
    <w:rsid w:val="002C128B"/>
    <w:rsid w:val="002C1934"/>
    <w:rsid w:val="002C2ADD"/>
    <w:rsid w:val="002C36F6"/>
    <w:rsid w:val="002C4374"/>
    <w:rsid w:val="002C4A2D"/>
    <w:rsid w:val="002C556C"/>
    <w:rsid w:val="002C6FC2"/>
    <w:rsid w:val="002D44B9"/>
    <w:rsid w:val="002D46F0"/>
    <w:rsid w:val="002D57D2"/>
    <w:rsid w:val="002D5801"/>
    <w:rsid w:val="002D6973"/>
    <w:rsid w:val="002E204B"/>
    <w:rsid w:val="002E4070"/>
    <w:rsid w:val="002E428C"/>
    <w:rsid w:val="002E6210"/>
    <w:rsid w:val="002E6288"/>
    <w:rsid w:val="002F0238"/>
    <w:rsid w:val="002F0552"/>
    <w:rsid w:val="002F15D3"/>
    <w:rsid w:val="002F1805"/>
    <w:rsid w:val="002F3723"/>
    <w:rsid w:val="002F3F31"/>
    <w:rsid w:val="002F4BAE"/>
    <w:rsid w:val="002F5806"/>
    <w:rsid w:val="002F5A6B"/>
    <w:rsid w:val="002F707C"/>
    <w:rsid w:val="003016B7"/>
    <w:rsid w:val="00301C04"/>
    <w:rsid w:val="00302645"/>
    <w:rsid w:val="003028C2"/>
    <w:rsid w:val="00303966"/>
    <w:rsid w:val="0030562A"/>
    <w:rsid w:val="0030665D"/>
    <w:rsid w:val="00310069"/>
    <w:rsid w:val="00310F68"/>
    <w:rsid w:val="00311DCA"/>
    <w:rsid w:val="003130BA"/>
    <w:rsid w:val="00313A7F"/>
    <w:rsid w:val="003151BB"/>
    <w:rsid w:val="003162B6"/>
    <w:rsid w:val="003164EF"/>
    <w:rsid w:val="00317248"/>
    <w:rsid w:val="00320138"/>
    <w:rsid w:val="0032039E"/>
    <w:rsid w:val="00321DC3"/>
    <w:rsid w:val="00322B3E"/>
    <w:rsid w:val="00323432"/>
    <w:rsid w:val="00323902"/>
    <w:rsid w:val="00323B0E"/>
    <w:rsid w:val="00325B94"/>
    <w:rsid w:val="00326445"/>
    <w:rsid w:val="0032685F"/>
    <w:rsid w:val="00327D9F"/>
    <w:rsid w:val="00330D48"/>
    <w:rsid w:val="00331ABB"/>
    <w:rsid w:val="003320B9"/>
    <w:rsid w:val="003328AE"/>
    <w:rsid w:val="003355C2"/>
    <w:rsid w:val="00335894"/>
    <w:rsid w:val="003405A0"/>
    <w:rsid w:val="00341686"/>
    <w:rsid w:val="00342CC7"/>
    <w:rsid w:val="00345884"/>
    <w:rsid w:val="003462AE"/>
    <w:rsid w:val="003463DD"/>
    <w:rsid w:val="00346C61"/>
    <w:rsid w:val="003476D9"/>
    <w:rsid w:val="003515AA"/>
    <w:rsid w:val="00353699"/>
    <w:rsid w:val="00354B00"/>
    <w:rsid w:val="00355531"/>
    <w:rsid w:val="00355CE0"/>
    <w:rsid w:val="00355D2D"/>
    <w:rsid w:val="00355ED3"/>
    <w:rsid w:val="00361FB3"/>
    <w:rsid w:val="003671C9"/>
    <w:rsid w:val="00367CD5"/>
    <w:rsid w:val="00372802"/>
    <w:rsid w:val="00374106"/>
    <w:rsid w:val="003750DE"/>
    <w:rsid w:val="003760F9"/>
    <w:rsid w:val="0037657A"/>
    <w:rsid w:val="00376D4C"/>
    <w:rsid w:val="003771CE"/>
    <w:rsid w:val="003772FA"/>
    <w:rsid w:val="003776C0"/>
    <w:rsid w:val="0037787B"/>
    <w:rsid w:val="003800E1"/>
    <w:rsid w:val="0038063C"/>
    <w:rsid w:val="00382B40"/>
    <w:rsid w:val="00383EE2"/>
    <w:rsid w:val="00384243"/>
    <w:rsid w:val="00385F44"/>
    <w:rsid w:val="00386BA2"/>
    <w:rsid w:val="00390D98"/>
    <w:rsid w:val="00391302"/>
    <w:rsid w:val="003949E0"/>
    <w:rsid w:val="00395004"/>
    <w:rsid w:val="003950DB"/>
    <w:rsid w:val="00395C38"/>
    <w:rsid w:val="003972F1"/>
    <w:rsid w:val="003976D5"/>
    <w:rsid w:val="00397876"/>
    <w:rsid w:val="00397FC3"/>
    <w:rsid w:val="003A0B22"/>
    <w:rsid w:val="003A0CB8"/>
    <w:rsid w:val="003A2CAD"/>
    <w:rsid w:val="003A32BD"/>
    <w:rsid w:val="003A42E6"/>
    <w:rsid w:val="003A4569"/>
    <w:rsid w:val="003A56D7"/>
    <w:rsid w:val="003A69E7"/>
    <w:rsid w:val="003A69F0"/>
    <w:rsid w:val="003A6F6E"/>
    <w:rsid w:val="003A7412"/>
    <w:rsid w:val="003A7A39"/>
    <w:rsid w:val="003B1245"/>
    <w:rsid w:val="003B1EF4"/>
    <w:rsid w:val="003B3118"/>
    <w:rsid w:val="003B3BB5"/>
    <w:rsid w:val="003B4E09"/>
    <w:rsid w:val="003B6D46"/>
    <w:rsid w:val="003B7DA9"/>
    <w:rsid w:val="003C09E7"/>
    <w:rsid w:val="003C1109"/>
    <w:rsid w:val="003C1AD0"/>
    <w:rsid w:val="003C36AE"/>
    <w:rsid w:val="003C389C"/>
    <w:rsid w:val="003C400D"/>
    <w:rsid w:val="003C765F"/>
    <w:rsid w:val="003C76C1"/>
    <w:rsid w:val="003D0C5F"/>
    <w:rsid w:val="003D0CC5"/>
    <w:rsid w:val="003D193B"/>
    <w:rsid w:val="003D2718"/>
    <w:rsid w:val="003D288F"/>
    <w:rsid w:val="003D5D72"/>
    <w:rsid w:val="003D61A1"/>
    <w:rsid w:val="003D6C68"/>
    <w:rsid w:val="003D7919"/>
    <w:rsid w:val="003D7BB0"/>
    <w:rsid w:val="003E0325"/>
    <w:rsid w:val="003E3C89"/>
    <w:rsid w:val="003E5C72"/>
    <w:rsid w:val="003E61B3"/>
    <w:rsid w:val="003E674C"/>
    <w:rsid w:val="003E6ACD"/>
    <w:rsid w:val="003E7DD7"/>
    <w:rsid w:val="003F318C"/>
    <w:rsid w:val="003F3351"/>
    <w:rsid w:val="003F3DB9"/>
    <w:rsid w:val="003F466C"/>
    <w:rsid w:val="003F4D1D"/>
    <w:rsid w:val="003F6C4E"/>
    <w:rsid w:val="004006AD"/>
    <w:rsid w:val="0040137C"/>
    <w:rsid w:val="00401549"/>
    <w:rsid w:val="00402916"/>
    <w:rsid w:val="00404B99"/>
    <w:rsid w:val="00405860"/>
    <w:rsid w:val="004108F8"/>
    <w:rsid w:val="0041211A"/>
    <w:rsid w:val="00412DD7"/>
    <w:rsid w:val="0041380A"/>
    <w:rsid w:val="00414404"/>
    <w:rsid w:val="00414607"/>
    <w:rsid w:val="004159D0"/>
    <w:rsid w:val="0041661F"/>
    <w:rsid w:val="00416F3B"/>
    <w:rsid w:val="0041748F"/>
    <w:rsid w:val="0042024D"/>
    <w:rsid w:val="00420607"/>
    <w:rsid w:val="00421EDD"/>
    <w:rsid w:val="004227C2"/>
    <w:rsid w:val="004241F8"/>
    <w:rsid w:val="00425644"/>
    <w:rsid w:val="0042578D"/>
    <w:rsid w:val="00425E6D"/>
    <w:rsid w:val="004266E2"/>
    <w:rsid w:val="00426AB3"/>
    <w:rsid w:val="00427DAE"/>
    <w:rsid w:val="004305DD"/>
    <w:rsid w:val="00431482"/>
    <w:rsid w:val="00432199"/>
    <w:rsid w:val="004331B2"/>
    <w:rsid w:val="0043370F"/>
    <w:rsid w:val="00433FE0"/>
    <w:rsid w:val="0043794B"/>
    <w:rsid w:val="0044040E"/>
    <w:rsid w:val="00440F72"/>
    <w:rsid w:val="00443206"/>
    <w:rsid w:val="00445A14"/>
    <w:rsid w:val="00447008"/>
    <w:rsid w:val="0044772D"/>
    <w:rsid w:val="0045117A"/>
    <w:rsid w:val="0045167E"/>
    <w:rsid w:val="00451F5B"/>
    <w:rsid w:val="004526E6"/>
    <w:rsid w:val="00453816"/>
    <w:rsid w:val="00453D1D"/>
    <w:rsid w:val="00453DC1"/>
    <w:rsid w:val="0045425A"/>
    <w:rsid w:val="00454373"/>
    <w:rsid w:val="00455215"/>
    <w:rsid w:val="00456EA5"/>
    <w:rsid w:val="00456F3E"/>
    <w:rsid w:val="00460C87"/>
    <w:rsid w:val="00461084"/>
    <w:rsid w:val="00461E40"/>
    <w:rsid w:val="00462B71"/>
    <w:rsid w:val="004630DA"/>
    <w:rsid w:val="00463FF0"/>
    <w:rsid w:val="004645DC"/>
    <w:rsid w:val="00465035"/>
    <w:rsid w:val="0046528D"/>
    <w:rsid w:val="00465CB0"/>
    <w:rsid w:val="00467686"/>
    <w:rsid w:val="00467AC6"/>
    <w:rsid w:val="00470AD8"/>
    <w:rsid w:val="004710B9"/>
    <w:rsid w:val="004729E0"/>
    <w:rsid w:val="004733A7"/>
    <w:rsid w:val="0047351F"/>
    <w:rsid w:val="00473FE2"/>
    <w:rsid w:val="00474670"/>
    <w:rsid w:val="004755A6"/>
    <w:rsid w:val="00475C27"/>
    <w:rsid w:val="004805DE"/>
    <w:rsid w:val="004811C2"/>
    <w:rsid w:val="0048141C"/>
    <w:rsid w:val="00481744"/>
    <w:rsid w:val="00482630"/>
    <w:rsid w:val="004834F7"/>
    <w:rsid w:val="0048622D"/>
    <w:rsid w:val="00486AC7"/>
    <w:rsid w:val="00486D43"/>
    <w:rsid w:val="00487342"/>
    <w:rsid w:val="004905AA"/>
    <w:rsid w:val="00490CC8"/>
    <w:rsid w:val="004913D2"/>
    <w:rsid w:val="004916CA"/>
    <w:rsid w:val="004922BA"/>
    <w:rsid w:val="00492453"/>
    <w:rsid w:val="004936E0"/>
    <w:rsid w:val="00494EEF"/>
    <w:rsid w:val="0049594F"/>
    <w:rsid w:val="00495F77"/>
    <w:rsid w:val="004964DF"/>
    <w:rsid w:val="004964F5"/>
    <w:rsid w:val="004A1F96"/>
    <w:rsid w:val="004A3F1A"/>
    <w:rsid w:val="004A5A51"/>
    <w:rsid w:val="004A6FA9"/>
    <w:rsid w:val="004A72D5"/>
    <w:rsid w:val="004A73F3"/>
    <w:rsid w:val="004B0235"/>
    <w:rsid w:val="004B0E7D"/>
    <w:rsid w:val="004B29CF"/>
    <w:rsid w:val="004B2F4D"/>
    <w:rsid w:val="004B42F0"/>
    <w:rsid w:val="004B4959"/>
    <w:rsid w:val="004B4E64"/>
    <w:rsid w:val="004B5796"/>
    <w:rsid w:val="004B59B9"/>
    <w:rsid w:val="004B6FE1"/>
    <w:rsid w:val="004C1C49"/>
    <w:rsid w:val="004C26AC"/>
    <w:rsid w:val="004C3D04"/>
    <w:rsid w:val="004C4193"/>
    <w:rsid w:val="004C792E"/>
    <w:rsid w:val="004C7E49"/>
    <w:rsid w:val="004C7FFE"/>
    <w:rsid w:val="004D0585"/>
    <w:rsid w:val="004D1C30"/>
    <w:rsid w:val="004D1EC1"/>
    <w:rsid w:val="004D3965"/>
    <w:rsid w:val="004D3B8A"/>
    <w:rsid w:val="004D4A1E"/>
    <w:rsid w:val="004D5C40"/>
    <w:rsid w:val="004D67F2"/>
    <w:rsid w:val="004E0ED4"/>
    <w:rsid w:val="004E139D"/>
    <w:rsid w:val="004E1A9E"/>
    <w:rsid w:val="004E25A0"/>
    <w:rsid w:val="004E3929"/>
    <w:rsid w:val="004E4C07"/>
    <w:rsid w:val="004E5CA3"/>
    <w:rsid w:val="004E5E22"/>
    <w:rsid w:val="004E6E59"/>
    <w:rsid w:val="004F0250"/>
    <w:rsid w:val="004F38F8"/>
    <w:rsid w:val="004F3A3F"/>
    <w:rsid w:val="004F3B1A"/>
    <w:rsid w:val="004F52B6"/>
    <w:rsid w:val="004F54A3"/>
    <w:rsid w:val="004F5C22"/>
    <w:rsid w:val="004F6A90"/>
    <w:rsid w:val="00502E97"/>
    <w:rsid w:val="00503241"/>
    <w:rsid w:val="00504E5F"/>
    <w:rsid w:val="00505454"/>
    <w:rsid w:val="00506892"/>
    <w:rsid w:val="00507B15"/>
    <w:rsid w:val="00510CAA"/>
    <w:rsid w:val="0051194F"/>
    <w:rsid w:val="00511CFF"/>
    <w:rsid w:val="005132A8"/>
    <w:rsid w:val="00513D98"/>
    <w:rsid w:val="00513F2A"/>
    <w:rsid w:val="00515E4C"/>
    <w:rsid w:val="00517038"/>
    <w:rsid w:val="0051731E"/>
    <w:rsid w:val="00522BB1"/>
    <w:rsid w:val="005231B1"/>
    <w:rsid w:val="00524F4A"/>
    <w:rsid w:val="005259FA"/>
    <w:rsid w:val="00525F10"/>
    <w:rsid w:val="0052692E"/>
    <w:rsid w:val="00526E5F"/>
    <w:rsid w:val="00527B76"/>
    <w:rsid w:val="00530716"/>
    <w:rsid w:val="00530985"/>
    <w:rsid w:val="005317FD"/>
    <w:rsid w:val="00531F8D"/>
    <w:rsid w:val="00533850"/>
    <w:rsid w:val="00533996"/>
    <w:rsid w:val="005340DA"/>
    <w:rsid w:val="00536485"/>
    <w:rsid w:val="00536AC9"/>
    <w:rsid w:val="00536E53"/>
    <w:rsid w:val="00542EE5"/>
    <w:rsid w:val="00542F0A"/>
    <w:rsid w:val="00546EDB"/>
    <w:rsid w:val="00546F1D"/>
    <w:rsid w:val="00547773"/>
    <w:rsid w:val="005507EB"/>
    <w:rsid w:val="00552B97"/>
    <w:rsid w:val="00553231"/>
    <w:rsid w:val="0055467E"/>
    <w:rsid w:val="005569A7"/>
    <w:rsid w:val="00557F33"/>
    <w:rsid w:val="0056046B"/>
    <w:rsid w:val="005611D3"/>
    <w:rsid w:val="00561778"/>
    <w:rsid w:val="00562974"/>
    <w:rsid w:val="00563202"/>
    <w:rsid w:val="0056434B"/>
    <w:rsid w:val="00566125"/>
    <w:rsid w:val="0056660D"/>
    <w:rsid w:val="005669DC"/>
    <w:rsid w:val="005674A1"/>
    <w:rsid w:val="00571047"/>
    <w:rsid w:val="0057113A"/>
    <w:rsid w:val="005711EE"/>
    <w:rsid w:val="00571323"/>
    <w:rsid w:val="00571F41"/>
    <w:rsid w:val="0057340C"/>
    <w:rsid w:val="00574104"/>
    <w:rsid w:val="00574D33"/>
    <w:rsid w:val="00576B27"/>
    <w:rsid w:val="005808AA"/>
    <w:rsid w:val="00580D4A"/>
    <w:rsid w:val="00581517"/>
    <w:rsid w:val="00583D14"/>
    <w:rsid w:val="00585986"/>
    <w:rsid w:val="00586C18"/>
    <w:rsid w:val="00587F32"/>
    <w:rsid w:val="0059021F"/>
    <w:rsid w:val="00591B8C"/>
    <w:rsid w:val="00591D56"/>
    <w:rsid w:val="00592371"/>
    <w:rsid w:val="00593AE0"/>
    <w:rsid w:val="00593E0A"/>
    <w:rsid w:val="00593E8B"/>
    <w:rsid w:val="00594033"/>
    <w:rsid w:val="005960D5"/>
    <w:rsid w:val="00596361"/>
    <w:rsid w:val="005968FD"/>
    <w:rsid w:val="005972A8"/>
    <w:rsid w:val="005A2378"/>
    <w:rsid w:val="005A5B75"/>
    <w:rsid w:val="005A5D9A"/>
    <w:rsid w:val="005A6A7D"/>
    <w:rsid w:val="005A7D40"/>
    <w:rsid w:val="005A7E72"/>
    <w:rsid w:val="005B1470"/>
    <w:rsid w:val="005B405D"/>
    <w:rsid w:val="005B484A"/>
    <w:rsid w:val="005B4B49"/>
    <w:rsid w:val="005B4C19"/>
    <w:rsid w:val="005B699F"/>
    <w:rsid w:val="005B74B4"/>
    <w:rsid w:val="005B74F5"/>
    <w:rsid w:val="005C0B9F"/>
    <w:rsid w:val="005C0FF8"/>
    <w:rsid w:val="005C1C21"/>
    <w:rsid w:val="005C1C50"/>
    <w:rsid w:val="005C51CB"/>
    <w:rsid w:val="005C51FE"/>
    <w:rsid w:val="005C5ACF"/>
    <w:rsid w:val="005D01B7"/>
    <w:rsid w:val="005D067A"/>
    <w:rsid w:val="005D0BEE"/>
    <w:rsid w:val="005D1E76"/>
    <w:rsid w:val="005D3C63"/>
    <w:rsid w:val="005D4206"/>
    <w:rsid w:val="005D47CB"/>
    <w:rsid w:val="005D6A04"/>
    <w:rsid w:val="005E0F50"/>
    <w:rsid w:val="005E14A0"/>
    <w:rsid w:val="005E1A9A"/>
    <w:rsid w:val="005E208D"/>
    <w:rsid w:val="005E27A0"/>
    <w:rsid w:val="005E3E40"/>
    <w:rsid w:val="005E4610"/>
    <w:rsid w:val="005E5408"/>
    <w:rsid w:val="005E5D1F"/>
    <w:rsid w:val="005F1D4E"/>
    <w:rsid w:val="005F1F40"/>
    <w:rsid w:val="005F2865"/>
    <w:rsid w:val="005F28FB"/>
    <w:rsid w:val="005F2BA7"/>
    <w:rsid w:val="005F3AF1"/>
    <w:rsid w:val="005F3C2D"/>
    <w:rsid w:val="005F418B"/>
    <w:rsid w:val="005F42C6"/>
    <w:rsid w:val="005F4816"/>
    <w:rsid w:val="005F49D4"/>
    <w:rsid w:val="005F4E46"/>
    <w:rsid w:val="005F5FE9"/>
    <w:rsid w:val="005F6276"/>
    <w:rsid w:val="005F6E7D"/>
    <w:rsid w:val="005F7FE4"/>
    <w:rsid w:val="0060068D"/>
    <w:rsid w:val="006026EC"/>
    <w:rsid w:val="00602FD7"/>
    <w:rsid w:val="00604686"/>
    <w:rsid w:val="006054DF"/>
    <w:rsid w:val="00605609"/>
    <w:rsid w:val="00605663"/>
    <w:rsid w:val="00605CD4"/>
    <w:rsid w:val="006066BE"/>
    <w:rsid w:val="00606750"/>
    <w:rsid w:val="00607C4A"/>
    <w:rsid w:val="00611C3C"/>
    <w:rsid w:val="006124F1"/>
    <w:rsid w:val="00612D48"/>
    <w:rsid w:val="006132D1"/>
    <w:rsid w:val="00613BD9"/>
    <w:rsid w:val="006142B2"/>
    <w:rsid w:val="00615EFA"/>
    <w:rsid w:val="0061690C"/>
    <w:rsid w:val="00616B45"/>
    <w:rsid w:val="00617204"/>
    <w:rsid w:val="0062018B"/>
    <w:rsid w:val="00621413"/>
    <w:rsid w:val="00623DDB"/>
    <w:rsid w:val="00623F95"/>
    <w:rsid w:val="006259E3"/>
    <w:rsid w:val="00625C65"/>
    <w:rsid w:val="00626031"/>
    <w:rsid w:val="0062700E"/>
    <w:rsid w:val="00627AF4"/>
    <w:rsid w:val="00630291"/>
    <w:rsid w:val="00631097"/>
    <w:rsid w:val="006319A4"/>
    <w:rsid w:val="00631A67"/>
    <w:rsid w:val="00631B1C"/>
    <w:rsid w:val="006322D1"/>
    <w:rsid w:val="00634035"/>
    <w:rsid w:val="00634403"/>
    <w:rsid w:val="006359B0"/>
    <w:rsid w:val="006371C0"/>
    <w:rsid w:val="0063767D"/>
    <w:rsid w:val="00637D8C"/>
    <w:rsid w:val="006402CD"/>
    <w:rsid w:val="00641393"/>
    <w:rsid w:val="0064237A"/>
    <w:rsid w:val="006439EC"/>
    <w:rsid w:val="0064406F"/>
    <w:rsid w:val="00645FF1"/>
    <w:rsid w:val="00646993"/>
    <w:rsid w:val="00646C53"/>
    <w:rsid w:val="006479E8"/>
    <w:rsid w:val="00650455"/>
    <w:rsid w:val="006505DD"/>
    <w:rsid w:val="00651973"/>
    <w:rsid w:val="00652C9B"/>
    <w:rsid w:val="006541D8"/>
    <w:rsid w:val="006548D9"/>
    <w:rsid w:val="00655971"/>
    <w:rsid w:val="00655D81"/>
    <w:rsid w:val="00655DDB"/>
    <w:rsid w:val="0065663A"/>
    <w:rsid w:val="00656FF8"/>
    <w:rsid w:val="00660E8C"/>
    <w:rsid w:val="00660F87"/>
    <w:rsid w:val="0066166E"/>
    <w:rsid w:val="00662C63"/>
    <w:rsid w:val="00663F81"/>
    <w:rsid w:val="0066711C"/>
    <w:rsid w:val="00667121"/>
    <w:rsid w:val="00670147"/>
    <w:rsid w:val="00670ECB"/>
    <w:rsid w:val="00671240"/>
    <w:rsid w:val="00671258"/>
    <w:rsid w:val="006717FE"/>
    <w:rsid w:val="00671877"/>
    <w:rsid w:val="006739B9"/>
    <w:rsid w:val="00673AEA"/>
    <w:rsid w:val="006772E9"/>
    <w:rsid w:val="00677EE1"/>
    <w:rsid w:val="006804E1"/>
    <w:rsid w:val="006806B9"/>
    <w:rsid w:val="0068082F"/>
    <w:rsid w:val="00680F2E"/>
    <w:rsid w:val="0068101C"/>
    <w:rsid w:val="006819E0"/>
    <w:rsid w:val="00682970"/>
    <w:rsid w:val="00683119"/>
    <w:rsid w:val="00683338"/>
    <w:rsid w:val="00683D80"/>
    <w:rsid w:val="00684685"/>
    <w:rsid w:val="006849BD"/>
    <w:rsid w:val="006851EE"/>
    <w:rsid w:val="006853A1"/>
    <w:rsid w:val="00685EE0"/>
    <w:rsid w:val="006906B8"/>
    <w:rsid w:val="0069160D"/>
    <w:rsid w:val="006919E7"/>
    <w:rsid w:val="00691A23"/>
    <w:rsid w:val="006924F1"/>
    <w:rsid w:val="00692A2A"/>
    <w:rsid w:val="00693425"/>
    <w:rsid w:val="00694997"/>
    <w:rsid w:val="006950EE"/>
    <w:rsid w:val="00695D49"/>
    <w:rsid w:val="006962CC"/>
    <w:rsid w:val="00696407"/>
    <w:rsid w:val="00696A8C"/>
    <w:rsid w:val="006A46FB"/>
    <w:rsid w:val="006A4BB1"/>
    <w:rsid w:val="006A52A0"/>
    <w:rsid w:val="006A589D"/>
    <w:rsid w:val="006A77A4"/>
    <w:rsid w:val="006A7ED4"/>
    <w:rsid w:val="006B05D6"/>
    <w:rsid w:val="006B06AA"/>
    <w:rsid w:val="006B25BD"/>
    <w:rsid w:val="006B3288"/>
    <w:rsid w:val="006B41E9"/>
    <w:rsid w:val="006B4356"/>
    <w:rsid w:val="006B4590"/>
    <w:rsid w:val="006B59A8"/>
    <w:rsid w:val="006B6741"/>
    <w:rsid w:val="006B7237"/>
    <w:rsid w:val="006B7952"/>
    <w:rsid w:val="006B7F4B"/>
    <w:rsid w:val="006C12D2"/>
    <w:rsid w:val="006C1731"/>
    <w:rsid w:val="006C287D"/>
    <w:rsid w:val="006C2EEA"/>
    <w:rsid w:val="006C340C"/>
    <w:rsid w:val="006C46FD"/>
    <w:rsid w:val="006C4BA2"/>
    <w:rsid w:val="006C4F60"/>
    <w:rsid w:val="006C5215"/>
    <w:rsid w:val="006C5264"/>
    <w:rsid w:val="006C54FE"/>
    <w:rsid w:val="006C577E"/>
    <w:rsid w:val="006C588A"/>
    <w:rsid w:val="006C631E"/>
    <w:rsid w:val="006D0B91"/>
    <w:rsid w:val="006D222A"/>
    <w:rsid w:val="006D43A1"/>
    <w:rsid w:val="006D5C1A"/>
    <w:rsid w:val="006D75D1"/>
    <w:rsid w:val="006D7DC5"/>
    <w:rsid w:val="006D7F6A"/>
    <w:rsid w:val="006E0A99"/>
    <w:rsid w:val="006E0E06"/>
    <w:rsid w:val="006E1909"/>
    <w:rsid w:val="006E1F18"/>
    <w:rsid w:val="006E43AE"/>
    <w:rsid w:val="006E4C72"/>
    <w:rsid w:val="006E78CD"/>
    <w:rsid w:val="006F2E05"/>
    <w:rsid w:val="006F3606"/>
    <w:rsid w:val="006F36B5"/>
    <w:rsid w:val="006F42EE"/>
    <w:rsid w:val="006F4671"/>
    <w:rsid w:val="006F4E24"/>
    <w:rsid w:val="006F503C"/>
    <w:rsid w:val="006F5B98"/>
    <w:rsid w:val="006F6948"/>
    <w:rsid w:val="006F71BB"/>
    <w:rsid w:val="00700736"/>
    <w:rsid w:val="00700BCE"/>
    <w:rsid w:val="00700E7C"/>
    <w:rsid w:val="00702DF1"/>
    <w:rsid w:val="0070347C"/>
    <w:rsid w:val="00703AD5"/>
    <w:rsid w:val="00703D88"/>
    <w:rsid w:val="00704C40"/>
    <w:rsid w:val="00705068"/>
    <w:rsid w:val="00705875"/>
    <w:rsid w:val="00707093"/>
    <w:rsid w:val="007101B2"/>
    <w:rsid w:val="00710860"/>
    <w:rsid w:val="0071295D"/>
    <w:rsid w:val="00712BF0"/>
    <w:rsid w:val="0071344E"/>
    <w:rsid w:val="00713F37"/>
    <w:rsid w:val="00713F56"/>
    <w:rsid w:val="007155DD"/>
    <w:rsid w:val="007158E9"/>
    <w:rsid w:val="00716377"/>
    <w:rsid w:val="007169AB"/>
    <w:rsid w:val="00720C72"/>
    <w:rsid w:val="007217DF"/>
    <w:rsid w:val="00721A92"/>
    <w:rsid w:val="00722017"/>
    <w:rsid w:val="007226AC"/>
    <w:rsid w:val="00723539"/>
    <w:rsid w:val="00723734"/>
    <w:rsid w:val="00723998"/>
    <w:rsid w:val="007245EE"/>
    <w:rsid w:val="00726C45"/>
    <w:rsid w:val="00732437"/>
    <w:rsid w:val="00735E3E"/>
    <w:rsid w:val="007366A3"/>
    <w:rsid w:val="00740848"/>
    <w:rsid w:val="00740CB7"/>
    <w:rsid w:val="0074114E"/>
    <w:rsid w:val="0074195B"/>
    <w:rsid w:val="00741D9D"/>
    <w:rsid w:val="00742E7C"/>
    <w:rsid w:val="00744C35"/>
    <w:rsid w:val="00746B52"/>
    <w:rsid w:val="00746BD4"/>
    <w:rsid w:val="00747EC2"/>
    <w:rsid w:val="007514A7"/>
    <w:rsid w:val="00751939"/>
    <w:rsid w:val="00752B98"/>
    <w:rsid w:val="00752CB5"/>
    <w:rsid w:val="00752D0B"/>
    <w:rsid w:val="00753198"/>
    <w:rsid w:val="007532B2"/>
    <w:rsid w:val="007546AA"/>
    <w:rsid w:val="007570FE"/>
    <w:rsid w:val="00757464"/>
    <w:rsid w:val="00757B26"/>
    <w:rsid w:val="007602DF"/>
    <w:rsid w:val="00761E5B"/>
    <w:rsid w:val="007637C5"/>
    <w:rsid w:val="00763970"/>
    <w:rsid w:val="00763BA5"/>
    <w:rsid w:val="00764B56"/>
    <w:rsid w:val="0076671A"/>
    <w:rsid w:val="00766F68"/>
    <w:rsid w:val="007713DC"/>
    <w:rsid w:val="0077211D"/>
    <w:rsid w:val="007727F3"/>
    <w:rsid w:val="00773DDA"/>
    <w:rsid w:val="00774B8F"/>
    <w:rsid w:val="00775ABB"/>
    <w:rsid w:val="00775E20"/>
    <w:rsid w:val="00777E7E"/>
    <w:rsid w:val="00784A35"/>
    <w:rsid w:val="00790FE4"/>
    <w:rsid w:val="00791890"/>
    <w:rsid w:val="00792309"/>
    <w:rsid w:val="0079243A"/>
    <w:rsid w:val="007925EF"/>
    <w:rsid w:val="00794671"/>
    <w:rsid w:val="007A0F5E"/>
    <w:rsid w:val="007A176D"/>
    <w:rsid w:val="007A17F5"/>
    <w:rsid w:val="007A188B"/>
    <w:rsid w:val="007A1DAD"/>
    <w:rsid w:val="007A209C"/>
    <w:rsid w:val="007A28A0"/>
    <w:rsid w:val="007A38B4"/>
    <w:rsid w:val="007A519B"/>
    <w:rsid w:val="007A52E0"/>
    <w:rsid w:val="007A5A59"/>
    <w:rsid w:val="007A6578"/>
    <w:rsid w:val="007A6DA7"/>
    <w:rsid w:val="007A714A"/>
    <w:rsid w:val="007A76CB"/>
    <w:rsid w:val="007B018C"/>
    <w:rsid w:val="007B24D4"/>
    <w:rsid w:val="007B2FBC"/>
    <w:rsid w:val="007B3CC1"/>
    <w:rsid w:val="007B41DF"/>
    <w:rsid w:val="007B4AD1"/>
    <w:rsid w:val="007B4B38"/>
    <w:rsid w:val="007B5EEE"/>
    <w:rsid w:val="007B60E3"/>
    <w:rsid w:val="007B667C"/>
    <w:rsid w:val="007B6B00"/>
    <w:rsid w:val="007B7868"/>
    <w:rsid w:val="007C3ACC"/>
    <w:rsid w:val="007C482F"/>
    <w:rsid w:val="007C49E8"/>
    <w:rsid w:val="007C5644"/>
    <w:rsid w:val="007D0141"/>
    <w:rsid w:val="007D30F7"/>
    <w:rsid w:val="007D3340"/>
    <w:rsid w:val="007D4792"/>
    <w:rsid w:val="007D4FBA"/>
    <w:rsid w:val="007D6BD7"/>
    <w:rsid w:val="007D6C17"/>
    <w:rsid w:val="007E0E47"/>
    <w:rsid w:val="007E13D0"/>
    <w:rsid w:val="007E286D"/>
    <w:rsid w:val="007E60C2"/>
    <w:rsid w:val="007E7967"/>
    <w:rsid w:val="007E7E6F"/>
    <w:rsid w:val="007F01EA"/>
    <w:rsid w:val="007F14AB"/>
    <w:rsid w:val="007F2717"/>
    <w:rsid w:val="007F3D0D"/>
    <w:rsid w:val="007F42FB"/>
    <w:rsid w:val="007F748C"/>
    <w:rsid w:val="0080141B"/>
    <w:rsid w:val="008019B7"/>
    <w:rsid w:val="00801C53"/>
    <w:rsid w:val="00803BB7"/>
    <w:rsid w:val="008040AB"/>
    <w:rsid w:val="00805009"/>
    <w:rsid w:val="0080516D"/>
    <w:rsid w:val="008060BB"/>
    <w:rsid w:val="00806A9B"/>
    <w:rsid w:val="008101B1"/>
    <w:rsid w:val="00810B3C"/>
    <w:rsid w:val="0081197C"/>
    <w:rsid w:val="0081347E"/>
    <w:rsid w:val="00813DD9"/>
    <w:rsid w:val="00814F4B"/>
    <w:rsid w:val="0081511E"/>
    <w:rsid w:val="0081573E"/>
    <w:rsid w:val="008162D8"/>
    <w:rsid w:val="00816503"/>
    <w:rsid w:val="00816AA3"/>
    <w:rsid w:val="00817DC0"/>
    <w:rsid w:val="00820747"/>
    <w:rsid w:val="00820A59"/>
    <w:rsid w:val="00820DBF"/>
    <w:rsid w:val="00821644"/>
    <w:rsid w:val="00824649"/>
    <w:rsid w:val="008253AE"/>
    <w:rsid w:val="00826638"/>
    <w:rsid w:val="00827264"/>
    <w:rsid w:val="00827753"/>
    <w:rsid w:val="00827E6B"/>
    <w:rsid w:val="00830DBC"/>
    <w:rsid w:val="00831DAC"/>
    <w:rsid w:val="008344AD"/>
    <w:rsid w:val="00836028"/>
    <w:rsid w:val="00837176"/>
    <w:rsid w:val="0084037D"/>
    <w:rsid w:val="00842224"/>
    <w:rsid w:val="0084284B"/>
    <w:rsid w:val="00842B82"/>
    <w:rsid w:val="00844497"/>
    <w:rsid w:val="00844750"/>
    <w:rsid w:val="00846BF8"/>
    <w:rsid w:val="008500CC"/>
    <w:rsid w:val="00851499"/>
    <w:rsid w:val="0085173C"/>
    <w:rsid w:val="00852E8F"/>
    <w:rsid w:val="00852FC9"/>
    <w:rsid w:val="0085436C"/>
    <w:rsid w:val="008550EC"/>
    <w:rsid w:val="0085578A"/>
    <w:rsid w:val="00856626"/>
    <w:rsid w:val="00862C53"/>
    <w:rsid w:val="00864FAD"/>
    <w:rsid w:val="008657EF"/>
    <w:rsid w:val="00867C19"/>
    <w:rsid w:val="0087139A"/>
    <w:rsid w:val="0087140E"/>
    <w:rsid w:val="008719F7"/>
    <w:rsid w:val="00873805"/>
    <w:rsid w:val="00873A2D"/>
    <w:rsid w:val="00873EB9"/>
    <w:rsid w:val="00874363"/>
    <w:rsid w:val="00875C75"/>
    <w:rsid w:val="00876DFB"/>
    <w:rsid w:val="00881109"/>
    <w:rsid w:val="00882B0D"/>
    <w:rsid w:val="0088312E"/>
    <w:rsid w:val="00883744"/>
    <w:rsid w:val="00884B47"/>
    <w:rsid w:val="00884BDA"/>
    <w:rsid w:val="00885955"/>
    <w:rsid w:val="00885AF9"/>
    <w:rsid w:val="008869B0"/>
    <w:rsid w:val="008874AC"/>
    <w:rsid w:val="00887A56"/>
    <w:rsid w:val="008908EC"/>
    <w:rsid w:val="008921DD"/>
    <w:rsid w:val="0089595B"/>
    <w:rsid w:val="00896300"/>
    <w:rsid w:val="008A046F"/>
    <w:rsid w:val="008A26E3"/>
    <w:rsid w:val="008A71B2"/>
    <w:rsid w:val="008A72E1"/>
    <w:rsid w:val="008A72ED"/>
    <w:rsid w:val="008B11AC"/>
    <w:rsid w:val="008B1A07"/>
    <w:rsid w:val="008B1B58"/>
    <w:rsid w:val="008B1DDB"/>
    <w:rsid w:val="008B2C07"/>
    <w:rsid w:val="008B39BC"/>
    <w:rsid w:val="008B3FCC"/>
    <w:rsid w:val="008B4356"/>
    <w:rsid w:val="008B4697"/>
    <w:rsid w:val="008B4CFF"/>
    <w:rsid w:val="008B673C"/>
    <w:rsid w:val="008B68A5"/>
    <w:rsid w:val="008C0B13"/>
    <w:rsid w:val="008C0CEF"/>
    <w:rsid w:val="008C13DE"/>
    <w:rsid w:val="008C1BD2"/>
    <w:rsid w:val="008C1F8B"/>
    <w:rsid w:val="008C20C0"/>
    <w:rsid w:val="008C2172"/>
    <w:rsid w:val="008C3439"/>
    <w:rsid w:val="008C3E15"/>
    <w:rsid w:val="008C5C20"/>
    <w:rsid w:val="008D2067"/>
    <w:rsid w:val="008D2B84"/>
    <w:rsid w:val="008D342C"/>
    <w:rsid w:val="008D359E"/>
    <w:rsid w:val="008D35BC"/>
    <w:rsid w:val="008D3EE5"/>
    <w:rsid w:val="008D4490"/>
    <w:rsid w:val="008D47CB"/>
    <w:rsid w:val="008D7339"/>
    <w:rsid w:val="008D7603"/>
    <w:rsid w:val="008E012D"/>
    <w:rsid w:val="008E3551"/>
    <w:rsid w:val="008E64DD"/>
    <w:rsid w:val="008E7FAE"/>
    <w:rsid w:val="008F1223"/>
    <w:rsid w:val="008F271C"/>
    <w:rsid w:val="008F37CC"/>
    <w:rsid w:val="008F411C"/>
    <w:rsid w:val="008F446D"/>
    <w:rsid w:val="008F54BC"/>
    <w:rsid w:val="008F7B03"/>
    <w:rsid w:val="009006ED"/>
    <w:rsid w:val="00900F04"/>
    <w:rsid w:val="009011D5"/>
    <w:rsid w:val="009012A3"/>
    <w:rsid w:val="00901624"/>
    <w:rsid w:val="00901D3D"/>
    <w:rsid w:val="00901EFF"/>
    <w:rsid w:val="00902123"/>
    <w:rsid w:val="009023ED"/>
    <w:rsid w:val="00903106"/>
    <w:rsid w:val="00903427"/>
    <w:rsid w:val="00904842"/>
    <w:rsid w:val="00904A12"/>
    <w:rsid w:val="00904B45"/>
    <w:rsid w:val="00905365"/>
    <w:rsid w:val="009104D9"/>
    <w:rsid w:val="00910B84"/>
    <w:rsid w:val="00910D48"/>
    <w:rsid w:val="00911518"/>
    <w:rsid w:val="009117B3"/>
    <w:rsid w:val="00911BF7"/>
    <w:rsid w:val="00912D96"/>
    <w:rsid w:val="00912ED4"/>
    <w:rsid w:val="00912FC9"/>
    <w:rsid w:val="00914857"/>
    <w:rsid w:val="009152A3"/>
    <w:rsid w:val="0091669E"/>
    <w:rsid w:val="00916BA5"/>
    <w:rsid w:val="00916D29"/>
    <w:rsid w:val="009179E2"/>
    <w:rsid w:val="00920026"/>
    <w:rsid w:val="00920BFF"/>
    <w:rsid w:val="0092104D"/>
    <w:rsid w:val="00921874"/>
    <w:rsid w:val="00922206"/>
    <w:rsid w:val="00922805"/>
    <w:rsid w:val="00922F88"/>
    <w:rsid w:val="009231F6"/>
    <w:rsid w:val="00923201"/>
    <w:rsid w:val="00924A6B"/>
    <w:rsid w:val="00925584"/>
    <w:rsid w:val="00925706"/>
    <w:rsid w:val="00926EDE"/>
    <w:rsid w:val="009276EA"/>
    <w:rsid w:val="00927742"/>
    <w:rsid w:val="00927BD3"/>
    <w:rsid w:val="00927EB9"/>
    <w:rsid w:val="0093087E"/>
    <w:rsid w:val="00930E9F"/>
    <w:rsid w:val="0093152A"/>
    <w:rsid w:val="00931EBE"/>
    <w:rsid w:val="00931F9E"/>
    <w:rsid w:val="00932E3F"/>
    <w:rsid w:val="009366F8"/>
    <w:rsid w:val="009368D3"/>
    <w:rsid w:val="00936AC0"/>
    <w:rsid w:val="00941212"/>
    <w:rsid w:val="00941BF8"/>
    <w:rsid w:val="00941CF3"/>
    <w:rsid w:val="0094242B"/>
    <w:rsid w:val="00942876"/>
    <w:rsid w:val="00942DA8"/>
    <w:rsid w:val="00943614"/>
    <w:rsid w:val="00945299"/>
    <w:rsid w:val="0094675E"/>
    <w:rsid w:val="009472A4"/>
    <w:rsid w:val="009502C8"/>
    <w:rsid w:val="00952E00"/>
    <w:rsid w:val="00956436"/>
    <w:rsid w:val="00956C86"/>
    <w:rsid w:val="00960B2C"/>
    <w:rsid w:val="00960EAE"/>
    <w:rsid w:val="009612B4"/>
    <w:rsid w:val="009613D3"/>
    <w:rsid w:val="00964EEF"/>
    <w:rsid w:val="00966DE8"/>
    <w:rsid w:val="0096714A"/>
    <w:rsid w:val="0096716F"/>
    <w:rsid w:val="00967242"/>
    <w:rsid w:val="00971057"/>
    <w:rsid w:val="009735DA"/>
    <w:rsid w:val="00973876"/>
    <w:rsid w:val="00974287"/>
    <w:rsid w:val="0097631B"/>
    <w:rsid w:val="00976E23"/>
    <w:rsid w:val="00976E9A"/>
    <w:rsid w:val="00976FDC"/>
    <w:rsid w:val="0097738E"/>
    <w:rsid w:val="00977EBB"/>
    <w:rsid w:val="00977EC8"/>
    <w:rsid w:val="00980312"/>
    <w:rsid w:val="009830D5"/>
    <w:rsid w:val="00983B3C"/>
    <w:rsid w:val="009846AA"/>
    <w:rsid w:val="00986964"/>
    <w:rsid w:val="009869A1"/>
    <w:rsid w:val="00986EAA"/>
    <w:rsid w:val="00991082"/>
    <w:rsid w:val="00992C3C"/>
    <w:rsid w:val="009944A7"/>
    <w:rsid w:val="009957DD"/>
    <w:rsid w:val="00995D82"/>
    <w:rsid w:val="0099622B"/>
    <w:rsid w:val="009A088E"/>
    <w:rsid w:val="009A143E"/>
    <w:rsid w:val="009A216D"/>
    <w:rsid w:val="009A24EC"/>
    <w:rsid w:val="009A4761"/>
    <w:rsid w:val="009A5841"/>
    <w:rsid w:val="009A6E02"/>
    <w:rsid w:val="009B13B1"/>
    <w:rsid w:val="009B22A0"/>
    <w:rsid w:val="009B25FB"/>
    <w:rsid w:val="009B2E64"/>
    <w:rsid w:val="009B367C"/>
    <w:rsid w:val="009B36B1"/>
    <w:rsid w:val="009B449F"/>
    <w:rsid w:val="009B4806"/>
    <w:rsid w:val="009B4DE6"/>
    <w:rsid w:val="009B56F9"/>
    <w:rsid w:val="009B6282"/>
    <w:rsid w:val="009C02B1"/>
    <w:rsid w:val="009C1690"/>
    <w:rsid w:val="009C2025"/>
    <w:rsid w:val="009C2349"/>
    <w:rsid w:val="009C2C79"/>
    <w:rsid w:val="009C3589"/>
    <w:rsid w:val="009C49EC"/>
    <w:rsid w:val="009C4EC1"/>
    <w:rsid w:val="009C52DF"/>
    <w:rsid w:val="009C56F5"/>
    <w:rsid w:val="009C68E9"/>
    <w:rsid w:val="009C6D5E"/>
    <w:rsid w:val="009D248E"/>
    <w:rsid w:val="009D3A8C"/>
    <w:rsid w:val="009D3C4D"/>
    <w:rsid w:val="009D3C79"/>
    <w:rsid w:val="009D4D29"/>
    <w:rsid w:val="009D55AC"/>
    <w:rsid w:val="009D5F0C"/>
    <w:rsid w:val="009D66E6"/>
    <w:rsid w:val="009D69F6"/>
    <w:rsid w:val="009E063A"/>
    <w:rsid w:val="009E0E02"/>
    <w:rsid w:val="009E118C"/>
    <w:rsid w:val="009E1216"/>
    <w:rsid w:val="009E16B7"/>
    <w:rsid w:val="009E1746"/>
    <w:rsid w:val="009E4444"/>
    <w:rsid w:val="009E55ED"/>
    <w:rsid w:val="009E5FC6"/>
    <w:rsid w:val="009E7956"/>
    <w:rsid w:val="009E7A31"/>
    <w:rsid w:val="009F02D8"/>
    <w:rsid w:val="009F16C8"/>
    <w:rsid w:val="009F1B2A"/>
    <w:rsid w:val="009F2006"/>
    <w:rsid w:val="009F21CE"/>
    <w:rsid w:val="009F3413"/>
    <w:rsid w:val="009F6FDA"/>
    <w:rsid w:val="009F7D4B"/>
    <w:rsid w:val="009F7F86"/>
    <w:rsid w:val="00A048D2"/>
    <w:rsid w:val="00A05366"/>
    <w:rsid w:val="00A059C4"/>
    <w:rsid w:val="00A06AE6"/>
    <w:rsid w:val="00A06BB7"/>
    <w:rsid w:val="00A06D92"/>
    <w:rsid w:val="00A07355"/>
    <w:rsid w:val="00A0740C"/>
    <w:rsid w:val="00A078DE"/>
    <w:rsid w:val="00A079E6"/>
    <w:rsid w:val="00A11274"/>
    <w:rsid w:val="00A11A77"/>
    <w:rsid w:val="00A11AB4"/>
    <w:rsid w:val="00A12DE5"/>
    <w:rsid w:val="00A1428E"/>
    <w:rsid w:val="00A14383"/>
    <w:rsid w:val="00A14BDB"/>
    <w:rsid w:val="00A15424"/>
    <w:rsid w:val="00A15D36"/>
    <w:rsid w:val="00A17F29"/>
    <w:rsid w:val="00A212C5"/>
    <w:rsid w:val="00A21E04"/>
    <w:rsid w:val="00A21E88"/>
    <w:rsid w:val="00A2393E"/>
    <w:rsid w:val="00A23E9A"/>
    <w:rsid w:val="00A24724"/>
    <w:rsid w:val="00A2492E"/>
    <w:rsid w:val="00A24F0E"/>
    <w:rsid w:val="00A26C96"/>
    <w:rsid w:val="00A26E52"/>
    <w:rsid w:val="00A26F56"/>
    <w:rsid w:val="00A277BD"/>
    <w:rsid w:val="00A30069"/>
    <w:rsid w:val="00A30428"/>
    <w:rsid w:val="00A30742"/>
    <w:rsid w:val="00A30EF6"/>
    <w:rsid w:val="00A345A9"/>
    <w:rsid w:val="00A3573A"/>
    <w:rsid w:val="00A36C99"/>
    <w:rsid w:val="00A372D0"/>
    <w:rsid w:val="00A373CF"/>
    <w:rsid w:val="00A41453"/>
    <w:rsid w:val="00A41CC1"/>
    <w:rsid w:val="00A41CC5"/>
    <w:rsid w:val="00A41FCA"/>
    <w:rsid w:val="00A429BE"/>
    <w:rsid w:val="00A44354"/>
    <w:rsid w:val="00A45D67"/>
    <w:rsid w:val="00A46A76"/>
    <w:rsid w:val="00A52671"/>
    <w:rsid w:val="00A531B6"/>
    <w:rsid w:val="00A54A8B"/>
    <w:rsid w:val="00A55104"/>
    <w:rsid w:val="00A559A1"/>
    <w:rsid w:val="00A560E4"/>
    <w:rsid w:val="00A56887"/>
    <w:rsid w:val="00A56AD5"/>
    <w:rsid w:val="00A61132"/>
    <w:rsid w:val="00A62202"/>
    <w:rsid w:val="00A62596"/>
    <w:rsid w:val="00A6365A"/>
    <w:rsid w:val="00A63BBD"/>
    <w:rsid w:val="00A63FB0"/>
    <w:rsid w:val="00A640EB"/>
    <w:rsid w:val="00A6495D"/>
    <w:rsid w:val="00A65596"/>
    <w:rsid w:val="00A655B8"/>
    <w:rsid w:val="00A66193"/>
    <w:rsid w:val="00A70260"/>
    <w:rsid w:val="00A7078E"/>
    <w:rsid w:val="00A713DC"/>
    <w:rsid w:val="00A715EF"/>
    <w:rsid w:val="00A71CB5"/>
    <w:rsid w:val="00A72DD6"/>
    <w:rsid w:val="00A736D1"/>
    <w:rsid w:val="00A73A05"/>
    <w:rsid w:val="00A73EC6"/>
    <w:rsid w:val="00A74BA7"/>
    <w:rsid w:val="00A757A2"/>
    <w:rsid w:val="00A75865"/>
    <w:rsid w:val="00A75D1C"/>
    <w:rsid w:val="00A77074"/>
    <w:rsid w:val="00A77976"/>
    <w:rsid w:val="00A83005"/>
    <w:rsid w:val="00A83103"/>
    <w:rsid w:val="00A8374C"/>
    <w:rsid w:val="00A854A6"/>
    <w:rsid w:val="00A8609A"/>
    <w:rsid w:val="00A8636A"/>
    <w:rsid w:val="00A87B3C"/>
    <w:rsid w:val="00A87D33"/>
    <w:rsid w:val="00A904FA"/>
    <w:rsid w:val="00A90F8F"/>
    <w:rsid w:val="00A94637"/>
    <w:rsid w:val="00A94987"/>
    <w:rsid w:val="00A950C1"/>
    <w:rsid w:val="00A9518A"/>
    <w:rsid w:val="00A954DF"/>
    <w:rsid w:val="00A96126"/>
    <w:rsid w:val="00AA00F1"/>
    <w:rsid w:val="00AA0928"/>
    <w:rsid w:val="00AA1AB2"/>
    <w:rsid w:val="00AA20B6"/>
    <w:rsid w:val="00AA28E7"/>
    <w:rsid w:val="00AA4A96"/>
    <w:rsid w:val="00AA4F21"/>
    <w:rsid w:val="00AA5EB4"/>
    <w:rsid w:val="00AA639A"/>
    <w:rsid w:val="00AA6BEF"/>
    <w:rsid w:val="00AA72A9"/>
    <w:rsid w:val="00AA7EDB"/>
    <w:rsid w:val="00AB0A47"/>
    <w:rsid w:val="00AB0AED"/>
    <w:rsid w:val="00AB211A"/>
    <w:rsid w:val="00AB364C"/>
    <w:rsid w:val="00AB5121"/>
    <w:rsid w:val="00AB5380"/>
    <w:rsid w:val="00AB69D4"/>
    <w:rsid w:val="00AB72C7"/>
    <w:rsid w:val="00AB732F"/>
    <w:rsid w:val="00AC1FD8"/>
    <w:rsid w:val="00AC4743"/>
    <w:rsid w:val="00AC47AD"/>
    <w:rsid w:val="00AC7977"/>
    <w:rsid w:val="00AD0A90"/>
    <w:rsid w:val="00AD1DEA"/>
    <w:rsid w:val="00AD259D"/>
    <w:rsid w:val="00AD31E9"/>
    <w:rsid w:val="00AD39D3"/>
    <w:rsid w:val="00AD4252"/>
    <w:rsid w:val="00AD4396"/>
    <w:rsid w:val="00AD4A00"/>
    <w:rsid w:val="00AD72E3"/>
    <w:rsid w:val="00AD7E8B"/>
    <w:rsid w:val="00AE352C"/>
    <w:rsid w:val="00AE3E60"/>
    <w:rsid w:val="00AE4B0C"/>
    <w:rsid w:val="00AE4C5F"/>
    <w:rsid w:val="00AE517C"/>
    <w:rsid w:val="00AE56A4"/>
    <w:rsid w:val="00AE5C9A"/>
    <w:rsid w:val="00AE78BA"/>
    <w:rsid w:val="00AF106F"/>
    <w:rsid w:val="00AF14D2"/>
    <w:rsid w:val="00AF236D"/>
    <w:rsid w:val="00AF49DE"/>
    <w:rsid w:val="00AF54ED"/>
    <w:rsid w:val="00AF7F56"/>
    <w:rsid w:val="00B01461"/>
    <w:rsid w:val="00B01DE6"/>
    <w:rsid w:val="00B03CE9"/>
    <w:rsid w:val="00B06E1B"/>
    <w:rsid w:val="00B06F1A"/>
    <w:rsid w:val="00B072EC"/>
    <w:rsid w:val="00B13061"/>
    <w:rsid w:val="00B14356"/>
    <w:rsid w:val="00B1570A"/>
    <w:rsid w:val="00B1622B"/>
    <w:rsid w:val="00B1688B"/>
    <w:rsid w:val="00B20474"/>
    <w:rsid w:val="00B23B4C"/>
    <w:rsid w:val="00B23B71"/>
    <w:rsid w:val="00B24506"/>
    <w:rsid w:val="00B252E2"/>
    <w:rsid w:val="00B25D73"/>
    <w:rsid w:val="00B25FED"/>
    <w:rsid w:val="00B26337"/>
    <w:rsid w:val="00B26D22"/>
    <w:rsid w:val="00B27690"/>
    <w:rsid w:val="00B300A8"/>
    <w:rsid w:val="00B31385"/>
    <w:rsid w:val="00B32AA5"/>
    <w:rsid w:val="00B32E2D"/>
    <w:rsid w:val="00B336CF"/>
    <w:rsid w:val="00B3504D"/>
    <w:rsid w:val="00B37790"/>
    <w:rsid w:val="00B407E8"/>
    <w:rsid w:val="00B410D9"/>
    <w:rsid w:val="00B4237E"/>
    <w:rsid w:val="00B47669"/>
    <w:rsid w:val="00B503A3"/>
    <w:rsid w:val="00B50C69"/>
    <w:rsid w:val="00B50D5E"/>
    <w:rsid w:val="00B52891"/>
    <w:rsid w:val="00B53153"/>
    <w:rsid w:val="00B5450A"/>
    <w:rsid w:val="00B56A4B"/>
    <w:rsid w:val="00B57512"/>
    <w:rsid w:val="00B57BF9"/>
    <w:rsid w:val="00B618B4"/>
    <w:rsid w:val="00B61990"/>
    <w:rsid w:val="00B622EE"/>
    <w:rsid w:val="00B626C4"/>
    <w:rsid w:val="00B62905"/>
    <w:rsid w:val="00B62968"/>
    <w:rsid w:val="00B64BB1"/>
    <w:rsid w:val="00B70267"/>
    <w:rsid w:val="00B702F2"/>
    <w:rsid w:val="00B7208E"/>
    <w:rsid w:val="00B73E42"/>
    <w:rsid w:val="00B76D57"/>
    <w:rsid w:val="00B77382"/>
    <w:rsid w:val="00B77B87"/>
    <w:rsid w:val="00B80932"/>
    <w:rsid w:val="00B80A9E"/>
    <w:rsid w:val="00B80AB4"/>
    <w:rsid w:val="00B813D5"/>
    <w:rsid w:val="00B82E52"/>
    <w:rsid w:val="00B831ED"/>
    <w:rsid w:val="00B84939"/>
    <w:rsid w:val="00B858BE"/>
    <w:rsid w:val="00B86AD0"/>
    <w:rsid w:val="00B8742B"/>
    <w:rsid w:val="00B879ED"/>
    <w:rsid w:val="00B90F6F"/>
    <w:rsid w:val="00B9188B"/>
    <w:rsid w:val="00B91930"/>
    <w:rsid w:val="00B93764"/>
    <w:rsid w:val="00B93FCE"/>
    <w:rsid w:val="00B940C2"/>
    <w:rsid w:val="00B95C3A"/>
    <w:rsid w:val="00B9642C"/>
    <w:rsid w:val="00B9668A"/>
    <w:rsid w:val="00B97EE2"/>
    <w:rsid w:val="00BA04B9"/>
    <w:rsid w:val="00BA1201"/>
    <w:rsid w:val="00BA239F"/>
    <w:rsid w:val="00BA2B70"/>
    <w:rsid w:val="00BA37B5"/>
    <w:rsid w:val="00BA390F"/>
    <w:rsid w:val="00BA4264"/>
    <w:rsid w:val="00BA4287"/>
    <w:rsid w:val="00BA4E24"/>
    <w:rsid w:val="00BA5674"/>
    <w:rsid w:val="00BA5FF0"/>
    <w:rsid w:val="00BA6C34"/>
    <w:rsid w:val="00BA76AB"/>
    <w:rsid w:val="00BA79EC"/>
    <w:rsid w:val="00BB16C4"/>
    <w:rsid w:val="00BB1DB6"/>
    <w:rsid w:val="00BB1F2F"/>
    <w:rsid w:val="00BB29CA"/>
    <w:rsid w:val="00BB2BE3"/>
    <w:rsid w:val="00BB2D59"/>
    <w:rsid w:val="00BB441F"/>
    <w:rsid w:val="00BB4CD0"/>
    <w:rsid w:val="00BB4DC2"/>
    <w:rsid w:val="00BB573B"/>
    <w:rsid w:val="00BC18D8"/>
    <w:rsid w:val="00BC2120"/>
    <w:rsid w:val="00BC2F82"/>
    <w:rsid w:val="00BC4292"/>
    <w:rsid w:val="00BC4999"/>
    <w:rsid w:val="00BC49BB"/>
    <w:rsid w:val="00BC66AD"/>
    <w:rsid w:val="00BC7945"/>
    <w:rsid w:val="00BD08E1"/>
    <w:rsid w:val="00BD0AB4"/>
    <w:rsid w:val="00BD131A"/>
    <w:rsid w:val="00BD2527"/>
    <w:rsid w:val="00BD2D7F"/>
    <w:rsid w:val="00BD548E"/>
    <w:rsid w:val="00BD5897"/>
    <w:rsid w:val="00BD67BA"/>
    <w:rsid w:val="00BE009D"/>
    <w:rsid w:val="00BE1DDC"/>
    <w:rsid w:val="00BE28D3"/>
    <w:rsid w:val="00BE362F"/>
    <w:rsid w:val="00BE3932"/>
    <w:rsid w:val="00BE46E5"/>
    <w:rsid w:val="00BE4A5F"/>
    <w:rsid w:val="00BF0556"/>
    <w:rsid w:val="00BF10C0"/>
    <w:rsid w:val="00BF12E8"/>
    <w:rsid w:val="00BF1614"/>
    <w:rsid w:val="00BF1724"/>
    <w:rsid w:val="00BF2B4E"/>
    <w:rsid w:val="00BF44A1"/>
    <w:rsid w:val="00BF5C82"/>
    <w:rsid w:val="00BF634B"/>
    <w:rsid w:val="00BF6493"/>
    <w:rsid w:val="00C00967"/>
    <w:rsid w:val="00C01E2C"/>
    <w:rsid w:val="00C02419"/>
    <w:rsid w:val="00C026B0"/>
    <w:rsid w:val="00C03844"/>
    <w:rsid w:val="00C039E0"/>
    <w:rsid w:val="00C05167"/>
    <w:rsid w:val="00C06306"/>
    <w:rsid w:val="00C105B2"/>
    <w:rsid w:val="00C11127"/>
    <w:rsid w:val="00C122BE"/>
    <w:rsid w:val="00C122DB"/>
    <w:rsid w:val="00C1340F"/>
    <w:rsid w:val="00C13C58"/>
    <w:rsid w:val="00C13C76"/>
    <w:rsid w:val="00C13E16"/>
    <w:rsid w:val="00C13E74"/>
    <w:rsid w:val="00C15D6B"/>
    <w:rsid w:val="00C172E8"/>
    <w:rsid w:val="00C17DC6"/>
    <w:rsid w:val="00C20CC3"/>
    <w:rsid w:val="00C2252E"/>
    <w:rsid w:val="00C261F8"/>
    <w:rsid w:val="00C26EB1"/>
    <w:rsid w:val="00C26F9B"/>
    <w:rsid w:val="00C27541"/>
    <w:rsid w:val="00C310C1"/>
    <w:rsid w:val="00C31512"/>
    <w:rsid w:val="00C31B31"/>
    <w:rsid w:val="00C35128"/>
    <w:rsid w:val="00C36371"/>
    <w:rsid w:val="00C368C4"/>
    <w:rsid w:val="00C40992"/>
    <w:rsid w:val="00C40B79"/>
    <w:rsid w:val="00C411BB"/>
    <w:rsid w:val="00C4247A"/>
    <w:rsid w:val="00C4289A"/>
    <w:rsid w:val="00C443EB"/>
    <w:rsid w:val="00C44725"/>
    <w:rsid w:val="00C451D2"/>
    <w:rsid w:val="00C473EC"/>
    <w:rsid w:val="00C47DC8"/>
    <w:rsid w:val="00C47E44"/>
    <w:rsid w:val="00C504EE"/>
    <w:rsid w:val="00C50748"/>
    <w:rsid w:val="00C51628"/>
    <w:rsid w:val="00C531CF"/>
    <w:rsid w:val="00C546C7"/>
    <w:rsid w:val="00C54FD8"/>
    <w:rsid w:val="00C56591"/>
    <w:rsid w:val="00C56E27"/>
    <w:rsid w:val="00C570AB"/>
    <w:rsid w:val="00C57108"/>
    <w:rsid w:val="00C5736C"/>
    <w:rsid w:val="00C57CFD"/>
    <w:rsid w:val="00C6018F"/>
    <w:rsid w:val="00C616BD"/>
    <w:rsid w:val="00C61DE1"/>
    <w:rsid w:val="00C61E96"/>
    <w:rsid w:val="00C63ECF"/>
    <w:rsid w:val="00C670B8"/>
    <w:rsid w:val="00C70DAC"/>
    <w:rsid w:val="00C717B1"/>
    <w:rsid w:val="00C717E0"/>
    <w:rsid w:val="00C732A7"/>
    <w:rsid w:val="00C7543C"/>
    <w:rsid w:val="00C75C81"/>
    <w:rsid w:val="00C80AA0"/>
    <w:rsid w:val="00C80AB8"/>
    <w:rsid w:val="00C81104"/>
    <w:rsid w:val="00C81999"/>
    <w:rsid w:val="00C83141"/>
    <w:rsid w:val="00C84774"/>
    <w:rsid w:val="00C87164"/>
    <w:rsid w:val="00C877D0"/>
    <w:rsid w:val="00C87991"/>
    <w:rsid w:val="00C90567"/>
    <w:rsid w:val="00C91589"/>
    <w:rsid w:val="00C92AD9"/>
    <w:rsid w:val="00C93DC1"/>
    <w:rsid w:val="00C947B6"/>
    <w:rsid w:val="00C94A9C"/>
    <w:rsid w:val="00C9527F"/>
    <w:rsid w:val="00C95CE1"/>
    <w:rsid w:val="00CA06E6"/>
    <w:rsid w:val="00CA085A"/>
    <w:rsid w:val="00CA20F0"/>
    <w:rsid w:val="00CA569B"/>
    <w:rsid w:val="00CA7563"/>
    <w:rsid w:val="00CA78D3"/>
    <w:rsid w:val="00CB378C"/>
    <w:rsid w:val="00CB3BA9"/>
    <w:rsid w:val="00CB42DD"/>
    <w:rsid w:val="00CB56CE"/>
    <w:rsid w:val="00CB72E2"/>
    <w:rsid w:val="00CC1193"/>
    <w:rsid w:val="00CC154E"/>
    <w:rsid w:val="00CC207F"/>
    <w:rsid w:val="00CC3103"/>
    <w:rsid w:val="00CC54EB"/>
    <w:rsid w:val="00CC55B3"/>
    <w:rsid w:val="00CC6CAB"/>
    <w:rsid w:val="00CC7B6C"/>
    <w:rsid w:val="00CC7D0A"/>
    <w:rsid w:val="00CD1937"/>
    <w:rsid w:val="00CD1A71"/>
    <w:rsid w:val="00CD1FBB"/>
    <w:rsid w:val="00CD30E5"/>
    <w:rsid w:val="00CD3729"/>
    <w:rsid w:val="00CD440E"/>
    <w:rsid w:val="00CD5B20"/>
    <w:rsid w:val="00CD6779"/>
    <w:rsid w:val="00CD6AAD"/>
    <w:rsid w:val="00CD7688"/>
    <w:rsid w:val="00CE045F"/>
    <w:rsid w:val="00CE1629"/>
    <w:rsid w:val="00CE2A9C"/>
    <w:rsid w:val="00CE31E7"/>
    <w:rsid w:val="00CE5AFE"/>
    <w:rsid w:val="00CF1417"/>
    <w:rsid w:val="00CF2724"/>
    <w:rsid w:val="00CF30F8"/>
    <w:rsid w:val="00CF3778"/>
    <w:rsid w:val="00CF525F"/>
    <w:rsid w:val="00CF5607"/>
    <w:rsid w:val="00CF582E"/>
    <w:rsid w:val="00CF63C4"/>
    <w:rsid w:val="00CF66C6"/>
    <w:rsid w:val="00CF6B4D"/>
    <w:rsid w:val="00D00228"/>
    <w:rsid w:val="00D00439"/>
    <w:rsid w:val="00D015C5"/>
    <w:rsid w:val="00D016B5"/>
    <w:rsid w:val="00D034F1"/>
    <w:rsid w:val="00D03A0A"/>
    <w:rsid w:val="00D03A77"/>
    <w:rsid w:val="00D04086"/>
    <w:rsid w:val="00D04F9F"/>
    <w:rsid w:val="00D054C1"/>
    <w:rsid w:val="00D059BD"/>
    <w:rsid w:val="00D06276"/>
    <w:rsid w:val="00D06CFC"/>
    <w:rsid w:val="00D105DB"/>
    <w:rsid w:val="00D10CBA"/>
    <w:rsid w:val="00D1171F"/>
    <w:rsid w:val="00D1457D"/>
    <w:rsid w:val="00D1496C"/>
    <w:rsid w:val="00D1669E"/>
    <w:rsid w:val="00D16E1F"/>
    <w:rsid w:val="00D16FB4"/>
    <w:rsid w:val="00D17348"/>
    <w:rsid w:val="00D17BC2"/>
    <w:rsid w:val="00D17DA2"/>
    <w:rsid w:val="00D20533"/>
    <w:rsid w:val="00D21019"/>
    <w:rsid w:val="00D2103D"/>
    <w:rsid w:val="00D214FA"/>
    <w:rsid w:val="00D2348E"/>
    <w:rsid w:val="00D245D5"/>
    <w:rsid w:val="00D24CBA"/>
    <w:rsid w:val="00D27D5E"/>
    <w:rsid w:val="00D30238"/>
    <w:rsid w:val="00D32AAF"/>
    <w:rsid w:val="00D34B72"/>
    <w:rsid w:val="00D35349"/>
    <w:rsid w:val="00D353A3"/>
    <w:rsid w:val="00D35926"/>
    <w:rsid w:val="00D36A39"/>
    <w:rsid w:val="00D40289"/>
    <w:rsid w:val="00D4220A"/>
    <w:rsid w:val="00D42E42"/>
    <w:rsid w:val="00D43608"/>
    <w:rsid w:val="00D44E7C"/>
    <w:rsid w:val="00D44F2E"/>
    <w:rsid w:val="00D45468"/>
    <w:rsid w:val="00D45BF4"/>
    <w:rsid w:val="00D47338"/>
    <w:rsid w:val="00D4751F"/>
    <w:rsid w:val="00D47915"/>
    <w:rsid w:val="00D50AF8"/>
    <w:rsid w:val="00D50E2E"/>
    <w:rsid w:val="00D51472"/>
    <w:rsid w:val="00D52D83"/>
    <w:rsid w:val="00D54F9F"/>
    <w:rsid w:val="00D56179"/>
    <w:rsid w:val="00D57541"/>
    <w:rsid w:val="00D57D9E"/>
    <w:rsid w:val="00D608F3"/>
    <w:rsid w:val="00D61646"/>
    <w:rsid w:val="00D63BFB"/>
    <w:rsid w:val="00D661C2"/>
    <w:rsid w:val="00D6661E"/>
    <w:rsid w:val="00D70840"/>
    <w:rsid w:val="00D71E9D"/>
    <w:rsid w:val="00D72034"/>
    <w:rsid w:val="00D72E7E"/>
    <w:rsid w:val="00D746EF"/>
    <w:rsid w:val="00D74A84"/>
    <w:rsid w:val="00D76502"/>
    <w:rsid w:val="00D76521"/>
    <w:rsid w:val="00D76CFE"/>
    <w:rsid w:val="00D76E55"/>
    <w:rsid w:val="00D76F02"/>
    <w:rsid w:val="00D77B1F"/>
    <w:rsid w:val="00D800C5"/>
    <w:rsid w:val="00D80DB0"/>
    <w:rsid w:val="00D8133B"/>
    <w:rsid w:val="00D81CCB"/>
    <w:rsid w:val="00D85FC7"/>
    <w:rsid w:val="00D86871"/>
    <w:rsid w:val="00D8788C"/>
    <w:rsid w:val="00D905DD"/>
    <w:rsid w:val="00D912B7"/>
    <w:rsid w:val="00D91307"/>
    <w:rsid w:val="00D91A57"/>
    <w:rsid w:val="00D91B3F"/>
    <w:rsid w:val="00D93320"/>
    <w:rsid w:val="00D93AEA"/>
    <w:rsid w:val="00D949C6"/>
    <w:rsid w:val="00D94AF0"/>
    <w:rsid w:val="00D94CA7"/>
    <w:rsid w:val="00D95CE3"/>
    <w:rsid w:val="00D96129"/>
    <w:rsid w:val="00D96649"/>
    <w:rsid w:val="00DA1B12"/>
    <w:rsid w:val="00DA1D79"/>
    <w:rsid w:val="00DA225A"/>
    <w:rsid w:val="00DA39B1"/>
    <w:rsid w:val="00DA4A63"/>
    <w:rsid w:val="00DA558C"/>
    <w:rsid w:val="00DA5801"/>
    <w:rsid w:val="00DA641E"/>
    <w:rsid w:val="00DA6CF3"/>
    <w:rsid w:val="00DB08E2"/>
    <w:rsid w:val="00DB0CD8"/>
    <w:rsid w:val="00DB0F46"/>
    <w:rsid w:val="00DB1462"/>
    <w:rsid w:val="00DB1686"/>
    <w:rsid w:val="00DB1698"/>
    <w:rsid w:val="00DB1A50"/>
    <w:rsid w:val="00DB212E"/>
    <w:rsid w:val="00DB2B9D"/>
    <w:rsid w:val="00DB344B"/>
    <w:rsid w:val="00DB3E94"/>
    <w:rsid w:val="00DB4778"/>
    <w:rsid w:val="00DB4E63"/>
    <w:rsid w:val="00DB5C73"/>
    <w:rsid w:val="00DC01B1"/>
    <w:rsid w:val="00DC03B8"/>
    <w:rsid w:val="00DC0537"/>
    <w:rsid w:val="00DC0E27"/>
    <w:rsid w:val="00DC0FC0"/>
    <w:rsid w:val="00DC282C"/>
    <w:rsid w:val="00DC2C82"/>
    <w:rsid w:val="00DC3F22"/>
    <w:rsid w:val="00DC4AA0"/>
    <w:rsid w:val="00DC4F0F"/>
    <w:rsid w:val="00DD0249"/>
    <w:rsid w:val="00DD06E1"/>
    <w:rsid w:val="00DD0843"/>
    <w:rsid w:val="00DD08CF"/>
    <w:rsid w:val="00DD1C85"/>
    <w:rsid w:val="00DD2E7C"/>
    <w:rsid w:val="00DD3502"/>
    <w:rsid w:val="00DD5283"/>
    <w:rsid w:val="00DD53D7"/>
    <w:rsid w:val="00DD5441"/>
    <w:rsid w:val="00DD627A"/>
    <w:rsid w:val="00DD65D4"/>
    <w:rsid w:val="00DD6FA3"/>
    <w:rsid w:val="00DD7B45"/>
    <w:rsid w:val="00DE0634"/>
    <w:rsid w:val="00DE0779"/>
    <w:rsid w:val="00DE2AF1"/>
    <w:rsid w:val="00DE3860"/>
    <w:rsid w:val="00DE3904"/>
    <w:rsid w:val="00DE4570"/>
    <w:rsid w:val="00DE6AA1"/>
    <w:rsid w:val="00DE6D90"/>
    <w:rsid w:val="00DE7759"/>
    <w:rsid w:val="00DF002F"/>
    <w:rsid w:val="00DF08C1"/>
    <w:rsid w:val="00DF0C48"/>
    <w:rsid w:val="00DF1F48"/>
    <w:rsid w:val="00DF2B38"/>
    <w:rsid w:val="00DF2F6A"/>
    <w:rsid w:val="00DF4625"/>
    <w:rsid w:val="00DF51F0"/>
    <w:rsid w:val="00DF59DC"/>
    <w:rsid w:val="00DF5B71"/>
    <w:rsid w:val="00DF71A6"/>
    <w:rsid w:val="00E01432"/>
    <w:rsid w:val="00E0244D"/>
    <w:rsid w:val="00E03F9D"/>
    <w:rsid w:val="00E05FFF"/>
    <w:rsid w:val="00E07A46"/>
    <w:rsid w:val="00E1103F"/>
    <w:rsid w:val="00E11043"/>
    <w:rsid w:val="00E121E5"/>
    <w:rsid w:val="00E14697"/>
    <w:rsid w:val="00E157C0"/>
    <w:rsid w:val="00E173FF"/>
    <w:rsid w:val="00E1750B"/>
    <w:rsid w:val="00E17CD7"/>
    <w:rsid w:val="00E202D3"/>
    <w:rsid w:val="00E21A79"/>
    <w:rsid w:val="00E21CB3"/>
    <w:rsid w:val="00E23BD7"/>
    <w:rsid w:val="00E250A3"/>
    <w:rsid w:val="00E2590D"/>
    <w:rsid w:val="00E25E1E"/>
    <w:rsid w:val="00E26063"/>
    <w:rsid w:val="00E30E78"/>
    <w:rsid w:val="00E31ED6"/>
    <w:rsid w:val="00E32B0B"/>
    <w:rsid w:val="00E33B25"/>
    <w:rsid w:val="00E33EA5"/>
    <w:rsid w:val="00E3705E"/>
    <w:rsid w:val="00E41843"/>
    <w:rsid w:val="00E42747"/>
    <w:rsid w:val="00E42C17"/>
    <w:rsid w:val="00E43439"/>
    <w:rsid w:val="00E4445E"/>
    <w:rsid w:val="00E44684"/>
    <w:rsid w:val="00E44871"/>
    <w:rsid w:val="00E44E27"/>
    <w:rsid w:val="00E45258"/>
    <w:rsid w:val="00E45E1A"/>
    <w:rsid w:val="00E50237"/>
    <w:rsid w:val="00E50621"/>
    <w:rsid w:val="00E5069F"/>
    <w:rsid w:val="00E50CD3"/>
    <w:rsid w:val="00E50E6C"/>
    <w:rsid w:val="00E5310C"/>
    <w:rsid w:val="00E536BE"/>
    <w:rsid w:val="00E53A1D"/>
    <w:rsid w:val="00E54367"/>
    <w:rsid w:val="00E5472D"/>
    <w:rsid w:val="00E54E2D"/>
    <w:rsid w:val="00E5540E"/>
    <w:rsid w:val="00E56026"/>
    <w:rsid w:val="00E602C0"/>
    <w:rsid w:val="00E60C05"/>
    <w:rsid w:val="00E60CB8"/>
    <w:rsid w:val="00E61836"/>
    <w:rsid w:val="00E61D2D"/>
    <w:rsid w:val="00E62A55"/>
    <w:rsid w:val="00E63433"/>
    <w:rsid w:val="00E63897"/>
    <w:rsid w:val="00E63E6D"/>
    <w:rsid w:val="00E644F4"/>
    <w:rsid w:val="00E6719D"/>
    <w:rsid w:val="00E67902"/>
    <w:rsid w:val="00E67962"/>
    <w:rsid w:val="00E701C8"/>
    <w:rsid w:val="00E7170F"/>
    <w:rsid w:val="00E72244"/>
    <w:rsid w:val="00E72D72"/>
    <w:rsid w:val="00E732BF"/>
    <w:rsid w:val="00E73803"/>
    <w:rsid w:val="00E73AD4"/>
    <w:rsid w:val="00E74971"/>
    <w:rsid w:val="00E74A2E"/>
    <w:rsid w:val="00E76A7F"/>
    <w:rsid w:val="00E76CE1"/>
    <w:rsid w:val="00E80703"/>
    <w:rsid w:val="00E81567"/>
    <w:rsid w:val="00E81E94"/>
    <w:rsid w:val="00E82607"/>
    <w:rsid w:val="00E82865"/>
    <w:rsid w:val="00E85199"/>
    <w:rsid w:val="00E8594A"/>
    <w:rsid w:val="00E85DF3"/>
    <w:rsid w:val="00E860B9"/>
    <w:rsid w:val="00E87840"/>
    <w:rsid w:val="00E91598"/>
    <w:rsid w:val="00E9411A"/>
    <w:rsid w:val="00E94343"/>
    <w:rsid w:val="00E9468F"/>
    <w:rsid w:val="00E969A5"/>
    <w:rsid w:val="00EA0114"/>
    <w:rsid w:val="00EA1822"/>
    <w:rsid w:val="00EA1B0B"/>
    <w:rsid w:val="00EA3763"/>
    <w:rsid w:val="00EA5092"/>
    <w:rsid w:val="00EA5574"/>
    <w:rsid w:val="00EA71BC"/>
    <w:rsid w:val="00EB1E22"/>
    <w:rsid w:val="00EB2004"/>
    <w:rsid w:val="00EB20EC"/>
    <w:rsid w:val="00EB40FE"/>
    <w:rsid w:val="00EB4D63"/>
    <w:rsid w:val="00EB5A9A"/>
    <w:rsid w:val="00EB636D"/>
    <w:rsid w:val="00EB6BA7"/>
    <w:rsid w:val="00EB71BE"/>
    <w:rsid w:val="00EC1930"/>
    <w:rsid w:val="00EC352C"/>
    <w:rsid w:val="00EC5587"/>
    <w:rsid w:val="00EC598C"/>
    <w:rsid w:val="00EC61A3"/>
    <w:rsid w:val="00EC634E"/>
    <w:rsid w:val="00EC6AB2"/>
    <w:rsid w:val="00EC6E0D"/>
    <w:rsid w:val="00ED0144"/>
    <w:rsid w:val="00ED09EA"/>
    <w:rsid w:val="00ED10B9"/>
    <w:rsid w:val="00ED4D6C"/>
    <w:rsid w:val="00ED4FB3"/>
    <w:rsid w:val="00ED6028"/>
    <w:rsid w:val="00ED695A"/>
    <w:rsid w:val="00EE2E6B"/>
    <w:rsid w:val="00EE3143"/>
    <w:rsid w:val="00EE7F53"/>
    <w:rsid w:val="00EF01F2"/>
    <w:rsid w:val="00EF020D"/>
    <w:rsid w:val="00EF1B03"/>
    <w:rsid w:val="00EF2516"/>
    <w:rsid w:val="00EF25BA"/>
    <w:rsid w:val="00EF5403"/>
    <w:rsid w:val="00EF5C7C"/>
    <w:rsid w:val="00EF688E"/>
    <w:rsid w:val="00F03554"/>
    <w:rsid w:val="00F04EFA"/>
    <w:rsid w:val="00F06AD7"/>
    <w:rsid w:val="00F0760E"/>
    <w:rsid w:val="00F102DF"/>
    <w:rsid w:val="00F10888"/>
    <w:rsid w:val="00F12908"/>
    <w:rsid w:val="00F12D12"/>
    <w:rsid w:val="00F14E8D"/>
    <w:rsid w:val="00F15825"/>
    <w:rsid w:val="00F15D99"/>
    <w:rsid w:val="00F15E29"/>
    <w:rsid w:val="00F20527"/>
    <w:rsid w:val="00F20EF2"/>
    <w:rsid w:val="00F21D8C"/>
    <w:rsid w:val="00F22103"/>
    <w:rsid w:val="00F26365"/>
    <w:rsid w:val="00F314E1"/>
    <w:rsid w:val="00F3433A"/>
    <w:rsid w:val="00F35CB9"/>
    <w:rsid w:val="00F36F2C"/>
    <w:rsid w:val="00F3729C"/>
    <w:rsid w:val="00F3738E"/>
    <w:rsid w:val="00F3783B"/>
    <w:rsid w:val="00F40F0B"/>
    <w:rsid w:val="00F42631"/>
    <w:rsid w:val="00F42E4B"/>
    <w:rsid w:val="00F432DD"/>
    <w:rsid w:val="00F440A2"/>
    <w:rsid w:val="00F4456C"/>
    <w:rsid w:val="00F47C8B"/>
    <w:rsid w:val="00F50A9D"/>
    <w:rsid w:val="00F51245"/>
    <w:rsid w:val="00F51BAD"/>
    <w:rsid w:val="00F5365D"/>
    <w:rsid w:val="00F539BA"/>
    <w:rsid w:val="00F53AFE"/>
    <w:rsid w:val="00F53DF7"/>
    <w:rsid w:val="00F544C8"/>
    <w:rsid w:val="00F54895"/>
    <w:rsid w:val="00F56A31"/>
    <w:rsid w:val="00F612EE"/>
    <w:rsid w:val="00F631DF"/>
    <w:rsid w:val="00F635F3"/>
    <w:rsid w:val="00F65F8D"/>
    <w:rsid w:val="00F72951"/>
    <w:rsid w:val="00F72996"/>
    <w:rsid w:val="00F72C56"/>
    <w:rsid w:val="00F73147"/>
    <w:rsid w:val="00F74E67"/>
    <w:rsid w:val="00F769DA"/>
    <w:rsid w:val="00F80608"/>
    <w:rsid w:val="00F806F5"/>
    <w:rsid w:val="00F80EAA"/>
    <w:rsid w:val="00F82052"/>
    <w:rsid w:val="00F82A65"/>
    <w:rsid w:val="00F840AC"/>
    <w:rsid w:val="00F84551"/>
    <w:rsid w:val="00F84729"/>
    <w:rsid w:val="00F85501"/>
    <w:rsid w:val="00F865F1"/>
    <w:rsid w:val="00F8715F"/>
    <w:rsid w:val="00F874A8"/>
    <w:rsid w:val="00F879A3"/>
    <w:rsid w:val="00F90002"/>
    <w:rsid w:val="00F905A4"/>
    <w:rsid w:val="00F910AF"/>
    <w:rsid w:val="00F9340C"/>
    <w:rsid w:val="00F95390"/>
    <w:rsid w:val="00F9561A"/>
    <w:rsid w:val="00FA07BE"/>
    <w:rsid w:val="00FA1048"/>
    <w:rsid w:val="00FA197D"/>
    <w:rsid w:val="00FA4698"/>
    <w:rsid w:val="00FA4993"/>
    <w:rsid w:val="00FA4B64"/>
    <w:rsid w:val="00FA4E9F"/>
    <w:rsid w:val="00FA557F"/>
    <w:rsid w:val="00FA5A79"/>
    <w:rsid w:val="00FA6327"/>
    <w:rsid w:val="00FA68E7"/>
    <w:rsid w:val="00FB0BFE"/>
    <w:rsid w:val="00FB233B"/>
    <w:rsid w:val="00FB2DA7"/>
    <w:rsid w:val="00FB49C8"/>
    <w:rsid w:val="00FB4A7F"/>
    <w:rsid w:val="00FB4AE0"/>
    <w:rsid w:val="00FB4C51"/>
    <w:rsid w:val="00FB7E4F"/>
    <w:rsid w:val="00FC0228"/>
    <w:rsid w:val="00FC023E"/>
    <w:rsid w:val="00FC1134"/>
    <w:rsid w:val="00FC2EEC"/>
    <w:rsid w:val="00FC5A76"/>
    <w:rsid w:val="00FC62E1"/>
    <w:rsid w:val="00FC68A8"/>
    <w:rsid w:val="00FC6E40"/>
    <w:rsid w:val="00FD1040"/>
    <w:rsid w:val="00FD2D49"/>
    <w:rsid w:val="00FD3F68"/>
    <w:rsid w:val="00FD4E2A"/>
    <w:rsid w:val="00FD582F"/>
    <w:rsid w:val="00FD680E"/>
    <w:rsid w:val="00FE12D2"/>
    <w:rsid w:val="00FE136A"/>
    <w:rsid w:val="00FE1939"/>
    <w:rsid w:val="00FE2279"/>
    <w:rsid w:val="00FE2AB2"/>
    <w:rsid w:val="00FE2B25"/>
    <w:rsid w:val="00FE2C65"/>
    <w:rsid w:val="00FE558D"/>
    <w:rsid w:val="00FE642E"/>
    <w:rsid w:val="00FE677B"/>
    <w:rsid w:val="00FE6FE7"/>
    <w:rsid w:val="00FE774F"/>
    <w:rsid w:val="00FF07B1"/>
    <w:rsid w:val="00FF0AE4"/>
    <w:rsid w:val="00FF1355"/>
    <w:rsid w:val="00FF182C"/>
    <w:rsid w:val="00FF1A4C"/>
    <w:rsid w:val="00FF1DBD"/>
    <w:rsid w:val="00FF3674"/>
    <w:rsid w:val="00FF3D4A"/>
    <w:rsid w:val="00FF56F3"/>
    <w:rsid w:val="00FF5803"/>
    <w:rsid w:val="00FF666A"/>
    <w:rsid w:val="00FF6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oNotEmbedSmartTags/>
  <w:decimalSymbol w:val="."/>
  <w:listSeparator w:val=","/>
  <w14:docId w14:val="57FA52FC"/>
  <w15:docId w15:val="{AA0F7F42-31A5-4521-A5BE-8DABF537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671"/>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08167F"/>
    <w:pPr>
      <w:spacing w:after="0" w:line="240" w:lineRule="auto"/>
      <w:ind w:right="0"/>
      <w:jc w:val="left"/>
      <w:outlineLvl w:val="0"/>
    </w:pPr>
  </w:style>
  <w:style w:type="paragraph" w:styleId="Heading2">
    <w:name w:val="heading 2"/>
    <w:basedOn w:val="Normal"/>
    <w:next w:val="Normal"/>
    <w:link w:val="Heading2Char"/>
    <w:qFormat/>
    <w:rsid w:val="0008167F"/>
    <w:pPr>
      <w:spacing w:line="240" w:lineRule="auto"/>
      <w:outlineLvl w:val="1"/>
    </w:pPr>
    <w:rPr>
      <w:lang w:val="en-GB"/>
    </w:rPr>
  </w:style>
  <w:style w:type="paragraph" w:styleId="Heading3">
    <w:name w:val="heading 3"/>
    <w:basedOn w:val="Normal"/>
    <w:next w:val="Normal"/>
    <w:link w:val="Heading3Char"/>
    <w:qFormat/>
    <w:rsid w:val="0008167F"/>
    <w:pPr>
      <w:spacing w:line="240" w:lineRule="auto"/>
      <w:outlineLvl w:val="2"/>
    </w:pPr>
    <w:rPr>
      <w:lang w:val="en-GB"/>
    </w:rPr>
  </w:style>
  <w:style w:type="paragraph" w:styleId="Heading4">
    <w:name w:val="heading 4"/>
    <w:basedOn w:val="Normal"/>
    <w:next w:val="Normal"/>
    <w:link w:val="Heading4Char"/>
    <w:semiHidden/>
    <w:qFormat/>
    <w:rsid w:val="0008167F"/>
    <w:pPr>
      <w:spacing w:line="240" w:lineRule="auto"/>
      <w:outlineLvl w:val="3"/>
    </w:pPr>
    <w:rPr>
      <w:lang w:val="en-GB"/>
    </w:rPr>
  </w:style>
  <w:style w:type="paragraph" w:styleId="Heading5">
    <w:name w:val="heading 5"/>
    <w:basedOn w:val="Normal"/>
    <w:next w:val="Normal"/>
    <w:link w:val="Heading5Char"/>
    <w:semiHidden/>
    <w:qFormat/>
    <w:rsid w:val="0008167F"/>
    <w:pPr>
      <w:spacing w:line="240" w:lineRule="auto"/>
      <w:outlineLvl w:val="4"/>
    </w:pPr>
    <w:rPr>
      <w:lang w:val="en-GB"/>
    </w:rPr>
  </w:style>
  <w:style w:type="paragraph" w:styleId="Heading6">
    <w:name w:val="heading 6"/>
    <w:basedOn w:val="Normal"/>
    <w:next w:val="Normal"/>
    <w:link w:val="Heading6Char"/>
    <w:semiHidden/>
    <w:qFormat/>
    <w:rsid w:val="0008167F"/>
    <w:pPr>
      <w:spacing w:line="240" w:lineRule="auto"/>
      <w:outlineLvl w:val="5"/>
    </w:pPr>
    <w:rPr>
      <w:lang w:val="en-GB"/>
    </w:rPr>
  </w:style>
  <w:style w:type="paragraph" w:styleId="Heading7">
    <w:name w:val="heading 7"/>
    <w:basedOn w:val="Normal"/>
    <w:next w:val="Normal"/>
    <w:link w:val="Heading7Char"/>
    <w:semiHidden/>
    <w:qFormat/>
    <w:rsid w:val="0008167F"/>
    <w:pPr>
      <w:spacing w:line="240" w:lineRule="auto"/>
      <w:outlineLvl w:val="6"/>
    </w:pPr>
    <w:rPr>
      <w:lang w:val="en-GB"/>
    </w:rPr>
  </w:style>
  <w:style w:type="paragraph" w:styleId="Heading8">
    <w:name w:val="heading 8"/>
    <w:basedOn w:val="Normal"/>
    <w:next w:val="Normal"/>
    <w:link w:val="Heading8Char"/>
    <w:semiHidden/>
    <w:qFormat/>
    <w:rsid w:val="0008167F"/>
    <w:pPr>
      <w:spacing w:line="240" w:lineRule="auto"/>
      <w:outlineLvl w:val="7"/>
    </w:pPr>
    <w:rPr>
      <w:lang w:val="en-GB"/>
    </w:rPr>
  </w:style>
  <w:style w:type="paragraph" w:styleId="Heading9">
    <w:name w:val="heading 9"/>
    <w:basedOn w:val="Normal"/>
    <w:next w:val="Normal"/>
    <w:link w:val="Heading9Char"/>
    <w:semiHidden/>
    <w:qFormat/>
    <w:rsid w:val="0008167F"/>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79467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79467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qFormat/>
    <w:rsid w:val="0079467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9467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9467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94671"/>
    <w:pPr>
      <w:spacing w:after="120"/>
      <w:ind w:left="1134" w:right="1134"/>
      <w:jc w:val="both"/>
    </w:pPr>
  </w:style>
  <w:style w:type="paragraph" w:customStyle="1" w:styleId="SLG">
    <w:name w:val="__S_L_G"/>
    <w:basedOn w:val="Normal"/>
    <w:next w:val="Normal"/>
    <w:rsid w:val="00794671"/>
    <w:pPr>
      <w:keepNext/>
      <w:keepLines/>
      <w:spacing w:before="240" w:after="240" w:line="580" w:lineRule="exact"/>
      <w:ind w:left="1134" w:right="1134"/>
    </w:pPr>
    <w:rPr>
      <w:b/>
      <w:sz w:val="56"/>
    </w:rPr>
  </w:style>
  <w:style w:type="paragraph" w:customStyle="1" w:styleId="SMG">
    <w:name w:val="__S_M_G"/>
    <w:basedOn w:val="Normal"/>
    <w:next w:val="Normal"/>
    <w:rsid w:val="00794671"/>
    <w:pPr>
      <w:keepNext/>
      <w:keepLines/>
      <w:spacing w:before="240" w:after="240" w:line="420" w:lineRule="exact"/>
      <w:ind w:left="1134" w:right="1134"/>
    </w:pPr>
    <w:rPr>
      <w:b/>
      <w:sz w:val="40"/>
    </w:rPr>
  </w:style>
  <w:style w:type="paragraph" w:customStyle="1" w:styleId="SSG">
    <w:name w:val="__S_S_G"/>
    <w:basedOn w:val="Normal"/>
    <w:next w:val="Normal"/>
    <w:rsid w:val="00794671"/>
    <w:pPr>
      <w:keepNext/>
      <w:keepLines/>
      <w:spacing w:before="240" w:after="240" w:line="300" w:lineRule="exact"/>
      <w:ind w:left="1134" w:right="1134"/>
    </w:pPr>
    <w:rPr>
      <w:b/>
      <w:sz w:val="28"/>
    </w:rPr>
  </w:style>
  <w:style w:type="paragraph" w:customStyle="1" w:styleId="XLargeG">
    <w:name w:val="__XLarge_G"/>
    <w:basedOn w:val="Normal"/>
    <w:next w:val="Normal"/>
    <w:rsid w:val="00794671"/>
    <w:pPr>
      <w:keepNext/>
      <w:keepLines/>
      <w:spacing w:before="240" w:after="240" w:line="420" w:lineRule="exact"/>
      <w:ind w:left="1134" w:right="1134"/>
    </w:pPr>
    <w:rPr>
      <w:b/>
      <w:sz w:val="40"/>
    </w:rPr>
  </w:style>
  <w:style w:type="paragraph" w:customStyle="1" w:styleId="Bullet1G">
    <w:name w:val="_Bullet 1_G"/>
    <w:basedOn w:val="Normal"/>
    <w:qFormat/>
    <w:rsid w:val="00794671"/>
    <w:pPr>
      <w:spacing w:after="120"/>
      <w:ind w:right="1134"/>
      <w:jc w:val="both"/>
    </w:pPr>
  </w:style>
  <w:style w:type="paragraph" w:customStyle="1" w:styleId="Bullet2G">
    <w:name w:val="_Bullet 2_G"/>
    <w:basedOn w:val="Normal"/>
    <w:qFormat/>
    <w:rsid w:val="00794671"/>
    <w:pPr>
      <w:numPr>
        <w:numId w:val="1"/>
      </w:numPr>
      <w:spacing w:after="120"/>
      <w:ind w:right="1134"/>
      <w:jc w:val="both"/>
    </w:pPr>
  </w:style>
  <w:style w:type="character" w:styleId="FootnoteReference">
    <w:name w:val="footnote reference"/>
    <w:aliases w:val="4_G,4_G Char Char,ftref,Знак сноски 1,16 Point,Superscript 6 Point,Car Car Char Car Char Car Car Char Car Char Char,Car Car Car Car Car Car Car Car Char Car Car Char Car Car Car Char Car Char Char Char,BVI fnr,Ref,de nota al pie"/>
    <w:basedOn w:val="DefaultParagraphFont"/>
    <w:uiPriority w:val="99"/>
    <w:qFormat/>
    <w:rsid w:val="0008167F"/>
    <w:rPr>
      <w:rFonts w:ascii="Times New Roman" w:hAnsi="Times New Roman"/>
      <w:sz w:val="18"/>
      <w:vertAlign w:val="superscript"/>
    </w:rPr>
  </w:style>
  <w:style w:type="character" w:styleId="EndnoteReference">
    <w:name w:val="endnote reference"/>
    <w:aliases w:val="1_G"/>
    <w:basedOn w:val="FootnoteReference"/>
    <w:qFormat/>
    <w:rsid w:val="00794671"/>
    <w:rPr>
      <w:rFonts w:ascii="Times New Roman" w:hAnsi="Times New Roman"/>
      <w:sz w:val="18"/>
      <w:vertAlign w:val="superscript"/>
      <w:lang w:val="fr-CH"/>
    </w:rPr>
  </w:style>
  <w:style w:type="paragraph" w:styleId="Header">
    <w:name w:val="header"/>
    <w:aliases w:val="6_G"/>
    <w:basedOn w:val="Normal"/>
    <w:link w:val="HeaderChar"/>
    <w:rsid w:val="0008167F"/>
    <w:pPr>
      <w:pBdr>
        <w:bottom w:val="single" w:sz="4" w:space="4" w:color="auto"/>
      </w:pBdr>
      <w:spacing w:line="240" w:lineRule="auto"/>
    </w:pPr>
    <w:rPr>
      <w:b/>
      <w:sz w:val="18"/>
      <w:lang w:val="en-GB"/>
    </w:rPr>
  </w:style>
  <w:style w:type="paragraph" w:styleId="FootnoteText">
    <w:name w:val="footnote text"/>
    <w:aliases w:val="5_G,fn,ALTS FOOTNOTE,single space,Footnote Text Quote,FOOTNOTES,Note de bas de page2,Note de bas de page Car Car Car,Note de bas de page Car Car,Note de bas de page Car Car Car2,Char,ft,AD,12pt,Footnote Text Char2 Cha"/>
    <w:basedOn w:val="Normal"/>
    <w:link w:val="FootnoteTextChar"/>
    <w:uiPriority w:val="99"/>
    <w:qFormat/>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qFormat/>
    <w:rsid w:val="0008167F"/>
  </w:style>
  <w:style w:type="character" w:styleId="PageNumber">
    <w:name w:val="page number"/>
    <w:aliases w:val="7_G"/>
    <w:basedOn w:val="DefaultParagraphFont"/>
    <w:qFormat/>
    <w:rsid w:val="0008167F"/>
    <w:rPr>
      <w:rFonts w:ascii="Times New Roman" w:hAnsi="Times New Roman"/>
      <w:b/>
      <w:sz w:val="18"/>
    </w:rPr>
  </w:style>
  <w:style w:type="paragraph" w:styleId="Footer">
    <w:name w:val="footer"/>
    <w:aliases w:val="3_G"/>
    <w:basedOn w:val="Normal"/>
    <w:link w:val="FooterChar"/>
    <w:uiPriority w:val="99"/>
    <w:qFormat/>
    <w:rsid w:val="0008167F"/>
    <w:pPr>
      <w:spacing w:line="240" w:lineRule="auto"/>
    </w:pPr>
    <w:rPr>
      <w:sz w:val="16"/>
      <w:lang w:val="en-GB"/>
    </w:rPr>
  </w:style>
  <w:style w:type="character" w:styleId="Hyperlink">
    <w:name w:val="Hyperlink"/>
    <w:basedOn w:val="DefaultParagraphFont"/>
    <w:uiPriority w:val="99"/>
    <w:rsid w:val="0008167F"/>
    <w:rPr>
      <w:color w:val="auto"/>
      <w:u w:val="none"/>
    </w:rPr>
  </w:style>
  <w:style w:type="character" w:styleId="FollowedHyperlink">
    <w:name w:val="FollowedHyperlink"/>
    <w:basedOn w:val="DefaultParagraphFont"/>
    <w:semiHidden/>
    <w:rsid w:val="0008167F"/>
    <w:rPr>
      <w:color w:val="auto"/>
      <w:u w:val="none"/>
    </w:rPr>
  </w:style>
  <w:style w:type="table" w:styleId="TableGrid">
    <w:name w:val="Table Grid"/>
    <w:basedOn w:val="TableNormal"/>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semiHidden/>
    <w:rsid w:val="00671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FE"/>
    <w:rPr>
      <w:rFonts w:ascii="Tahoma" w:hAnsi="Tahoma" w:cs="Tahoma"/>
      <w:sz w:val="16"/>
      <w:szCs w:val="16"/>
      <w:lang w:val="fr-CH" w:eastAsia="en-US"/>
    </w:rPr>
  </w:style>
  <w:style w:type="paragraph" w:customStyle="1" w:styleId="ParNoG">
    <w:name w:val="_ParNo_G"/>
    <w:basedOn w:val="SingleTxtG"/>
    <w:qFormat/>
    <w:rsid w:val="007245EE"/>
    <w:pPr>
      <w:numPr>
        <w:numId w:val="2"/>
      </w:numPr>
      <w:kinsoku w:val="0"/>
      <w:overflowPunct w:val="0"/>
      <w:autoSpaceDE w:val="0"/>
      <w:autoSpaceDN w:val="0"/>
      <w:adjustRightInd w:val="0"/>
      <w:snapToGrid w:val="0"/>
    </w:pPr>
  </w:style>
  <w:style w:type="character" w:customStyle="1" w:styleId="SingleTxtGChar">
    <w:name w:val="_ Single Txt_G Char"/>
    <w:link w:val="SingleTxtG"/>
    <w:locked/>
    <w:rsid w:val="006950EE"/>
    <w:rPr>
      <w:lang w:val="fr-CH" w:eastAsia="en-US"/>
    </w:rPr>
  </w:style>
  <w:style w:type="paragraph" w:styleId="ListParagraph">
    <w:name w:val="List Paragraph"/>
    <w:basedOn w:val="Normal"/>
    <w:uiPriority w:val="34"/>
    <w:qFormat/>
    <w:rsid w:val="006950EE"/>
    <w:pPr>
      <w:suppressAutoHyphens w:val="0"/>
      <w:spacing w:line="240" w:lineRule="auto"/>
      <w:ind w:left="720"/>
      <w:contextualSpacing/>
    </w:pPr>
    <w:rPr>
      <w:rFonts w:eastAsiaTheme="minorHAnsi"/>
    </w:rPr>
  </w:style>
  <w:style w:type="character" w:styleId="CommentReference">
    <w:name w:val="annotation reference"/>
    <w:basedOn w:val="DefaultParagraphFont"/>
    <w:uiPriority w:val="99"/>
    <w:unhideWhenUsed/>
    <w:rsid w:val="00355ED3"/>
    <w:rPr>
      <w:sz w:val="16"/>
      <w:szCs w:val="16"/>
    </w:rPr>
  </w:style>
  <w:style w:type="paragraph" w:styleId="CommentText">
    <w:name w:val="annotation text"/>
    <w:basedOn w:val="Normal"/>
    <w:link w:val="CommentTextChar"/>
    <w:uiPriority w:val="99"/>
    <w:unhideWhenUsed/>
    <w:rsid w:val="00355ED3"/>
    <w:pPr>
      <w:spacing w:line="240" w:lineRule="auto"/>
    </w:pPr>
  </w:style>
  <w:style w:type="character" w:customStyle="1" w:styleId="CommentTextChar">
    <w:name w:val="Comment Text Char"/>
    <w:basedOn w:val="DefaultParagraphFont"/>
    <w:link w:val="CommentText"/>
    <w:uiPriority w:val="99"/>
    <w:rsid w:val="00355ED3"/>
    <w:rPr>
      <w:lang w:val="fr-CH" w:eastAsia="en-US"/>
    </w:rPr>
  </w:style>
  <w:style w:type="paragraph" w:styleId="CommentSubject">
    <w:name w:val="annotation subject"/>
    <w:basedOn w:val="CommentText"/>
    <w:next w:val="CommentText"/>
    <w:link w:val="CommentSubjectChar"/>
    <w:uiPriority w:val="99"/>
    <w:semiHidden/>
    <w:unhideWhenUsed/>
    <w:rsid w:val="00355ED3"/>
    <w:rPr>
      <w:b/>
      <w:bCs/>
    </w:rPr>
  </w:style>
  <w:style w:type="character" w:customStyle="1" w:styleId="CommentSubjectChar">
    <w:name w:val="Comment Subject Char"/>
    <w:basedOn w:val="CommentTextChar"/>
    <w:link w:val="CommentSubject"/>
    <w:uiPriority w:val="99"/>
    <w:semiHidden/>
    <w:rsid w:val="00355ED3"/>
    <w:rPr>
      <w:b/>
      <w:bCs/>
      <w:lang w:val="fr-CH" w:eastAsia="en-US"/>
    </w:rPr>
  </w:style>
  <w:style w:type="character" w:customStyle="1" w:styleId="HeaderChar">
    <w:name w:val="Header Char"/>
    <w:aliases w:val="6_G Char"/>
    <w:basedOn w:val="DefaultParagraphFont"/>
    <w:link w:val="Header"/>
    <w:rsid w:val="007217DF"/>
    <w:rPr>
      <w:b/>
      <w:sz w:val="18"/>
      <w:lang w:val="en-GB" w:eastAsia="en-US"/>
    </w:rPr>
  </w:style>
  <w:style w:type="character" w:customStyle="1" w:styleId="FooterChar">
    <w:name w:val="Footer Char"/>
    <w:aliases w:val="3_G Char"/>
    <w:basedOn w:val="DefaultParagraphFont"/>
    <w:link w:val="Footer"/>
    <w:uiPriority w:val="99"/>
    <w:rsid w:val="007217DF"/>
    <w:rPr>
      <w:sz w:val="16"/>
      <w:lang w:val="en-GB" w:eastAsia="en-US"/>
    </w:rPr>
  </w:style>
  <w:style w:type="character" w:customStyle="1" w:styleId="FootnoteTextChar">
    <w:name w:val="Footnote Text Char"/>
    <w:aliases w:val="5_G Char,fn Char,ALTS FOOTNOTE Char,single space Char,Footnote Text Quote Char,FOOTNOTES Char,Note de bas de page2 Char,Note de bas de page Car Car Car Char,Note de bas de page Car Car Char,Note de bas de page Car Car Car2 Char"/>
    <w:basedOn w:val="DefaultParagraphFont"/>
    <w:link w:val="FootnoteText"/>
    <w:uiPriority w:val="99"/>
    <w:rsid w:val="007217DF"/>
    <w:rPr>
      <w:sz w:val="18"/>
      <w:lang w:val="en-GB" w:eastAsia="en-US"/>
    </w:rPr>
  </w:style>
  <w:style w:type="character" w:customStyle="1" w:styleId="EndnoteTextChar">
    <w:name w:val="Endnote Text Char"/>
    <w:aliases w:val="2_G Char"/>
    <w:basedOn w:val="DefaultParagraphFont"/>
    <w:link w:val="EndnoteText"/>
    <w:rsid w:val="007217DF"/>
    <w:rPr>
      <w:sz w:val="18"/>
      <w:lang w:val="en-GB" w:eastAsia="en-US"/>
    </w:rPr>
  </w:style>
  <w:style w:type="character" w:customStyle="1" w:styleId="Heading1Char">
    <w:name w:val="Heading 1 Char"/>
    <w:aliases w:val="Table_G Char"/>
    <w:basedOn w:val="DefaultParagraphFont"/>
    <w:link w:val="Heading1"/>
    <w:rsid w:val="007217DF"/>
    <w:rPr>
      <w:lang w:val="fr-CH" w:eastAsia="en-US"/>
    </w:rPr>
  </w:style>
  <w:style w:type="character" w:customStyle="1" w:styleId="Heading2Char">
    <w:name w:val="Heading 2 Char"/>
    <w:basedOn w:val="DefaultParagraphFont"/>
    <w:link w:val="Heading2"/>
    <w:rsid w:val="007217DF"/>
    <w:rPr>
      <w:lang w:val="en-GB" w:eastAsia="en-US"/>
    </w:rPr>
  </w:style>
  <w:style w:type="character" w:customStyle="1" w:styleId="Heading3Char">
    <w:name w:val="Heading 3 Char"/>
    <w:basedOn w:val="DefaultParagraphFont"/>
    <w:link w:val="Heading3"/>
    <w:rsid w:val="007217DF"/>
    <w:rPr>
      <w:lang w:val="en-GB" w:eastAsia="en-US"/>
    </w:rPr>
  </w:style>
  <w:style w:type="character" w:customStyle="1" w:styleId="Heading4Char">
    <w:name w:val="Heading 4 Char"/>
    <w:basedOn w:val="DefaultParagraphFont"/>
    <w:link w:val="Heading4"/>
    <w:semiHidden/>
    <w:rsid w:val="007217DF"/>
    <w:rPr>
      <w:lang w:val="en-GB" w:eastAsia="en-US"/>
    </w:rPr>
  </w:style>
  <w:style w:type="character" w:customStyle="1" w:styleId="Heading5Char">
    <w:name w:val="Heading 5 Char"/>
    <w:basedOn w:val="DefaultParagraphFont"/>
    <w:link w:val="Heading5"/>
    <w:semiHidden/>
    <w:rsid w:val="007217DF"/>
    <w:rPr>
      <w:lang w:val="en-GB" w:eastAsia="en-US"/>
    </w:rPr>
  </w:style>
  <w:style w:type="character" w:customStyle="1" w:styleId="Heading6Char">
    <w:name w:val="Heading 6 Char"/>
    <w:basedOn w:val="DefaultParagraphFont"/>
    <w:link w:val="Heading6"/>
    <w:semiHidden/>
    <w:rsid w:val="007217DF"/>
    <w:rPr>
      <w:lang w:val="en-GB" w:eastAsia="en-US"/>
    </w:rPr>
  </w:style>
  <w:style w:type="character" w:customStyle="1" w:styleId="Heading7Char">
    <w:name w:val="Heading 7 Char"/>
    <w:basedOn w:val="DefaultParagraphFont"/>
    <w:link w:val="Heading7"/>
    <w:semiHidden/>
    <w:rsid w:val="007217DF"/>
    <w:rPr>
      <w:lang w:val="en-GB" w:eastAsia="en-US"/>
    </w:rPr>
  </w:style>
  <w:style w:type="character" w:customStyle="1" w:styleId="Heading8Char">
    <w:name w:val="Heading 8 Char"/>
    <w:basedOn w:val="DefaultParagraphFont"/>
    <w:link w:val="Heading8"/>
    <w:semiHidden/>
    <w:rsid w:val="007217DF"/>
    <w:rPr>
      <w:lang w:val="en-GB" w:eastAsia="en-US"/>
    </w:rPr>
  </w:style>
  <w:style w:type="character" w:customStyle="1" w:styleId="Heading9Char">
    <w:name w:val="Heading 9 Char"/>
    <w:basedOn w:val="DefaultParagraphFont"/>
    <w:link w:val="Heading9"/>
    <w:semiHidden/>
    <w:rsid w:val="007217DF"/>
    <w:rPr>
      <w:lang w:val="en-GB" w:eastAsia="en-US"/>
    </w:rPr>
  </w:style>
  <w:style w:type="numbering" w:customStyle="1" w:styleId="NoList1">
    <w:name w:val="No List1"/>
    <w:next w:val="NoList"/>
    <w:uiPriority w:val="99"/>
    <w:semiHidden/>
    <w:unhideWhenUsed/>
    <w:rsid w:val="007217DF"/>
  </w:style>
  <w:style w:type="table" w:customStyle="1" w:styleId="TableGrid1">
    <w:name w:val="Table Grid1"/>
    <w:basedOn w:val="TableNormal"/>
    <w:next w:val="TableGrid"/>
    <w:uiPriority w:val="39"/>
    <w:rsid w:val="007217DF"/>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7217DF"/>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7217DF"/>
  </w:style>
  <w:style w:type="table" w:customStyle="1" w:styleId="TableGrid2">
    <w:name w:val="Table Grid2"/>
    <w:basedOn w:val="TableNormal"/>
    <w:next w:val="TableGrid"/>
    <w:rsid w:val="007217DF"/>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7217DF"/>
    <w:rPr>
      <w:rFonts w:eastAsiaTheme="minorHAnsi"/>
      <w:lang w:val="fr-CH" w:eastAsia="en-US"/>
    </w:rPr>
  </w:style>
  <w:style w:type="paragraph" w:styleId="HTMLPreformatted">
    <w:name w:val="HTML Preformatted"/>
    <w:basedOn w:val="Normal"/>
    <w:link w:val="HTMLPreformattedChar"/>
    <w:uiPriority w:val="99"/>
    <w:unhideWhenUsed/>
    <w:rsid w:val="0072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7217DF"/>
    <w:rPr>
      <w:rFonts w:ascii="Courier New" w:hAnsi="Courier New" w:cs="Courier New"/>
      <w:lang w:val="en-GB" w:eastAsia="en-GB"/>
    </w:rPr>
  </w:style>
  <w:style w:type="paragraph" w:styleId="TOCHeading">
    <w:name w:val="TOC Heading"/>
    <w:basedOn w:val="Heading1"/>
    <w:next w:val="Normal"/>
    <w:uiPriority w:val="39"/>
    <w:unhideWhenUsed/>
    <w:qFormat/>
    <w:rsid w:val="007217DF"/>
    <w:pPr>
      <w:keepNext/>
      <w:keepLines/>
      <w:suppressAutoHyphens w:val="0"/>
      <w:spacing w:before="240"/>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217DF"/>
    <w:pPr>
      <w:suppressAutoHyphens w:val="0"/>
      <w:spacing w:after="100" w:line="240"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7217DF"/>
    <w:pPr>
      <w:suppressAutoHyphens w:val="0"/>
      <w:spacing w:after="100" w:line="240" w:lineRule="auto"/>
      <w:ind w:left="220"/>
    </w:pPr>
    <w:rPr>
      <w:rFonts w:asciiTheme="minorHAnsi" w:eastAsiaTheme="minorHAnsi" w:hAnsiTheme="minorHAnsi" w:cstheme="minorBidi"/>
      <w:sz w:val="22"/>
      <w:szCs w:val="22"/>
      <w:lang w:val="en-GB"/>
    </w:rPr>
  </w:style>
  <w:style w:type="paragraph" w:styleId="TOC3">
    <w:name w:val="toc 3"/>
    <w:basedOn w:val="Normal"/>
    <w:next w:val="Normal"/>
    <w:autoRedefine/>
    <w:uiPriority w:val="39"/>
    <w:unhideWhenUsed/>
    <w:rsid w:val="007217DF"/>
    <w:pPr>
      <w:suppressAutoHyphens w:val="0"/>
      <w:spacing w:after="100" w:line="240" w:lineRule="auto"/>
      <w:ind w:left="440"/>
    </w:pPr>
    <w:rPr>
      <w:rFonts w:asciiTheme="minorHAnsi" w:eastAsiaTheme="minorHAnsi" w:hAnsiTheme="minorHAnsi" w:cstheme="minorBidi"/>
      <w:sz w:val="22"/>
      <w:szCs w:val="22"/>
      <w:lang w:val="en-GB"/>
    </w:rPr>
  </w:style>
  <w:style w:type="character" w:styleId="Emphasis">
    <w:name w:val="Emphasis"/>
    <w:basedOn w:val="DefaultParagraphFont"/>
    <w:uiPriority w:val="20"/>
    <w:qFormat/>
    <w:rsid w:val="007217DF"/>
    <w:rPr>
      <w:b/>
      <w:bCs/>
      <w:i w:val="0"/>
      <w:iCs w:val="0"/>
    </w:rPr>
  </w:style>
  <w:style w:type="character" w:customStyle="1" w:styleId="st1">
    <w:name w:val="st1"/>
    <w:basedOn w:val="DefaultParagraphFont"/>
    <w:rsid w:val="007217DF"/>
  </w:style>
  <w:style w:type="paragraph" w:customStyle="1" w:styleId="Default">
    <w:name w:val="Default"/>
    <w:rsid w:val="007217DF"/>
    <w:pPr>
      <w:autoSpaceDE w:val="0"/>
      <w:autoSpaceDN w:val="0"/>
      <w:adjustRightInd w:val="0"/>
    </w:pPr>
    <w:rPr>
      <w:rFonts w:ascii="Arial" w:eastAsiaTheme="minorHAnsi" w:hAnsi="Arial" w:cs="Arial"/>
      <w:color w:val="000000"/>
      <w:sz w:val="24"/>
      <w:szCs w:val="24"/>
      <w:lang w:val="en-GB" w:eastAsia="en-US"/>
    </w:rPr>
  </w:style>
  <w:style w:type="paragraph" w:styleId="Caption">
    <w:name w:val="caption"/>
    <w:basedOn w:val="Normal"/>
    <w:next w:val="Normal"/>
    <w:uiPriority w:val="35"/>
    <w:unhideWhenUsed/>
    <w:qFormat/>
    <w:rsid w:val="007217DF"/>
    <w:pPr>
      <w:suppressAutoHyphens w:val="0"/>
      <w:spacing w:after="200" w:line="240" w:lineRule="auto"/>
    </w:pPr>
    <w:rPr>
      <w:rFonts w:asciiTheme="minorHAnsi" w:eastAsiaTheme="minorHAnsi" w:hAnsiTheme="minorHAnsi" w:cstheme="minorBidi"/>
      <w:i/>
      <w:iCs/>
      <w:color w:val="1F497D" w:themeColor="text2"/>
      <w:sz w:val="18"/>
      <w:szCs w:val="18"/>
      <w:lang w:val="en-GB"/>
    </w:rPr>
  </w:style>
  <w:style w:type="character" w:styleId="PlaceholderText">
    <w:name w:val="Placeholder Text"/>
    <w:basedOn w:val="DefaultParagraphFont"/>
    <w:uiPriority w:val="99"/>
    <w:semiHidden/>
    <w:rsid w:val="007217DF"/>
    <w:rPr>
      <w:color w:val="808080"/>
    </w:rPr>
  </w:style>
  <w:style w:type="character" w:customStyle="1" w:styleId="shorttext">
    <w:name w:val="short_text"/>
    <w:basedOn w:val="DefaultParagraphFont"/>
    <w:rsid w:val="007217DF"/>
  </w:style>
  <w:style w:type="character" w:customStyle="1" w:styleId="st">
    <w:name w:val="st"/>
    <w:basedOn w:val="DefaultParagraphFont"/>
    <w:rsid w:val="007217DF"/>
  </w:style>
  <w:style w:type="numbering" w:customStyle="1" w:styleId="NoList111">
    <w:name w:val="No List111"/>
    <w:next w:val="NoList"/>
    <w:uiPriority w:val="99"/>
    <w:semiHidden/>
    <w:unhideWhenUsed/>
    <w:rsid w:val="007217DF"/>
  </w:style>
  <w:style w:type="character" w:customStyle="1" w:styleId="apple-converted-space">
    <w:name w:val="apple-converted-space"/>
    <w:basedOn w:val="DefaultParagraphFont"/>
    <w:rsid w:val="007217DF"/>
  </w:style>
  <w:style w:type="paragraph" w:styleId="NormalWeb">
    <w:name w:val="Normal (Web)"/>
    <w:basedOn w:val="Normal"/>
    <w:uiPriority w:val="99"/>
    <w:semiHidden/>
    <w:unhideWhenUsed/>
    <w:rsid w:val="007217DF"/>
    <w:pPr>
      <w:suppressAutoHyphens w:val="0"/>
      <w:spacing w:line="240" w:lineRule="auto"/>
    </w:pPr>
    <w:rPr>
      <w:rFonts w:eastAsia="Batang"/>
      <w:sz w:val="24"/>
      <w:szCs w:val="24"/>
    </w:rPr>
  </w:style>
  <w:style w:type="numbering" w:customStyle="1" w:styleId="NoList2">
    <w:name w:val="No List2"/>
    <w:next w:val="NoList"/>
    <w:uiPriority w:val="99"/>
    <w:semiHidden/>
    <w:unhideWhenUsed/>
    <w:rsid w:val="007217DF"/>
  </w:style>
  <w:style w:type="table" w:customStyle="1" w:styleId="TableGrid3">
    <w:name w:val="Table Grid3"/>
    <w:basedOn w:val="TableNormal"/>
    <w:next w:val="TableGrid"/>
    <w:rsid w:val="007217DF"/>
    <w:pPr>
      <w:suppressAutoHyphens/>
      <w:spacing w:line="240" w:lineRule="atLeast"/>
    </w:pPr>
    <w:rPr>
      <w:rFonts w:eastAsia="MS Mincho"/>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3">
    <w:name w:val="No List3"/>
    <w:next w:val="NoList"/>
    <w:uiPriority w:val="99"/>
    <w:semiHidden/>
    <w:unhideWhenUsed/>
    <w:rsid w:val="007217DF"/>
  </w:style>
  <w:style w:type="table" w:customStyle="1" w:styleId="TableGrid4">
    <w:name w:val="Table Grid4"/>
    <w:basedOn w:val="TableNormal"/>
    <w:next w:val="TableGrid"/>
    <w:rsid w:val="007217DF"/>
    <w:pPr>
      <w:suppressAutoHyphens/>
      <w:spacing w:line="240" w:lineRule="atLeast"/>
    </w:pPr>
    <w:rPr>
      <w:rFonts w:eastAsiaTheme="minorHAnsi"/>
      <w:sz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Withnumbering">
    <w:name w:val="_ Single Txt_G - With numbering"/>
    <w:basedOn w:val="Normal"/>
    <w:qFormat/>
    <w:rsid w:val="007217DF"/>
    <w:pPr>
      <w:numPr>
        <w:numId w:val="3"/>
      </w:numPr>
      <w:tabs>
        <w:tab w:val="left" w:pos="1701"/>
      </w:tabs>
      <w:spacing w:after="120"/>
      <w:ind w:right="1134"/>
      <w:jc w:val="both"/>
    </w:pPr>
    <w:rPr>
      <w:lang w:val="x-none"/>
    </w:rPr>
  </w:style>
  <w:style w:type="paragraph" w:customStyle="1" w:styleId="BVIfnrCharChar1Char">
    <w:name w:val="BVI fnr Char Char1 Char"/>
    <w:aliases w:val="BVI fnr Char Char Char,BVI fnr Car Car Char Char Char,BVI fnr Car Char Char Char,BVI fnr Car Car Car Car Char Char Char,BVI fnr Car Car Car Car Char Char Char1 Char,BVI fnr Char Char Char Char,BVI fnr Char Char1"/>
    <w:basedOn w:val="Normal"/>
    <w:rsid w:val="007217DF"/>
    <w:pPr>
      <w:suppressAutoHyphens w:val="0"/>
      <w:spacing w:line="240" w:lineRule="exact"/>
    </w:pPr>
    <w:rPr>
      <w:rFonts w:eastAsiaTheme="minorHAnsi"/>
      <w:sz w:val="24"/>
      <w:vertAlign w:val="superscript"/>
    </w:rPr>
  </w:style>
  <w:style w:type="paragraph" w:styleId="ListBullet">
    <w:name w:val="List Bullet"/>
    <w:basedOn w:val="Normal"/>
    <w:uiPriority w:val="99"/>
    <w:unhideWhenUsed/>
    <w:rsid w:val="007217DF"/>
    <w:pPr>
      <w:tabs>
        <w:tab w:val="num" w:pos="360"/>
      </w:tabs>
      <w:suppressAutoHyphens w:val="0"/>
      <w:spacing w:line="240" w:lineRule="auto"/>
      <w:ind w:left="360" w:hanging="360"/>
      <w:contextualSpacing/>
    </w:pPr>
    <w:rPr>
      <w:rFonts w:eastAsiaTheme="minorHAnsi"/>
      <w:sz w:val="24"/>
    </w:rPr>
  </w:style>
  <w:style w:type="numbering" w:customStyle="1" w:styleId="NoList4">
    <w:name w:val="No List4"/>
    <w:next w:val="NoList"/>
    <w:uiPriority w:val="99"/>
    <w:semiHidden/>
    <w:unhideWhenUsed/>
    <w:rsid w:val="007217DF"/>
  </w:style>
  <w:style w:type="table" w:customStyle="1" w:styleId="TableGrid5">
    <w:name w:val="Table Grid5"/>
    <w:basedOn w:val="TableNormal"/>
    <w:next w:val="TableGrid"/>
    <w:rsid w:val="007217DF"/>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5">
    <w:name w:val="No List5"/>
    <w:next w:val="NoList"/>
    <w:uiPriority w:val="99"/>
    <w:semiHidden/>
    <w:unhideWhenUsed/>
    <w:rsid w:val="00904B45"/>
  </w:style>
  <w:style w:type="table" w:customStyle="1" w:styleId="TableGrid6">
    <w:name w:val="Table Grid6"/>
    <w:basedOn w:val="TableNormal"/>
    <w:next w:val="TableGrid"/>
    <w:uiPriority w:val="39"/>
    <w:rsid w:val="00904B4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uiPriority w:val="39"/>
    <w:rsid w:val="00904B4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2">
    <w:name w:val="No List12"/>
    <w:next w:val="NoList"/>
    <w:uiPriority w:val="99"/>
    <w:semiHidden/>
    <w:unhideWhenUsed/>
    <w:rsid w:val="00904B45"/>
  </w:style>
  <w:style w:type="numbering" w:customStyle="1" w:styleId="NoList112">
    <w:name w:val="No List112"/>
    <w:next w:val="NoList"/>
    <w:uiPriority w:val="99"/>
    <w:semiHidden/>
    <w:unhideWhenUsed/>
    <w:rsid w:val="00904B45"/>
  </w:style>
  <w:style w:type="numbering" w:customStyle="1" w:styleId="NoList21">
    <w:name w:val="No List21"/>
    <w:next w:val="NoList"/>
    <w:uiPriority w:val="99"/>
    <w:semiHidden/>
    <w:unhideWhenUsed/>
    <w:rsid w:val="00904B45"/>
  </w:style>
  <w:style w:type="numbering" w:customStyle="1" w:styleId="NoList31">
    <w:name w:val="No List31"/>
    <w:next w:val="NoList"/>
    <w:uiPriority w:val="99"/>
    <w:semiHidden/>
    <w:unhideWhenUsed/>
    <w:rsid w:val="00904B45"/>
  </w:style>
  <w:style w:type="numbering" w:customStyle="1" w:styleId="NoList41">
    <w:name w:val="No List41"/>
    <w:next w:val="NoList"/>
    <w:uiPriority w:val="99"/>
    <w:semiHidden/>
    <w:unhideWhenUsed/>
    <w:rsid w:val="00904B45"/>
  </w:style>
  <w:style w:type="character" w:customStyle="1" w:styleId="UnresolvedMention">
    <w:name w:val="Unresolved Mention"/>
    <w:basedOn w:val="DefaultParagraphFont"/>
    <w:uiPriority w:val="99"/>
    <w:semiHidden/>
    <w:unhideWhenUsed/>
    <w:rsid w:val="006C4BA2"/>
    <w:rPr>
      <w:color w:val="605E5C"/>
      <w:shd w:val="clear" w:color="auto" w:fill="E1DFDD"/>
    </w:rPr>
  </w:style>
  <w:style w:type="character" w:customStyle="1" w:styleId="tlid-translation">
    <w:name w:val="tlid-translation"/>
    <w:basedOn w:val="DefaultParagraphFont"/>
    <w:rsid w:val="006B05D6"/>
  </w:style>
  <w:style w:type="character" w:customStyle="1" w:styleId="UnresolvedMention1">
    <w:name w:val="Unresolved Mention1"/>
    <w:basedOn w:val="DefaultParagraphFont"/>
    <w:uiPriority w:val="99"/>
    <w:semiHidden/>
    <w:unhideWhenUsed/>
    <w:rsid w:val="006B0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www.iwacu-burundi.org/ngagara-trois-journalistes-maltraites-par-des-%09%09%09policiers-pendant-lexercice-de-travail/" TargetMode="External"/><Relationship Id="rId21" Type="http://schemas.openxmlformats.org/officeDocument/2006/relationships/hyperlink" Target="http://www.jeuneafrique.com/557271/politique/burundi-les-radios-bbc-and-voa-suspendues-a-deux-semaines-du-referendum/" TargetMode="External"/><Relationship Id="rId42" Type="http://schemas.openxmlformats.org/officeDocument/2006/relationships/hyperlink" Target="https://www.youtube.com/watch?v=M1p55gMHCtQ&amp;feature=youtu.be" TargetMode="External"/><Relationship Id="rId47" Type="http://schemas.openxmlformats.org/officeDocument/2006/relationships/hyperlink" Target="https://www.youtube.com/watch?v=v1WMyijJzJs&amp;feature=youtu.be" TargetMode="External"/><Relationship Id="rId63" Type="http://schemas.openxmlformats.org/officeDocument/2006/relationships/hyperlink" Target="https://www.voaafrique.com/a/prison-a-vie-requise-contre-un-activiste-au-burundi/4335246.html" TargetMode="External"/><Relationship Id="rId68" Type="http://schemas.openxmlformats.org/officeDocument/2006/relationships/hyperlink" Target="http://burundi.gov.bi/spip.php?article3082" TargetMode="External"/><Relationship Id="rId84" Type="http://schemas.openxmlformats.org/officeDocument/2006/relationships/hyperlink" Target="http://www.rtnb.bi/fr/art.php?idapi=2/2/225" TargetMode="External"/><Relationship Id="rId89" Type="http://schemas.openxmlformats.org/officeDocument/2006/relationships/hyperlink" Target="http://www.iwacu-burundi.org/plus-de-6-milliards-de-fbu-de-recettes-minieres/" TargetMode="External"/><Relationship Id="rId2" Type="http://schemas.openxmlformats.org/officeDocument/2006/relationships/hyperlink" Target="http://www.iwacu-burundi.org/qui-a-enleve-leopold-habarugira/" TargetMode="External"/><Relationship Id="rId16" Type="http://schemas.openxmlformats.org/officeDocument/2006/relationships/hyperlink" Target="http://www.rtnb.bi/fr/art.php?idapi=2/5/21" TargetMode="External"/><Relationship Id="rId29" Type="http://schemas.openxmlformats.org/officeDocument/2006/relationships/hyperlink" Target="https://twitter.com/minanijeremie/status/981804215021514752" TargetMode="External"/><Relationship Id="rId107" Type="http://schemas.openxmlformats.org/officeDocument/2006/relationships/hyperlink" Target="http://www.rfi.fr/afrique/20170404-burundi-cndd-fdd-exige-habitants-citiboke-taxe-permanence-racket" TargetMode="External"/><Relationship Id="rId11" Type="http://schemas.openxmlformats.org/officeDocument/2006/relationships/hyperlink" Target="http://cnc-burundi.bi/wp-content/uploads/2017/11/rapport-narratif-annuel-2017.docx-COPIE.pdf" TargetMode="External"/><Relationship Id="rId24" Type="http://schemas.openxmlformats.org/officeDocument/2006/relationships/hyperlink" Target="http://www.iwacu-burundi.org/judith-basutama-journaliste-de-bbc-afrique-est-%09%09%09convoquee-jeudi-21-mars-a-9h-au-tribunal-de-grande-instance-de-mukaza/" TargetMode="External"/><Relationship Id="rId32" Type="http://schemas.openxmlformats.org/officeDocument/2006/relationships/hyperlink" Target="http://www.jeuneafrique.com/556040/politique/referendum-au-burundi-selon-le-cnared-la-porte-dune-solution-negociee-va-definitivement-se-fermer/" TargetMode="External"/><Relationship Id="rId37" Type="http://schemas.openxmlformats.org/officeDocument/2006/relationships/hyperlink" Target="https://www.youtube.com/watch?v=C3Xab7MsUYQ" TargetMode="External"/><Relationship Id="rId40" Type="http://schemas.openxmlformats.org/officeDocument/2006/relationships/hyperlink" Target="https://www.youtube.com/watch?v=kk9nzXGSkz4&amp;feature=youtu.be" TargetMode="External"/><Relationship Id="rId45" Type="http://schemas.openxmlformats.org/officeDocument/2006/relationships/hyperlink" Target="https://www.youtube.com/watch?v=f25Cxe6HsHg" TargetMode="External"/><Relationship Id="rId53" Type="http://schemas.openxmlformats.org/officeDocument/2006/relationships/hyperlink" Target="https://www.amnesty.org/error.html?aspxerrorpath=%09%09/fr/documents/document/" TargetMode="External"/><Relationship Id="rId58" Type="http://schemas.openxmlformats.org/officeDocument/2006/relationships/hyperlink" Target="http://nyamile.com/2018/02/18/human-rights-organizations-call-for-immediate-release-of-%09%09aloys-habimana-in-burundian-custody/" TargetMode="External"/><Relationship Id="rId66" Type="http://schemas.openxmlformats.org/officeDocument/2006/relationships/hyperlink" Target="http://www.bujumbura.be/" TargetMode="External"/><Relationship Id="rId74" Type="http://schemas.openxmlformats.org/officeDocument/2006/relationships/hyperlink" Target="http://www.bujumbura.be/" TargetMode="External"/><Relationship Id="rId79" Type="http://schemas.openxmlformats.org/officeDocument/2006/relationships/hyperlink" Target="http://www.bujumbura.be/" TargetMode="External"/><Relationship Id="rId87" Type="http://schemas.openxmlformats.org/officeDocument/2006/relationships/hyperlink" Target="http://www.rtnb.bi/fr/art.php?idapi=2/4/99" TargetMode="External"/><Relationship Id="rId102" Type="http://schemas.openxmlformats.org/officeDocument/2006/relationships/hyperlink" Target="http://www.iwacu-burundi.org/gasenyi-i-les-habitants-denoncent-une-spoliation/" TargetMode="External"/><Relationship Id="rId110" Type="http://schemas.openxmlformats.org/officeDocument/2006/relationships/hyperlink" Target="http://olucome.bi/IMG/pdf/-125.pdf" TargetMode="External"/><Relationship Id="rId5" Type="http://schemas.openxmlformats.org/officeDocument/2006/relationships/hyperlink" Target="http://www.omct.org/fr/human-rights-defenders/urgent-interventions/burundi/2018/07/d24984/" TargetMode="External"/><Relationship Id="rId61" Type="http://schemas.openxmlformats.org/officeDocument/2006/relationships/hyperlink" Target="http://www.rfi.fr/afrique/20180310-burundi-justice-trois-militants-jugement-condamnation-" TargetMode="External"/><Relationship Id="rId82" Type="http://schemas.openxmlformats.org/officeDocument/2006/relationships/hyperlink" Target="http://www.rtnb.bi/fr/art.php?idapi=2/3/150" TargetMode="External"/><Relationship Id="rId90" Type="http://schemas.openxmlformats.org/officeDocument/2006/relationships/hyperlink" Target="http://www.courdescomptes.bi/assets/images/commentairesbudget2018.pdf" TargetMode="External"/><Relationship Id="rId95" Type="http://schemas.openxmlformats.org/officeDocument/2006/relationships/hyperlink" Target="http://www.burundi.gov.bi/spip.php?article2122" TargetMode="External"/><Relationship Id="rId19" Type="http://schemas.openxmlformats.org/officeDocument/2006/relationships/hyperlink" Target="http://cnc-burundi.bi/wp-content/uploads/2017/11/avertissement-iwacu.pdf" TargetMode="External"/><Relationship Id="rId14" Type="http://schemas.openxmlformats.org/officeDocument/2006/relationships/hyperlink" Target="http://www.presidence.gov.bi/2018/04/30/communique-du-gouvernement-du-30042018/" TargetMode="External"/><Relationship Id="rId22" Type="http://schemas.openxmlformats.org/officeDocument/2006/relationships/hyperlink" Target="http://www.rtnb.bi/fr/art.php?idapi=2/5/21" TargetMode="External"/><Relationship Id="rId27" Type="http://schemas.openxmlformats.org/officeDocument/2006/relationships/hyperlink" Target="https://twitter.com/minanijeremie/status/981243357572882433" TargetMode="External"/><Relationship Id="rId30" Type="http://schemas.openxmlformats.org/officeDocument/2006/relationships/hyperlink" Target="https://twitter.com/minanijeremie/status/1019857868617670656" TargetMode="External"/><Relationship Id="rId35" Type="http://schemas.openxmlformats.org/officeDocument/2006/relationships/hyperlink" Target="https://www.uantwerpen.be/images/uantwerpen/container49546/%20files/Burundi/gouv/181117KF.pdf" TargetMode="External"/><Relationship Id="rId43" Type="http://schemas.openxmlformats.org/officeDocument/2006/relationships/hyperlink" Target="https://twitter.com/JustineDuby/status/963355607045754885" TargetMode="External"/><Relationship Id="rId48" Type="http://schemas.openxmlformats.org/officeDocument/2006/relationships/hyperlink" Target="https://www.facebook.com/sosmediasburundi/photos/%09%09a.914236618638378.1073741828.912887052106668/1824175427644488/?type=3" TargetMode="External"/><Relationship Id="rId56" Type="http://schemas.openxmlformats.org/officeDocument/2006/relationships/hyperlink" Target="https://www.frontlinedefenders.org/fr/action/take-action-aloys-habimana" TargetMode="External"/><Relationship Id="rId64" Type="http://schemas.openxmlformats.org/officeDocument/2006/relationships/hyperlink" Target="https://bujumburanewsblog.wordpress.com/2017/02/13/pierre-nkurunziza-les-travaux-communautaires-ont-sauve-le-burundi/" TargetMode="External"/><Relationship Id="rId69" Type="http://schemas.openxmlformats.org/officeDocument/2006/relationships/hyperlink" Target="https://www.youtube.com/watch?v=08BDiQG15k8" TargetMode="External"/><Relationship Id="rId77" Type="http://schemas.openxmlformats.org/officeDocument/2006/relationships/hyperlink" Target="http://www.rtnb.bi/fr/art.php?idapi=2/1/216" TargetMode="External"/><Relationship Id="rId100" Type="http://schemas.openxmlformats.org/officeDocument/2006/relationships/hyperlink" Target="http://www.iwacu-burundi.org/des-huttes-sur-le-site-du-palais-presidentiel/" TargetMode="External"/><Relationship Id="rId105" Type="http://schemas.openxmlformats.org/officeDocument/2006/relationships/hyperlink" Target="http://www.iwacu-burundi.org/a-cibitoke-le-cndd-fdd-implante-sa-permanence-dans-un-espace-domanial/" TargetMode="External"/><Relationship Id="rId8" Type="http://schemas.openxmlformats.org/officeDocument/2006/relationships/hyperlink" Target="http://www.rfi.fr/afrique/20180322-burundi-mort-etrange-simon-bizimana-police-pnb" TargetMode="External"/><Relationship Id="rId51" Type="http://schemas.openxmlformats.org/officeDocument/2006/relationships/hyperlink" Target="https://www.frontlinedefenders.org/fr/case/nestor-nibitanga-detained-incommunicado" TargetMode="External"/><Relationship Id="rId72" Type="http://schemas.openxmlformats.org/officeDocument/2006/relationships/hyperlink" Target="http://www.iwacu-burundi.org/la-faute-aux-procedures-administratives/" TargetMode="External"/><Relationship Id="rId80" Type="http://schemas.openxmlformats.org/officeDocument/2006/relationships/hyperlink" Target="http://www.rtnb.bi/fr/art.php?idapi=2/2/151" TargetMode="External"/><Relationship Id="rId85" Type="http://schemas.openxmlformats.org/officeDocument/2006/relationships/hyperlink" Target="http://www.rtnb.bi/fr/art.php?idapi=2/2/213" TargetMode="External"/><Relationship Id="rId93" Type="http://schemas.openxmlformats.org/officeDocument/2006/relationships/hyperlink" Target="http://www.rfi.fr/afrique/20171016-sida-burundi-autorites-perdent-gestion-fonds-mondial-sida?ref=tw_i" TargetMode="External"/><Relationship Id="rId98" Type="http://schemas.openxmlformats.org/officeDocument/2006/relationships/hyperlink" Target="http://www.iwacu-burundi.org/gasenyi-i-ils-regardent-leurs-maisons-se-faire-detruire-pour-un-palais/" TargetMode="External"/><Relationship Id="rId3" Type="http://schemas.openxmlformats.org/officeDocument/2006/relationships/hyperlink" Target="https://www.voaafrique.com/a/prison-a-vie-requise-contre-" TargetMode="External"/><Relationship Id="rId12" Type="http://schemas.openxmlformats.org/officeDocument/2006/relationships/hyperlink" Target="https://rsf.org/fr/actualites/des-suspensions-de-medias-font-peser-des-menaces-supplementaires-sur-la-liberte-de-la-presse-au" TargetMode="External"/><Relationship Id="rId17" Type="http://schemas.openxmlformats.org/officeDocument/2006/relationships/hyperlink" Target="http://cnc-burundi.bi/wp-content/uploads/2017/11/lettre-de-MISE-EN-GARDE-%09%09DE-BBC-scan%C3%A9%C3%A92018.pdf" TargetMode="External"/><Relationship Id="rId25" Type="http://schemas.openxmlformats.org/officeDocument/2006/relationships/hyperlink" Target="http://www.presidence.gov.bi/wp-content/uploads/2018/04/cqu%C3%A9-sur-%09%09d%C3%A9viance-BBC-30-avril-2018.pdf" TargetMode="External"/><Relationship Id="rId33" Type="http://schemas.openxmlformats.org/officeDocument/2006/relationships/hyperlink" Target="http://cnared.info/wordpress/declaration-du-cnared-contre-le-soi-disant-referendumorganise-par-pierre-nkurunziza/" TargetMode="External"/><Relationship Id="rId38" Type="http://schemas.openxmlformats.org/officeDocument/2006/relationships/hyperlink" Target="https://soundcloud.com/user-524723262/denise-nkurunzira" TargetMode="External"/><Relationship Id="rId46" Type="http://schemas.openxmlformats.org/officeDocument/2006/relationships/hyperlink" Target="https://mobile.twitter.com/i/web/status/990506266027053056" TargetMode="External"/><Relationship Id="rId59" Type="http://schemas.openxmlformats.org/officeDocument/2006/relationships/hyperlink" Target="https://m.facebook.com/story.php?story_fbid=1778970312165000&amp;id=912887052106668" TargetMode="External"/><Relationship Id="rId67" Type="http://schemas.openxmlformats.org/officeDocument/2006/relationships/hyperlink" Target="http://burundi.gov.bi/spip.php?article3082" TargetMode="External"/><Relationship Id="rId103" Type="http://schemas.openxmlformats.org/officeDocument/2006/relationships/hyperlink" Target="https://www.dw.com/fr/construction-dun-nouveau-palais-pr%C3%A9sidentiel-des-burundais-expropri%C3%A9s-attendent-toujours/a-41072323" TargetMode="External"/><Relationship Id="rId108" Type="http://schemas.openxmlformats.org/officeDocument/2006/relationships/hyperlink" Target="https://www.voaafrique.com/a/erection-des-monuments-aux-insignes-du-parti-au-pouvoir-dans-plusieurs-villes-burundaises/3898481.html" TargetMode="External"/><Relationship Id="rId20" Type="http://schemas.openxmlformats.org/officeDocument/2006/relationships/hyperlink" Target="http://cnc-burundi.bi/wp-content/uploads/2017/11/Avertissement-renouveau.pdf" TargetMode="External"/><Relationship Id="rId41" Type="http://schemas.openxmlformats.org/officeDocument/2006/relationships/hyperlink" Target="http://observers.france24.com/fr/20180504-burundi-membres-cnddfdd-haine-%09%09%09referendum-vote-pierre-nkurunziza" TargetMode="External"/><Relationship Id="rId54" Type="http://schemas.openxmlformats.org/officeDocument/2006/relationships/hyperlink" Target="https://www.hrw.org/fr/news/2017/12/13/burundi-un-defenseur-des-%09%09droits-humains-emprisonne" TargetMode="External"/><Relationship Id="rId62" Type="http://schemas.openxmlformats.org/officeDocument/2006/relationships/hyperlink" Target="http://www.rfi.fr/afrique/20180428-burundi-lourde-condamnation-germain-rukuki-fidh-florent-geel" TargetMode="External"/><Relationship Id="rId70" Type="http://schemas.openxmlformats.org/officeDocument/2006/relationships/hyperlink" Target="https://www.voaafrique.com/a/reunion-sur-la-prochaine-taxe-des-focntionnaires-pour-les-elections-de-2020/4224828.html" TargetMode="External"/><Relationship Id="rId75" Type="http://schemas.openxmlformats.org/officeDocument/2006/relationships/hyperlink" Target="http://www.rtnb.bi/fr/art.php?idapi=2/2/151" TargetMode="External"/><Relationship Id="rId83" Type="http://schemas.openxmlformats.org/officeDocument/2006/relationships/hyperlink" Target="https://presidence.gov.bi/2017/08/08/autofinancement-des-elections-de-2020-au-burundi-son-excellence-pierre-nkurunziza-depose-sa-contribution/" TargetMode="External"/><Relationship Id="rId88" Type="http://schemas.openxmlformats.org/officeDocument/2006/relationships/hyperlink" Target="http://www.iwacu-burundi.org/secteur-minier-un-bilan-conteste/" TargetMode="External"/><Relationship Id="rId91" Type="http://schemas.openxmlformats.org/officeDocument/2006/relationships/hyperlink" Target="http://www.iwacu-burundi.org/secteur-minier-un-bilan-conteste/" TargetMode="External"/><Relationship Id="rId96" Type="http://schemas.openxmlformats.org/officeDocument/2006/relationships/hyperlink" Target="https://bujumburanewsblog.wordpress.com/2017/03/23/gasenyi-le-bras-de-fer-entre-le-gouvernement-et-les-occupants-de-parcelles-autour-du-palais-presidentiel-se-durcit/" TargetMode="External"/><Relationship Id="rId1" Type="http://schemas.openxmlformats.org/officeDocument/2006/relationships/hyperlink" Target="https://twitter.com/PierreNkurikiye/status/814432975689547776" TargetMode="External"/><Relationship Id="rId6" Type="http://schemas.openxmlformats.org/officeDocument/2006/relationships/hyperlink" Target="http://www.rfi.fr/afrique/20180814-burundi-%09%09nestor-nibitanga-droits-homme-condamnation-prison" TargetMode="External"/><Relationship Id="rId15" Type="http://schemas.openxmlformats.org/officeDocument/2006/relationships/hyperlink" Target="http://www.jeuneafrique.com/557271/politique/burundi-les-radios-bbc-and-voa-suspendues-a-deux-semaines-du-referendum/" TargetMode="External"/><Relationship Id="rId23" Type="http://schemas.openxmlformats.org/officeDocument/2006/relationships/hyperlink" Target="http://french.china.org.cn/foreign/txt/2018-06/15/content_52251128.htm" TargetMode="External"/><Relationship Id="rId28" Type="http://schemas.openxmlformats.org/officeDocument/2006/relationships/hyperlink" Target="https://www.facebook.com/minani4president/photos/%20a.594020177407515.1073741829.29661445314757/1175410859268441/?type=3" TargetMode="External"/><Relationship Id="rId36" Type="http://schemas.openxmlformats.org/officeDocument/2006/relationships/hyperlink" Target="https://www.presidence.gov.bi/2017/12/12/discous-du-chef-de-letat-lors-du-lancement-de-la-campagne-pour-le-referendum-constitutionnel/" TargetMode="External"/><Relationship Id="rId49" Type="http://schemas.openxmlformats.org/officeDocument/2006/relationships/hyperlink" Target="http://observers.france24.com/fr/20180504-burundi-membres-cnddfdd-haine-referendum-%09%09vote-pierre-nkurunziza" TargetMode="External"/><Relationship Id="rId57" Type="http://schemas.openxmlformats.org/officeDocument/2006/relationships/hyperlink" Target="https://www.jfjustice.net/en/commentary/burundi-must-release-rights-advocate-aloys-habimana" TargetMode="External"/><Relationship Id="rId106" Type="http://schemas.openxmlformats.org/officeDocument/2006/relationships/hyperlink" Target="http://www.iwacu-burundi.org/cibitoke-grogne-suite-aux-contributions-obligatoires/" TargetMode="External"/><Relationship Id="rId10" Type="http://schemas.openxmlformats.org/officeDocument/2006/relationships/hyperlink" Target="https://rsf.org/fr/burundi" TargetMode="External"/><Relationship Id="rId31" Type="http://schemas.openxmlformats.org/officeDocument/2006/relationships/hyperlink" Target="https://www.facebook.com/story.php?%20story_fbid=2018793078145356&amp;id=100000440490723" TargetMode="External"/><Relationship Id="rId44" Type="http://schemas.openxmlformats.org/officeDocument/2006/relationships/hyperlink" Target="http://www.rtnb.bi/fr/art.php?idapi=2/3/41" TargetMode="External"/><Relationship Id="rId52" Type="http://schemas.openxmlformats.org/officeDocument/2006/relationships/hyperlink" Target="https://www.fidh.org/fr/themes/defenseurs-des-droits-humains/burundi-detention-arbitraire-de-m-%09%09nestor-nibitanga-ex-representant-de" TargetMode="External"/><Relationship Id="rId60" Type="http://schemas.openxmlformats.org/officeDocument/2006/relationships/hyperlink" Target="https://www.facebook.com/sosmediasburundi/posts/1782388051823226" TargetMode="External"/><Relationship Id="rId65" Type="http://schemas.openxmlformats.org/officeDocument/2006/relationships/hyperlink" Target="http://burundi.gov.bi/spip.php?article3082" TargetMode="External"/><Relationship Id="rId73" Type="http://schemas.openxmlformats.org/officeDocument/2006/relationships/hyperlink" Target="https://twitter.com/LeRenouveauBdi/status/994119314281287680" TargetMode="External"/><Relationship Id="rId78" Type="http://schemas.openxmlformats.org/officeDocument/2006/relationships/hyperlink" Target="https://twitter.com/LeRenouveauBdi/status/991008408538140672" TargetMode="External"/><Relationship Id="rId81" Type="http://schemas.openxmlformats.org/officeDocument/2006/relationships/hyperlink" Target="http://www.rtnb.bi/fr/art.php?idapi=2/5/110" TargetMode="External"/><Relationship Id="rId86" Type="http://schemas.openxmlformats.org/officeDocument/2006/relationships/hyperlink" Target="http://www.rtnb.bi/fr/art.php?idapi=2/1/151" TargetMode="External"/><Relationship Id="rId94" Type="http://schemas.openxmlformats.org/officeDocument/2006/relationships/hyperlink" Target="http://www.aidspan.org/fr/page/subventions-du-fonds-mondial-par-pays" TargetMode="External"/><Relationship Id="rId99" Type="http://schemas.openxmlformats.org/officeDocument/2006/relationships/hyperlink" Target="http://french.china.org.cn/foreign/txt/2017-04/12/content_40609746.htm" TargetMode="External"/><Relationship Id="rId101" Type="http://schemas.openxmlformats.org/officeDocument/2006/relationships/hyperlink" Target="http://www.iwacu-burundi.org/site-du-palais-presidentiel-les-familles-expropriees-reviennent/" TargetMode="External"/><Relationship Id="rId4" Type="http://schemas.openxmlformats.org/officeDocument/2006/relationships/hyperlink" Target="http://www.rfi.fr/afrique/20180310-burundi-justice-trois-militants-jugement-condamnation-dix-ans-prison-absence-avocat" TargetMode="External"/><Relationship Id="rId9" Type="http://schemas.openxmlformats.org/officeDocument/2006/relationships/hyperlink" Target="http://www.iwacu-burundi.org/plus-de-9-mille-detenus-dans-11-prisons-au-burundi/" TargetMode="External"/><Relationship Id="rId13" Type="http://schemas.openxmlformats.org/officeDocument/2006/relationships/hyperlink" Target="http://cnc-burundi.bi/wp-content/uploads/2017/11/D%C3%A9cision-IWACU-.pdf" TargetMode="External"/><Relationship Id="rId18" Type="http://schemas.openxmlformats.org/officeDocument/2006/relationships/hyperlink" Target="http://cnc-burundi.bi/wp-content/uploads/2017/11/Avertissement-culture.pdf" TargetMode="External"/><Relationship Id="rId39" Type="http://schemas.openxmlformats.org/officeDocument/2006/relationships/hyperlink" Target="https://www.voaafrique.com/a/referendum-constitutionnel-burundi-42-opposants-arretes-%09%09%09decembre/4213698.html" TargetMode="External"/><Relationship Id="rId109" Type="http://schemas.openxmlformats.org/officeDocument/2006/relationships/hyperlink" Target="http://www.iwacu-burundi.org/polemiques-autour-de-lattribution-dune-parcelle/" TargetMode="External"/><Relationship Id="rId34" Type="http://schemas.openxmlformats.org/officeDocument/2006/relationships/hyperlink" Target="https://www.acatburundi.org/wp-content/uploads/2018/06/FCB_Appel-a-la-Revolution-pour-le-peuple-burundais.pdf" TargetMode="External"/><Relationship Id="rId50" Type="http://schemas.openxmlformats.org/officeDocument/2006/relationships/hyperlink" Target="https://www.youtube.com/watch?v=nLtF6uhkLCs" TargetMode="External"/><Relationship Id="rId55" Type="http://schemas.openxmlformats.org/officeDocument/2006/relationships/hyperlink" Target="http://www.iwacu-burundi.org/cinq-ans-de-prison-ferme-pour-nestor-nibitanga/" TargetMode="External"/><Relationship Id="rId76" Type="http://schemas.openxmlformats.org/officeDocument/2006/relationships/hyperlink" Target="http://www.rtnb.bi/fr/art.php?idapi=2/2/24" TargetMode="External"/><Relationship Id="rId97" Type="http://schemas.openxmlformats.org/officeDocument/2006/relationships/hyperlink" Target="https://www.dw.com/fr/le-palais-pr%C3%A9sidentiel-burundais-cr%C3%A9%C3%A9-des-remous/a-38155853" TargetMode="External"/><Relationship Id="rId104" Type="http://schemas.openxmlformats.org/officeDocument/2006/relationships/hyperlink" Target="https://www.youtube.com/watch?v=FqoPJ-uUNcE" TargetMode="External"/><Relationship Id="rId7" Type="http://schemas.openxmlformats.org/officeDocument/2006/relationships/hyperlink" Target="https://www.youtube.com/watch?v=3TOoXb2PqVI" TargetMode="External"/><Relationship Id="rId71" Type="http://schemas.openxmlformats.org/officeDocument/2006/relationships/hyperlink" Target="http://www.iwacu-burundi.org/argent-ou-lettre/" TargetMode="External"/><Relationship Id="rId92" Type="http://schemas.openxmlformats.org/officeDocument/2006/relationships/hyperlink" Target="http://olucome.bi/IMG/pdf/-102.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F.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59F4B-771F-4C5D-A367-AE0F825C561E}"/>
</file>

<file path=customXml/itemProps2.xml><?xml version="1.0" encoding="utf-8"?>
<ds:datastoreItem xmlns:ds="http://schemas.openxmlformats.org/officeDocument/2006/customXml" ds:itemID="{1B6AE403-7C09-4F84-8257-92FAB6991653}">
  <ds:schemaRefs>
    <ds:schemaRef ds:uri="http://schemas.microsoft.com/sharepoint/v3/contenttype/forms"/>
  </ds:schemaRefs>
</ds:datastoreItem>
</file>

<file path=customXml/itemProps3.xml><?xml version="1.0" encoding="utf-8"?>
<ds:datastoreItem xmlns:ds="http://schemas.openxmlformats.org/officeDocument/2006/customXml" ds:itemID="{765F0290-5D30-44B9-9D69-99D42B8BCD0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428416fd-f5ff-4c2c-9217-9a0681051042"/>
    <ds:schemaRef ds:uri="http://www.w3.org/XML/1998/namespace"/>
    <ds:schemaRef ds:uri="http://purl.org/dc/dcmitype/"/>
  </ds:schemaRefs>
</ds:datastoreItem>
</file>

<file path=customXml/itemProps4.xml><?xml version="1.0" encoding="utf-8"?>
<ds:datastoreItem xmlns:ds="http://schemas.openxmlformats.org/officeDocument/2006/customXml" ds:itemID="{0FEE7B25-5ABD-49BD-847A-8BAA9FFB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A_F.dotm</Template>
  <TotalTime>0</TotalTime>
  <Pages>21</Pages>
  <Words>37216</Words>
  <Characters>212135</Characters>
  <Application>Microsoft Office Word</Application>
  <DocSecurity>0</DocSecurity>
  <Lines>1767</Lines>
  <Paragraphs>497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Nations Unies</vt:lpstr>
    </vt:vector>
  </TitlesOfParts>
  <Company>CSD</Company>
  <LinksUpToDate>false</LinksUpToDate>
  <CharactersWithSpaces>248854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Kenfack</dc:creator>
  <cp:keywords/>
  <dc:description/>
  <cp:lastModifiedBy>ANDRE Laurence</cp:lastModifiedBy>
  <cp:revision>2</cp:revision>
  <cp:lastPrinted>2020-05-05T13:23:00Z</cp:lastPrinted>
  <dcterms:created xsi:type="dcterms:W3CDTF">2020-12-02T15:16:00Z</dcterms:created>
  <dcterms:modified xsi:type="dcterms:W3CDTF">2020-12-02T15:16:00Z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